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3"/>
        <w:ind w:left="2518" w:right="0" w:firstLine="0"/>
        <w:jc w:val="left"/>
        <w:rPr>
          <w:b/>
          <w:sz w:val="28"/>
        </w:rPr>
      </w:pPr>
      <w:r>
        <w:rPr/>
        <w:pict>
          <v:line style="position:absolute;mso-position-horizontal-relative:page;mso-position-vertical-relative:paragraph;z-index:0;mso-wrap-distance-left:0;mso-wrap-distance-right:0" from="159.600006pt,23.760303pt" to="529.250006pt,23.760303pt" stroked="true" strokeweight=".96pt" strokecolor="#000000">
            <w10:wrap type="topAndBottom"/>
          </v:line>
        </w:pict>
      </w:r>
      <w:r>
        <w:rPr/>
        <w:pict>
          <v:line style="position:absolute;mso-position-horizontal-relative:page;mso-position-vertical-relative:paragraph;z-index:1048;mso-wrap-distance-left:0;mso-wrap-distance-right:0" from="159.479996pt,32.400303pt" to="529.129996pt,32.400303pt" stroked="true" strokeweight=".96pt" strokecolor="#000000">
            <w10:wrap type="topAndBottom"/>
          </v:line>
        </w:pict>
      </w:r>
      <w:r>
        <w:rPr/>
        <w:drawing>
          <wp:anchor distT="0" distB="0" distL="0" distR="0" allowOverlap="1" layoutInCell="1" locked="0" behindDoc="0" simplePos="0" relativeHeight="1072">
            <wp:simplePos x="0" y="0"/>
            <wp:positionH relativeFrom="page">
              <wp:posOffset>509016</wp:posOffset>
            </wp:positionH>
            <wp:positionV relativeFrom="paragraph">
              <wp:posOffset>35055</wp:posOffset>
            </wp:positionV>
            <wp:extent cx="1257299" cy="12573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57299" cy="1257300"/>
                    </a:xfrm>
                    <a:prstGeom prst="rect">
                      <a:avLst/>
                    </a:prstGeom>
                  </pic:spPr>
                </pic:pic>
              </a:graphicData>
            </a:graphic>
          </wp:anchor>
        </w:drawing>
      </w:r>
      <w:r>
        <w:rPr>
          <w:b/>
          <w:sz w:val="28"/>
        </w:rPr>
        <w:t>UNIVERSIDAD AUTÓNOMA DEL ESTADO DE MÉXICO</w:t>
      </w:r>
    </w:p>
    <w:p>
      <w:pPr>
        <w:pStyle w:val="BodyText"/>
        <w:spacing w:before="4"/>
        <w:rPr>
          <w:b/>
          <w:sz w:val="7"/>
        </w:rPr>
      </w:pPr>
    </w:p>
    <w:p>
      <w:pPr>
        <w:spacing w:line="360" w:lineRule="auto" w:before="50"/>
        <w:ind w:left="5380" w:right="795" w:hanging="2466"/>
        <w:jc w:val="left"/>
        <w:rPr>
          <w:b/>
          <w:sz w:val="28"/>
        </w:rPr>
      </w:pPr>
      <w:r>
        <w:rPr>
          <w:b/>
          <w:sz w:val="28"/>
        </w:rPr>
        <w:t>INSTITUTO DE CIENCIAS AGROPECUARIAS Y RURALES</w:t>
      </w:r>
    </w:p>
    <w:p>
      <w:pPr>
        <w:pStyle w:val="BodyText"/>
        <w:rPr>
          <w:b/>
          <w:sz w:val="20"/>
        </w:rPr>
      </w:pPr>
    </w:p>
    <w:p>
      <w:pPr>
        <w:pStyle w:val="BodyText"/>
        <w:rPr>
          <w:b/>
          <w:sz w:val="20"/>
        </w:rPr>
      </w:pPr>
    </w:p>
    <w:p>
      <w:pPr>
        <w:pStyle w:val="BodyText"/>
        <w:rPr>
          <w:b/>
          <w:sz w:val="20"/>
        </w:rPr>
      </w:pPr>
    </w:p>
    <w:p>
      <w:pPr>
        <w:spacing w:line="360" w:lineRule="auto" w:before="198"/>
        <w:ind w:left="1666" w:right="224" w:firstLine="0"/>
        <w:jc w:val="center"/>
        <w:rPr>
          <w:b/>
          <w:sz w:val="28"/>
        </w:rPr>
      </w:pPr>
      <w:r>
        <w:rPr/>
        <w:pict>
          <v:line style="position:absolute;mso-position-horizontal-relative:page;mso-position-vertical-relative:paragraph;z-index:1096" from="66pt,.030308pt" to="66pt,463.530308pt" stroked="true" strokeweight=".96pt" strokecolor="#000000">
            <w10:wrap type="none"/>
          </v:line>
        </w:pict>
      </w:r>
      <w:r>
        <w:rPr/>
        <w:pict>
          <v:line style="position:absolute;mso-position-horizontal-relative:page;mso-position-vertical-relative:paragraph;z-index:1120" from="94.559998pt,64.590309pt" to="94.559998pt,517.590309pt" stroked="true" strokeweight=".96pt" strokecolor="#000000">
            <w10:wrap type="none"/>
          </v:line>
        </w:pict>
      </w:r>
      <w:r>
        <w:rPr>
          <w:b/>
          <w:sz w:val="28"/>
        </w:rPr>
        <w:t>EVALUACIÓN DE LA COMPETITIVIDAD Y VIABILIDAD ECONÓMICA DE LA CADENA AGROALIMENTARIA PRODUCTORA DE LECHE DE PEQUEÑA ESCALA</w:t>
      </w:r>
    </w:p>
    <w:p>
      <w:pPr>
        <w:pStyle w:val="BodyText"/>
        <w:rPr>
          <w:b/>
          <w:sz w:val="28"/>
        </w:rPr>
      </w:pPr>
    </w:p>
    <w:p>
      <w:pPr>
        <w:pStyle w:val="BodyText"/>
        <w:rPr>
          <w:b/>
          <w:sz w:val="28"/>
        </w:rPr>
      </w:pPr>
    </w:p>
    <w:p>
      <w:pPr>
        <w:pStyle w:val="BodyText"/>
        <w:spacing w:before="3"/>
        <w:rPr>
          <w:b/>
          <w:sz w:val="39"/>
        </w:rPr>
      </w:pPr>
    </w:p>
    <w:p>
      <w:pPr>
        <w:spacing w:before="0"/>
        <w:ind w:left="1664" w:right="226" w:firstLine="0"/>
        <w:jc w:val="center"/>
        <w:rPr>
          <w:b/>
          <w:sz w:val="40"/>
        </w:rPr>
      </w:pPr>
      <w:r>
        <w:rPr>
          <w:b/>
          <w:sz w:val="40"/>
        </w:rPr>
        <w:t>TESIS</w:t>
      </w:r>
    </w:p>
    <w:p>
      <w:pPr>
        <w:pStyle w:val="BodyText"/>
        <w:rPr>
          <w:b/>
          <w:sz w:val="40"/>
        </w:rPr>
      </w:pPr>
    </w:p>
    <w:p>
      <w:pPr>
        <w:pStyle w:val="BodyText"/>
        <w:spacing w:before="9"/>
        <w:rPr>
          <w:b/>
          <w:sz w:val="50"/>
        </w:rPr>
      </w:pPr>
    </w:p>
    <w:p>
      <w:pPr>
        <w:spacing w:line="360" w:lineRule="auto" w:before="0"/>
        <w:ind w:left="1666" w:right="226" w:firstLine="0"/>
        <w:jc w:val="center"/>
        <w:rPr>
          <w:b/>
          <w:sz w:val="28"/>
        </w:rPr>
      </w:pPr>
      <w:r>
        <w:rPr>
          <w:b/>
          <w:sz w:val="28"/>
        </w:rPr>
        <w:t>QUE PARA OBTENER EL GRADO DE DOCTOR EN CIENCIAS AGROPECUARIAS Y RECURSOS NATURALES</w:t>
      </w:r>
    </w:p>
    <w:p>
      <w:pPr>
        <w:pStyle w:val="BodyText"/>
        <w:rPr>
          <w:b/>
          <w:sz w:val="28"/>
        </w:rPr>
      </w:pPr>
    </w:p>
    <w:p>
      <w:pPr>
        <w:pStyle w:val="BodyText"/>
        <w:rPr>
          <w:b/>
          <w:sz w:val="28"/>
        </w:rPr>
      </w:pPr>
    </w:p>
    <w:p>
      <w:pPr>
        <w:spacing w:before="175"/>
        <w:ind w:left="1665" w:right="226" w:firstLine="0"/>
        <w:jc w:val="center"/>
        <w:rPr>
          <w:b/>
          <w:sz w:val="28"/>
        </w:rPr>
      </w:pPr>
      <w:r>
        <w:rPr>
          <w:b/>
          <w:sz w:val="28"/>
        </w:rPr>
        <w:t>P R E S E N T A:</w:t>
      </w:r>
    </w:p>
    <w:p>
      <w:pPr>
        <w:pStyle w:val="BodyText"/>
        <w:spacing w:before="5"/>
        <w:rPr>
          <w:b/>
          <w:sz w:val="31"/>
        </w:rPr>
      </w:pPr>
    </w:p>
    <w:p>
      <w:pPr>
        <w:spacing w:before="0"/>
        <w:ind w:left="1666" w:right="226" w:firstLine="0"/>
        <w:jc w:val="center"/>
        <w:rPr>
          <w:b/>
          <w:sz w:val="28"/>
        </w:rPr>
      </w:pPr>
      <w:r>
        <w:rPr>
          <w:b/>
          <w:sz w:val="28"/>
        </w:rPr>
        <w:t>RODOLFO ROGELIO POSADAS DOMÍNGUEZ</w:t>
      </w:r>
    </w:p>
    <w:p>
      <w:pPr>
        <w:pStyle w:val="BodyText"/>
        <w:rPr>
          <w:b/>
          <w:sz w:val="28"/>
        </w:rPr>
      </w:pPr>
    </w:p>
    <w:p>
      <w:pPr>
        <w:pStyle w:val="BodyText"/>
        <w:rPr>
          <w:b/>
          <w:sz w:val="28"/>
        </w:rPr>
      </w:pPr>
    </w:p>
    <w:p>
      <w:pPr>
        <w:spacing w:before="201"/>
        <w:ind w:left="1665" w:right="226" w:firstLine="0"/>
        <w:jc w:val="center"/>
        <w:rPr>
          <w:b/>
          <w:sz w:val="28"/>
        </w:rPr>
      </w:pPr>
      <w:r>
        <w:rPr>
          <w:b/>
          <w:sz w:val="28"/>
        </w:rPr>
        <w:t>COMITÉ DE TUTORES</w:t>
      </w:r>
    </w:p>
    <w:p>
      <w:pPr>
        <w:spacing w:line="360" w:lineRule="auto" w:before="162"/>
        <w:ind w:left="2166" w:right="725" w:firstLine="0"/>
        <w:jc w:val="center"/>
        <w:rPr>
          <w:b/>
          <w:sz w:val="27"/>
        </w:rPr>
      </w:pPr>
      <w:r>
        <w:rPr>
          <w:b/>
          <w:sz w:val="27"/>
        </w:rPr>
        <w:t>Dr. Francisco Ernesto Martínez Castañeda. Tutor Académico Dr. Carlos Manuel Arriaga Jordán. Tutor Adjunto</w:t>
      </w:r>
    </w:p>
    <w:p>
      <w:pPr>
        <w:spacing w:before="5"/>
        <w:ind w:left="1666" w:right="226" w:firstLine="0"/>
        <w:jc w:val="center"/>
        <w:rPr>
          <w:b/>
          <w:sz w:val="27"/>
        </w:rPr>
      </w:pPr>
      <w:r>
        <w:rPr>
          <w:b/>
          <w:sz w:val="27"/>
        </w:rPr>
        <w:t>Dr. Nicolás Callejas Juárez. Tutor Adjunto</w:t>
      </w:r>
    </w:p>
    <w:p>
      <w:pPr>
        <w:pStyle w:val="BodyText"/>
        <w:rPr>
          <w:b/>
          <w:sz w:val="26"/>
        </w:rPr>
      </w:pPr>
    </w:p>
    <w:p>
      <w:pPr>
        <w:pStyle w:val="BodyText"/>
        <w:spacing w:before="10"/>
        <w:rPr>
          <w:b/>
          <w:sz w:val="38"/>
        </w:rPr>
      </w:pPr>
    </w:p>
    <w:p>
      <w:pPr>
        <w:spacing w:before="1"/>
        <w:ind w:left="2698" w:right="0" w:firstLine="0"/>
        <w:jc w:val="left"/>
        <w:rPr>
          <w:sz w:val="23"/>
        </w:rPr>
      </w:pPr>
      <w:r>
        <w:rPr>
          <w:sz w:val="23"/>
        </w:rPr>
        <w:t>El Cerrillo Piedras Blancas, Toluca de Lerdo, Estado de México. Marzo 2014</w:t>
      </w:r>
    </w:p>
    <w:p>
      <w:pPr>
        <w:spacing w:after="0"/>
        <w:jc w:val="left"/>
        <w:rPr>
          <w:sz w:val="23"/>
        </w:rPr>
        <w:sectPr>
          <w:type w:val="continuous"/>
          <w:pgSz w:w="12240" w:h="15840"/>
          <w:pgMar w:top="1360" w:bottom="280" w:left="700" w:right="1540"/>
        </w:sectPr>
      </w:pPr>
    </w:p>
    <w:p>
      <w:pPr>
        <w:pStyle w:val="Heading1"/>
        <w:ind w:left="368" w:right="26"/>
        <w:jc w:val="center"/>
      </w:pPr>
      <w:r>
        <w:rPr/>
        <w:t>RESUMEN</w:t>
      </w:r>
    </w:p>
    <w:p>
      <w:pPr>
        <w:pStyle w:val="BodyText"/>
        <w:rPr>
          <w:b/>
          <w:sz w:val="29"/>
        </w:rPr>
      </w:pPr>
    </w:p>
    <w:p>
      <w:pPr>
        <w:pStyle w:val="BodyText"/>
        <w:spacing w:line="360" w:lineRule="auto"/>
        <w:ind w:left="102" w:right="116"/>
        <w:jc w:val="both"/>
      </w:pPr>
      <w:r>
        <w:rPr/>
        <w:t>El objetivo principal de esta investigación fue evaluar la competitividad y viabilidad económica de la cadena agroalimentaria productora de leche de pequeña escala en el nor- oriente del Estado de México, para ello, se utilizaron modelos y procedimientos que permitieron evaluar el impacto de variables determinantes en la eficiencia técnica y económica del eslabón de producción de leche, el cual se analizó detalladamente al cumplir con la función de eslabón central de la cadena agroalimentaria.</w:t>
      </w:r>
    </w:p>
    <w:p>
      <w:pPr>
        <w:pStyle w:val="BodyText"/>
        <w:spacing w:line="360" w:lineRule="auto" w:before="203"/>
        <w:ind w:left="102" w:right="115"/>
        <w:jc w:val="both"/>
      </w:pPr>
      <w:r>
        <w:rPr/>
        <w:t>Se analizaron los datos económicos de seis queserías, 25 distribuidores y 37 hatos lecheros de pequeña escala. Los hatos fueron seleccionados mediante un muestreo estratificado con asignación de Neyman. Se establecieron tres Estratos: Estrato </w:t>
      </w:r>
      <w:r>
        <w:rPr>
          <w:spacing w:val="2"/>
        </w:rPr>
        <w:t>1: </w:t>
      </w:r>
      <w:r>
        <w:rPr/>
        <w:t>de 3 a 9 vacas más reemplazos, Estrato 2: de 10 a 19 vacas y Estrato 3: de 20 a 30 vacas. Se utilizó la Matriz</w:t>
      </w:r>
      <w:r>
        <w:rPr>
          <w:spacing w:val="-22"/>
        </w:rPr>
        <w:t> </w:t>
      </w:r>
      <w:r>
        <w:rPr/>
        <w:t>de Análisis de Política (MAP) como método para determinar la rentabilidad y competitividad privada de la cadena</w:t>
      </w:r>
      <w:r>
        <w:rPr>
          <w:spacing w:val="-6"/>
        </w:rPr>
        <w:t> </w:t>
      </w:r>
      <w:r>
        <w:rPr/>
        <w:t>agroalimentaria.</w:t>
      </w:r>
    </w:p>
    <w:p>
      <w:pPr>
        <w:pStyle w:val="BodyText"/>
        <w:spacing w:line="357" w:lineRule="auto" w:before="205"/>
        <w:ind w:left="102" w:right="115"/>
        <w:jc w:val="both"/>
      </w:pPr>
      <w:r>
        <w:rPr/>
        <w:t>El análisis de viabilidad económica y financiera se realizó con modelos de simulación estocástica. Se utilizó la técnica de panel para conformar una unidad representativa de producción</w:t>
      </w:r>
      <w:r>
        <w:rPr>
          <w:spacing w:val="-7"/>
        </w:rPr>
        <w:t> </w:t>
      </w:r>
      <w:r>
        <w:rPr/>
        <w:t>con</w:t>
      </w:r>
      <w:r>
        <w:rPr>
          <w:spacing w:val="-7"/>
        </w:rPr>
        <w:t> </w:t>
      </w:r>
      <w:r>
        <w:rPr/>
        <w:t>un</w:t>
      </w:r>
      <w:r>
        <w:rPr>
          <w:spacing w:val="-7"/>
        </w:rPr>
        <w:t> </w:t>
      </w:r>
      <w:r>
        <w:rPr/>
        <w:t>promedio</w:t>
      </w:r>
      <w:r>
        <w:rPr>
          <w:spacing w:val="-7"/>
        </w:rPr>
        <w:t> </w:t>
      </w:r>
      <w:r>
        <w:rPr/>
        <w:t>de</w:t>
      </w:r>
      <w:r>
        <w:rPr>
          <w:spacing w:val="-8"/>
        </w:rPr>
        <w:t> </w:t>
      </w:r>
      <w:r>
        <w:rPr/>
        <w:t>ocho</w:t>
      </w:r>
      <w:r>
        <w:rPr>
          <w:spacing w:val="-7"/>
        </w:rPr>
        <w:t> </w:t>
      </w:r>
      <w:r>
        <w:rPr/>
        <w:t>vacas</w:t>
      </w:r>
      <w:r>
        <w:rPr>
          <w:spacing w:val="-7"/>
        </w:rPr>
        <w:t> </w:t>
      </w:r>
      <w:r>
        <w:rPr/>
        <w:t>en</w:t>
      </w:r>
      <w:r>
        <w:rPr>
          <w:spacing w:val="-7"/>
        </w:rPr>
        <w:t> </w:t>
      </w:r>
      <w:r>
        <w:rPr/>
        <w:t>edad</w:t>
      </w:r>
      <w:r>
        <w:rPr>
          <w:spacing w:val="-7"/>
        </w:rPr>
        <w:t> </w:t>
      </w:r>
      <w:r>
        <w:rPr/>
        <w:t>productiva</w:t>
      </w:r>
      <w:r>
        <w:rPr>
          <w:spacing w:val="-8"/>
        </w:rPr>
        <w:t> </w:t>
      </w:r>
      <w:r>
        <w:rPr/>
        <w:t>(URP8)</w:t>
      </w:r>
      <w:r>
        <w:rPr>
          <w:spacing w:val="-8"/>
        </w:rPr>
        <w:t> </w:t>
      </w:r>
      <w:r>
        <w:rPr/>
        <w:t>que</w:t>
      </w:r>
      <w:r>
        <w:rPr>
          <w:spacing w:val="-8"/>
        </w:rPr>
        <w:t> </w:t>
      </w:r>
      <w:r>
        <w:rPr/>
        <w:t>representó</w:t>
      </w:r>
      <w:r>
        <w:rPr>
          <w:spacing w:val="-7"/>
        </w:rPr>
        <w:t> </w:t>
      </w:r>
      <w:r>
        <w:rPr/>
        <w:t>a</w:t>
      </w:r>
      <w:r>
        <w:rPr>
          <w:spacing w:val="-8"/>
        </w:rPr>
        <w:t> </w:t>
      </w:r>
      <w:r>
        <w:rPr/>
        <w:t>130 productores</w:t>
      </w:r>
      <w:r>
        <w:rPr>
          <w:spacing w:val="-6"/>
        </w:rPr>
        <w:t> </w:t>
      </w:r>
      <w:r>
        <w:rPr/>
        <w:t>del</w:t>
      </w:r>
      <w:r>
        <w:rPr>
          <w:spacing w:val="-5"/>
        </w:rPr>
        <w:t> </w:t>
      </w:r>
      <w:r>
        <w:rPr/>
        <w:t>Distrito</w:t>
      </w:r>
      <w:r>
        <w:rPr>
          <w:spacing w:val="-6"/>
        </w:rPr>
        <w:t> </w:t>
      </w:r>
      <w:r>
        <w:rPr/>
        <w:t>de</w:t>
      </w:r>
      <w:r>
        <w:rPr>
          <w:spacing w:val="-6"/>
        </w:rPr>
        <w:t> </w:t>
      </w:r>
      <w:r>
        <w:rPr/>
        <w:t>Desarrollo</w:t>
      </w:r>
      <w:r>
        <w:rPr>
          <w:spacing w:val="-6"/>
        </w:rPr>
        <w:t> </w:t>
      </w:r>
      <w:r>
        <w:rPr/>
        <w:t>rural</w:t>
      </w:r>
      <w:r>
        <w:rPr>
          <w:spacing w:val="-5"/>
        </w:rPr>
        <w:t> </w:t>
      </w:r>
      <w:r>
        <w:rPr/>
        <w:t>de</w:t>
      </w:r>
      <w:r>
        <w:rPr>
          <w:spacing w:val="-6"/>
        </w:rPr>
        <w:t> </w:t>
      </w:r>
      <w:r>
        <w:rPr/>
        <w:t>Texcoco</w:t>
      </w:r>
      <w:r>
        <w:rPr>
          <w:spacing w:val="-5"/>
        </w:rPr>
        <w:t> </w:t>
      </w:r>
      <w:r>
        <w:rPr/>
        <w:t>(DDRT).</w:t>
      </w:r>
      <w:r>
        <w:rPr>
          <w:spacing w:val="-6"/>
        </w:rPr>
        <w:t> </w:t>
      </w:r>
      <w:r>
        <w:rPr/>
        <w:t>El</w:t>
      </w:r>
      <w:r>
        <w:rPr>
          <w:spacing w:val="-6"/>
        </w:rPr>
        <w:t> </w:t>
      </w:r>
      <w:r>
        <w:rPr/>
        <w:t>programa</w:t>
      </w:r>
      <w:r>
        <w:rPr>
          <w:spacing w:val="-6"/>
        </w:rPr>
        <w:t> </w:t>
      </w:r>
      <w:r>
        <w:rPr/>
        <w:t>econométrico MexSim</w:t>
      </w:r>
      <w:r>
        <w:rPr>
          <w:position w:val="9"/>
          <w:sz w:val="16"/>
        </w:rPr>
        <w:t>© </w:t>
      </w:r>
      <w:r>
        <w:rPr/>
        <w:t>fue utilizado para cuantificar el riesgo y predecir los impactos económicos y financieros</w:t>
      </w:r>
      <w:r>
        <w:rPr>
          <w:spacing w:val="-9"/>
        </w:rPr>
        <w:t> </w:t>
      </w:r>
      <w:r>
        <w:rPr/>
        <w:t>de</w:t>
      </w:r>
      <w:r>
        <w:rPr>
          <w:spacing w:val="-11"/>
        </w:rPr>
        <w:t> </w:t>
      </w:r>
      <w:r>
        <w:rPr/>
        <w:t>diferentes</w:t>
      </w:r>
      <w:r>
        <w:rPr>
          <w:spacing w:val="-8"/>
        </w:rPr>
        <w:t> </w:t>
      </w:r>
      <w:r>
        <w:rPr/>
        <w:t>escenarios</w:t>
      </w:r>
      <w:r>
        <w:rPr>
          <w:spacing w:val="-9"/>
        </w:rPr>
        <w:t> </w:t>
      </w:r>
      <w:r>
        <w:rPr/>
        <w:t>en</w:t>
      </w:r>
      <w:r>
        <w:rPr>
          <w:spacing w:val="-10"/>
        </w:rPr>
        <w:t> </w:t>
      </w:r>
      <w:r>
        <w:rPr/>
        <w:t>el</w:t>
      </w:r>
      <w:r>
        <w:rPr>
          <w:spacing w:val="-9"/>
        </w:rPr>
        <w:t> </w:t>
      </w:r>
      <w:r>
        <w:rPr/>
        <w:t>horizonte</w:t>
      </w:r>
      <w:r>
        <w:rPr>
          <w:spacing w:val="-11"/>
        </w:rPr>
        <w:t> </w:t>
      </w:r>
      <w:r>
        <w:rPr/>
        <w:t>de</w:t>
      </w:r>
      <w:r>
        <w:rPr>
          <w:spacing w:val="-11"/>
        </w:rPr>
        <w:t> </w:t>
      </w:r>
      <w:r>
        <w:rPr/>
        <w:t>planeación</w:t>
      </w:r>
      <w:r>
        <w:rPr>
          <w:spacing w:val="-9"/>
        </w:rPr>
        <w:t> </w:t>
      </w:r>
      <w:r>
        <w:rPr/>
        <w:t>2010-2018.</w:t>
      </w:r>
      <w:r>
        <w:rPr>
          <w:spacing w:val="-8"/>
        </w:rPr>
        <w:t> </w:t>
      </w:r>
      <w:r>
        <w:rPr/>
        <w:t>Los</w:t>
      </w:r>
      <w:r>
        <w:rPr>
          <w:spacing w:val="-9"/>
        </w:rPr>
        <w:t> </w:t>
      </w:r>
      <w:r>
        <w:rPr/>
        <w:t>escenarios evaluados fueron; la situación real de producción de la URP8, Escenario base; 1) empleo de mano</w:t>
      </w:r>
      <w:r>
        <w:rPr>
          <w:spacing w:val="-6"/>
        </w:rPr>
        <w:t> </w:t>
      </w:r>
      <w:r>
        <w:rPr/>
        <w:t>de</w:t>
      </w:r>
      <w:r>
        <w:rPr>
          <w:spacing w:val="-6"/>
        </w:rPr>
        <w:t> </w:t>
      </w:r>
      <w:r>
        <w:rPr/>
        <w:t>obra</w:t>
      </w:r>
      <w:r>
        <w:rPr>
          <w:spacing w:val="-6"/>
        </w:rPr>
        <w:t> </w:t>
      </w:r>
      <w:r>
        <w:rPr/>
        <w:t>familiar;</w:t>
      </w:r>
      <w:r>
        <w:rPr>
          <w:spacing w:val="-5"/>
        </w:rPr>
        <w:t> </w:t>
      </w:r>
      <w:r>
        <w:rPr/>
        <w:t>2)</w:t>
      </w:r>
      <w:r>
        <w:rPr>
          <w:spacing w:val="-4"/>
        </w:rPr>
        <w:t> </w:t>
      </w:r>
      <w:r>
        <w:rPr/>
        <w:t>compra</w:t>
      </w:r>
      <w:r>
        <w:rPr>
          <w:spacing w:val="-6"/>
        </w:rPr>
        <w:t> </w:t>
      </w:r>
      <w:r>
        <w:rPr/>
        <w:t>de</w:t>
      </w:r>
      <w:r>
        <w:rPr>
          <w:spacing w:val="-6"/>
        </w:rPr>
        <w:t> </w:t>
      </w:r>
      <w:r>
        <w:rPr/>
        <w:t>100%</w:t>
      </w:r>
      <w:r>
        <w:rPr>
          <w:spacing w:val="-4"/>
        </w:rPr>
        <w:t> </w:t>
      </w:r>
      <w:r>
        <w:rPr/>
        <w:t>de</w:t>
      </w:r>
      <w:r>
        <w:rPr>
          <w:spacing w:val="-6"/>
        </w:rPr>
        <w:t> </w:t>
      </w:r>
      <w:r>
        <w:rPr/>
        <w:t>insumos</w:t>
      </w:r>
      <w:r>
        <w:rPr>
          <w:spacing w:val="-5"/>
        </w:rPr>
        <w:t> </w:t>
      </w:r>
      <w:r>
        <w:rPr/>
        <w:t>para</w:t>
      </w:r>
      <w:r>
        <w:rPr>
          <w:spacing w:val="-7"/>
        </w:rPr>
        <w:t> </w:t>
      </w:r>
      <w:r>
        <w:rPr/>
        <w:t>la</w:t>
      </w:r>
      <w:r>
        <w:rPr>
          <w:spacing w:val="-5"/>
        </w:rPr>
        <w:t> </w:t>
      </w:r>
      <w:r>
        <w:rPr/>
        <w:t>alimentación</w:t>
      </w:r>
      <w:r>
        <w:rPr>
          <w:spacing w:val="-2"/>
        </w:rPr>
        <w:t> </w:t>
      </w:r>
      <w:r>
        <w:rPr/>
        <w:t>del</w:t>
      </w:r>
      <w:r>
        <w:rPr>
          <w:spacing w:val="-5"/>
        </w:rPr>
        <w:t> </w:t>
      </w:r>
      <w:r>
        <w:rPr/>
        <w:t>ganado; y</w:t>
      </w:r>
      <w:r>
        <w:rPr>
          <w:spacing w:val="-7"/>
        </w:rPr>
        <w:t> </w:t>
      </w:r>
      <w:r>
        <w:rPr/>
        <w:t>3) retiro de</w:t>
      </w:r>
      <w:r>
        <w:rPr>
          <w:spacing w:val="-5"/>
        </w:rPr>
        <w:t> </w:t>
      </w:r>
      <w:r>
        <w:rPr/>
        <w:t>subsidios.</w:t>
      </w:r>
    </w:p>
    <w:p>
      <w:pPr>
        <w:pStyle w:val="BodyText"/>
        <w:spacing w:line="360" w:lineRule="auto" w:before="205"/>
        <w:ind w:left="102" w:right="116"/>
        <w:jc w:val="both"/>
      </w:pPr>
      <w:r>
        <w:rPr/>
        <w:t>Los resultados indicaron que la producción de insumos y uso de mano de obra familiar son variables determinantes en la rentabilidad y competitividad privada del sistema lechero de pequeña</w:t>
      </w:r>
      <w:r>
        <w:rPr>
          <w:spacing w:val="-13"/>
        </w:rPr>
        <w:t> </w:t>
      </w:r>
      <w:r>
        <w:rPr/>
        <w:t>escala.</w:t>
      </w:r>
      <w:r>
        <w:rPr>
          <w:spacing w:val="-10"/>
        </w:rPr>
        <w:t> </w:t>
      </w:r>
      <w:r>
        <w:rPr/>
        <w:t>Las</w:t>
      </w:r>
      <w:r>
        <w:rPr>
          <w:spacing w:val="-9"/>
        </w:rPr>
        <w:t> </w:t>
      </w:r>
      <w:r>
        <w:rPr/>
        <w:t>condiciones</w:t>
      </w:r>
      <w:r>
        <w:rPr>
          <w:spacing w:val="-12"/>
        </w:rPr>
        <w:t> </w:t>
      </w:r>
      <w:r>
        <w:rPr/>
        <w:t>de</w:t>
      </w:r>
      <w:r>
        <w:rPr>
          <w:spacing w:val="-13"/>
        </w:rPr>
        <w:t> </w:t>
      </w:r>
      <w:r>
        <w:rPr/>
        <w:t>mercado,</w:t>
      </w:r>
      <w:r>
        <w:rPr>
          <w:spacing w:val="-12"/>
        </w:rPr>
        <w:t> </w:t>
      </w:r>
      <w:r>
        <w:rPr/>
        <w:t>comercialización</w:t>
      </w:r>
      <w:r>
        <w:rPr>
          <w:spacing w:val="-7"/>
        </w:rPr>
        <w:t> </w:t>
      </w:r>
      <w:r>
        <w:rPr/>
        <w:t>y</w:t>
      </w:r>
      <w:r>
        <w:rPr>
          <w:spacing w:val="-17"/>
        </w:rPr>
        <w:t> </w:t>
      </w:r>
      <w:r>
        <w:rPr/>
        <w:t>escala</w:t>
      </w:r>
      <w:r>
        <w:rPr>
          <w:spacing w:val="-13"/>
        </w:rPr>
        <w:t> </w:t>
      </w:r>
      <w:r>
        <w:rPr/>
        <w:t>de</w:t>
      </w:r>
      <w:r>
        <w:rPr>
          <w:spacing w:val="-11"/>
        </w:rPr>
        <w:t> </w:t>
      </w:r>
      <w:r>
        <w:rPr/>
        <w:t>producción</w:t>
      </w:r>
      <w:r>
        <w:rPr>
          <w:spacing w:val="-12"/>
        </w:rPr>
        <w:t> </w:t>
      </w:r>
      <w:r>
        <w:rPr/>
        <w:t>tienen un impacto importante en la competitividad y márgenes netos de comercialización de cada eslabón. La generación de valor en el eslabón de transformación y distribución, no necesariamente</w:t>
      </w:r>
      <w:r>
        <w:rPr>
          <w:spacing w:val="-6"/>
        </w:rPr>
        <w:t> </w:t>
      </w:r>
      <w:r>
        <w:rPr/>
        <w:t>resulta</w:t>
      </w:r>
      <w:r>
        <w:rPr>
          <w:spacing w:val="-7"/>
        </w:rPr>
        <w:t> </w:t>
      </w:r>
      <w:r>
        <w:rPr/>
        <w:t>en</w:t>
      </w:r>
      <w:r>
        <w:rPr>
          <w:spacing w:val="-5"/>
        </w:rPr>
        <w:t> </w:t>
      </w:r>
      <w:r>
        <w:rPr/>
        <w:t>un</w:t>
      </w:r>
      <w:r>
        <w:rPr>
          <w:spacing w:val="-7"/>
        </w:rPr>
        <w:t> </w:t>
      </w:r>
      <w:r>
        <w:rPr/>
        <w:t>mayor</w:t>
      </w:r>
      <w:r>
        <w:rPr>
          <w:spacing w:val="-8"/>
        </w:rPr>
        <w:t> </w:t>
      </w:r>
      <w:r>
        <w:rPr/>
        <w:t>beneficio</w:t>
      </w:r>
      <w:r>
        <w:rPr>
          <w:spacing w:val="-7"/>
        </w:rPr>
        <w:t> </w:t>
      </w:r>
      <w:r>
        <w:rPr/>
        <w:t>económico,</w:t>
      </w:r>
      <w:r>
        <w:rPr>
          <w:spacing w:val="-7"/>
        </w:rPr>
        <w:t> </w:t>
      </w:r>
      <w:r>
        <w:rPr/>
        <w:t>cuando</w:t>
      </w:r>
      <w:r>
        <w:rPr>
          <w:spacing w:val="-7"/>
        </w:rPr>
        <w:t> </w:t>
      </w:r>
      <w:r>
        <w:rPr/>
        <w:t>se</w:t>
      </w:r>
      <w:r>
        <w:rPr>
          <w:spacing w:val="-8"/>
        </w:rPr>
        <w:t> </w:t>
      </w:r>
      <w:r>
        <w:rPr/>
        <w:t>considera</w:t>
      </w:r>
      <w:r>
        <w:rPr>
          <w:spacing w:val="-8"/>
        </w:rPr>
        <w:t> </w:t>
      </w:r>
      <w:r>
        <w:rPr/>
        <w:t>el</w:t>
      </w:r>
      <w:r>
        <w:rPr>
          <w:spacing w:val="-7"/>
        </w:rPr>
        <w:t> </w:t>
      </w:r>
      <w:r>
        <w:rPr/>
        <w:t>total</w:t>
      </w:r>
      <w:r>
        <w:rPr>
          <w:spacing w:val="-7"/>
        </w:rPr>
        <w:t> </w:t>
      </w:r>
      <w:r>
        <w:rPr/>
        <w:t>de</w:t>
      </w:r>
      <w:r>
        <w:rPr>
          <w:spacing w:val="-8"/>
        </w:rPr>
        <w:t> </w:t>
      </w:r>
      <w:r>
        <w:rPr/>
        <w:t>los costos de producción a los que se enfrenta cada uno de ellos. Es importante considerar en</w:t>
      </w:r>
      <w:r>
        <w:rPr>
          <w:spacing w:val="17"/>
        </w:rPr>
        <w:t> </w:t>
      </w:r>
      <w:r>
        <w:rPr/>
        <w:t>el</w:t>
      </w:r>
    </w:p>
    <w:p>
      <w:pPr>
        <w:spacing w:after="0" w:line="360" w:lineRule="auto"/>
        <w:jc w:val="both"/>
        <w:sectPr>
          <w:footerReference w:type="default" r:id="rId6"/>
          <w:pgSz w:w="12240" w:h="15840"/>
          <w:pgMar w:footer="657" w:header="0" w:top="1360" w:bottom="840" w:left="1600" w:right="1580"/>
          <w:pgNumType w:start="3"/>
        </w:sectPr>
      </w:pPr>
    </w:p>
    <w:p>
      <w:pPr>
        <w:pStyle w:val="BodyText"/>
        <w:spacing w:line="360" w:lineRule="auto" w:before="50"/>
        <w:ind w:left="102" w:right="117"/>
        <w:jc w:val="both"/>
      </w:pPr>
      <w:r>
        <w:rPr/>
        <w:t>analisis de rentabilidad y competitividad privada del eslabón de producción de leche, la generación de valor que aporta la producción de insumos, </w:t>
      </w:r>
      <w:r>
        <w:rPr>
          <w:spacing w:val="-3"/>
        </w:rPr>
        <w:t>ya </w:t>
      </w:r>
      <w:r>
        <w:rPr/>
        <w:t>que al no tomarla en cuenta se sobre</w:t>
      </w:r>
      <w:r>
        <w:rPr>
          <w:spacing w:val="-17"/>
        </w:rPr>
        <w:t> </w:t>
      </w:r>
      <w:r>
        <w:rPr/>
        <w:t>o</w:t>
      </w:r>
      <w:r>
        <w:rPr>
          <w:spacing w:val="-16"/>
        </w:rPr>
        <w:t> </w:t>
      </w:r>
      <w:r>
        <w:rPr/>
        <w:t>subestima</w:t>
      </w:r>
      <w:r>
        <w:rPr>
          <w:spacing w:val="-16"/>
        </w:rPr>
        <w:t> </w:t>
      </w:r>
      <w:r>
        <w:rPr/>
        <w:t>la</w:t>
      </w:r>
      <w:r>
        <w:rPr>
          <w:spacing w:val="-14"/>
        </w:rPr>
        <w:t> </w:t>
      </w:r>
      <w:r>
        <w:rPr/>
        <w:t>ganancia</w:t>
      </w:r>
      <w:r>
        <w:rPr>
          <w:spacing w:val="-16"/>
        </w:rPr>
        <w:t> </w:t>
      </w:r>
      <w:r>
        <w:rPr/>
        <w:t>neta</w:t>
      </w:r>
      <w:r>
        <w:rPr>
          <w:spacing w:val="-16"/>
        </w:rPr>
        <w:t> </w:t>
      </w:r>
      <w:r>
        <w:rPr/>
        <w:t>por</w:t>
      </w:r>
      <w:r>
        <w:rPr>
          <w:spacing w:val="-17"/>
        </w:rPr>
        <w:t> </w:t>
      </w:r>
      <w:r>
        <w:rPr/>
        <w:t>litro</w:t>
      </w:r>
      <w:r>
        <w:rPr>
          <w:spacing w:val="-16"/>
        </w:rPr>
        <w:t> </w:t>
      </w:r>
      <w:r>
        <w:rPr/>
        <w:t>de</w:t>
      </w:r>
      <w:r>
        <w:rPr>
          <w:spacing w:val="-17"/>
        </w:rPr>
        <w:t> </w:t>
      </w:r>
      <w:r>
        <w:rPr/>
        <w:t>leche</w:t>
      </w:r>
      <w:r>
        <w:rPr>
          <w:spacing w:val="-12"/>
        </w:rPr>
        <w:t> </w:t>
      </w:r>
      <w:r>
        <w:rPr/>
        <w:t>y</w:t>
      </w:r>
      <w:r>
        <w:rPr>
          <w:spacing w:val="-21"/>
        </w:rPr>
        <w:t> </w:t>
      </w:r>
      <w:r>
        <w:rPr/>
        <w:t>la</w:t>
      </w:r>
      <w:r>
        <w:rPr>
          <w:spacing w:val="-16"/>
        </w:rPr>
        <w:t> </w:t>
      </w:r>
      <w:r>
        <w:rPr/>
        <w:t>participación</w:t>
      </w:r>
      <w:r>
        <w:rPr>
          <w:spacing w:val="-15"/>
        </w:rPr>
        <w:t> </w:t>
      </w:r>
      <w:r>
        <w:rPr/>
        <w:t>real</w:t>
      </w:r>
      <w:r>
        <w:rPr>
          <w:spacing w:val="-15"/>
        </w:rPr>
        <w:t> </w:t>
      </w:r>
      <w:r>
        <w:rPr/>
        <w:t>del</w:t>
      </w:r>
      <w:r>
        <w:rPr>
          <w:spacing w:val="-15"/>
        </w:rPr>
        <w:t> </w:t>
      </w:r>
      <w:r>
        <w:rPr/>
        <w:t>sistema</w:t>
      </w:r>
      <w:r>
        <w:rPr>
          <w:spacing w:val="-17"/>
        </w:rPr>
        <w:t> </w:t>
      </w:r>
      <w:r>
        <w:rPr/>
        <w:t>lechero de pequeña escala en los márgenes netos de</w:t>
      </w:r>
      <w:r>
        <w:rPr>
          <w:spacing w:val="-8"/>
        </w:rPr>
        <w:t> </w:t>
      </w:r>
      <w:r>
        <w:rPr/>
        <w:t>comercialización.</w:t>
      </w:r>
    </w:p>
    <w:p>
      <w:pPr>
        <w:pStyle w:val="BodyText"/>
        <w:spacing w:line="360" w:lineRule="auto" w:before="205"/>
        <w:ind w:left="102" w:right="115"/>
        <w:jc w:val="both"/>
      </w:pPr>
      <w:r>
        <w:rPr/>
        <w:t>Los</w:t>
      </w:r>
      <w:r>
        <w:rPr>
          <w:spacing w:val="-12"/>
        </w:rPr>
        <w:t> </w:t>
      </w:r>
      <w:r>
        <w:rPr/>
        <w:t>resultados</w:t>
      </w:r>
      <w:r>
        <w:rPr>
          <w:spacing w:val="-12"/>
        </w:rPr>
        <w:t> </w:t>
      </w:r>
      <w:r>
        <w:rPr/>
        <w:t>de</w:t>
      </w:r>
      <w:r>
        <w:rPr>
          <w:spacing w:val="-13"/>
        </w:rPr>
        <w:t> </w:t>
      </w:r>
      <w:r>
        <w:rPr/>
        <w:t>la</w:t>
      </w:r>
      <w:r>
        <w:rPr>
          <w:spacing w:val="-13"/>
        </w:rPr>
        <w:t> </w:t>
      </w:r>
      <w:r>
        <w:rPr/>
        <w:t>viabilidad</w:t>
      </w:r>
      <w:r>
        <w:rPr>
          <w:spacing w:val="-12"/>
        </w:rPr>
        <w:t> </w:t>
      </w:r>
      <w:r>
        <w:rPr/>
        <w:t>económica</w:t>
      </w:r>
      <w:r>
        <w:rPr>
          <w:spacing w:val="-11"/>
        </w:rPr>
        <w:t> </w:t>
      </w:r>
      <w:r>
        <w:rPr/>
        <w:t>y</w:t>
      </w:r>
      <w:r>
        <w:rPr>
          <w:spacing w:val="-17"/>
        </w:rPr>
        <w:t> </w:t>
      </w:r>
      <w:r>
        <w:rPr/>
        <w:t>financiera</w:t>
      </w:r>
      <w:r>
        <w:rPr>
          <w:spacing w:val="-13"/>
        </w:rPr>
        <w:t> </w:t>
      </w:r>
      <w:r>
        <w:rPr/>
        <w:t>mostraron</w:t>
      </w:r>
      <w:r>
        <w:rPr>
          <w:spacing w:val="-13"/>
        </w:rPr>
        <w:t> </w:t>
      </w:r>
      <w:r>
        <w:rPr/>
        <w:t>que</w:t>
      </w:r>
      <w:r>
        <w:rPr>
          <w:spacing w:val="-11"/>
        </w:rPr>
        <w:t> </w:t>
      </w:r>
      <w:r>
        <w:rPr/>
        <w:t>el</w:t>
      </w:r>
      <w:r>
        <w:rPr>
          <w:spacing w:val="-12"/>
        </w:rPr>
        <w:t> </w:t>
      </w:r>
      <w:r>
        <w:rPr/>
        <w:t>producir</w:t>
      </w:r>
      <w:r>
        <w:rPr>
          <w:spacing w:val="-12"/>
        </w:rPr>
        <w:t> </w:t>
      </w:r>
      <w:r>
        <w:rPr/>
        <w:t>los</w:t>
      </w:r>
      <w:r>
        <w:rPr>
          <w:spacing w:val="-11"/>
        </w:rPr>
        <w:t> </w:t>
      </w:r>
      <w:r>
        <w:rPr/>
        <w:t>insumos alimenticios</w:t>
      </w:r>
      <w:r>
        <w:rPr>
          <w:spacing w:val="-4"/>
        </w:rPr>
        <w:t> </w:t>
      </w:r>
      <w:r>
        <w:rPr/>
        <w:t>y</w:t>
      </w:r>
      <w:r>
        <w:rPr>
          <w:spacing w:val="-11"/>
        </w:rPr>
        <w:t> </w:t>
      </w:r>
      <w:r>
        <w:rPr/>
        <w:t>emplear</w:t>
      </w:r>
      <w:r>
        <w:rPr>
          <w:spacing w:val="-6"/>
        </w:rPr>
        <w:t> </w:t>
      </w:r>
      <w:r>
        <w:rPr/>
        <w:t>mano</w:t>
      </w:r>
      <w:r>
        <w:rPr>
          <w:spacing w:val="-6"/>
        </w:rPr>
        <w:t> </w:t>
      </w:r>
      <w:r>
        <w:rPr/>
        <w:t>de</w:t>
      </w:r>
      <w:r>
        <w:rPr>
          <w:spacing w:val="-7"/>
        </w:rPr>
        <w:t> </w:t>
      </w:r>
      <w:r>
        <w:rPr/>
        <w:t>obra</w:t>
      </w:r>
      <w:r>
        <w:rPr>
          <w:spacing w:val="-5"/>
        </w:rPr>
        <w:t> </w:t>
      </w:r>
      <w:r>
        <w:rPr/>
        <w:t>familiar</w:t>
      </w:r>
      <w:r>
        <w:rPr>
          <w:spacing w:val="-5"/>
        </w:rPr>
        <w:t> </w:t>
      </w:r>
      <w:r>
        <w:rPr/>
        <w:t>genera</w:t>
      </w:r>
      <w:r>
        <w:rPr>
          <w:spacing w:val="-7"/>
        </w:rPr>
        <w:t> </w:t>
      </w:r>
      <w:r>
        <w:rPr/>
        <w:t>los</w:t>
      </w:r>
      <w:r>
        <w:rPr>
          <w:spacing w:val="-6"/>
        </w:rPr>
        <w:t> </w:t>
      </w:r>
      <w:r>
        <w:rPr/>
        <w:t>ingresos</w:t>
      </w:r>
      <w:r>
        <w:rPr>
          <w:spacing w:val="-6"/>
        </w:rPr>
        <w:t> </w:t>
      </w:r>
      <w:r>
        <w:rPr/>
        <w:t>netos</w:t>
      </w:r>
      <w:r>
        <w:rPr>
          <w:spacing w:val="-2"/>
        </w:rPr>
        <w:t> </w:t>
      </w:r>
      <w:r>
        <w:rPr/>
        <w:t>y</w:t>
      </w:r>
      <w:r>
        <w:rPr>
          <w:spacing w:val="-10"/>
        </w:rPr>
        <w:t> </w:t>
      </w:r>
      <w:r>
        <w:rPr/>
        <w:t>el</w:t>
      </w:r>
      <w:r>
        <w:rPr>
          <w:spacing w:val="-3"/>
        </w:rPr>
        <w:t> </w:t>
      </w:r>
      <w:r>
        <w:rPr/>
        <w:t>valor</w:t>
      </w:r>
      <w:r>
        <w:rPr>
          <w:spacing w:val="-7"/>
        </w:rPr>
        <w:t> </w:t>
      </w:r>
      <w:r>
        <w:rPr/>
        <w:t>actual</w:t>
      </w:r>
      <w:r>
        <w:rPr>
          <w:spacing w:val="-6"/>
        </w:rPr>
        <w:t> </w:t>
      </w:r>
      <w:r>
        <w:rPr/>
        <w:t>neto más</w:t>
      </w:r>
      <w:r>
        <w:rPr>
          <w:spacing w:val="-12"/>
        </w:rPr>
        <w:t> </w:t>
      </w:r>
      <w:r>
        <w:rPr/>
        <w:t>alto</w:t>
      </w:r>
      <w:r>
        <w:rPr>
          <w:spacing w:val="-12"/>
        </w:rPr>
        <w:t> </w:t>
      </w:r>
      <w:r>
        <w:rPr/>
        <w:t>en</w:t>
      </w:r>
      <w:r>
        <w:rPr>
          <w:spacing w:val="-12"/>
        </w:rPr>
        <w:t> </w:t>
      </w:r>
      <w:r>
        <w:rPr/>
        <w:t>la</w:t>
      </w:r>
      <w:r>
        <w:rPr>
          <w:spacing w:val="-13"/>
        </w:rPr>
        <w:t> </w:t>
      </w:r>
      <w:r>
        <w:rPr/>
        <w:t>URP8,</w:t>
      </w:r>
      <w:r>
        <w:rPr>
          <w:spacing w:val="-12"/>
        </w:rPr>
        <w:t> </w:t>
      </w:r>
      <w:r>
        <w:rPr/>
        <w:t>comparado</w:t>
      </w:r>
      <w:r>
        <w:rPr>
          <w:spacing w:val="-12"/>
        </w:rPr>
        <w:t> </w:t>
      </w:r>
      <w:r>
        <w:rPr/>
        <w:t>con</w:t>
      </w:r>
      <w:r>
        <w:rPr>
          <w:spacing w:val="-12"/>
        </w:rPr>
        <w:t> </w:t>
      </w:r>
      <w:r>
        <w:rPr/>
        <w:t>los</w:t>
      </w:r>
      <w:r>
        <w:rPr>
          <w:spacing w:val="-11"/>
        </w:rPr>
        <w:t> </w:t>
      </w:r>
      <w:r>
        <w:rPr/>
        <w:t>escenarios</w:t>
      </w:r>
      <w:r>
        <w:rPr>
          <w:spacing w:val="-10"/>
        </w:rPr>
        <w:t> </w:t>
      </w:r>
      <w:r>
        <w:rPr/>
        <w:t>de</w:t>
      </w:r>
      <w:r>
        <w:rPr>
          <w:spacing w:val="-11"/>
        </w:rPr>
        <w:t> </w:t>
      </w:r>
      <w:r>
        <w:rPr/>
        <w:t>contratación</w:t>
      </w:r>
      <w:r>
        <w:rPr>
          <w:spacing w:val="-12"/>
        </w:rPr>
        <w:t> </w:t>
      </w:r>
      <w:r>
        <w:rPr/>
        <w:t>de</w:t>
      </w:r>
      <w:r>
        <w:rPr>
          <w:spacing w:val="-13"/>
        </w:rPr>
        <w:t> </w:t>
      </w:r>
      <w:r>
        <w:rPr/>
        <w:t>mano</w:t>
      </w:r>
      <w:r>
        <w:rPr>
          <w:spacing w:val="-10"/>
        </w:rPr>
        <w:t> </w:t>
      </w:r>
      <w:r>
        <w:rPr/>
        <w:t>de</w:t>
      </w:r>
      <w:r>
        <w:rPr>
          <w:spacing w:val="-13"/>
        </w:rPr>
        <w:t> </w:t>
      </w:r>
      <w:r>
        <w:rPr/>
        <w:t>obra,</w:t>
      </w:r>
      <w:r>
        <w:rPr>
          <w:spacing w:val="-11"/>
        </w:rPr>
        <w:t> </w:t>
      </w:r>
      <w:r>
        <w:rPr/>
        <w:t>compra de insumos y retiro de los subsidios, la capacidad económica de la URP8, derivada del soporte en la producción de insumos permite absorber los costos en la contratación de mano de obra y retiro de subsidios sin comprometer la permanencia del sistema en el tiempo. El impacto</w:t>
      </w:r>
      <w:r>
        <w:rPr>
          <w:spacing w:val="-6"/>
        </w:rPr>
        <w:t> </w:t>
      </w:r>
      <w:r>
        <w:rPr/>
        <w:t>de</w:t>
      </w:r>
      <w:r>
        <w:rPr>
          <w:spacing w:val="-7"/>
        </w:rPr>
        <w:t> </w:t>
      </w:r>
      <w:r>
        <w:rPr/>
        <w:t>los</w:t>
      </w:r>
      <w:r>
        <w:rPr>
          <w:spacing w:val="-6"/>
        </w:rPr>
        <w:t> </w:t>
      </w:r>
      <w:r>
        <w:rPr/>
        <w:t>subsidios</w:t>
      </w:r>
      <w:r>
        <w:rPr>
          <w:spacing w:val="-3"/>
        </w:rPr>
        <w:t> </w:t>
      </w:r>
      <w:r>
        <w:rPr/>
        <w:t>no</w:t>
      </w:r>
      <w:r>
        <w:rPr>
          <w:spacing w:val="-6"/>
        </w:rPr>
        <w:t> </w:t>
      </w:r>
      <w:r>
        <w:rPr/>
        <w:t>fue</w:t>
      </w:r>
      <w:r>
        <w:rPr>
          <w:spacing w:val="-8"/>
        </w:rPr>
        <w:t> </w:t>
      </w:r>
      <w:r>
        <w:rPr/>
        <w:t>significativo</w:t>
      </w:r>
      <w:r>
        <w:rPr>
          <w:spacing w:val="-6"/>
        </w:rPr>
        <w:t> </w:t>
      </w:r>
      <w:r>
        <w:rPr/>
        <w:t>en</w:t>
      </w:r>
      <w:r>
        <w:rPr>
          <w:spacing w:val="-6"/>
        </w:rPr>
        <w:t> </w:t>
      </w:r>
      <w:r>
        <w:rPr/>
        <w:t>la</w:t>
      </w:r>
      <w:r>
        <w:rPr>
          <w:spacing w:val="-5"/>
        </w:rPr>
        <w:t> </w:t>
      </w:r>
      <w:r>
        <w:rPr/>
        <w:t>URP8</w:t>
      </w:r>
      <w:r>
        <w:rPr>
          <w:spacing w:val="-4"/>
        </w:rPr>
        <w:t> </w:t>
      </w:r>
      <w:r>
        <w:rPr/>
        <w:t>por</w:t>
      </w:r>
      <w:r>
        <w:rPr>
          <w:spacing w:val="-7"/>
        </w:rPr>
        <w:t> </w:t>
      </w:r>
      <w:r>
        <w:rPr/>
        <w:t>representar</w:t>
      </w:r>
      <w:r>
        <w:rPr>
          <w:spacing w:val="-7"/>
        </w:rPr>
        <w:t> </w:t>
      </w:r>
      <w:r>
        <w:rPr/>
        <w:t>un</w:t>
      </w:r>
      <w:r>
        <w:rPr>
          <w:spacing w:val="-4"/>
        </w:rPr>
        <w:t> </w:t>
      </w:r>
      <w:r>
        <w:rPr/>
        <w:t>valor</w:t>
      </w:r>
      <w:r>
        <w:rPr>
          <w:spacing w:val="-7"/>
        </w:rPr>
        <w:t> </w:t>
      </w:r>
      <w:r>
        <w:rPr/>
        <w:t>mínimo</w:t>
      </w:r>
      <w:r>
        <w:rPr>
          <w:spacing w:val="-6"/>
        </w:rPr>
        <w:t> </w:t>
      </w:r>
      <w:r>
        <w:rPr/>
        <w:t>en los</w:t>
      </w:r>
      <w:r>
        <w:rPr>
          <w:spacing w:val="-13"/>
        </w:rPr>
        <w:t> </w:t>
      </w:r>
      <w:r>
        <w:rPr/>
        <w:t>ingresos,</w:t>
      </w:r>
      <w:r>
        <w:rPr>
          <w:spacing w:val="-13"/>
        </w:rPr>
        <w:t> </w:t>
      </w:r>
      <w:r>
        <w:rPr/>
        <w:t>lo</w:t>
      </w:r>
      <w:r>
        <w:rPr>
          <w:spacing w:val="-13"/>
        </w:rPr>
        <w:t> </w:t>
      </w:r>
      <w:r>
        <w:rPr/>
        <w:t>que</w:t>
      </w:r>
      <w:r>
        <w:rPr>
          <w:spacing w:val="-14"/>
        </w:rPr>
        <w:t> </w:t>
      </w:r>
      <w:r>
        <w:rPr/>
        <w:t>refleja</w:t>
      </w:r>
      <w:r>
        <w:rPr>
          <w:spacing w:val="-14"/>
        </w:rPr>
        <w:t> </w:t>
      </w:r>
      <w:r>
        <w:rPr/>
        <w:t>la</w:t>
      </w:r>
      <w:r>
        <w:rPr>
          <w:spacing w:val="-13"/>
        </w:rPr>
        <w:t> </w:t>
      </w:r>
      <w:r>
        <w:rPr/>
        <w:t>ausencia</w:t>
      </w:r>
      <w:r>
        <w:rPr>
          <w:spacing w:val="-14"/>
        </w:rPr>
        <w:t> </w:t>
      </w:r>
      <w:r>
        <w:rPr/>
        <w:t>de</w:t>
      </w:r>
      <w:r>
        <w:rPr>
          <w:spacing w:val="-14"/>
        </w:rPr>
        <w:t> </w:t>
      </w:r>
      <w:r>
        <w:rPr/>
        <w:t>los</w:t>
      </w:r>
      <w:r>
        <w:rPr>
          <w:spacing w:val="-13"/>
        </w:rPr>
        <w:t> </w:t>
      </w:r>
      <w:r>
        <w:rPr/>
        <w:t>mismos.</w:t>
      </w:r>
      <w:r>
        <w:rPr>
          <w:spacing w:val="-10"/>
        </w:rPr>
        <w:t> </w:t>
      </w:r>
      <w:r>
        <w:rPr>
          <w:spacing w:val="-3"/>
        </w:rPr>
        <w:t>La</w:t>
      </w:r>
      <w:r>
        <w:rPr>
          <w:spacing w:val="-14"/>
        </w:rPr>
        <w:t> </w:t>
      </w:r>
      <w:r>
        <w:rPr/>
        <w:t>compra</w:t>
      </w:r>
      <w:r>
        <w:rPr>
          <w:spacing w:val="-14"/>
        </w:rPr>
        <w:t> </w:t>
      </w:r>
      <w:r>
        <w:rPr/>
        <w:t>de</w:t>
      </w:r>
      <w:r>
        <w:rPr>
          <w:spacing w:val="-14"/>
        </w:rPr>
        <w:t> </w:t>
      </w:r>
      <w:r>
        <w:rPr/>
        <w:t>insumos</w:t>
      </w:r>
      <w:r>
        <w:rPr>
          <w:spacing w:val="-13"/>
        </w:rPr>
        <w:t> </w:t>
      </w:r>
      <w:r>
        <w:rPr/>
        <w:t>tiene</w:t>
      </w:r>
      <w:r>
        <w:rPr>
          <w:spacing w:val="-13"/>
        </w:rPr>
        <w:t> </w:t>
      </w:r>
      <w:r>
        <w:rPr/>
        <w:t>un</w:t>
      </w:r>
      <w:r>
        <w:rPr>
          <w:spacing w:val="-13"/>
        </w:rPr>
        <w:t> </w:t>
      </w:r>
      <w:r>
        <w:rPr/>
        <w:t>impacto negativo</w:t>
      </w:r>
      <w:r>
        <w:rPr>
          <w:spacing w:val="-1"/>
        </w:rPr>
        <w:t> </w:t>
      </w:r>
      <w:r>
        <w:rPr/>
        <w:t>y</w:t>
      </w:r>
      <w:r>
        <w:rPr>
          <w:spacing w:val="-9"/>
        </w:rPr>
        <w:t> </w:t>
      </w:r>
      <w:r>
        <w:rPr/>
        <w:t>genera</w:t>
      </w:r>
      <w:r>
        <w:rPr>
          <w:spacing w:val="-5"/>
        </w:rPr>
        <w:t> </w:t>
      </w:r>
      <w:r>
        <w:rPr/>
        <w:t>un</w:t>
      </w:r>
      <w:r>
        <w:rPr>
          <w:spacing w:val="-4"/>
        </w:rPr>
        <w:t> </w:t>
      </w:r>
      <w:r>
        <w:rPr/>
        <w:t>negocio</w:t>
      </w:r>
      <w:r>
        <w:rPr>
          <w:spacing w:val="-3"/>
        </w:rPr>
        <w:t> </w:t>
      </w:r>
      <w:r>
        <w:rPr/>
        <w:t>inviable</w:t>
      </w:r>
      <w:r>
        <w:rPr>
          <w:spacing w:val="-4"/>
        </w:rPr>
        <w:t> </w:t>
      </w:r>
      <w:r>
        <w:rPr/>
        <w:t>económica</w:t>
      </w:r>
      <w:r>
        <w:rPr>
          <w:spacing w:val="-5"/>
        </w:rPr>
        <w:t> </w:t>
      </w:r>
      <w:r>
        <w:rPr/>
        <w:t>y</w:t>
      </w:r>
      <w:r>
        <w:rPr>
          <w:spacing w:val="-6"/>
        </w:rPr>
        <w:t> </w:t>
      </w:r>
      <w:r>
        <w:rPr/>
        <w:t>financieramente</w:t>
      </w:r>
      <w:r>
        <w:rPr>
          <w:spacing w:val="-5"/>
        </w:rPr>
        <w:t> </w:t>
      </w:r>
      <w:r>
        <w:rPr/>
        <w:t>al</w:t>
      </w:r>
      <w:r>
        <w:rPr>
          <w:spacing w:val="-3"/>
        </w:rPr>
        <w:t> </w:t>
      </w:r>
      <w:r>
        <w:rPr/>
        <w:t>final</w:t>
      </w:r>
      <w:r>
        <w:rPr>
          <w:spacing w:val="-3"/>
        </w:rPr>
        <w:t> </w:t>
      </w:r>
      <w:r>
        <w:rPr/>
        <w:t>del</w:t>
      </w:r>
      <w:r>
        <w:rPr>
          <w:spacing w:val="-3"/>
        </w:rPr>
        <w:t> </w:t>
      </w:r>
      <w:r>
        <w:rPr/>
        <w:t>horizonte</w:t>
      </w:r>
      <w:r>
        <w:rPr>
          <w:spacing w:val="-4"/>
        </w:rPr>
        <w:t> </w:t>
      </w:r>
      <w:r>
        <w:rPr/>
        <w:t>de planeación</w:t>
      </w:r>
      <w:r>
        <w:rPr>
          <w:spacing w:val="-9"/>
        </w:rPr>
        <w:t> </w:t>
      </w:r>
      <w:r>
        <w:rPr/>
        <w:t>analizado.</w:t>
      </w:r>
      <w:r>
        <w:rPr>
          <w:spacing w:val="-10"/>
        </w:rPr>
        <w:t> </w:t>
      </w:r>
      <w:r>
        <w:rPr/>
        <w:t>La</w:t>
      </w:r>
      <w:r>
        <w:rPr>
          <w:spacing w:val="-8"/>
        </w:rPr>
        <w:t> </w:t>
      </w:r>
      <w:r>
        <w:rPr/>
        <w:t>producción</w:t>
      </w:r>
      <w:r>
        <w:rPr>
          <w:spacing w:val="-12"/>
        </w:rPr>
        <w:t> </w:t>
      </w:r>
      <w:r>
        <w:rPr/>
        <w:t>de</w:t>
      </w:r>
      <w:r>
        <w:rPr>
          <w:spacing w:val="-13"/>
        </w:rPr>
        <w:t> </w:t>
      </w:r>
      <w:r>
        <w:rPr/>
        <w:t>insumos</w:t>
      </w:r>
      <w:r>
        <w:rPr>
          <w:spacing w:val="-12"/>
        </w:rPr>
        <w:t> </w:t>
      </w:r>
      <w:r>
        <w:rPr/>
        <w:t>fue</w:t>
      </w:r>
      <w:r>
        <w:rPr>
          <w:spacing w:val="-13"/>
        </w:rPr>
        <w:t> </w:t>
      </w:r>
      <w:r>
        <w:rPr/>
        <w:t>la</w:t>
      </w:r>
      <w:r>
        <w:rPr>
          <w:spacing w:val="-13"/>
        </w:rPr>
        <w:t> </w:t>
      </w:r>
      <w:r>
        <w:rPr/>
        <w:t>variable</w:t>
      </w:r>
      <w:r>
        <w:rPr>
          <w:spacing w:val="-10"/>
        </w:rPr>
        <w:t> </w:t>
      </w:r>
      <w:r>
        <w:rPr/>
        <w:t>con</w:t>
      </w:r>
      <w:r>
        <w:rPr>
          <w:spacing w:val="-12"/>
        </w:rPr>
        <w:t> </w:t>
      </w:r>
      <w:r>
        <w:rPr/>
        <w:t>el</w:t>
      </w:r>
      <w:r>
        <w:rPr>
          <w:spacing w:val="-9"/>
        </w:rPr>
        <w:t> </w:t>
      </w:r>
      <w:r>
        <w:rPr/>
        <w:t>mayor</w:t>
      </w:r>
      <w:r>
        <w:rPr>
          <w:spacing w:val="-10"/>
        </w:rPr>
        <w:t> </w:t>
      </w:r>
      <w:r>
        <w:rPr/>
        <w:t>grado</w:t>
      </w:r>
      <w:r>
        <w:rPr>
          <w:spacing w:val="-10"/>
        </w:rPr>
        <w:t> </w:t>
      </w:r>
      <w:r>
        <w:rPr/>
        <w:t>de</w:t>
      </w:r>
      <w:r>
        <w:rPr>
          <w:spacing w:val="-11"/>
        </w:rPr>
        <w:t> </w:t>
      </w:r>
      <w:r>
        <w:rPr/>
        <w:t>riesgo de los escenarios analizados, su compra y dependencia hacen inviable económica y financieramente a la URP8 en el largo</w:t>
      </w:r>
      <w:r>
        <w:rPr>
          <w:spacing w:val="-8"/>
        </w:rPr>
        <w:t> </w:t>
      </w:r>
      <w:r>
        <w:rPr/>
        <w:t>plazo.</w:t>
      </w:r>
    </w:p>
    <w:p>
      <w:pPr>
        <w:pStyle w:val="BodyText"/>
        <w:spacing w:line="360" w:lineRule="auto" w:before="206"/>
        <w:ind w:left="102" w:right="116"/>
        <w:jc w:val="both"/>
      </w:pPr>
      <w:r>
        <w:rPr/>
        <w:t>La</w:t>
      </w:r>
      <w:r>
        <w:rPr>
          <w:spacing w:val="-16"/>
        </w:rPr>
        <w:t> </w:t>
      </w:r>
      <w:r>
        <w:rPr/>
        <w:t>estructura</w:t>
      </w:r>
      <w:r>
        <w:rPr>
          <w:spacing w:val="-16"/>
        </w:rPr>
        <w:t> </w:t>
      </w:r>
      <w:r>
        <w:rPr/>
        <w:t>del</w:t>
      </w:r>
      <w:r>
        <w:rPr>
          <w:spacing w:val="-16"/>
        </w:rPr>
        <w:t> </w:t>
      </w:r>
      <w:r>
        <w:rPr/>
        <w:t>modelo</w:t>
      </w:r>
      <w:r>
        <w:rPr>
          <w:spacing w:val="-14"/>
        </w:rPr>
        <w:t> </w:t>
      </w:r>
      <w:r>
        <w:rPr/>
        <w:t>determinista</w:t>
      </w:r>
      <w:r>
        <w:rPr>
          <w:spacing w:val="-13"/>
        </w:rPr>
        <w:t> </w:t>
      </w:r>
      <w:r>
        <w:rPr/>
        <w:t>y</w:t>
      </w:r>
      <w:r>
        <w:rPr>
          <w:spacing w:val="-19"/>
        </w:rPr>
        <w:t> </w:t>
      </w:r>
      <w:r>
        <w:rPr/>
        <w:t>el</w:t>
      </w:r>
      <w:r>
        <w:rPr>
          <w:spacing w:val="-16"/>
        </w:rPr>
        <w:t> </w:t>
      </w:r>
      <w:r>
        <w:rPr/>
        <w:t>modelo</w:t>
      </w:r>
      <w:r>
        <w:rPr>
          <w:spacing w:val="-15"/>
        </w:rPr>
        <w:t> </w:t>
      </w:r>
      <w:r>
        <w:rPr/>
        <w:t>estocástico</w:t>
      </w:r>
      <w:r>
        <w:rPr>
          <w:spacing w:val="-17"/>
        </w:rPr>
        <w:t> </w:t>
      </w:r>
      <w:r>
        <w:rPr/>
        <w:t>utilizados</w:t>
      </w:r>
      <w:r>
        <w:rPr>
          <w:spacing w:val="-13"/>
        </w:rPr>
        <w:t> </w:t>
      </w:r>
      <w:r>
        <w:rPr/>
        <w:t>en</w:t>
      </w:r>
      <w:r>
        <w:rPr>
          <w:spacing w:val="-14"/>
        </w:rPr>
        <w:t> </w:t>
      </w:r>
      <w:r>
        <w:rPr/>
        <w:t>esta</w:t>
      </w:r>
      <w:r>
        <w:rPr>
          <w:spacing w:val="-17"/>
        </w:rPr>
        <w:t> </w:t>
      </w:r>
      <w:r>
        <w:rPr/>
        <w:t>investigación proporcionan herramientas útiles para evaluar la competitividad y viabilidad económica del sistema lechero de pequeña escala y de los eslabones que componen la cadena agroalimentaria, sus resultados aportan elementos que contribuyen a mejorar la formulación y aplicación de políticas destinadas al sistema lechero de pequeña escala y al eslabón de transformación.</w:t>
      </w:r>
    </w:p>
    <w:p>
      <w:pPr>
        <w:pStyle w:val="BodyText"/>
        <w:spacing w:line="362" w:lineRule="auto" w:before="205"/>
        <w:ind w:left="102" w:right="118"/>
        <w:jc w:val="both"/>
      </w:pPr>
      <w:r>
        <w:rPr>
          <w:b/>
        </w:rPr>
        <w:t>Palabras clave: </w:t>
      </w:r>
      <w:r>
        <w:rPr/>
        <w:t>Análisis prospectivos, costos de producción, lechería familiar, modelos estocásticos, modelos deterministas, simulación Monte Carlo.</w:t>
      </w:r>
    </w:p>
    <w:p>
      <w:pPr>
        <w:spacing w:after="0" w:line="362" w:lineRule="auto"/>
        <w:jc w:val="both"/>
        <w:sectPr>
          <w:pgSz w:w="12240" w:h="15840"/>
          <w:pgMar w:header="0" w:footer="657" w:top="1360" w:bottom="840" w:left="1600" w:right="1580"/>
        </w:sectPr>
      </w:pPr>
    </w:p>
    <w:p>
      <w:pPr>
        <w:pStyle w:val="Heading1"/>
        <w:ind w:left="2712" w:right="2434"/>
        <w:jc w:val="center"/>
      </w:pPr>
      <w:r>
        <w:rPr/>
        <w:t>ABSTRACT</w:t>
      </w:r>
    </w:p>
    <w:p>
      <w:pPr>
        <w:pStyle w:val="BodyText"/>
        <w:rPr>
          <w:b/>
          <w:sz w:val="29"/>
        </w:rPr>
      </w:pPr>
    </w:p>
    <w:p>
      <w:pPr>
        <w:pStyle w:val="BodyText"/>
        <w:spacing w:line="360" w:lineRule="auto"/>
        <w:ind w:left="401" w:right="118"/>
        <w:jc w:val="both"/>
      </w:pPr>
      <w:r>
        <w:rPr/>
        <w:t>The main objective of this research was to evaluate the competitivity and economic viability</w:t>
      </w:r>
      <w:r>
        <w:rPr>
          <w:spacing w:val="-17"/>
        </w:rPr>
        <w:t> </w:t>
      </w:r>
      <w:r>
        <w:rPr/>
        <w:t>of</w:t>
      </w:r>
      <w:r>
        <w:rPr>
          <w:spacing w:val="-11"/>
        </w:rPr>
        <w:t> </w:t>
      </w:r>
      <w:r>
        <w:rPr/>
        <w:t>the</w:t>
      </w:r>
      <w:r>
        <w:rPr>
          <w:spacing w:val="-11"/>
        </w:rPr>
        <w:t> </w:t>
      </w:r>
      <w:r>
        <w:rPr/>
        <w:t>agrifood</w:t>
      </w:r>
      <w:r>
        <w:rPr>
          <w:spacing w:val="-9"/>
        </w:rPr>
        <w:t> </w:t>
      </w:r>
      <w:r>
        <w:rPr/>
        <w:t>chain</w:t>
      </w:r>
      <w:r>
        <w:rPr>
          <w:spacing w:val="-10"/>
        </w:rPr>
        <w:t> </w:t>
      </w:r>
      <w:r>
        <w:rPr/>
        <w:t>of</w:t>
      </w:r>
      <w:r>
        <w:rPr>
          <w:spacing w:val="-11"/>
        </w:rPr>
        <w:t> </w:t>
      </w:r>
      <w:r>
        <w:rPr/>
        <w:t>small-scale</w:t>
      </w:r>
      <w:r>
        <w:rPr>
          <w:spacing w:val="-11"/>
        </w:rPr>
        <w:t> </w:t>
      </w:r>
      <w:r>
        <w:rPr/>
        <w:t>dairy</w:t>
      </w:r>
      <w:r>
        <w:rPr>
          <w:spacing w:val="-12"/>
        </w:rPr>
        <w:t> </w:t>
      </w:r>
      <w:r>
        <w:rPr/>
        <w:t>production</w:t>
      </w:r>
      <w:r>
        <w:rPr>
          <w:spacing w:val="-10"/>
        </w:rPr>
        <w:t> </w:t>
      </w:r>
      <w:r>
        <w:rPr/>
        <w:t>in</w:t>
      </w:r>
      <w:r>
        <w:rPr>
          <w:spacing w:val="-10"/>
        </w:rPr>
        <w:t> </w:t>
      </w:r>
      <w:r>
        <w:rPr/>
        <w:t>the</w:t>
      </w:r>
      <w:r>
        <w:rPr>
          <w:spacing w:val="-11"/>
        </w:rPr>
        <w:t> </w:t>
      </w:r>
      <w:r>
        <w:rPr/>
        <w:t>northeast</w:t>
      </w:r>
      <w:r>
        <w:rPr>
          <w:spacing w:val="-9"/>
        </w:rPr>
        <w:t> </w:t>
      </w:r>
      <w:r>
        <w:rPr/>
        <w:t>of</w:t>
      </w:r>
      <w:r>
        <w:rPr>
          <w:spacing w:val="-11"/>
        </w:rPr>
        <w:t> </w:t>
      </w:r>
      <w:r>
        <w:rPr/>
        <w:t>the</w:t>
      </w:r>
      <w:r>
        <w:rPr>
          <w:spacing w:val="-11"/>
        </w:rPr>
        <w:t> </w:t>
      </w:r>
      <w:r>
        <w:rPr/>
        <w:t>State of Mexico. Models and procedures were used that enabled to assess the impact of determinant variables in the technical and economic efficiency in the milk production link, which was analysed in detail since it is the central link in the agrifood</w:t>
      </w:r>
      <w:r>
        <w:rPr>
          <w:spacing w:val="-13"/>
        </w:rPr>
        <w:t> </w:t>
      </w:r>
      <w:r>
        <w:rPr/>
        <w:t>chain.</w:t>
      </w:r>
    </w:p>
    <w:p>
      <w:pPr>
        <w:pStyle w:val="BodyText"/>
        <w:spacing w:line="360" w:lineRule="auto" w:before="205"/>
        <w:ind w:left="401" w:right="119"/>
        <w:jc w:val="both"/>
      </w:pPr>
      <w:r>
        <w:rPr/>
        <w:t>Economic data of six cheese makers, 25 distributors and 37 small-scale dairy farms, which were selected by a Neyman assignment stratified sampling. Three strata were established:</w:t>
      </w:r>
      <w:r>
        <w:rPr>
          <w:spacing w:val="-3"/>
        </w:rPr>
        <w:t> </w:t>
      </w:r>
      <w:r>
        <w:rPr/>
        <w:t>Stratum</w:t>
      </w:r>
      <w:r>
        <w:rPr>
          <w:spacing w:val="-3"/>
        </w:rPr>
        <w:t> </w:t>
      </w:r>
      <w:r>
        <w:rPr/>
        <w:t>1:</w:t>
      </w:r>
      <w:r>
        <w:rPr>
          <w:spacing w:val="-2"/>
        </w:rPr>
        <w:t> </w:t>
      </w:r>
      <w:r>
        <w:rPr/>
        <w:t>herds</w:t>
      </w:r>
      <w:r>
        <w:rPr>
          <w:spacing w:val="-4"/>
        </w:rPr>
        <w:t> </w:t>
      </w:r>
      <w:r>
        <w:rPr/>
        <w:t>of</w:t>
      </w:r>
      <w:r>
        <w:rPr>
          <w:spacing w:val="-5"/>
        </w:rPr>
        <w:t> </w:t>
      </w:r>
      <w:r>
        <w:rPr/>
        <w:t>3</w:t>
      </w:r>
      <w:r>
        <w:rPr>
          <w:spacing w:val="-4"/>
        </w:rPr>
        <w:t> </w:t>
      </w:r>
      <w:r>
        <w:rPr/>
        <w:t>to</w:t>
      </w:r>
      <w:r>
        <w:rPr>
          <w:spacing w:val="-3"/>
        </w:rPr>
        <w:t> </w:t>
      </w:r>
      <w:r>
        <w:rPr/>
        <w:t>9</w:t>
      </w:r>
      <w:r>
        <w:rPr>
          <w:spacing w:val="-1"/>
        </w:rPr>
        <w:t> </w:t>
      </w:r>
      <w:r>
        <w:rPr/>
        <w:t>cows</w:t>
      </w:r>
      <w:r>
        <w:rPr>
          <w:spacing w:val="-4"/>
        </w:rPr>
        <w:t> </w:t>
      </w:r>
      <w:r>
        <w:rPr/>
        <w:t>plus</w:t>
      </w:r>
      <w:r>
        <w:rPr>
          <w:spacing w:val="-3"/>
        </w:rPr>
        <w:t> </w:t>
      </w:r>
      <w:r>
        <w:rPr/>
        <w:t>replacements,</w:t>
      </w:r>
      <w:r>
        <w:rPr>
          <w:spacing w:val="-3"/>
        </w:rPr>
        <w:t> </w:t>
      </w:r>
      <w:r>
        <w:rPr/>
        <w:t>Stratum</w:t>
      </w:r>
      <w:r>
        <w:rPr>
          <w:spacing w:val="-3"/>
        </w:rPr>
        <w:t> </w:t>
      </w:r>
      <w:r>
        <w:rPr/>
        <w:t>2:</w:t>
      </w:r>
      <w:r>
        <w:rPr>
          <w:spacing w:val="-3"/>
        </w:rPr>
        <w:t> </w:t>
      </w:r>
      <w:r>
        <w:rPr/>
        <w:t>10</w:t>
      </w:r>
      <w:r>
        <w:rPr>
          <w:spacing w:val="-4"/>
        </w:rPr>
        <w:t> </w:t>
      </w:r>
      <w:r>
        <w:rPr/>
        <w:t>to</w:t>
      </w:r>
      <w:r>
        <w:rPr>
          <w:spacing w:val="-3"/>
        </w:rPr>
        <w:t> </w:t>
      </w:r>
      <w:r>
        <w:rPr/>
        <w:t>19</w:t>
      </w:r>
      <w:r>
        <w:rPr>
          <w:spacing w:val="-4"/>
        </w:rPr>
        <w:t> </w:t>
      </w:r>
      <w:r>
        <w:rPr/>
        <w:t>cows plus replacements, and Stratum 3: from 20 to 30 cows plus replacements. The Policy Analysis Matrix (PAM) was the method used to determine the private profitability and competitivity of the agrifood</w:t>
      </w:r>
      <w:r>
        <w:rPr>
          <w:spacing w:val="-7"/>
        </w:rPr>
        <w:t> </w:t>
      </w:r>
      <w:r>
        <w:rPr/>
        <w:t>chain.</w:t>
      </w:r>
    </w:p>
    <w:p>
      <w:pPr>
        <w:pStyle w:val="BodyText"/>
        <w:spacing w:line="357" w:lineRule="auto" w:before="205"/>
        <w:ind w:left="401" w:right="118"/>
        <w:jc w:val="both"/>
      </w:pPr>
      <w:r>
        <w:rPr/>
        <w:t>The analysis of the economic and financial viability was undertaken with stochastic simulation models. The panel technique was used to design a representative farm with a herd of eight cows (RDF8) which represented 130 farmers from the Rural Development District of Texcoco. The MexSim</w:t>
      </w:r>
      <w:r>
        <w:rPr>
          <w:position w:val="9"/>
          <w:sz w:val="16"/>
        </w:rPr>
        <w:t>© </w:t>
      </w:r>
      <w:r>
        <w:rPr/>
        <w:t>econometric model was used to quantify risk and predict economic and financial impacts of different scenarios within a planning horizon for 2010-2018. Evaluated scenarios were: The real situation in RDF8 as base   scenario;</w:t>
      </w:r>
    </w:p>
    <w:p>
      <w:pPr>
        <w:pStyle w:val="BodyText"/>
        <w:spacing w:line="360" w:lineRule="auto" w:before="6"/>
        <w:ind w:left="401" w:right="120"/>
        <w:jc w:val="both"/>
      </w:pPr>
      <w:r>
        <w:rPr/>
        <w:t>1) the exclusive use of family labour; 2) the purchase of 100% of feed inputs; and 3) the withdrawal of subsidies.</w:t>
      </w:r>
    </w:p>
    <w:p>
      <w:pPr>
        <w:pStyle w:val="BodyText"/>
        <w:spacing w:line="360" w:lineRule="auto" w:before="203"/>
        <w:ind w:left="401" w:right="114"/>
        <w:jc w:val="both"/>
      </w:pPr>
      <w:r>
        <w:rPr/>
        <w:t>Results indicated that the production of inputs and the use of family labour are determinant variables in the private profitability and competitivity of the studied small- scale dairy systems. Market conditions, selling method, and scale of production do have an important impact on the competitivity and net margins of sales in each link. Value added in the transformation and distribution link does not necessarily result in a higher economic</w:t>
      </w:r>
      <w:r>
        <w:rPr>
          <w:spacing w:val="-7"/>
        </w:rPr>
        <w:t> </w:t>
      </w:r>
      <w:r>
        <w:rPr/>
        <w:t>benefit,</w:t>
      </w:r>
      <w:r>
        <w:rPr>
          <w:spacing w:val="-6"/>
        </w:rPr>
        <w:t> </w:t>
      </w:r>
      <w:r>
        <w:rPr/>
        <w:t>when</w:t>
      </w:r>
      <w:r>
        <w:rPr>
          <w:spacing w:val="-6"/>
        </w:rPr>
        <w:t> </w:t>
      </w:r>
      <w:r>
        <w:rPr/>
        <w:t>total</w:t>
      </w:r>
      <w:r>
        <w:rPr>
          <w:spacing w:val="-6"/>
        </w:rPr>
        <w:t> </w:t>
      </w:r>
      <w:r>
        <w:rPr/>
        <w:t>costs</w:t>
      </w:r>
      <w:r>
        <w:rPr>
          <w:spacing w:val="-6"/>
        </w:rPr>
        <w:t> </w:t>
      </w:r>
      <w:r>
        <w:rPr/>
        <w:t>of</w:t>
      </w:r>
      <w:r>
        <w:rPr>
          <w:spacing w:val="-7"/>
        </w:rPr>
        <w:t> </w:t>
      </w:r>
      <w:r>
        <w:rPr/>
        <w:t>production</w:t>
      </w:r>
      <w:r>
        <w:rPr>
          <w:spacing w:val="-6"/>
        </w:rPr>
        <w:t> </w:t>
      </w:r>
      <w:r>
        <w:rPr/>
        <w:t>faced</w:t>
      </w:r>
      <w:r>
        <w:rPr>
          <w:spacing w:val="-6"/>
        </w:rPr>
        <w:t> </w:t>
      </w:r>
      <w:r>
        <w:rPr/>
        <w:t>by</w:t>
      </w:r>
      <w:r>
        <w:rPr>
          <w:spacing w:val="-9"/>
        </w:rPr>
        <w:t> </w:t>
      </w:r>
      <w:r>
        <w:rPr/>
        <w:t>each</w:t>
      </w:r>
      <w:r>
        <w:rPr>
          <w:spacing w:val="-4"/>
        </w:rPr>
        <w:t> </w:t>
      </w:r>
      <w:r>
        <w:rPr/>
        <w:t>actor</w:t>
      </w:r>
      <w:r>
        <w:rPr>
          <w:spacing w:val="-4"/>
        </w:rPr>
        <w:t> </w:t>
      </w:r>
      <w:r>
        <w:rPr/>
        <w:t>are</w:t>
      </w:r>
      <w:r>
        <w:rPr>
          <w:spacing w:val="-7"/>
        </w:rPr>
        <w:t> </w:t>
      </w:r>
      <w:r>
        <w:rPr/>
        <w:t>considered.</w:t>
      </w:r>
      <w:r>
        <w:rPr>
          <w:spacing w:val="-4"/>
        </w:rPr>
        <w:t> </w:t>
      </w:r>
      <w:r>
        <w:rPr/>
        <w:t>It</w:t>
      </w:r>
      <w:r>
        <w:rPr>
          <w:spacing w:val="-6"/>
        </w:rPr>
        <w:t> </w:t>
      </w:r>
      <w:r>
        <w:rPr/>
        <w:t>is important to note in the private profitability and competitivity of milk production, the added</w:t>
      </w:r>
      <w:r>
        <w:rPr>
          <w:spacing w:val="14"/>
        </w:rPr>
        <w:t> </w:t>
      </w:r>
      <w:r>
        <w:rPr/>
        <w:t>valued</w:t>
      </w:r>
      <w:r>
        <w:rPr>
          <w:spacing w:val="14"/>
        </w:rPr>
        <w:t> </w:t>
      </w:r>
      <w:r>
        <w:rPr/>
        <w:t>to</w:t>
      </w:r>
      <w:r>
        <w:rPr>
          <w:spacing w:val="14"/>
        </w:rPr>
        <w:t> </w:t>
      </w:r>
      <w:r>
        <w:rPr/>
        <w:t>the</w:t>
      </w:r>
      <w:r>
        <w:rPr>
          <w:spacing w:val="13"/>
        </w:rPr>
        <w:t> </w:t>
      </w:r>
      <w:r>
        <w:rPr/>
        <w:t>production</w:t>
      </w:r>
      <w:r>
        <w:rPr>
          <w:spacing w:val="14"/>
        </w:rPr>
        <w:t> </w:t>
      </w:r>
      <w:r>
        <w:rPr/>
        <w:t>of</w:t>
      </w:r>
      <w:r>
        <w:rPr>
          <w:spacing w:val="13"/>
        </w:rPr>
        <w:t> </w:t>
      </w:r>
      <w:r>
        <w:rPr/>
        <w:t>inputs,</w:t>
      </w:r>
      <w:r>
        <w:rPr>
          <w:spacing w:val="14"/>
        </w:rPr>
        <w:t> </w:t>
      </w:r>
      <w:r>
        <w:rPr/>
        <w:t>since</w:t>
      </w:r>
      <w:r>
        <w:rPr>
          <w:spacing w:val="13"/>
        </w:rPr>
        <w:t> </w:t>
      </w:r>
      <w:r>
        <w:rPr/>
        <w:t>omitting</w:t>
      </w:r>
      <w:r>
        <w:rPr>
          <w:spacing w:val="12"/>
        </w:rPr>
        <w:t> </w:t>
      </w:r>
      <w:r>
        <w:rPr/>
        <w:t>it</w:t>
      </w:r>
      <w:r>
        <w:rPr>
          <w:spacing w:val="14"/>
        </w:rPr>
        <w:t> </w:t>
      </w:r>
      <w:r>
        <w:rPr/>
        <w:t>does</w:t>
      </w:r>
      <w:r>
        <w:rPr>
          <w:spacing w:val="14"/>
        </w:rPr>
        <w:t> </w:t>
      </w:r>
      <w:r>
        <w:rPr/>
        <w:t>over</w:t>
      </w:r>
      <w:r>
        <w:rPr>
          <w:spacing w:val="13"/>
        </w:rPr>
        <w:t> </w:t>
      </w:r>
      <w:r>
        <w:rPr/>
        <w:t>or</w:t>
      </w:r>
      <w:r>
        <w:rPr>
          <w:spacing w:val="15"/>
        </w:rPr>
        <w:t> </w:t>
      </w:r>
      <w:r>
        <w:rPr/>
        <w:t>under</w:t>
      </w:r>
      <w:r>
        <w:rPr>
          <w:spacing w:val="13"/>
        </w:rPr>
        <w:t> </w:t>
      </w:r>
      <w:r>
        <w:rPr/>
        <w:t>estimate</w:t>
      </w:r>
    </w:p>
    <w:p>
      <w:pPr>
        <w:spacing w:after="0" w:line="360" w:lineRule="auto"/>
        <w:jc w:val="both"/>
        <w:sectPr>
          <w:pgSz w:w="12240" w:h="15840"/>
          <w:pgMar w:header="0" w:footer="657" w:top="1360" w:bottom="840" w:left="1660" w:right="1580"/>
        </w:sectPr>
      </w:pPr>
    </w:p>
    <w:p>
      <w:pPr>
        <w:pStyle w:val="BodyText"/>
        <w:spacing w:line="362" w:lineRule="auto" w:before="50"/>
        <w:ind w:left="401" w:right="119"/>
        <w:jc w:val="both"/>
      </w:pPr>
      <w:r>
        <w:rPr/>
        <w:t>net profit per litre of milk and the real participation of small-scale dairy systems in the net marketing margins.</w:t>
      </w:r>
    </w:p>
    <w:p>
      <w:pPr>
        <w:pStyle w:val="BodyText"/>
        <w:spacing w:line="360" w:lineRule="auto" w:before="203"/>
        <w:ind w:left="401" w:right="115"/>
        <w:jc w:val="both"/>
      </w:pPr>
      <w:r>
        <w:rPr/>
        <w:t>Results in the economic and financial viability showed that producing feed inputs and using family labour generate the higher net incomes and net present values in the</w:t>
      </w:r>
      <w:r>
        <w:rPr>
          <w:spacing w:val="-21"/>
        </w:rPr>
        <w:t> </w:t>
      </w:r>
      <w:r>
        <w:rPr/>
        <w:t>RDF8, compared with the scenarios of hiring in labour, purchasing feed inputs or subsidy withdrawal. The economic capacity of the RDF8 derived from the production of inputs, enables</w:t>
      </w:r>
      <w:r>
        <w:rPr>
          <w:spacing w:val="-8"/>
        </w:rPr>
        <w:t> </w:t>
      </w:r>
      <w:r>
        <w:rPr/>
        <w:t>the</w:t>
      </w:r>
      <w:r>
        <w:rPr>
          <w:spacing w:val="-8"/>
        </w:rPr>
        <w:t> </w:t>
      </w:r>
      <w:r>
        <w:rPr/>
        <w:t>absorption</w:t>
      </w:r>
      <w:r>
        <w:rPr>
          <w:spacing w:val="-7"/>
        </w:rPr>
        <w:t> </w:t>
      </w:r>
      <w:r>
        <w:rPr/>
        <w:t>of</w:t>
      </w:r>
      <w:r>
        <w:rPr>
          <w:spacing w:val="-6"/>
        </w:rPr>
        <w:t> </w:t>
      </w:r>
      <w:r>
        <w:rPr/>
        <w:t>the</w:t>
      </w:r>
      <w:r>
        <w:rPr>
          <w:spacing w:val="-8"/>
        </w:rPr>
        <w:t> </w:t>
      </w:r>
      <w:r>
        <w:rPr/>
        <w:t>cost</w:t>
      </w:r>
      <w:r>
        <w:rPr>
          <w:spacing w:val="-7"/>
        </w:rPr>
        <w:t> </w:t>
      </w:r>
      <w:r>
        <w:rPr/>
        <w:t>of</w:t>
      </w:r>
      <w:r>
        <w:rPr>
          <w:spacing w:val="-8"/>
        </w:rPr>
        <w:t> </w:t>
      </w:r>
      <w:r>
        <w:rPr/>
        <w:t>hiring</w:t>
      </w:r>
      <w:r>
        <w:rPr>
          <w:spacing w:val="-10"/>
        </w:rPr>
        <w:t> </w:t>
      </w:r>
      <w:r>
        <w:rPr/>
        <w:t>labour</w:t>
      </w:r>
      <w:r>
        <w:rPr>
          <w:spacing w:val="-9"/>
        </w:rPr>
        <w:t> </w:t>
      </w:r>
      <w:r>
        <w:rPr/>
        <w:t>or</w:t>
      </w:r>
      <w:r>
        <w:rPr>
          <w:spacing w:val="-8"/>
        </w:rPr>
        <w:t> </w:t>
      </w:r>
      <w:r>
        <w:rPr/>
        <w:t>the</w:t>
      </w:r>
      <w:r>
        <w:rPr>
          <w:spacing w:val="-8"/>
        </w:rPr>
        <w:t> </w:t>
      </w:r>
      <w:r>
        <w:rPr/>
        <w:t>withdrawal</w:t>
      </w:r>
      <w:r>
        <w:rPr>
          <w:spacing w:val="-7"/>
        </w:rPr>
        <w:t> </w:t>
      </w:r>
      <w:r>
        <w:rPr/>
        <w:t>of</w:t>
      </w:r>
      <w:r>
        <w:rPr>
          <w:spacing w:val="-8"/>
        </w:rPr>
        <w:t> </w:t>
      </w:r>
      <w:r>
        <w:rPr/>
        <w:t>subsidies,</w:t>
      </w:r>
      <w:r>
        <w:rPr>
          <w:spacing w:val="-8"/>
        </w:rPr>
        <w:t> </w:t>
      </w:r>
      <w:r>
        <w:rPr/>
        <w:t>without jeopardizing the permanence of the system in time. The impact of subsidies was not significant in the RDF8 as they represented a minimal value of incomes, so no impact was</w:t>
      </w:r>
      <w:r>
        <w:rPr>
          <w:spacing w:val="-6"/>
        </w:rPr>
        <w:t> </w:t>
      </w:r>
      <w:r>
        <w:rPr/>
        <w:t>reflected</w:t>
      </w:r>
      <w:r>
        <w:rPr>
          <w:spacing w:val="-7"/>
        </w:rPr>
        <w:t> </w:t>
      </w:r>
      <w:r>
        <w:rPr/>
        <w:t>upon</w:t>
      </w:r>
      <w:r>
        <w:rPr>
          <w:spacing w:val="-4"/>
        </w:rPr>
        <w:t> </w:t>
      </w:r>
      <w:r>
        <w:rPr/>
        <w:t>their</w:t>
      </w:r>
      <w:r>
        <w:rPr>
          <w:spacing w:val="-5"/>
        </w:rPr>
        <w:t> </w:t>
      </w:r>
      <w:r>
        <w:rPr/>
        <w:t>withdrawal.</w:t>
      </w:r>
      <w:r>
        <w:rPr>
          <w:spacing w:val="-6"/>
        </w:rPr>
        <w:t> </w:t>
      </w:r>
      <w:r>
        <w:rPr/>
        <w:t>Purchasing</w:t>
      </w:r>
      <w:r>
        <w:rPr>
          <w:spacing w:val="-9"/>
        </w:rPr>
        <w:t> </w:t>
      </w:r>
      <w:r>
        <w:rPr/>
        <w:t>feed</w:t>
      </w:r>
      <w:r>
        <w:rPr>
          <w:spacing w:val="-6"/>
        </w:rPr>
        <w:t> </w:t>
      </w:r>
      <w:r>
        <w:rPr/>
        <w:t>inputs</w:t>
      </w:r>
      <w:r>
        <w:rPr>
          <w:spacing w:val="-6"/>
        </w:rPr>
        <w:t> </w:t>
      </w:r>
      <w:r>
        <w:rPr/>
        <w:t>does</w:t>
      </w:r>
      <w:r>
        <w:rPr>
          <w:spacing w:val="-6"/>
        </w:rPr>
        <w:t> </w:t>
      </w:r>
      <w:r>
        <w:rPr/>
        <w:t>have</w:t>
      </w:r>
      <w:r>
        <w:rPr>
          <w:spacing w:val="-7"/>
        </w:rPr>
        <w:t> </w:t>
      </w:r>
      <w:r>
        <w:rPr/>
        <w:t>a</w:t>
      </w:r>
      <w:r>
        <w:rPr>
          <w:spacing w:val="-5"/>
        </w:rPr>
        <w:t> </w:t>
      </w:r>
      <w:r>
        <w:rPr/>
        <w:t>negative</w:t>
      </w:r>
      <w:r>
        <w:rPr>
          <w:spacing w:val="-5"/>
        </w:rPr>
        <w:t> </w:t>
      </w:r>
      <w:r>
        <w:rPr/>
        <w:t>impact and generates a non viable business in economic and financial terms at the end of the analysed</w:t>
      </w:r>
      <w:r>
        <w:rPr>
          <w:spacing w:val="-4"/>
        </w:rPr>
        <w:t> </w:t>
      </w:r>
      <w:r>
        <w:rPr/>
        <w:t>planning</w:t>
      </w:r>
      <w:r>
        <w:rPr>
          <w:spacing w:val="-6"/>
        </w:rPr>
        <w:t> </w:t>
      </w:r>
      <w:r>
        <w:rPr/>
        <w:t>horizon.</w:t>
      </w:r>
      <w:r>
        <w:rPr>
          <w:spacing w:val="-1"/>
        </w:rPr>
        <w:t> </w:t>
      </w:r>
      <w:r>
        <w:rPr/>
        <w:t>Input</w:t>
      </w:r>
      <w:r>
        <w:rPr>
          <w:spacing w:val="-3"/>
        </w:rPr>
        <w:t> </w:t>
      </w:r>
      <w:r>
        <w:rPr/>
        <w:t>production</w:t>
      </w:r>
      <w:r>
        <w:rPr>
          <w:spacing w:val="-4"/>
        </w:rPr>
        <w:t> </w:t>
      </w:r>
      <w:r>
        <w:rPr/>
        <w:t>was</w:t>
      </w:r>
      <w:r>
        <w:rPr>
          <w:spacing w:val="-4"/>
        </w:rPr>
        <w:t> </w:t>
      </w:r>
      <w:r>
        <w:rPr/>
        <w:t>the</w:t>
      </w:r>
      <w:r>
        <w:rPr>
          <w:spacing w:val="-4"/>
        </w:rPr>
        <w:t> </w:t>
      </w:r>
      <w:r>
        <w:rPr/>
        <w:t>variable</w:t>
      </w:r>
      <w:r>
        <w:rPr>
          <w:spacing w:val="-4"/>
        </w:rPr>
        <w:t> </w:t>
      </w:r>
      <w:r>
        <w:rPr/>
        <w:t>with</w:t>
      </w:r>
      <w:r>
        <w:rPr>
          <w:spacing w:val="-3"/>
        </w:rPr>
        <w:t> </w:t>
      </w:r>
      <w:r>
        <w:rPr/>
        <w:t>the</w:t>
      </w:r>
      <w:r>
        <w:rPr>
          <w:spacing w:val="-4"/>
        </w:rPr>
        <w:t> </w:t>
      </w:r>
      <w:r>
        <w:rPr/>
        <w:t>higher</w:t>
      </w:r>
      <w:r>
        <w:rPr>
          <w:spacing w:val="-5"/>
        </w:rPr>
        <w:t> </w:t>
      </w:r>
      <w:r>
        <w:rPr/>
        <w:t>risk</w:t>
      </w:r>
      <w:r>
        <w:rPr>
          <w:spacing w:val="-4"/>
        </w:rPr>
        <w:t> </w:t>
      </w:r>
      <w:r>
        <w:rPr/>
        <w:t>degree from all scenarios studied. The reliance on purchasing inputs makes the RDF8 economically and financially unviable in the long</w:t>
      </w:r>
      <w:r>
        <w:rPr>
          <w:spacing w:val="-10"/>
        </w:rPr>
        <w:t> </w:t>
      </w:r>
      <w:r>
        <w:rPr/>
        <w:t>term.</w:t>
      </w:r>
    </w:p>
    <w:p>
      <w:pPr>
        <w:pStyle w:val="BodyText"/>
        <w:spacing w:line="360" w:lineRule="auto" w:before="205"/>
        <w:ind w:left="401" w:right="119"/>
        <w:jc w:val="both"/>
      </w:pPr>
      <w:r>
        <w:rPr/>
        <w:t>The</w:t>
      </w:r>
      <w:r>
        <w:rPr>
          <w:spacing w:val="-10"/>
        </w:rPr>
        <w:t> </w:t>
      </w:r>
      <w:r>
        <w:rPr/>
        <w:t>structure</w:t>
      </w:r>
      <w:r>
        <w:rPr>
          <w:spacing w:val="-10"/>
        </w:rPr>
        <w:t> </w:t>
      </w:r>
      <w:r>
        <w:rPr/>
        <w:t>of</w:t>
      </w:r>
      <w:r>
        <w:rPr>
          <w:spacing w:val="-9"/>
        </w:rPr>
        <w:t> </w:t>
      </w:r>
      <w:r>
        <w:rPr/>
        <w:t>the</w:t>
      </w:r>
      <w:r>
        <w:rPr>
          <w:spacing w:val="-10"/>
        </w:rPr>
        <w:t> </w:t>
      </w:r>
      <w:r>
        <w:rPr/>
        <w:t>deterministic</w:t>
      </w:r>
      <w:r>
        <w:rPr>
          <w:spacing w:val="-9"/>
        </w:rPr>
        <w:t> </w:t>
      </w:r>
      <w:r>
        <w:rPr/>
        <w:t>model</w:t>
      </w:r>
      <w:r>
        <w:rPr>
          <w:spacing w:val="-9"/>
        </w:rPr>
        <w:t> </w:t>
      </w:r>
      <w:r>
        <w:rPr/>
        <w:t>and</w:t>
      </w:r>
      <w:r>
        <w:rPr>
          <w:spacing w:val="-9"/>
        </w:rPr>
        <w:t> </w:t>
      </w:r>
      <w:r>
        <w:rPr/>
        <w:t>the</w:t>
      </w:r>
      <w:r>
        <w:rPr>
          <w:spacing w:val="-9"/>
        </w:rPr>
        <w:t> </w:t>
      </w:r>
      <w:r>
        <w:rPr/>
        <w:t>stochastic</w:t>
      </w:r>
      <w:r>
        <w:rPr>
          <w:spacing w:val="-10"/>
        </w:rPr>
        <w:t> </w:t>
      </w:r>
      <w:r>
        <w:rPr/>
        <w:t>model</w:t>
      </w:r>
      <w:r>
        <w:rPr>
          <w:spacing w:val="-9"/>
        </w:rPr>
        <w:t> </w:t>
      </w:r>
      <w:r>
        <w:rPr/>
        <w:t>utilised</w:t>
      </w:r>
      <w:r>
        <w:rPr>
          <w:spacing w:val="-9"/>
        </w:rPr>
        <w:t> </w:t>
      </w:r>
      <w:r>
        <w:rPr/>
        <w:t>in</w:t>
      </w:r>
      <w:r>
        <w:rPr>
          <w:spacing w:val="-6"/>
        </w:rPr>
        <w:t> </w:t>
      </w:r>
      <w:r>
        <w:rPr/>
        <w:t>this</w:t>
      </w:r>
      <w:r>
        <w:rPr>
          <w:spacing w:val="-8"/>
        </w:rPr>
        <w:t> </w:t>
      </w:r>
      <w:r>
        <w:rPr/>
        <w:t>research provide useful tools to assess the economic viability and competitivity of small-scale dairy systems and of the links that comprise the agrifood chain, and the results provide elements that contribute to the better design and application of policies aimed towards small-scale dairy systems and to the transformation</w:t>
      </w:r>
      <w:r>
        <w:rPr>
          <w:spacing w:val="-11"/>
        </w:rPr>
        <w:t> </w:t>
      </w:r>
      <w:r>
        <w:rPr/>
        <w:t>link.</w:t>
      </w:r>
    </w:p>
    <w:p>
      <w:pPr>
        <w:pStyle w:val="BodyText"/>
        <w:spacing w:line="360" w:lineRule="auto" w:before="205"/>
        <w:ind w:left="401" w:right="120"/>
        <w:jc w:val="both"/>
      </w:pPr>
      <w:r>
        <w:rPr>
          <w:b/>
        </w:rPr>
        <w:t>Keywords: </w:t>
      </w:r>
      <w:r>
        <w:rPr/>
        <w:t>Prospective analysis, costs of production, small-scale dairy systems, stochastic models, deterministic models, Monte Carlo simulation.</w:t>
      </w:r>
    </w:p>
    <w:p>
      <w:pPr>
        <w:spacing w:after="0" w:line="360" w:lineRule="auto"/>
        <w:jc w:val="both"/>
        <w:sectPr>
          <w:pgSz w:w="12240" w:h="15840"/>
          <w:pgMar w:header="0" w:footer="657" w:top="1360" w:bottom="840" w:left="1660" w:right="1580"/>
        </w:sectPr>
      </w:pPr>
    </w:p>
    <w:p>
      <w:pPr>
        <w:pStyle w:val="Heading1"/>
        <w:ind w:left="2764" w:right="2923"/>
        <w:jc w:val="center"/>
      </w:pPr>
      <w:r>
        <w:rPr/>
        <w:t>CONTENIDO</w:t>
      </w:r>
    </w:p>
    <w:p>
      <w:pPr>
        <w:pStyle w:val="BodyText"/>
        <w:spacing w:before="5"/>
        <w:rPr>
          <w:b/>
          <w:sz w:val="23"/>
        </w:rPr>
      </w:pPr>
    </w:p>
    <w:p>
      <w:pPr>
        <w:spacing w:before="69"/>
        <w:ind w:left="0" w:right="101" w:firstLine="0"/>
        <w:jc w:val="right"/>
        <w:rPr>
          <w:b/>
          <w:sz w:val="24"/>
        </w:rPr>
      </w:pPr>
      <w:r>
        <w:rPr>
          <w:b/>
          <w:sz w:val="24"/>
        </w:rPr>
        <w:t>PÁGINA</w:t>
      </w:r>
    </w:p>
    <w:p>
      <w:pPr>
        <w:pStyle w:val="BodyText"/>
        <w:tabs>
          <w:tab w:pos="8438" w:val="left" w:leader="none"/>
          <w:tab w:pos="8472" w:val="left" w:leader="none"/>
        </w:tabs>
        <w:spacing w:line="535" w:lineRule="auto" w:before="333"/>
        <w:ind w:left="111" w:right="504"/>
      </w:pPr>
      <w:r>
        <w:rPr/>
        <w:t>Dedicatorias……………………………………………………………………….</w:t>
        <w:tab/>
        <w:tab/>
        <w:t>i Agradecimientos…………………………………………………………………..</w:t>
        <w:tab/>
        <w:t>ii</w:t>
      </w:r>
    </w:p>
    <w:p>
      <w:pPr>
        <w:pStyle w:val="BodyText"/>
        <w:tabs>
          <w:tab w:pos="8407" w:val="left" w:leader="none"/>
        </w:tabs>
        <w:spacing w:before="11"/>
        <w:ind w:left="111" w:right="51"/>
      </w:pPr>
      <w:r>
        <w:rPr/>
        <w:t>Resumen…………………………………………………………………………..</w:t>
        <w:tab/>
        <w:t>iii</w:t>
      </w:r>
    </w:p>
    <w:p>
      <w:pPr>
        <w:pStyle w:val="BodyText"/>
        <w:tabs>
          <w:tab w:pos="8445" w:val="left" w:leader="none"/>
        </w:tabs>
        <w:spacing w:before="338"/>
        <w:ind w:left="111" w:right="51"/>
      </w:pPr>
      <w:r>
        <w:rPr/>
        <w:t>Abstract…………………………………………………………………………....</w:t>
        <w:tab/>
        <w:t>v</w:t>
      </w:r>
    </w:p>
    <w:p>
      <w:pPr>
        <w:pStyle w:val="BodyText"/>
        <w:tabs>
          <w:tab w:pos="8378" w:val="left" w:leader="none"/>
        </w:tabs>
        <w:spacing w:before="336"/>
        <w:ind w:left="111" w:right="51"/>
      </w:pPr>
      <w:r>
        <w:rPr/>
        <w:t>Contenido…………………………………………………………………………</w:t>
        <w:tab/>
        <w:t>vii</w:t>
      </w:r>
    </w:p>
    <w:p>
      <w:pPr>
        <w:pStyle w:val="BodyText"/>
        <w:tabs>
          <w:tab w:pos="8352" w:val="left" w:leader="none"/>
        </w:tabs>
        <w:spacing w:before="338"/>
        <w:ind w:left="111" w:right="51"/>
      </w:pPr>
      <w:r>
        <w:rPr/>
        <w:t>Índice</w:t>
      </w:r>
      <w:r>
        <w:rPr>
          <w:spacing w:val="-1"/>
        </w:rPr>
        <w:t> </w:t>
      </w:r>
      <w:r>
        <w:rPr/>
        <w:t>de</w:t>
      </w:r>
      <w:r>
        <w:rPr>
          <w:spacing w:val="-1"/>
        </w:rPr>
        <w:t> </w:t>
      </w:r>
      <w:r>
        <w:rPr/>
        <w:t>tablas…………………………………………………………………....</w:t>
        <w:tab/>
        <w:t>xiv</w:t>
      </w:r>
    </w:p>
    <w:p>
      <w:pPr>
        <w:pStyle w:val="BodyText"/>
        <w:tabs>
          <w:tab w:pos="8352" w:val="left" w:leader="none"/>
        </w:tabs>
        <w:spacing w:before="338"/>
        <w:ind w:left="111" w:right="51"/>
      </w:pPr>
      <w:r>
        <w:rPr/>
        <w:t>Índice</w:t>
      </w:r>
      <w:r>
        <w:rPr>
          <w:spacing w:val="-2"/>
        </w:rPr>
        <w:t> </w:t>
      </w:r>
      <w:r>
        <w:rPr/>
        <w:t>de figuras…………………………………………………………………..</w:t>
        <w:tab/>
        <w:t>xvi</w:t>
      </w:r>
    </w:p>
    <w:p>
      <w:pPr>
        <w:pStyle w:val="Heading1"/>
        <w:tabs>
          <w:tab w:pos="8445" w:val="left" w:leader="none"/>
        </w:tabs>
        <w:spacing w:before="343"/>
        <w:ind w:left="111" w:right="51"/>
        <w:jc w:val="left"/>
      </w:pPr>
      <w:r>
        <w:rPr/>
        <w:t>CAPÍTULO </w:t>
      </w:r>
      <w:r>
        <w:rPr>
          <w:sz w:val="50"/>
        </w:rPr>
        <w:t>1</w:t>
      </w:r>
      <w:r>
        <w:rPr>
          <w:position w:val="6"/>
        </w:rPr>
        <w:tab/>
        <w:t>1</w:t>
      </w:r>
    </w:p>
    <w:p>
      <w:pPr>
        <w:pStyle w:val="Heading1"/>
        <w:tabs>
          <w:tab w:pos="8445" w:val="left" w:leader="none"/>
        </w:tabs>
        <w:spacing w:before="219"/>
        <w:ind w:left="111" w:right="51"/>
        <w:jc w:val="left"/>
      </w:pPr>
      <w:r>
        <w:rPr/>
        <w:t>INTRODUCCIÓN</w:t>
        <w:tab/>
        <w:t>1</w:t>
      </w:r>
    </w:p>
    <w:p>
      <w:pPr>
        <w:pStyle w:val="BodyText"/>
        <w:tabs>
          <w:tab w:pos="891" w:val="left" w:leader="none"/>
          <w:tab w:pos="8445" w:val="left" w:leader="none"/>
        </w:tabs>
        <w:spacing w:before="331"/>
        <w:ind w:left="111" w:right="51"/>
      </w:pPr>
      <w:r>
        <w:rPr/>
        <w:t>1.1</w:t>
        <w:tab/>
        <w:t>Objetivo</w:t>
      </w:r>
      <w:r>
        <w:rPr>
          <w:spacing w:val="-1"/>
        </w:rPr>
        <w:t> </w:t>
      </w:r>
      <w:r>
        <w:rPr/>
        <w:t>general………………………………………………………….</w:t>
        <w:tab/>
        <w:t>9</w:t>
      </w:r>
    </w:p>
    <w:p>
      <w:pPr>
        <w:pStyle w:val="BodyText"/>
        <w:tabs>
          <w:tab w:pos="891" w:val="left" w:leader="none"/>
          <w:tab w:pos="8445" w:val="left" w:leader="none"/>
        </w:tabs>
        <w:spacing w:before="338"/>
        <w:ind w:left="111" w:right="51"/>
      </w:pPr>
      <w:r>
        <w:rPr/>
        <w:t>1.2</w:t>
        <w:tab/>
        <w:t>Objetivos</w:t>
      </w:r>
      <w:r>
        <w:rPr>
          <w:spacing w:val="-1"/>
        </w:rPr>
        <w:t> </w:t>
      </w:r>
      <w:r>
        <w:rPr/>
        <w:t>específicos……………………………………………………..</w:t>
        <w:tab/>
        <w:t>9</w:t>
      </w:r>
    </w:p>
    <w:p>
      <w:pPr>
        <w:pStyle w:val="Heading1"/>
        <w:tabs>
          <w:tab w:pos="8385" w:val="left" w:leader="none"/>
        </w:tabs>
        <w:spacing w:before="343"/>
        <w:ind w:left="111" w:right="51"/>
        <w:jc w:val="left"/>
      </w:pPr>
      <w:r>
        <w:rPr/>
        <w:t>CAPÍTULO </w:t>
      </w:r>
      <w:r>
        <w:rPr>
          <w:sz w:val="50"/>
        </w:rPr>
        <w:t>2</w:t>
      </w:r>
      <w:r>
        <w:rPr>
          <w:position w:val="-7"/>
        </w:rPr>
        <w:tab/>
        <w:t>10</w:t>
      </w:r>
    </w:p>
    <w:p>
      <w:pPr>
        <w:pStyle w:val="Heading1"/>
        <w:tabs>
          <w:tab w:pos="8385" w:val="left" w:leader="none"/>
        </w:tabs>
        <w:spacing w:before="196"/>
        <w:ind w:left="111" w:right="51"/>
        <w:jc w:val="left"/>
      </w:pPr>
      <w:r>
        <w:rPr/>
        <w:t>CONTEXTO MUNDIAL Y NACIONAL DEL MERCADO</w:t>
      </w:r>
      <w:r>
        <w:rPr>
          <w:spacing w:val="-5"/>
        </w:rPr>
        <w:t> </w:t>
      </w:r>
      <w:r>
        <w:rPr/>
        <w:t>DE</w:t>
      </w:r>
      <w:r>
        <w:rPr>
          <w:spacing w:val="2"/>
        </w:rPr>
        <w:t> </w:t>
      </w:r>
      <w:r>
        <w:rPr/>
        <w:t>LECHE</w:t>
        <w:tab/>
        <w:t>10</w:t>
      </w:r>
    </w:p>
    <w:p>
      <w:pPr>
        <w:pStyle w:val="ListParagraph"/>
        <w:numPr>
          <w:ilvl w:val="1"/>
          <w:numId w:val="1"/>
        </w:numPr>
        <w:tabs>
          <w:tab w:pos="891" w:val="left" w:leader="none"/>
          <w:tab w:pos="892" w:val="left" w:leader="none"/>
          <w:tab w:pos="8385" w:val="left" w:leader="none"/>
        </w:tabs>
        <w:spacing w:line="240" w:lineRule="auto" w:before="333" w:after="0"/>
        <w:ind w:left="891" w:right="0" w:hanging="780"/>
        <w:jc w:val="left"/>
        <w:rPr>
          <w:sz w:val="24"/>
        </w:rPr>
      </w:pPr>
      <w:r>
        <w:rPr>
          <w:sz w:val="24"/>
        </w:rPr>
        <w:t>Contexto mundial del mercado</w:t>
      </w:r>
      <w:r>
        <w:rPr>
          <w:spacing w:val="-2"/>
          <w:sz w:val="24"/>
        </w:rPr>
        <w:t> </w:t>
      </w:r>
      <w:r>
        <w:rPr>
          <w:sz w:val="24"/>
        </w:rPr>
        <w:t>de</w:t>
      </w:r>
      <w:r>
        <w:rPr>
          <w:spacing w:val="-1"/>
          <w:sz w:val="24"/>
        </w:rPr>
        <w:t> </w:t>
      </w:r>
      <w:r>
        <w:rPr>
          <w:sz w:val="24"/>
        </w:rPr>
        <w:t>leche………………………………….</w:t>
        <w:tab/>
        <w:t>13</w:t>
      </w:r>
    </w:p>
    <w:p>
      <w:pPr>
        <w:pStyle w:val="BodyText"/>
        <w:tabs>
          <w:tab w:pos="891" w:val="left" w:leader="none"/>
          <w:tab w:pos="8385" w:val="left" w:leader="none"/>
        </w:tabs>
        <w:spacing w:before="339"/>
        <w:ind w:left="111" w:right="51"/>
      </w:pPr>
      <w:r>
        <w:rPr/>
        <w:t>2.1.1</w:t>
        <w:tab/>
        <w:t>Consumo</w:t>
      </w:r>
      <w:r>
        <w:rPr>
          <w:spacing w:val="-1"/>
        </w:rPr>
        <w:t> </w:t>
      </w:r>
      <w:r>
        <w:rPr/>
        <w:t>mundial………………………………………………………...</w:t>
        <w:tab/>
        <w:t>13</w:t>
      </w:r>
    </w:p>
    <w:p>
      <w:pPr>
        <w:tabs>
          <w:tab w:pos="891" w:val="left" w:leader="none"/>
          <w:tab w:pos="8385" w:val="left" w:leader="none"/>
        </w:tabs>
        <w:spacing w:before="336"/>
        <w:ind w:left="111" w:right="51" w:firstLine="0"/>
        <w:jc w:val="left"/>
        <w:rPr>
          <w:sz w:val="24"/>
        </w:rPr>
      </w:pPr>
      <w:r>
        <w:rPr>
          <w:i/>
          <w:sz w:val="24"/>
        </w:rPr>
        <w:t>2.1.2</w:t>
        <w:tab/>
        <w:t>Importaciones</w:t>
      </w:r>
      <w:r>
        <w:rPr>
          <w:sz w:val="24"/>
        </w:rPr>
        <w:t>…………………………………………………………….</w:t>
        <w:tab/>
        <w:t>15</w:t>
      </w:r>
    </w:p>
    <w:p>
      <w:pPr>
        <w:tabs>
          <w:tab w:pos="891" w:val="left" w:leader="none"/>
          <w:tab w:pos="8385" w:val="left" w:leader="none"/>
        </w:tabs>
        <w:spacing w:before="338"/>
        <w:ind w:left="111" w:right="51" w:firstLine="0"/>
        <w:jc w:val="left"/>
        <w:rPr>
          <w:sz w:val="24"/>
        </w:rPr>
      </w:pPr>
      <w:r>
        <w:rPr>
          <w:i/>
          <w:sz w:val="24"/>
        </w:rPr>
        <w:t>2.1.3</w:t>
        <w:tab/>
        <w:t>Exportaciones</w:t>
      </w:r>
      <w:r>
        <w:rPr>
          <w:sz w:val="24"/>
        </w:rPr>
        <w:t>…………………………………………………………….</w:t>
        <w:tab/>
        <w:t>16</w:t>
      </w:r>
    </w:p>
    <w:p>
      <w:pPr>
        <w:pStyle w:val="ListParagraph"/>
        <w:numPr>
          <w:ilvl w:val="1"/>
          <w:numId w:val="1"/>
        </w:numPr>
        <w:tabs>
          <w:tab w:pos="891" w:val="left" w:leader="none"/>
          <w:tab w:pos="892" w:val="left" w:leader="none"/>
          <w:tab w:pos="8385" w:val="left" w:leader="none"/>
        </w:tabs>
        <w:spacing w:line="240" w:lineRule="auto" w:before="338" w:after="0"/>
        <w:ind w:left="891" w:right="0" w:hanging="780"/>
        <w:jc w:val="left"/>
        <w:rPr>
          <w:sz w:val="24"/>
        </w:rPr>
      </w:pPr>
      <w:r>
        <w:rPr>
          <w:sz w:val="24"/>
        </w:rPr>
        <w:t>Contexto nacional del sistema</w:t>
      </w:r>
      <w:r>
        <w:rPr>
          <w:spacing w:val="-3"/>
          <w:sz w:val="24"/>
        </w:rPr>
        <w:t> </w:t>
      </w:r>
      <w:r>
        <w:rPr>
          <w:sz w:val="24"/>
        </w:rPr>
        <w:t>lechero</w:t>
      </w:r>
      <w:r>
        <w:rPr>
          <w:spacing w:val="-1"/>
          <w:sz w:val="24"/>
        </w:rPr>
        <w:t> </w:t>
      </w:r>
      <w:r>
        <w:rPr>
          <w:sz w:val="24"/>
        </w:rPr>
        <w:t>mexicano………………………...</w:t>
        <w:tab/>
        <w:t>17</w:t>
      </w:r>
    </w:p>
    <w:p>
      <w:pPr>
        <w:spacing w:after="0" w:line="240" w:lineRule="auto"/>
        <w:jc w:val="left"/>
        <w:rPr>
          <w:sz w:val="24"/>
        </w:rPr>
        <w:sectPr>
          <w:pgSz w:w="12240" w:h="15840"/>
          <w:pgMar w:header="0" w:footer="657" w:top="1360" w:bottom="840" w:left="1660" w:right="1500"/>
        </w:sectPr>
      </w:pPr>
    </w:p>
    <w:sdt>
      <w:sdtPr>
        <w:docPartObj>
          <w:docPartGallery w:val="Table of Contents"/>
          <w:docPartUnique/>
        </w:docPartObj>
      </w:sdtPr>
      <w:sdtEndPr/>
      <w:sdtContent>
        <w:p>
          <w:pPr>
            <w:pStyle w:val="TOC4"/>
            <w:tabs>
              <w:tab w:pos="891" w:val="left" w:leader="none"/>
              <w:tab w:pos="8625" w:val="right" w:leader="none"/>
            </w:tabs>
            <w:spacing w:before="50"/>
            <w:rPr>
              <w:b w:val="0"/>
              <w:i w:val="0"/>
              <w:sz w:val="24"/>
            </w:rPr>
          </w:pPr>
          <w:hyperlink w:history="true" w:anchor="_TOC_250041">
            <w:r>
              <w:rPr>
                <w:b w:val="0"/>
                <w:i/>
                <w:sz w:val="24"/>
              </w:rPr>
              <w:t>2.2.1</w:t>
              <w:tab/>
              <w:t>Crecimiento</w:t>
            </w:r>
            <w:r>
              <w:rPr>
                <w:b w:val="0"/>
                <w:i/>
                <w:spacing w:val="-2"/>
                <w:sz w:val="24"/>
              </w:rPr>
              <w:t> </w:t>
            </w:r>
            <w:r>
              <w:rPr>
                <w:b w:val="0"/>
                <w:i/>
                <w:sz w:val="24"/>
              </w:rPr>
              <w:t>económico</w:t>
            </w:r>
            <w:r>
              <w:rPr>
                <w:b w:val="0"/>
                <w:i w:val="0"/>
                <w:sz w:val="24"/>
              </w:rPr>
              <w:t>…………………………………………………..</w:t>
              <w:tab/>
              <w:t>20</w:t>
            </w:r>
          </w:hyperlink>
        </w:p>
        <w:p>
          <w:pPr>
            <w:pStyle w:val="TOC4"/>
            <w:tabs>
              <w:tab w:pos="891" w:val="left" w:leader="none"/>
              <w:tab w:pos="8625" w:val="right" w:leader="none"/>
            </w:tabs>
            <w:spacing w:before="339"/>
            <w:rPr>
              <w:b w:val="0"/>
              <w:i w:val="0"/>
              <w:sz w:val="24"/>
            </w:rPr>
          </w:pPr>
          <w:r>
            <w:rPr>
              <w:b w:val="0"/>
              <w:i/>
              <w:sz w:val="24"/>
            </w:rPr>
            <w:t>2.2.2</w:t>
            <w:tab/>
            <w:t>Producto interno bruto</w:t>
          </w:r>
          <w:r>
            <w:rPr>
              <w:b w:val="0"/>
              <w:i w:val="0"/>
              <w:sz w:val="24"/>
            </w:rPr>
            <w:t>…………………………………………………...</w:t>
            <w:tab/>
            <w:t>20</w:t>
          </w:r>
        </w:p>
        <w:p>
          <w:pPr>
            <w:pStyle w:val="TOC4"/>
            <w:tabs>
              <w:tab w:pos="891" w:val="left" w:leader="none"/>
              <w:tab w:pos="8625" w:val="right" w:leader="none"/>
            </w:tabs>
            <w:rPr>
              <w:b w:val="0"/>
              <w:i w:val="0"/>
              <w:sz w:val="24"/>
            </w:rPr>
          </w:pPr>
          <w:hyperlink w:history="true" w:anchor="_TOC_250040">
            <w:r>
              <w:rPr>
                <w:b w:val="0"/>
                <w:i/>
                <w:sz w:val="24"/>
              </w:rPr>
              <w:t>2.2.3</w:t>
              <w:tab/>
              <w:t>Tipo</w:t>
            </w:r>
            <w:r>
              <w:rPr>
                <w:b w:val="0"/>
                <w:i/>
                <w:spacing w:val="-2"/>
                <w:sz w:val="24"/>
              </w:rPr>
              <w:t> </w:t>
            </w:r>
            <w:r>
              <w:rPr>
                <w:b w:val="0"/>
                <w:i/>
                <w:sz w:val="24"/>
              </w:rPr>
              <w:t>de</w:t>
            </w:r>
            <w:r>
              <w:rPr>
                <w:b w:val="0"/>
                <w:i/>
                <w:spacing w:val="-1"/>
                <w:sz w:val="24"/>
              </w:rPr>
              <w:t> </w:t>
            </w:r>
            <w:r>
              <w:rPr>
                <w:b w:val="0"/>
                <w:i/>
                <w:sz w:val="24"/>
              </w:rPr>
              <w:t>cambio</w:t>
            </w:r>
            <w:r>
              <w:rPr>
                <w:b w:val="0"/>
                <w:i w:val="0"/>
                <w:sz w:val="24"/>
              </w:rPr>
              <w:t>…………………………………………………………...</w:t>
              <w:tab/>
              <w:t>21</w:t>
            </w:r>
          </w:hyperlink>
        </w:p>
        <w:p>
          <w:pPr>
            <w:pStyle w:val="TOC4"/>
            <w:tabs>
              <w:tab w:pos="891" w:val="left" w:leader="none"/>
              <w:tab w:pos="8625" w:val="right" w:leader="none"/>
            </w:tabs>
            <w:rPr>
              <w:b w:val="0"/>
              <w:i w:val="0"/>
              <w:sz w:val="24"/>
            </w:rPr>
          </w:pPr>
          <w:hyperlink w:history="true" w:anchor="_TOC_250039">
            <w:r>
              <w:rPr>
                <w:b w:val="0"/>
                <w:i/>
                <w:sz w:val="24"/>
              </w:rPr>
              <w:t>2.2.4</w:t>
              <w:tab/>
              <w:t>Precio del petróleo</w:t>
            </w:r>
            <w:r>
              <w:rPr>
                <w:b w:val="0"/>
                <w:i w:val="0"/>
                <w:sz w:val="24"/>
              </w:rPr>
              <w:t>……………………………………………………….</w:t>
              <w:tab/>
              <w:t>23</w:t>
            </w:r>
          </w:hyperlink>
        </w:p>
        <w:p>
          <w:pPr>
            <w:pStyle w:val="TOC4"/>
            <w:tabs>
              <w:tab w:pos="891" w:val="left" w:leader="none"/>
              <w:tab w:pos="8625" w:val="right" w:leader="none"/>
            </w:tabs>
            <w:rPr>
              <w:b w:val="0"/>
              <w:i w:val="0"/>
              <w:sz w:val="24"/>
            </w:rPr>
          </w:pPr>
          <w:hyperlink w:history="true" w:anchor="_TOC_250038">
            <w:r>
              <w:rPr>
                <w:b w:val="0"/>
                <w:i/>
                <w:sz w:val="24"/>
              </w:rPr>
              <w:t>2.2.5</w:t>
              <w:tab/>
              <w:t>Población</w:t>
            </w:r>
            <w:r>
              <w:rPr>
                <w:b w:val="0"/>
                <w:i w:val="0"/>
                <w:sz w:val="24"/>
              </w:rPr>
              <w:t>………………………………………………………………...</w:t>
              <w:tab/>
              <w:t>25</w:t>
            </w:r>
          </w:hyperlink>
        </w:p>
        <w:p>
          <w:pPr>
            <w:pStyle w:val="TOC4"/>
            <w:tabs>
              <w:tab w:pos="891" w:val="left" w:leader="none"/>
              <w:tab w:pos="8625" w:val="right" w:leader="none"/>
            </w:tabs>
            <w:rPr>
              <w:b w:val="0"/>
              <w:i w:val="0"/>
              <w:sz w:val="24"/>
            </w:rPr>
          </w:pPr>
          <w:r>
            <w:rPr>
              <w:b w:val="0"/>
              <w:i/>
              <w:sz w:val="24"/>
            </w:rPr>
            <w:t>2.2.6</w:t>
            <w:tab/>
            <w:t>Precio al productor</w:t>
          </w:r>
          <w:r>
            <w:rPr>
              <w:b w:val="0"/>
              <w:i w:val="0"/>
              <w:sz w:val="24"/>
            </w:rPr>
            <w:t>……………………………………………………....</w:t>
            <w:tab/>
            <w:t>26</w:t>
          </w:r>
        </w:p>
        <w:p>
          <w:pPr>
            <w:pStyle w:val="TOC4"/>
            <w:tabs>
              <w:tab w:pos="891" w:val="left" w:leader="none"/>
              <w:tab w:pos="8625" w:val="right" w:leader="none"/>
            </w:tabs>
            <w:spacing w:before="336"/>
            <w:rPr>
              <w:b w:val="0"/>
              <w:i w:val="0"/>
              <w:sz w:val="24"/>
            </w:rPr>
          </w:pPr>
          <w:hyperlink w:history="true" w:anchor="_TOC_250037">
            <w:r>
              <w:rPr>
                <w:b w:val="0"/>
                <w:i/>
                <w:sz w:val="24"/>
              </w:rPr>
              <w:t>2.2.7</w:t>
              <w:tab/>
              <w:t>Tasa de interés (Cetes</w:t>
            </w:r>
            <w:r>
              <w:rPr>
                <w:b w:val="0"/>
                <w:i/>
                <w:spacing w:val="-2"/>
                <w:sz w:val="24"/>
              </w:rPr>
              <w:t> </w:t>
            </w:r>
            <w:r>
              <w:rPr>
                <w:b w:val="0"/>
                <w:i/>
                <w:sz w:val="24"/>
              </w:rPr>
              <w:t>28</w:t>
            </w:r>
            <w:r>
              <w:rPr>
                <w:b w:val="0"/>
                <w:i/>
                <w:spacing w:val="-1"/>
                <w:sz w:val="24"/>
              </w:rPr>
              <w:t> </w:t>
            </w:r>
            <w:r>
              <w:rPr>
                <w:b w:val="0"/>
                <w:i/>
                <w:sz w:val="24"/>
              </w:rPr>
              <w:t>días)</w:t>
            </w:r>
            <w:r>
              <w:rPr>
                <w:b w:val="0"/>
                <w:i w:val="0"/>
                <w:sz w:val="24"/>
              </w:rPr>
              <w:t>…………………………………………..</w:t>
              <w:tab/>
              <w:t>27</w:t>
            </w:r>
          </w:hyperlink>
        </w:p>
        <w:p>
          <w:pPr>
            <w:pStyle w:val="TOC2"/>
            <w:numPr>
              <w:ilvl w:val="1"/>
              <w:numId w:val="1"/>
            </w:numPr>
            <w:tabs>
              <w:tab w:pos="891" w:val="left" w:leader="none"/>
              <w:tab w:pos="892" w:val="left" w:leader="none"/>
              <w:tab w:pos="8625" w:val="right" w:leader="none"/>
            </w:tabs>
            <w:spacing w:line="240" w:lineRule="auto" w:before="338" w:after="0"/>
            <w:ind w:left="891" w:right="0" w:hanging="780"/>
            <w:jc w:val="left"/>
          </w:pPr>
          <w:hyperlink w:history="true" w:anchor="_TOC_250036">
            <w:r>
              <w:rPr/>
              <w:t>El sistema lechero de pequeña escala</w:t>
            </w:r>
            <w:r>
              <w:rPr>
                <w:spacing w:val="-5"/>
              </w:rPr>
              <w:t> </w:t>
            </w:r>
            <w:r>
              <w:rPr/>
              <w:t>en</w:t>
            </w:r>
            <w:r>
              <w:rPr>
                <w:spacing w:val="3"/>
              </w:rPr>
              <w:t> </w:t>
            </w:r>
            <w:r>
              <w:rPr/>
              <w:t>México………………………...</w:t>
              <w:tab/>
              <w:t>28</w:t>
            </w:r>
          </w:hyperlink>
        </w:p>
        <w:p>
          <w:pPr>
            <w:pStyle w:val="TOC2"/>
            <w:numPr>
              <w:ilvl w:val="1"/>
              <w:numId w:val="1"/>
            </w:numPr>
            <w:tabs>
              <w:tab w:pos="891" w:val="left" w:leader="none"/>
              <w:tab w:pos="892" w:val="left" w:leader="none"/>
            </w:tabs>
            <w:spacing w:line="240" w:lineRule="auto" w:before="338" w:after="0"/>
            <w:ind w:left="891" w:right="0" w:hanging="780"/>
            <w:jc w:val="left"/>
          </w:pPr>
          <w:r>
            <w:rPr/>
            <w:t>El sistema lechero de pequeña escala en el Distrito de Desarrollo</w:t>
          </w:r>
          <w:r>
            <w:rPr>
              <w:spacing w:val="-12"/>
            </w:rPr>
            <w:t> </w:t>
          </w:r>
          <w:r>
            <w:rPr/>
            <w:t>Rural</w:t>
          </w:r>
        </w:p>
        <w:p>
          <w:pPr>
            <w:pStyle w:val="TOC5"/>
            <w:tabs>
              <w:tab w:pos="8625" w:val="right" w:leader="none"/>
            </w:tabs>
            <w:spacing w:before="461"/>
          </w:pPr>
          <w:r>
            <w:rPr/>
            <w:t>de</w:t>
          </w:r>
          <w:r>
            <w:rPr>
              <w:spacing w:val="-1"/>
            </w:rPr>
            <w:t> </w:t>
          </w:r>
          <w:r>
            <w:rPr/>
            <w:t>Texcoco……………………………………………………………….</w:t>
            <w:tab/>
            <w:t>29</w:t>
          </w:r>
        </w:p>
        <w:p>
          <w:pPr>
            <w:pStyle w:val="TOC1"/>
            <w:tabs>
              <w:tab w:pos="8625" w:val="right" w:leader="none"/>
            </w:tabs>
          </w:pPr>
          <w:hyperlink w:history="true" w:anchor="_TOC_250035">
            <w:r>
              <w:rPr/>
              <w:t>CAPÍTULO </w:t>
            </w:r>
            <w:r>
              <w:rPr>
                <w:sz w:val="50"/>
              </w:rPr>
              <w:t>3</w:t>
            </w:r>
            <w:r>
              <w:rPr>
                <w:position w:val="-6"/>
              </w:rPr>
              <w:tab/>
              <w:t>32</w:t>
            </w:r>
          </w:hyperlink>
        </w:p>
        <w:p>
          <w:pPr>
            <w:pStyle w:val="TOC1"/>
            <w:tabs>
              <w:tab w:pos="8625" w:val="right" w:leader="none"/>
            </w:tabs>
            <w:spacing w:before="206"/>
          </w:pPr>
          <w:hyperlink w:history="true" w:anchor="_TOC_250034">
            <w:r>
              <w:rPr/>
              <w:t>MARCO</w:t>
            </w:r>
            <w:r>
              <w:rPr>
                <w:spacing w:val="-1"/>
              </w:rPr>
              <w:t> </w:t>
            </w:r>
            <w:r>
              <w:rPr/>
              <w:t>TEÓRICO</w:t>
              <w:tab/>
              <w:t>32</w:t>
            </w:r>
          </w:hyperlink>
        </w:p>
        <w:p>
          <w:pPr>
            <w:pStyle w:val="TOC2"/>
            <w:tabs>
              <w:tab w:pos="891" w:val="left" w:leader="none"/>
              <w:tab w:pos="8625" w:val="right" w:leader="none"/>
            </w:tabs>
            <w:spacing w:before="333"/>
            <w:ind w:left="111" w:firstLine="0"/>
          </w:pPr>
          <w:hyperlink w:history="true" w:anchor="_TOC_250033">
            <w:r>
              <w:rPr/>
              <w:t>3.1</w:t>
              <w:tab/>
              <w:t>Competitividad…………………………………………………………...</w:t>
              <w:tab/>
              <w:t>32</w:t>
            </w:r>
          </w:hyperlink>
        </w:p>
        <w:p>
          <w:pPr>
            <w:pStyle w:val="TOC4"/>
            <w:tabs>
              <w:tab w:pos="891" w:val="left" w:leader="none"/>
              <w:tab w:pos="8625" w:val="right" w:leader="none"/>
            </w:tabs>
            <w:spacing w:before="336"/>
            <w:rPr>
              <w:b w:val="0"/>
              <w:i w:val="0"/>
              <w:sz w:val="24"/>
            </w:rPr>
          </w:pPr>
          <w:hyperlink w:history="true" w:anchor="_TOC_250032">
            <w:r>
              <w:rPr>
                <w:b w:val="0"/>
                <w:i/>
                <w:sz w:val="24"/>
              </w:rPr>
              <w:t>3.1.1</w:t>
              <w:tab/>
              <w:t>El nivel de</w:t>
            </w:r>
            <w:r>
              <w:rPr>
                <w:b w:val="0"/>
                <w:i/>
                <w:spacing w:val="-1"/>
                <w:sz w:val="24"/>
              </w:rPr>
              <w:t> </w:t>
            </w:r>
            <w:r>
              <w:rPr>
                <w:b w:val="0"/>
                <w:i/>
                <w:sz w:val="24"/>
              </w:rPr>
              <w:t>la</w:t>
            </w:r>
            <w:r>
              <w:rPr>
                <w:b w:val="0"/>
                <w:i/>
                <w:spacing w:val="-1"/>
                <w:sz w:val="24"/>
              </w:rPr>
              <w:t> </w:t>
            </w:r>
            <w:r>
              <w:rPr>
                <w:b w:val="0"/>
                <w:i/>
                <w:sz w:val="24"/>
              </w:rPr>
              <w:t>empresa</w:t>
            </w:r>
            <w:r>
              <w:rPr>
                <w:b w:val="0"/>
                <w:i w:val="0"/>
                <w:sz w:val="24"/>
              </w:rPr>
              <w:t>……………………………………………………</w:t>
              <w:tab/>
              <w:t>34</w:t>
            </w:r>
          </w:hyperlink>
        </w:p>
        <w:p>
          <w:pPr>
            <w:pStyle w:val="TOC4"/>
            <w:tabs>
              <w:tab w:pos="891" w:val="left" w:leader="none"/>
              <w:tab w:pos="8625" w:val="right" w:leader="none"/>
            </w:tabs>
            <w:rPr>
              <w:b w:val="0"/>
              <w:i w:val="0"/>
              <w:sz w:val="24"/>
            </w:rPr>
          </w:pPr>
          <w:hyperlink w:history="true" w:anchor="_TOC_250031">
            <w:r>
              <w:rPr>
                <w:b w:val="0"/>
                <w:i/>
                <w:sz w:val="24"/>
              </w:rPr>
              <w:t>3.1.2</w:t>
              <w:tab/>
              <w:t>El nivel de</w:t>
            </w:r>
            <w:r>
              <w:rPr>
                <w:b w:val="0"/>
                <w:i/>
                <w:spacing w:val="-1"/>
                <w:sz w:val="24"/>
              </w:rPr>
              <w:t> </w:t>
            </w:r>
            <w:r>
              <w:rPr>
                <w:b w:val="0"/>
                <w:i/>
                <w:sz w:val="24"/>
              </w:rPr>
              <w:t>la</w:t>
            </w:r>
            <w:r>
              <w:rPr>
                <w:b w:val="0"/>
                <w:i/>
                <w:spacing w:val="-1"/>
                <w:sz w:val="24"/>
              </w:rPr>
              <w:t> </w:t>
            </w:r>
            <w:r>
              <w:rPr>
                <w:b w:val="0"/>
                <w:i/>
                <w:sz w:val="24"/>
              </w:rPr>
              <w:t>industria</w:t>
            </w:r>
            <w:r>
              <w:rPr>
                <w:b w:val="0"/>
                <w:i w:val="0"/>
                <w:sz w:val="24"/>
              </w:rPr>
              <w:t>…………………………………………………...</w:t>
              <w:tab/>
              <w:t>34</w:t>
            </w:r>
          </w:hyperlink>
        </w:p>
        <w:p>
          <w:pPr>
            <w:pStyle w:val="TOC4"/>
            <w:tabs>
              <w:tab w:pos="891" w:val="left" w:leader="none"/>
              <w:tab w:pos="8625" w:val="right" w:leader="none"/>
            </w:tabs>
            <w:rPr>
              <w:b w:val="0"/>
              <w:i w:val="0"/>
              <w:sz w:val="24"/>
            </w:rPr>
          </w:pPr>
          <w:r>
            <w:rPr>
              <w:b w:val="0"/>
              <w:i/>
              <w:sz w:val="24"/>
            </w:rPr>
            <w:t>3.1.3</w:t>
            <w:tab/>
            <w:t>El</w:t>
          </w:r>
          <w:r>
            <w:rPr>
              <w:b w:val="0"/>
              <w:i/>
              <w:spacing w:val="-1"/>
              <w:sz w:val="24"/>
            </w:rPr>
            <w:t> </w:t>
          </w:r>
          <w:r>
            <w:rPr>
              <w:b w:val="0"/>
              <w:i/>
              <w:sz w:val="24"/>
            </w:rPr>
            <w:t>nivel</w:t>
          </w:r>
          <w:r>
            <w:rPr>
              <w:b w:val="0"/>
              <w:i/>
              <w:spacing w:val="-1"/>
              <w:sz w:val="24"/>
            </w:rPr>
            <w:t> </w:t>
          </w:r>
          <w:r>
            <w:rPr>
              <w:b w:val="0"/>
              <w:i/>
              <w:sz w:val="24"/>
            </w:rPr>
            <w:t>regional</w:t>
          </w:r>
          <w:r>
            <w:rPr>
              <w:b w:val="0"/>
              <w:i w:val="0"/>
              <w:sz w:val="24"/>
            </w:rPr>
            <w:t>………………………………………………………….</w:t>
            <w:tab/>
            <w:t>35</w:t>
          </w:r>
        </w:p>
        <w:p>
          <w:pPr>
            <w:pStyle w:val="TOC4"/>
            <w:tabs>
              <w:tab w:pos="891" w:val="left" w:leader="none"/>
              <w:tab w:pos="8625" w:val="right" w:leader="none"/>
            </w:tabs>
            <w:spacing w:before="339"/>
            <w:rPr>
              <w:b w:val="0"/>
              <w:i w:val="0"/>
              <w:sz w:val="24"/>
            </w:rPr>
          </w:pPr>
          <w:hyperlink w:history="true" w:anchor="_TOC_250030">
            <w:r>
              <w:rPr>
                <w:b w:val="0"/>
                <w:i/>
                <w:sz w:val="24"/>
              </w:rPr>
              <w:t>3.1.4</w:t>
              <w:tab/>
              <w:t>El</w:t>
            </w:r>
            <w:r>
              <w:rPr>
                <w:b w:val="0"/>
                <w:i/>
                <w:spacing w:val="-1"/>
                <w:sz w:val="24"/>
              </w:rPr>
              <w:t> </w:t>
            </w:r>
            <w:r>
              <w:rPr>
                <w:b w:val="0"/>
                <w:i/>
                <w:sz w:val="24"/>
              </w:rPr>
              <w:t>nivel</w:t>
            </w:r>
            <w:r>
              <w:rPr>
                <w:b w:val="0"/>
                <w:i/>
                <w:spacing w:val="-1"/>
                <w:sz w:val="24"/>
              </w:rPr>
              <w:t> </w:t>
            </w:r>
            <w:r>
              <w:rPr>
                <w:b w:val="0"/>
                <w:i/>
                <w:sz w:val="24"/>
              </w:rPr>
              <w:t>nacional</w:t>
            </w:r>
            <w:r>
              <w:rPr>
                <w:b w:val="0"/>
                <w:i w:val="0"/>
                <w:sz w:val="24"/>
              </w:rPr>
              <w:t>………………………………………………………….</w:t>
              <w:tab/>
              <w:t>36</w:t>
            </w:r>
          </w:hyperlink>
        </w:p>
        <w:p>
          <w:pPr>
            <w:pStyle w:val="TOC2"/>
            <w:tabs>
              <w:tab w:pos="891" w:val="left" w:leader="none"/>
              <w:tab w:pos="8625" w:val="right" w:leader="none"/>
            </w:tabs>
            <w:ind w:left="111" w:firstLine="0"/>
          </w:pPr>
          <w:hyperlink w:history="true" w:anchor="_TOC_250029">
            <w:r>
              <w:rPr/>
              <w:t>3.2</w:t>
              <w:tab/>
              <w:t>Ventaja</w:t>
            </w:r>
            <w:r>
              <w:rPr>
                <w:spacing w:val="-2"/>
              </w:rPr>
              <w:t> </w:t>
            </w:r>
            <w:r>
              <w:rPr/>
              <w:t>comparativa……………………………………………………...</w:t>
              <w:tab/>
              <w:t>36</w:t>
            </w:r>
          </w:hyperlink>
        </w:p>
        <w:p>
          <w:pPr>
            <w:pStyle w:val="TOC2"/>
            <w:tabs>
              <w:tab w:pos="891" w:val="left" w:leader="none"/>
              <w:tab w:pos="8625" w:val="right" w:leader="none"/>
            </w:tabs>
            <w:spacing w:before="336"/>
            <w:ind w:left="111" w:firstLine="0"/>
          </w:pPr>
          <w:hyperlink w:history="true" w:anchor="_TOC_250028">
            <w:r>
              <w:rPr/>
              <w:t>3.3</w:t>
              <w:tab/>
              <w:t>Ventaja</w:t>
            </w:r>
            <w:r>
              <w:rPr>
                <w:spacing w:val="-2"/>
              </w:rPr>
              <w:t> </w:t>
            </w:r>
            <w:r>
              <w:rPr/>
              <w:t>competitiva……………………………………………………....</w:t>
              <w:tab/>
              <w:t>37</w:t>
            </w:r>
          </w:hyperlink>
        </w:p>
        <w:p>
          <w:pPr>
            <w:pStyle w:val="TOC2"/>
            <w:tabs>
              <w:tab w:pos="891" w:val="left" w:leader="none"/>
              <w:tab w:pos="8625" w:val="right" w:leader="none"/>
            </w:tabs>
            <w:ind w:left="111" w:firstLine="0"/>
          </w:pPr>
          <w:hyperlink w:history="true" w:anchor="_TOC_250027">
            <w:r>
              <w:rPr/>
              <w:t>3.4</w:t>
              <w:tab/>
              <w:t>Rentabilidad……………………………………………………………....</w:t>
              <w:tab/>
              <w:t>38</w:t>
            </w:r>
          </w:hyperlink>
        </w:p>
        <w:p>
          <w:pPr>
            <w:pStyle w:val="TOC2"/>
            <w:tabs>
              <w:tab w:pos="891" w:val="left" w:leader="none"/>
              <w:tab w:pos="8625" w:val="right" w:leader="none"/>
            </w:tabs>
            <w:spacing w:before="50"/>
            <w:ind w:left="111" w:firstLine="0"/>
          </w:pPr>
          <w:hyperlink w:history="true" w:anchor="_TOC_250026">
            <w:r>
              <w:rPr/>
              <w:t>3.5</w:t>
              <w:tab/>
              <w:t>Metodología para analizar la competitividad utilizada en</w:t>
            </w:r>
            <w:r>
              <w:rPr>
                <w:spacing w:val="-6"/>
              </w:rPr>
              <w:t> </w:t>
            </w:r>
            <w:r>
              <w:rPr/>
              <w:t>este</w:t>
            </w:r>
            <w:r>
              <w:rPr>
                <w:spacing w:val="-1"/>
              </w:rPr>
              <w:t> </w:t>
            </w:r>
            <w:r>
              <w:rPr/>
              <w:t>estudio…..</w:t>
              <w:tab/>
              <w:t>39</w:t>
            </w:r>
          </w:hyperlink>
        </w:p>
        <w:p>
          <w:pPr>
            <w:pStyle w:val="TOC2"/>
            <w:tabs>
              <w:tab w:pos="891" w:val="left" w:leader="none"/>
              <w:tab w:pos="8625" w:val="right" w:leader="none"/>
            </w:tabs>
            <w:spacing w:before="339"/>
            <w:ind w:left="111" w:firstLine="0"/>
          </w:pPr>
          <w:hyperlink w:history="true" w:anchor="_TOC_250025">
            <w:r>
              <w:rPr/>
              <w:t>3.6</w:t>
              <w:tab/>
              <w:t>Riesgo e</w:t>
            </w:r>
            <w:r>
              <w:rPr>
                <w:spacing w:val="-1"/>
              </w:rPr>
              <w:t> </w:t>
            </w:r>
            <w:r>
              <w:rPr/>
              <w:t>incertidumbre…………………………………………………...</w:t>
              <w:tab/>
              <w:t>40</w:t>
            </w:r>
          </w:hyperlink>
        </w:p>
        <w:p>
          <w:pPr>
            <w:pStyle w:val="TOC2"/>
            <w:tabs>
              <w:tab w:pos="891" w:val="left" w:leader="none"/>
              <w:tab w:pos="8625" w:val="right" w:leader="none"/>
            </w:tabs>
            <w:ind w:left="111" w:firstLine="0"/>
          </w:pPr>
          <w:r>
            <w:rPr/>
            <w:t>3.7</w:t>
            <w:tab/>
            <w:t>Simulación</w:t>
          </w:r>
          <w:r>
            <w:rPr>
              <w:spacing w:val="-1"/>
            </w:rPr>
            <w:t> </w:t>
          </w:r>
          <w:r>
            <w:rPr/>
            <w:t>Monte</w:t>
          </w:r>
          <w:r>
            <w:rPr>
              <w:spacing w:val="-2"/>
            </w:rPr>
            <w:t> </w:t>
          </w:r>
          <w:r>
            <w:rPr/>
            <w:t>Carlo………………………………………………….</w:t>
            <w:tab/>
            <w:t>42</w:t>
          </w:r>
        </w:p>
        <w:p>
          <w:pPr>
            <w:pStyle w:val="TOC2"/>
            <w:numPr>
              <w:ilvl w:val="1"/>
              <w:numId w:val="2"/>
            </w:numPr>
            <w:tabs>
              <w:tab w:pos="891" w:val="left" w:leader="none"/>
              <w:tab w:pos="892" w:val="left" w:leader="none"/>
              <w:tab w:pos="8625" w:val="right" w:leader="none"/>
            </w:tabs>
            <w:spacing w:line="240" w:lineRule="auto" w:before="338" w:after="0"/>
            <w:ind w:left="891" w:right="0" w:hanging="780"/>
            <w:jc w:val="left"/>
          </w:pPr>
          <w:hyperlink w:history="true" w:anchor="_TOC_250024">
            <w:r>
              <w:rPr/>
              <w:t>Metodología para analizar el riesgo utilizada en</w:t>
            </w:r>
            <w:r>
              <w:rPr>
                <w:spacing w:val="-4"/>
              </w:rPr>
              <w:t> </w:t>
            </w:r>
            <w:r>
              <w:rPr/>
              <w:t>este</w:t>
            </w:r>
            <w:r>
              <w:rPr>
                <w:spacing w:val="-1"/>
              </w:rPr>
              <w:t> </w:t>
            </w:r>
            <w:r>
              <w:rPr/>
              <w:t>estudio……………</w:t>
              <w:tab/>
              <w:t>44</w:t>
            </w:r>
          </w:hyperlink>
        </w:p>
        <w:p>
          <w:pPr>
            <w:pStyle w:val="TOC2"/>
            <w:numPr>
              <w:ilvl w:val="1"/>
              <w:numId w:val="2"/>
            </w:numPr>
            <w:tabs>
              <w:tab w:pos="891" w:val="left" w:leader="none"/>
              <w:tab w:pos="892" w:val="left" w:leader="none"/>
              <w:tab w:pos="8625" w:val="right" w:leader="none"/>
            </w:tabs>
            <w:spacing w:line="240" w:lineRule="auto" w:before="338" w:after="0"/>
            <w:ind w:left="891" w:right="0" w:hanging="780"/>
            <w:jc w:val="left"/>
          </w:pPr>
          <w:r>
            <w:rPr/>
            <w:t>Antecedentes de cadena</w:t>
          </w:r>
          <w:r>
            <w:rPr>
              <w:spacing w:val="-1"/>
            </w:rPr>
            <w:t> </w:t>
          </w:r>
          <w:r>
            <w:rPr/>
            <w:t>de</w:t>
          </w:r>
          <w:r>
            <w:rPr>
              <w:spacing w:val="-2"/>
            </w:rPr>
            <w:t> </w:t>
          </w:r>
          <w:r>
            <w:rPr/>
            <w:t>valor………………………………………....</w:t>
            <w:tab/>
            <w:t>44</w:t>
          </w:r>
        </w:p>
        <w:p>
          <w:pPr>
            <w:pStyle w:val="TOC2"/>
            <w:numPr>
              <w:ilvl w:val="1"/>
              <w:numId w:val="2"/>
            </w:numPr>
            <w:tabs>
              <w:tab w:pos="893" w:val="left" w:leader="none"/>
              <w:tab w:pos="894" w:val="left" w:leader="none"/>
              <w:tab w:pos="8625" w:val="right" w:leader="none"/>
            </w:tabs>
            <w:spacing w:line="240" w:lineRule="auto" w:before="338" w:after="0"/>
            <w:ind w:left="894" w:right="0" w:hanging="783"/>
            <w:jc w:val="left"/>
          </w:pPr>
          <w:hyperlink w:history="true" w:anchor="_TOC_250023">
            <w:r>
              <w:rPr/>
              <w:t>La cadena de valor: aspectos teóricos</w:t>
            </w:r>
            <w:r>
              <w:rPr>
                <w:spacing w:val="-3"/>
              </w:rPr>
              <w:t> </w:t>
            </w:r>
            <w:r>
              <w:rPr/>
              <w:t>y</w:t>
            </w:r>
            <w:r>
              <w:rPr>
                <w:spacing w:val="-4"/>
              </w:rPr>
              <w:t> </w:t>
            </w:r>
            <w:r>
              <w:rPr/>
              <w:t>conceptuales……………………</w:t>
              <w:tab/>
              <w:t>45</w:t>
            </w:r>
          </w:hyperlink>
        </w:p>
        <w:p>
          <w:pPr>
            <w:pStyle w:val="TOC2"/>
            <w:numPr>
              <w:ilvl w:val="1"/>
              <w:numId w:val="2"/>
            </w:numPr>
            <w:tabs>
              <w:tab w:pos="891" w:val="left" w:leader="none"/>
              <w:tab w:pos="892" w:val="left" w:leader="none"/>
              <w:tab w:pos="8625" w:val="right" w:leader="none"/>
            </w:tabs>
            <w:spacing w:line="240" w:lineRule="auto" w:before="336" w:after="0"/>
            <w:ind w:left="891" w:right="0" w:hanging="780"/>
            <w:jc w:val="left"/>
          </w:pPr>
          <w:hyperlink w:history="true" w:anchor="_TOC_250022">
            <w:r>
              <w:rPr/>
              <w:t>Diferencia entre cadena de valor y</w:t>
            </w:r>
            <w:r>
              <w:rPr>
                <w:spacing w:val="-2"/>
              </w:rPr>
              <w:t> </w:t>
            </w:r>
            <w:r>
              <w:rPr/>
              <w:t>cadena agroalimentaria……………...</w:t>
              <w:tab/>
              <w:t>46</w:t>
            </w:r>
          </w:hyperlink>
        </w:p>
        <w:p>
          <w:pPr>
            <w:pStyle w:val="TOC1"/>
            <w:tabs>
              <w:tab w:pos="8625" w:val="right" w:leader="none"/>
            </w:tabs>
          </w:pPr>
          <w:hyperlink w:history="true" w:anchor="_TOC_250021">
            <w:r>
              <w:rPr/>
              <w:t>CAPÍTULO </w:t>
            </w:r>
            <w:r>
              <w:rPr>
                <w:sz w:val="50"/>
              </w:rPr>
              <w:t>4</w:t>
            </w:r>
            <w:r>
              <w:rPr>
                <w:position w:val="-7"/>
              </w:rPr>
              <w:tab/>
              <w:t>49</w:t>
            </w:r>
          </w:hyperlink>
        </w:p>
        <w:p>
          <w:pPr>
            <w:pStyle w:val="TOC1"/>
            <w:tabs>
              <w:tab w:pos="8625" w:val="right" w:leader="none"/>
            </w:tabs>
            <w:spacing w:before="196"/>
          </w:pPr>
          <w:hyperlink w:history="true" w:anchor="_TOC_250020">
            <w:r>
              <w:rPr/>
              <w:t>MATERIALES</w:t>
            </w:r>
            <w:r>
              <w:rPr>
                <w:spacing w:val="-1"/>
              </w:rPr>
              <w:t> </w:t>
            </w:r>
            <w:r>
              <w:rPr/>
              <w:t>Y</w:t>
            </w:r>
            <w:r>
              <w:rPr>
                <w:spacing w:val="-1"/>
              </w:rPr>
              <w:t> </w:t>
            </w:r>
            <w:r>
              <w:rPr/>
              <w:t>MÉTODOS</w:t>
              <w:tab/>
              <w:t>49</w:t>
            </w:r>
          </w:hyperlink>
        </w:p>
        <w:p>
          <w:pPr>
            <w:pStyle w:val="TOC2"/>
            <w:tabs>
              <w:tab w:pos="891" w:val="left" w:leader="none"/>
              <w:tab w:pos="8625" w:val="right" w:leader="none"/>
            </w:tabs>
            <w:spacing w:before="333"/>
            <w:ind w:left="111" w:firstLine="0"/>
          </w:pPr>
          <w:hyperlink w:history="true" w:anchor="_TOC_250019">
            <w:r>
              <w:rPr/>
              <w:t>4.1</w:t>
              <w:tab/>
              <w:t>Área</w:t>
            </w:r>
            <w:r>
              <w:rPr>
                <w:spacing w:val="-1"/>
              </w:rPr>
              <w:t> </w:t>
            </w:r>
            <w:r>
              <w:rPr/>
              <w:t>de</w:t>
            </w:r>
            <w:r>
              <w:rPr>
                <w:spacing w:val="-1"/>
              </w:rPr>
              <w:t> </w:t>
            </w:r>
            <w:r>
              <w:rPr/>
              <w:t>estudio…………………………………………………………...</w:t>
              <w:tab/>
              <w:t>49</w:t>
            </w:r>
          </w:hyperlink>
        </w:p>
        <w:p>
          <w:pPr>
            <w:pStyle w:val="TOC2"/>
            <w:numPr>
              <w:ilvl w:val="1"/>
              <w:numId w:val="3"/>
            </w:numPr>
            <w:tabs>
              <w:tab w:pos="891" w:val="left" w:leader="none"/>
              <w:tab w:pos="892" w:val="left" w:leader="none"/>
              <w:tab w:pos="8625" w:val="right" w:leader="none"/>
            </w:tabs>
            <w:spacing w:line="412" w:lineRule="auto" w:before="338" w:after="0"/>
            <w:ind w:left="891" w:right="293" w:hanging="780"/>
            <w:jc w:val="left"/>
          </w:pPr>
          <w:hyperlink w:history="true" w:anchor="_TOC_250018">
            <w:r>
              <w:rPr/>
              <w:t>Herramienta para la obtención de información en el análisis de competitividad……………………………………………………………</w:t>
              <w:tab/>
              <w:t>50</w:t>
            </w:r>
          </w:hyperlink>
        </w:p>
        <w:p>
          <w:pPr>
            <w:pStyle w:val="TOC2"/>
            <w:numPr>
              <w:ilvl w:val="1"/>
              <w:numId w:val="3"/>
            </w:numPr>
            <w:tabs>
              <w:tab w:pos="891" w:val="left" w:leader="none"/>
              <w:tab w:pos="892" w:val="left" w:leader="none"/>
            </w:tabs>
            <w:spacing w:line="240" w:lineRule="auto" w:before="8" w:after="0"/>
            <w:ind w:left="891" w:right="0" w:hanging="780"/>
            <w:jc w:val="left"/>
          </w:pPr>
          <w:r>
            <w:rPr/>
            <w:t>Herramienta para la obtención de información en el análisis</w:t>
          </w:r>
          <w:r>
            <w:rPr>
              <w:spacing w:val="-13"/>
            </w:rPr>
            <w:t> </w:t>
          </w:r>
          <w:r>
            <w:rPr/>
            <w:t>de</w:t>
          </w:r>
        </w:p>
        <w:p>
          <w:pPr>
            <w:pStyle w:val="TOC5"/>
            <w:tabs>
              <w:tab w:pos="8625" w:val="right" w:leader="none"/>
            </w:tabs>
            <w:spacing w:before="201"/>
          </w:pPr>
          <w:r>
            <w:rPr/>
            <w:t>viabilidad  económica y</w:t>
          </w:r>
          <w:r>
            <w:rPr>
              <w:spacing w:val="-4"/>
            </w:rPr>
            <w:t> </w:t>
          </w:r>
          <w:r>
            <w:rPr/>
            <w:t>financiera……………………………………….</w:t>
            <w:tab/>
            <w:t>52</w:t>
          </w:r>
        </w:p>
        <w:p>
          <w:pPr>
            <w:pStyle w:val="TOC2"/>
            <w:numPr>
              <w:ilvl w:val="1"/>
              <w:numId w:val="3"/>
            </w:numPr>
            <w:tabs>
              <w:tab w:pos="891" w:val="left" w:leader="none"/>
              <w:tab w:pos="892" w:val="left" w:leader="none"/>
              <w:tab w:pos="8625" w:val="right" w:leader="none"/>
            </w:tabs>
            <w:spacing w:line="240" w:lineRule="auto" w:before="199" w:after="0"/>
            <w:ind w:left="891" w:right="0" w:hanging="780"/>
            <w:jc w:val="left"/>
          </w:pPr>
          <w:hyperlink w:history="true" w:anchor="_TOC_250017">
            <w:r>
              <w:rPr/>
              <w:t>Metodología para el análisis</w:t>
            </w:r>
            <w:r>
              <w:rPr>
                <w:spacing w:val="-3"/>
              </w:rPr>
              <w:t> </w:t>
            </w:r>
            <w:r>
              <w:rPr/>
              <w:t>de</w:t>
            </w:r>
            <w:r>
              <w:rPr>
                <w:spacing w:val="-2"/>
              </w:rPr>
              <w:t> </w:t>
            </w:r>
            <w:r>
              <w:rPr/>
              <w:t>competitividad………………………….</w:t>
              <w:tab/>
              <w:t>53</w:t>
            </w:r>
          </w:hyperlink>
        </w:p>
        <w:p>
          <w:pPr>
            <w:pStyle w:val="TOC4"/>
            <w:numPr>
              <w:ilvl w:val="2"/>
              <w:numId w:val="3"/>
            </w:numPr>
            <w:tabs>
              <w:tab w:pos="891" w:val="left" w:leader="none"/>
              <w:tab w:pos="892" w:val="left" w:leader="none"/>
              <w:tab w:pos="8625" w:val="right" w:leader="none"/>
            </w:tabs>
            <w:spacing w:line="412" w:lineRule="auto" w:before="338" w:after="0"/>
            <w:ind w:left="891" w:right="293" w:hanging="780"/>
            <w:jc w:val="left"/>
            <w:rPr>
              <w:b w:val="0"/>
              <w:i w:val="0"/>
              <w:sz w:val="24"/>
            </w:rPr>
          </w:pPr>
          <w:r>
            <w:rPr>
              <w:b w:val="0"/>
              <w:i/>
              <w:sz w:val="24"/>
            </w:rPr>
            <w:t>Descripción de variables representadas en la Matriz de Análisis de </w:t>
          </w:r>
          <w:r>
            <w:rPr>
              <w:b w:val="0"/>
              <w:sz w:val="24"/>
            </w:rPr>
            <w:t>Política</w:t>
          </w:r>
          <w:r>
            <w:rPr>
              <w:b w:val="0"/>
              <w:i w:val="0"/>
              <w:sz w:val="24"/>
            </w:rPr>
            <w:t>…………………………………………………………………...</w:t>
            <w:tab/>
            <w:t>55</w:t>
          </w:r>
        </w:p>
        <w:p>
          <w:pPr>
            <w:pStyle w:val="TOC3"/>
            <w:numPr>
              <w:ilvl w:val="2"/>
              <w:numId w:val="3"/>
            </w:numPr>
            <w:tabs>
              <w:tab w:pos="891" w:val="left" w:leader="none"/>
              <w:tab w:pos="892" w:val="left" w:leader="none"/>
            </w:tabs>
            <w:spacing w:line="240" w:lineRule="auto" w:before="8" w:after="0"/>
            <w:ind w:left="891" w:right="0" w:hanging="780"/>
            <w:jc w:val="left"/>
            <w:rPr>
              <w:i/>
            </w:rPr>
          </w:pPr>
          <w:r>
            <w:rPr>
              <w:i/>
            </w:rPr>
            <w:t>Interpretación y definición de rubros contables que integran la</w:t>
          </w:r>
          <w:r>
            <w:rPr>
              <w:i/>
              <w:spacing w:val="-8"/>
            </w:rPr>
            <w:t> </w:t>
          </w:r>
          <w:r>
            <w:rPr>
              <w:i/>
            </w:rPr>
            <w:t>Matriz</w:t>
          </w:r>
        </w:p>
        <w:p>
          <w:pPr>
            <w:pStyle w:val="TOC6"/>
            <w:tabs>
              <w:tab w:pos="8625" w:val="right" w:leader="none"/>
            </w:tabs>
            <w:rPr>
              <w:b w:val="0"/>
              <w:i w:val="0"/>
              <w:sz w:val="24"/>
            </w:rPr>
          </w:pPr>
          <w:r>
            <w:rPr>
              <w:b w:val="0"/>
              <w:i/>
              <w:sz w:val="24"/>
            </w:rPr>
            <w:t>de  Análisis</w:t>
          </w:r>
          <w:r>
            <w:rPr>
              <w:b w:val="0"/>
              <w:i w:val="0"/>
              <w:spacing w:val="-1"/>
              <w:sz w:val="24"/>
            </w:rPr>
            <w:t> </w:t>
          </w:r>
          <w:r>
            <w:rPr>
              <w:b w:val="0"/>
              <w:i/>
              <w:sz w:val="24"/>
            </w:rPr>
            <w:t>de</w:t>
          </w:r>
          <w:r>
            <w:rPr>
              <w:b w:val="0"/>
              <w:i w:val="0"/>
              <w:spacing w:val="-1"/>
              <w:sz w:val="24"/>
            </w:rPr>
            <w:t> </w:t>
          </w:r>
          <w:r>
            <w:rPr>
              <w:b w:val="0"/>
              <w:i/>
              <w:sz w:val="24"/>
            </w:rPr>
            <w:t>Política</w:t>
          </w:r>
          <w:r>
            <w:rPr>
              <w:b w:val="0"/>
              <w:i w:val="0"/>
              <w:sz w:val="24"/>
            </w:rPr>
            <w:t>…………………………………………………...</w:t>
            <w:tab/>
            <w:t>56</w:t>
          </w:r>
        </w:p>
        <w:p>
          <w:pPr>
            <w:pStyle w:val="TOC4"/>
            <w:tabs>
              <w:tab w:pos="8625" w:val="right" w:leader="none"/>
            </w:tabs>
            <w:spacing w:before="199"/>
            <w:rPr>
              <w:b w:val="0"/>
              <w:i w:val="0"/>
              <w:sz w:val="24"/>
            </w:rPr>
          </w:pPr>
          <w:r>
            <w:rPr>
              <w:b w:val="0"/>
              <w:i/>
              <w:sz w:val="24"/>
            </w:rPr>
            <w:t>4.4.2.1</w:t>
          </w:r>
          <w:r>
            <w:rPr>
              <w:b w:val="0"/>
              <w:i/>
              <w:spacing w:val="58"/>
              <w:sz w:val="24"/>
            </w:rPr>
            <w:t> </w:t>
          </w:r>
          <w:r>
            <w:rPr>
              <w:b w:val="0"/>
              <w:i/>
              <w:sz w:val="24"/>
            </w:rPr>
            <w:t>Valor</w:t>
          </w:r>
          <w:r>
            <w:rPr>
              <w:b w:val="0"/>
              <w:i/>
              <w:spacing w:val="-2"/>
              <w:sz w:val="24"/>
            </w:rPr>
            <w:t> </w:t>
          </w:r>
          <w:r>
            <w:rPr>
              <w:b w:val="0"/>
              <w:i/>
              <w:sz w:val="24"/>
            </w:rPr>
            <w:t>agregado</w:t>
          </w:r>
          <w:r>
            <w:rPr>
              <w:b w:val="0"/>
              <w:i w:val="0"/>
              <w:sz w:val="24"/>
            </w:rPr>
            <w:t>…………………………………………………………..</w:t>
            <w:tab/>
            <w:t>58</w:t>
          </w:r>
        </w:p>
        <w:p>
          <w:pPr>
            <w:pStyle w:val="TOC4"/>
            <w:tabs>
              <w:tab w:pos="8625" w:val="right" w:leader="none"/>
            </w:tabs>
            <w:rPr>
              <w:b w:val="0"/>
              <w:i w:val="0"/>
              <w:sz w:val="24"/>
            </w:rPr>
          </w:pPr>
          <w:r>
            <w:rPr>
              <w:b w:val="0"/>
              <w:i/>
              <w:sz w:val="24"/>
            </w:rPr>
            <w:t>4.4.2.2</w:t>
          </w:r>
          <w:r>
            <w:rPr>
              <w:b w:val="0"/>
              <w:i/>
              <w:spacing w:val="58"/>
              <w:sz w:val="24"/>
            </w:rPr>
            <w:t> </w:t>
          </w:r>
          <w:r>
            <w:rPr>
              <w:b w:val="0"/>
              <w:i/>
              <w:sz w:val="24"/>
            </w:rPr>
            <w:t>Consumo</w:t>
          </w:r>
          <w:r>
            <w:rPr>
              <w:b w:val="0"/>
              <w:i/>
              <w:spacing w:val="-1"/>
              <w:sz w:val="24"/>
            </w:rPr>
            <w:t> </w:t>
          </w:r>
          <w:r>
            <w:rPr>
              <w:b w:val="0"/>
              <w:i/>
              <w:sz w:val="24"/>
            </w:rPr>
            <w:t>intermedio</w:t>
          </w:r>
          <w:r>
            <w:rPr>
              <w:b w:val="0"/>
              <w:i w:val="0"/>
              <w:sz w:val="24"/>
            </w:rPr>
            <w:t>……………………………………………………...</w:t>
            <w:tab/>
            <w:t>58</w:t>
          </w:r>
        </w:p>
        <w:p>
          <w:pPr>
            <w:pStyle w:val="TOC4"/>
            <w:tabs>
              <w:tab w:pos="8625" w:val="right" w:leader="none"/>
            </w:tabs>
            <w:rPr>
              <w:b w:val="0"/>
              <w:i w:val="0"/>
              <w:sz w:val="24"/>
            </w:rPr>
          </w:pPr>
          <w:hyperlink w:history="true" w:anchor="_TOC_250016">
            <w:r>
              <w:rPr>
                <w:b w:val="0"/>
                <w:i/>
                <w:sz w:val="24"/>
              </w:rPr>
              <w:t>4.4.2.3</w:t>
            </w:r>
            <w:r>
              <w:rPr>
                <w:b w:val="0"/>
                <w:i/>
                <w:spacing w:val="58"/>
                <w:sz w:val="24"/>
              </w:rPr>
              <w:t> </w:t>
            </w:r>
            <w:r>
              <w:rPr>
                <w:b w:val="0"/>
                <w:i/>
                <w:sz w:val="24"/>
              </w:rPr>
              <w:t>Ventaja</w:t>
            </w:r>
            <w:r>
              <w:rPr>
                <w:b w:val="0"/>
                <w:i/>
                <w:spacing w:val="-1"/>
                <w:sz w:val="24"/>
              </w:rPr>
              <w:t> </w:t>
            </w:r>
            <w:r>
              <w:rPr>
                <w:b w:val="0"/>
                <w:i/>
                <w:sz w:val="24"/>
              </w:rPr>
              <w:t>comparativa</w:t>
            </w:r>
            <w:r>
              <w:rPr>
                <w:b w:val="0"/>
                <w:i w:val="0"/>
                <w:sz w:val="24"/>
              </w:rPr>
              <w:t>……………………………………………………..</w:t>
              <w:tab/>
              <w:t>58</w:t>
            </w:r>
          </w:hyperlink>
        </w:p>
        <w:p>
          <w:pPr>
            <w:pStyle w:val="TOC4"/>
            <w:numPr>
              <w:ilvl w:val="3"/>
              <w:numId w:val="3"/>
            </w:numPr>
            <w:tabs>
              <w:tab w:pos="892" w:val="left" w:leader="none"/>
              <w:tab w:pos="8625" w:val="right" w:leader="none"/>
            </w:tabs>
            <w:spacing w:line="240" w:lineRule="auto" w:before="50" w:after="0"/>
            <w:ind w:left="891" w:right="0" w:hanging="780"/>
            <w:jc w:val="left"/>
            <w:rPr>
              <w:b w:val="0"/>
              <w:i w:val="0"/>
              <w:sz w:val="24"/>
            </w:rPr>
          </w:pPr>
          <w:r>
            <w:rPr>
              <w:b w:val="0"/>
              <w:i/>
              <w:sz w:val="24"/>
            </w:rPr>
            <w:t>Coeficiente de</w:t>
          </w:r>
          <w:r>
            <w:rPr>
              <w:b w:val="0"/>
              <w:i/>
              <w:spacing w:val="-2"/>
              <w:sz w:val="24"/>
            </w:rPr>
            <w:t> </w:t>
          </w:r>
          <w:r>
            <w:rPr>
              <w:b w:val="0"/>
              <w:i/>
              <w:sz w:val="24"/>
            </w:rPr>
            <w:t>protección</w:t>
          </w:r>
          <w:r>
            <w:rPr>
              <w:b w:val="0"/>
              <w:i/>
              <w:spacing w:val="-1"/>
              <w:sz w:val="24"/>
            </w:rPr>
            <w:t> </w:t>
          </w:r>
          <w:r>
            <w:rPr>
              <w:b w:val="0"/>
              <w:i/>
              <w:sz w:val="24"/>
            </w:rPr>
            <w:t>nominal</w:t>
          </w:r>
          <w:r>
            <w:rPr>
              <w:b w:val="0"/>
              <w:i w:val="0"/>
              <w:sz w:val="24"/>
            </w:rPr>
            <w:t>……………………………………….</w:t>
            <w:tab/>
            <w:t>59</w:t>
          </w:r>
        </w:p>
        <w:p>
          <w:pPr>
            <w:pStyle w:val="TOC4"/>
            <w:numPr>
              <w:ilvl w:val="3"/>
              <w:numId w:val="3"/>
            </w:numPr>
            <w:tabs>
              <w:tab w:pos="892" w:val="left" w:leader="none"/>
              <w:tab w:pos="8625" w:val="right" w:leader="none"/>
            </w:tabs>
            <w:spacing w:line="240" w:lineRule="auto" w:before="339" w:after="0"/>
            <w:ind w:left="891" w:right="0" w:hanging="780"/>
            <w:jc w:val="left"/>
            <w:rPr>
              <w:b w:val="0"/>
              <w:i w:val="0"/>
              <w:sz w:val="24"/>
            </w:rPr>
          </w:pPr>
          <w:r>
            <w:rPr>
              <w:b w:val="0"/>
              <w:i/>
              <w:sz w:val="24"/>
            </w:rPr>
            <w:t>Coeficiente de</w:t>
          </w:r>
          <w:r>
            <w:rPr>
              <w:b w:val="0"/>
              <w:i/>
              <w:spacing w:val="-3"/>
              <w:sz w:val="24"/>
            </w:rPr>
            <w:t> </w:t>
          </w:r>
          <w:r>
            <w:rPr>
              <w:b w:val="0"/>
              <w:i/>
              <w:sz w:val="24"/>
            </w:rPr>
            <w:t>protección</w:t>
          </w:r>
          <w:r>
            <w:rPr>
              <w:b w:val="0"/>
              <w:i/>
              <w:spacing w:val="-2"/>
              <w:sz w:val="24"/>
            </w:rPr>
            <w:t> </w:t>
          </w:r>
          <w:r>
            <w:rPr>
              <w:b w:val="0"/>
              <w:i/>
              <w:sz w:val="24"/>
            </w:rPr>
            <w:t>efectiva</w:t>
          </w:r>
          <w:r>
            <w:rPr>
              <w:b w:val="0"/>
              <w:i w:val="0"/>
              <w:sz w:val="24"/>
            </w:rPr>
            <w:t>……………………………………….</w:t>
            <w:tab/>
            <w:t>59</w:t>
          </w:r>
        </w:p>
        <w:p>
          <w:pPr>
            <w:pStyle w:val="TOC2"/>
            <w:numPr>
              <w:ilvl w:val="1"/>
              <w:numId w:val="3"/>
            </w:numPr>
            <w:tabs>
              <w:tab w:pos="891" w:val="left" w:leader="none"/>
              <w:tab w:pos="892" w:val="left" w:leader="none"/>
              <w:tab w:pos="8625" w:val="right" w:leader="none"/>
            </w:tabs>
            <w:spacing w:line="240" w:lineRule="auto" w:before="338" w:after="0"/>
            <w:ind w:left="891" w:right="0" w:hanging="780"/>
            <w:jc w:val="left"/>
          </w:pPr>
          <w:hyperlink w:history="true" w:anchor="_TOC_250015">
            <w:r>
              <w:rPr/>
              <w:t>Metodología para el análisis de viabilidad económica y</w:t>
            </w:r>
            <w:r>
              <w:rPr>
                <w:spacing w:val="-6"/>
              </w:rPr>
              <w:t> </w:t>
            </w:r>
            <w:r>
              <w:rPr/>
              <w:t>financiera……...</w:t>
              <w:tab/>
              <w:t>60</w:t>
            </w:r>
          </w:hyperlink>
        </w:p>
        <w:p>
          <w:pPr>
            <w:pStyle w:val="TOC4"/>
            <w:numPr>
              <w:ilvl w:val="2"/>
              <w:numId w:val="3"/>
            </w:numPr>
            <w:tabs>
              <w:tab w:pos="891" w:val="left" w:leader="none"/>
              <w:tab w:pos="892" w:val="left" w:leader="none"/>
              <w:tab w:pos="8625" w:val="right" w:leader="none"/>
            </w:tabs>
            <w:spacing w:line="240" w:lineRule="auto" w:before="338" w:after="0"/>
            <w:ind w:left="891" w:right="0" w:hanging="780"/>
            <w:jc w:val="left"/>
            <w:rPr>
              <w:b w:val="0"/>
              <w:i w:val="0"/>
              <w:sz w:val="24"/>
            </w:rPr>
          </w:pPr>
          <w:hyperlink w:history="true" w:anchor="_TOC_250014">
            <w:r>
              <w:rPr>
                <w:b w:val="0"/>
                <w:i/>
                <w:sz w:val="24"/>
              </w:rPr>
              <w:t>Programación de un</w:t>
            </w:r>
            <w:r>
              <w:rPr>
                <w:b w:val="0"/>
                <w:i/>
                <w:spacing w:val="-2"/>
                <w:sz w:val="24"/>
              </w:rPr>
              <w:t> </w:t>
            </w:r>
            <w:r>
              <w:rPr>
                <w:b w:val="0"/>
                <w:i/>
                <w:sz w:val="24"/>
              </w:rPr>
              <w:t>modelo</w:t>
            </w:r>
            <w:r>
              <w:rPr>
                <w:b w:val="0"/>
                <w:i/>
                <w:spacing w:val="-1"/>
                <w:sz w:val="24"/>
              </w:rPr>
              <w:t> </w:t>
            </w:r>
            <w:r>
              <w:rPr>
                <w:b w:val="0"/>
                <w:i/>
                <w:sz w:val="24"/>
              </w:rPr>
              <w:t>estocástico</w:t>
            </w:r>
            <w:r>
              <w:rPr>
                <w:b w:val="0"/>
                <w:i w:val="0"/>
                <w:sz w:val="24"/>
              </w:rPr>
              <w:t>………………………………...</w:t>
              <w:tab/>
              <w:t>62</w:t>
            </w:r>
          </w:hyperlink>
        </w:p>
        <w:p>
          <w:pPr>
            <w:pStyle w:val="TOC4"/>
            <w:numPr>
              <w:ilvl w:val="2"/>
              <w:numId w:val="3"/>
            </w:numPr>
            <w:tabs>
              <w:tab w:pos="891" w:val="left" w:leader="none"/>
              <w:tab w:pos="892" w:val="left" w:leader="none"/>
              <w:tab w:pos="8625" w:val="right" w:leader="none"/>
            </w:tabs>
            <w:spacing w:line="240" w:lineRule="auto" w:before="338" w:after="0"/>
            <w:ind w:left="891" w:right="0" w:hanging="780"/>
            <w:jc w:val="left"/>
            <w:rPr>
              <w:b w:val="0"/>
              <w:i w:val="0"/>
              <w:sz w:val="24"/>
            </w:rPr>
          </w:pPr>
          <w:hyperlink w:history="true" w:anchor="_TOC_250013">
            <w:r>
              <w:rPr>
                <w:b w:val="0"/>
                <w:i/>
                <w:sz w:val="24"/>
              </w:rPr>
              <w:t>Verificación y validación</w:t>
            </w:r>
            <w:r>
              <w:rPr>
                <w:b w:val="0"/>
                <w:i/>
                <w:spacing w:val="-3"/>
                <w:sz w:val="24"/>
              </w:rPr>
              <w:t> </w:t>
            </w:r>
            <w:r>
              <w:rPr>
                <w:b w:val="0"/>
                <w:i/>
                <w:sz w:val="24"/>
              </w:rPr>
              <w:t>del</w:t>
            </w:r>
            <w:r>
              <w:rPr>
                <w:b w:val="0"/>
                <w:i/>
                <w:spacing w:val="-1"/>
                <w:sz w:val="24"/>
              </w:rPr>
              <w:t> </w:t>
            </w:r>
            <w:r>
              <w:rPr>
                <w:b w:val="0"/>
                <w:i/>
                <w:sz w:val="24"/>
              </w:rPr>
              <w:t>modelo</w:t>
            </w:r>
            <w:r>
              <w:rPr>
                <w:b w:val="0"/>
                <w:i w:val="0"/>
                <w:sz w:val="24"/>
              </w:rPr>
              <w:t>…………………………………….</w:t>
              <w:tab/>
              <w:t>62</w:t>
            </w:r>
          </w:hyperlink>
        </w:p>
        <w:p>
          <w:pPr>
            <w:pStyle w:val="TOC4"/>
            <w:numPr>
              <w:ilvl w:val="2"/>
              <w:numId w:val="3"/>
            </w:numPr>
            <w:tabs>
              <w:tab w:pos="891" w:val="left" w:leader="none"/>
              <w:tab w:pos="892" w:val="left" w:leader="none"/>
              <w:tab w:pos="8625" w:val="right" w:leader="none"/>
            </w:tabs>
            <w:spacing w:line="412" w:lineRule="auto" w:before="338" w:after="0"/>
            <w:ind w:left="891" w:right="293" w:hanging="780"/>
            <w:jc w:val="left"/>
            <w:rPr>
              <w:b w:val="0"/>
              <w:i w:val="0"/>
              <w:sz w:val="24"/>
            </w:rPr>
          </w:pPr>
          <w:hyperlink w:history="true" w:anchor="_TOC_250012">
            <w:r>
              <w:rPr>
                <w:b w:val="0"/>
                <w:i/>
                <w:sz w:val="24"/>
              </w:rPr>
              <w:t>Construcción de un modelo para determinar la viabilidad económica y </w:t>
            </w:r>
            <w:r>
              <w:rPr>
                <w:b w:val="0"/>
                <w:sz w:val="24"/>
              </w:rPr>
              <w:t>financiera</w:t>
            </w:r>
            <w:r>
              <w:rPr>
                <w:b w:val="0"/>
                <w:i w:val="0"/>
                <w:sz w:val="24"/>
              </w:rPr>
              <w:t>………………………………………………………………....</w:t>
              <w:tab/>
              <w:t>65</w:t>
            </w:r>
          </w:hyperlink>
        </w:p>
        <w:p>
          <w:pPr>
            <w:pStyle w:val="TOC3"/>
            <w:numPr>
              <w:ilvl w:val="2"/>
              <w:numId w:val="3"/>
            </w:numPr>
            <w:tabs>
              <w:tab w:pos="831" w:val="left" w:leader="none"/>
              <w:tab w:pos="832" w:val="left" w:leader="none"/>
              <w:tab w:pos="8625" w:val="right" w:leader="none"/>
            </w:tabs>
            <w:spacing w:line="240" w:lineRule="auto" w:before="8" w:after="0"/>
            <w:ind w:left="831" w:right="0" w:hanging="720"/>
            <w:jc w:val="left"/>
            <w:rPr>
              <w:i w:val="0"/>
            </w:rPr>
          </w:pPr>
          <w:hyperlink w:history="true" w:anchor="_TOC_250011">
            <w:r>
              <w:rPr>
                <w:i/>
              </w:rPr>
              <w:t>Variables del modelo en el análisis de producción</w:t>
            </w:r>
            <w:r>
              <w:rPr>
                <w:i/>
                <w:spacing w:val="-3"/>
              </w:rPr>
              <w:t> </w:t>
            </w:r>
            <w:r>
              <w:rPr>
                <w:i/>
              </w:rPr>
              <w:t>de</w:t>
            </w:r>
            <w:r>
              <w:rPr>
                <w:i/>
                <w:spacing w:val="-2"/>
              </w:rPr>
              <w:t> </w:t>
            </w:r>
            <w:r>
              <w:rPr>
                <w:i/>
              </w:rPr>
              <w:t>cultivos</w:t>
            </w:r>
            <w:r>
              <w:rPr>
                <w:i w:val="0"/>
              </w:rPr>
              <w:t>…………...</w:t>
              <w:tab/>
              <w:t>66</w:t>
            </w:r>
          </w:hyperlink>
        </w:p>
        <w:p>
          <w:pPr>
            <w:pStyle w:val="TOC4"/>
            <w:tabs>
              <w:tab w:pos="8625" w:val="right" w:leader="none"/>
            </w:tabs>
            <w:rPr>
              <w:b w:val="0"/>
              <w:i w:val="0"/>
              <w:sz w:val="24"/>
            </w:rPr>
          </w:pPr>
          <w:hyperlink w:history="true" w:anchor="_TOC_250010">
            <w:r>
              <w:rPr>
                <w:b w:val="0"/>
                <w:i/>
                <w:sz w:val="24"/>
              </w:rPr>
              <w:t>4.5.4.1  Precio estocástico</w:t>
            </w:r>
            <w:r>
              <w:rPr>
                <w:b w:val="0"/>
                <w:i/>
                <w:spacing w:val="-2"/>
                <w:sz w:val="24"/>
              </w:rPr>
              <w:t> </w:t>
            </w:r>
            <w:r>
              <w:rPr>
                <w:b w:val="0"/>
                <w:i/>
                <w:sz w:val="24"/>
              </w:rPr>
              <w:t>de</w:t>
            </w:r>
            <w:r>
              <w:rPr>
                <w:b w:val="0"/>
                <w:i/>
                <w:spacing w:val="-2"/>
                <w:sz w:val="24"/>
              </w:rPr>
              <w:t> </w:t>
            </w:r>
            <w:r>
              <w:rPr>
                <w:b w:val="0"/>
                <w:i/>
                <w:sz w:val="24"/>
              </w:rPr>
              <w:t>cultivos</w:t>
            </w:r>
            <w:r>
              <w:rPr>
                <w:b w:val="0"/>
                <w:i w:val="0"/>
                <w:sz w:val="24"/>
              </w:rPr>
              <w:t>……………………………………………</w:t>
              <w:tab/>
              <w:t>67</w:t>
            </w:r>
          </w:hyperlink>
        </w:p>
        <w:p>
          <w:pPr>
            <w:pStyle w:val="TOC4"/>
            <w:tabs>
              <w:tab w:pos="831" w:val="left" w:leader="none"/>
              <w:tab w:pos="8625" w:val="right" w:leader="none"/>
            </w:tabs>
            <w:rPr>
              <w:b w:val="0"/>
              <w:i w:val="0"/>
              <w:sz w:val="24"/>
            </w:rPr>
          </w:pPr>
          <w:hyperlink w:history="true" w:anchor="_TOC_250009">
            <w:r>
              <w:rPr>
                <w:b w:val="0"/>
                <w:i/>
                <w:sz w:val="24"/>
              </w:rPr>
              <w:t>4.5.5</w:t>
              <w:tab/>
              <w:t>Variables generales estocásticas</w:t>
            </w:r>
            <w:r>
              <w:rPr>
                <w:b w:val="0"/>
                <w:i/>
                <w:spacing w:val="-1"/>
                <w:sz w:val="24"/>
              </w:rPr>
              <w:t> </w:t>
            </w:r>
            <w:r>
              <w:rPr>
                <w:b w:val="0"/>
                <w:i/>
                <w:sz w:val="24"/>
              </w:rPr>
              <w:t>del</w:t>
            </w:r>
            <w:r>
              <w:rPr>
                <w:b w:val="0"/>
                <w:i/>
                <w:spacing w:val="-1"/>
                <w:sz w:val="24"/>
              </w:rPr>
              <w:t> </w:t>
            </w:r>
            <w:r>
              <w:rPr>
                <w:b w:val="0"/>
                <w:i/>
                <w:sz w:val="24"/>
              </w:rPr>
              <w:t>modelo</w:t>
            </w:r>
            <w:r>
              <w:rPr>
                <w:b w:val="0"/>
                <w:i w:val="0"/>
                <w:sz w:val="24"/>
              </w:rPr>
              <w:t>……………………………..</w:t>
              <w:tab/>
              <w:t>68</w:t>
            </w:r>
          </w:hyperlink>
        </w:p>
        <w:p>
          <w:pPr>
            <w:pStyle w:val="TOC4"/>
            <w:tabs>
              <w:tab w:pos="8625" w:val="right" w:leader="none"/>
            </w:tabs>
            <w:rPr>
              <w:b w:val="0"/>
              <w:i w:val="0"/>
              <w:sz w:val="24"/>
            </w:rPr>
          </w:pPr>
          <w:hyperlink w:history="true" w:anchor="_TOC_250008">
            <w:r>
              <w:rPr>
                <w:b w:val="0"/>
                <w:i/>
                <w:sz w:val="24"/>
              </w:rPr>
              <w:t>4.5.5.1</w:t>
            </w:r>
            <w:r>
              <w:rPr>
                <w:b w:val="0"/>
                <w:i/>
                <w:spacing w:val="59"/>
                <w:sz w:val="24"/>
              </w:rPr>
              <w:t> </w:t>
            </w:r>
            <w:r>
              <w:rPr>
                <w:b w:val="0"/>
                <w:i/>
                <w:sz w:val="24"/>
              </w:rPr>
              <w:t>Ingresos</w:t>
            </w:r>
            <w:r>
              <w:rPr>
                <w:b w:val="0"/>
                <w:i w:val="0"/>
                <w:sz w:val="24"/>
              </w:rPr>
              <w:t>…………………………………………………………………..</w:t>
              <w:tab/>
              <w:t>69</w:t>
            </w:r>
          </w:hyperlink>
        </w:p>
        <w:p>
          <w:pPr>
            <w:pStyle w:val="TOC4"/>
            <w:tabs>
              <w:tab w:pos="8625" w:val="right" w:leader="none"/>
            </w:tabs>
            <w:spacing w:before="336"/>
            <w:rPr>
              <w:b w:val="0"/>
              <w:i w:val="0"/>
              <w:sz w:val="24"/>
            </w:rPr>
          </w:pPr>
          <w:hyperlink w:history="true" w:anchor="_TOC_250007">
            <w:r>
              <w:rPr>
                <w:b w:val="0"/>
                <w:i/>
                <w:sz w:val="24"/>
              </w:rPr>
              <w:t>4.5.5.2</w:t>
            </w:r>
            <w:r>
              <w:rPr>
                <w:b w:val="0"/>
                <w:i/>
                <w:spacing w:val="59"/>
                <w:sz w:val="24"/>
              </w:rPr>
              <w:t> </w:t>
            </w:r>
            <w:r>
              <w:rPr>
                <w:b w:val="0"/>
                <w:i/>
                <w:sz w:val="24"/>
              </w:rPr>
              <w:t>Gastos</w:t>
            </w:r>
            <w:r>
              <w:rPr>
                <w:b w:val="0"/>
                <w:i w:val="0"/>
                <w:sz w:val="24"/>
              </w:rPr>
              <w:t>…………………………………………………………………….</w:t>
              <w:tab/>
              <w:t>70</w:t>
            </w:r>
          </w:hyperlink>
        </w:p>
        <w:p>
          <w:pPr>
            <w:pStyle w:val="TOC4"/>
            <w:tabs>
              <w:tab w:pos="8625" w:val="right" w:leader="none"/>
            </w:tabs>
            <w:spacing w:before="339"/>
            <w:rPr>
              <w:b w:val="0"/>
              <w:i w:val="0"/>
              <w:sz w:val="24"/>
            </w:rPr>
          </w:pPr>
          <w:hyperlink w:history="true" w:anchor="_TOC_250006">
            <w:r>
              <w:rPr>
                <w:b w:val="0"/>
                <w:i/>
                <w:sz w:val="24"/>
              </w:rPr>
              <w:t>4.5.5.3  Variables de flujo</w:t>
            </w:r>
            <w:r>
              <w:rPr>
                <w:b w:val="0"/>
                <w:i/>
                <w:spacing w:val="-2"/>
                <w:sz w:val="24"/>
              </w:rPr>
              <w:t> </w:t>
            </w:r>
            <w:r>
              <w:rPr>
                <w:b w:val="0"/>
                <w:i/>
                <w:sz w:val="24"/>
              </w:rPr>
              <w:t>de caja</w:t>
            </w:r>
            <w:r>
              <w:rPr>
                <w:b w:val="0"/>
                <w:i w:val="0"/>
                <w:sz w:val="24"/>
              </w:rPr>
              <w:t>………………………………………………...</w:t>
              <w:tab/>
              <w:t>70</w:t>
            </w:r>
          </w:hyperlink>
        </w:p>
        <w:p>
          <w:pPr>
            <w:pStyle w:val="TOC4"/>
            <w:tabs>
              <w:tab w:pos="8625" w:val="right" w:leader="none"/>
            </w:tabs>
            <w:rPr>
              <w:b w:val="0"/>
              <w:i w:val="0"/>
              <w:sz w:val="24"/>
            </w:rPr>
          </w:pPr>
          <w:r>
            <w:rPr>
              <w:b w:val="0"/>
              <w:i/>
              <w:sz w:val="24"/>
            </w:rPr>
            <w:t>4.5.5.4  Variables financieras o de</w:t>
          </w:r>
          <w:r>
            <w:rPr>
              <w:b w:val="0"/>
              <w:i/>
              <w:spacing w:val="-3"/>
              <w:sz w:val="24"/>
            </w:rPr>
            <w:t> </w:t>
          </w:r>
          <w:r>
            <w:rPr>
              <w:b w:val="0"/>
              <w:i/>
              <w:sz w:val="24"/>
            </w:rPr>
            <w:t>salida</w:t>
          </w:r>
          <w:r>
            <w:rPr>
              <w:b w:val="0"/>
              <w:i/>
              <w:spacing w:val="-1"/>
              <w:sz w:val="24"/>
            </w:rPr>
            <w:t> </w:t>
          </w:r>
          <w:r>
            <w:rPr>
              <w:b w:val="0"/>
              <w:i/>
              <w:sz w:val="24"/>
            </w:rPr>
            <w:t>clave</w:t>
          </w:r>
          <w:r>
            <w:rPr>
              <w:b w:val="0"/>
              <w:i w:val="0"/>
              <w:sz w:val="24"/>
            </w:rPr>
            <w:t>………………………………….</w:t>
            <w:tab/>
            <w:t>72</w:t>
          </w:r>
        </w:p>
        <w:p>
          <w:pPr>
            <w:pStyle w:val="TOC2"/>
            <w:tabs>
              <w:tab w:pos="891" w:val="left" w:leader="none"/>
              <w:tab w:pos="8625" w:val="right" w:leader="none"/>
            </w:tabs>
            <w:ind w:left="111" w:firstLine="0"/>
          </w:pPr>
          <w:hyperlink w:history="true" w:anchor="_TOC_250005">
            <w:r>
              <w:rPr/>
              <w:t>4.6</w:t>
              <w:tab/>
              <w:t>Dominancia</w:t>
            </w:r>
            <w:r>
              <w:rPr>
                <w:spacing w:val="-1"/>
              </w:rPr>
              <w:t> </w:t>
            </w:r>
            <w:r>
              <w:rPr/>
              <w:t>Estocástica…………………………………………………..</w:t>
              <w:tab/>
              <w:t>73</w:t>
            </w:r>
          </w:hyperlink>
        </w:p>
        <w:p>
          <w:pPr>
            <w:pStyle w:val="TOC4"/>
            <w:numPr>
              <w:ilvl w:val="2"/>
              <w:numId w:val="4"/>
            </w:numPr>
            <w:tabs>
              <w:tab w:pos="831" w:val="left" w:leader="none"/>
              <w:tab w:pos="832" w:val="left" w:leader="none"/>
              <w:tab w:pos="8625" w:val="right" w:leader="none"/>
            </w:tabs>
            <w:spacing w:line="240" w:lineRule="auto" w:before="338" w:after="0"/>
            <w:ind w:left="831" w:right="0" w:hanging="720"/>
            <w:jc w:val="left"/>
            <w:rPr>
              <w:b w:val="0"/>
              <w:i w:val="0"/>
              <w:sz w:val="24"/>
            </w:rPr>
          </w:pPr>
          <w:r>
            <w:rPr>
              <w:b w:val="0"/>
              <w:i/>
              <w:sz w:val="24"/>
            </w:rPr>
            <w:t>Dominancia Estocástica de</w:t>
          </w:r>
          <w:r>
            <w:rPr>
              <w:b w:val="0"/>
              <w:i/>
              <w:spacing w:val="-2"/>
              <w:sz w:val="24"/>
            </w:rPr>
            <w:t> </w:t>
          </w:r>
          <w:r>
            <w:rPr>
              <w:b w:val="0"/>
              <w:i/>
              <w:sz w:val="24"/>
            </w:rPr>
            <w:t>Primer Orden</w:t>
          </w:r>
          <w:r>
            <w:rPr>
              <w:b w:val="0"/>
              <w:i w:val="0"/>
              <w:sz w:val="24"/>
            </w:rPr>
            <w:t>……………………………….</w:t>
            <w:tab/>
            <w:t>74</w:t>
          </w:r>
        </w:p>
        <w:p>
          <w:pPr>
            <w:pStyle w:val="TOC4"/>
            <w:numPr>
              <w:ilvl w:val="2"/>
              <w:numId w:val="4"/>
            </w:numPr>
            <w:tabs>
              <w:tab w:pos="831" w:val="left" w:leader="none"/>
              <w:tab w:pos="832" w:val="left" w:leader="none"/>
              <w:tab w:pos="8625" w:val="right" w:leader="none"/>
            </w:tabs>
            <w:spacing w:line="240" w:lineRule="auto" w:before="338" w:after="0"/>
            <w:ind w:left="831" w:right="0" w:hanging="720"/>
            <w:jc w:val="left"/>
            <w:rPr>
              <w:b w:val="0"/>
              <w:i w:val="0"/>
              <w:sz w:val="24"/>
            </w:rPr>
          </w:pPr>
          <w:hyperlink w:history="true" w:anchor="_TOC_250004">
            <w:r>
              <w:rPr>
                <w:b w:val="0"/>
                <w:i/>
                <w:sz w:val="24"/>
              </w:rPr>
              <w:t>Dominancia Estocástica de</w:t>
            </w:r>
            <w:r>
              <w:rPr>
                <w:b w:val="0"/>
                <w:i/>
                <w:spacing w:val="-3"/>
                <w:sz w:val="24"/>
              </w:rPr>
              <w:t> </w:t>
            </w:r>
            <w:r>
              <w:rPr>
                <w:b w:val="0"/>
                <w:i/>
                <w:sz w:val="24"/>
              </w:rPr>
              <w:t>Segundo Orden</w:t>
            </w:r>
            <w:r>
              <w:rPr>
                <w:b w:val="0"/>
                <w:i w:val="0"/>
                <w:sz w:val="24"/>
              </w:rPr>
              <w:t>……………………………...</w:t>
              <w:tab/>
              <w:t>76</w:t>
            </w:r>
          </w:hyperlink>
        </w:p>
        <w:p>
          <w:pPr>
            <w:pStyle w:val="TOC4"/>
            <w:numPr>
              <w:ilvl w:val="2"/>
              <w:numId w:val="4"/>
            </w:numPr>
            <w:tabs>
              <w:tab w:pos="831" w:val="left" w:leader="none"/>
              <w:tab w:pos="832" w:val="left" w:leader="none"/>
              <w:tab w:pos="8625" w:val="right" w:leader="none"/>
            </w:tabs>
            <w:spacing w:line="240" w:lineRule="auto" w:before="336" w:after="0"/>
            <w:ind w:left="831" w:right="0" w:hanging="720"/>
            <w:jc w:val="left"/>
            <w:rPr>
              <w:b w:val="0"/>
              <w:i w:val="0"/>
              <w:sz w:val="24"/>
            </w:rPr>
          </w:pPr>
          <w:hyperlink w:history="true" w:anchor="_TOC_250003">
            <w:r>
              <w:rPr>
                <w:b w:val="0"/>
                <w:i/>
                <w:sz w:val="24"/>
              </w:rPr>
              <w:t>Dominancia Estocástica con Respecto a</w:t>
            </w:r>
            <w:r>
              <w:rPr>
                <w:b w:val="0"/>
                <w:i/>
                <w:spacing w:val="-2"/>
                <w:sz w:val="24"/>
              </w:rPr>
              <w:t> </w:t>
            </w:r>
            <w:r>
              <w:rPr>
                <w:b w:val="0"/>
                <w:i/>
                <w:sz w:val="24"/>
              </w:rPr>
              <w:t>una</w:t>
            </w:r>
            <w:r>
              <w:rPr>
                <w:b w:val="0"/>
                <w:i/>
                <w:spacing w:val="-1"/>
                <w:sz w:val="24"/>
              </w:rPr>
              <w:t> </w:t>
            </w:r>
            <w:r>
              <w:rPr>
                <w:b w:val="0"/>
                <w:i/>
                <w:sz w:val="24"/>
              </w:rPr>
              <w:t>Función</w:t>
            </w:r>
            <w:r>
              <w:rPr>
                <w:b w:val="0"/>
                <w:i w:val="0"/>
                <w:sz w:val="24"/>
              </w:rPr>
              <w:t>…………………...</w:t>
              <w:tab/>
              <w:t>77</w:t>
            </w:r>
          </w:hyperlink>
        </w:p>
        <w:p>
          <w:pPr>
            <w:pStyle w:val="TOC1"/>
            <w:tabs>
              <w:tab w:pos="8385" w:val="left" w:leader="none"/>
            </w:tabs>
            <w:spacing w:before="14"/>
          </w:pPr>
          <w:hyperlink w:history="true" w:anchor="_TOC_250002">
            <w:r>
              <w:rPr/>
              <w:t>CAPÍTULO </w:t>
            </w:r>
            <w:r>
              <w:rPr>
                <w:sz w:val="50"/>
              </w:rPr>
              <w:t>5</w:t>
            </w:r>
            <w:r>
              <w:rPr>
                <w:position w:val="-5"/>
              </w:rPr>
              <w:tab/>
              <w:t>80</w:t>
            </w:r>
          </w:hyperlink>
        </w:p>
        <w:p>
          <w:pPr>
            <w:pStyle w:val="TOC1"/>
            <w:tabs>
              <w:tab w:pos="8385" w:val="left" w:leader="none"/>
            </w:tabs>
            <w:spacing w:before="197"/>
          </w:pPr>
          <w:hyperlink w:history="true" w:anchor="_TOC_250001">
            <w:r>
              <w:rPr/>
              <w:t>RESULTADOS</w:t>
              <w:tab/>
              <w:t>80</w:t>
            </w:r>
          </w:hyperlink>
        </w:p>
        <w:p>
          <w:pPr>
            <w:pStyle w:val="TOC2"/>
            <w:numPr>
              <w:ilvl w:val="1"/>
              <w:numId w:val="5"/>
            </w:numPr>
            <w:tabs>
              <w:tab w:pos="891" w:val="left" w:leader="none"/>
              <w:tab w:pos="892" w:val="left" w:leader="none"/>
            </w:tabs>
            <w:spacing w:line="240" w:lineRule="auto" w:before="333" w:after="0"/>
            <w:ind w:left="891" w:right="0" w:hanging="780"/>
            <w:jc w:val="left"/>
          </w:pPr>
          <w:r>
            <w:rPr/>
            <w:t>Análisis de costos y estrategias productivas en la lechería de</w:t>
          </w:r>
          <w:r>
            <w:rPr>
              <w:spacing w:val="-12"/>
            </w:rPr>
            <w:t> </w:t>
          </w:r>
          <w:r>
            <w:rPr/>
            <w:t>pequeña</w:t>
          </w:r>
        </w:p>
        <w:p>
          <w:pPr>
            <w:pStyle w:val="TOC5"/>
            <w:tabs>
              <w:tab w:pos="8385" w:val="left" w:leader="none"/>
            </w:tabs>
          </w:pPr>
          <w:r>
            <w:rPr/>
            <w:t>escala en el</w:t>
          </w:r>
          <w:r>
            <w:rPr>
              <w:spacing w:val="-1"/>
            </w:rPr>
            <w:t> </w:t>
          </w:r>
          <w:r>
            <w:rPr/>
            <w:t>periodo:</w:t>
          </w:r>
          <w:r>
            <w:rPr>
              <w:spacing w:val="-1"/>
            </w:rPr>
            <w:t> </w:t>
          </w:r>
          <w:r>
            <w:rPr/>
            <w:t>2000-2012………………………………………….</w:t>
            <w:tab/>
            <w:t>81</w:t>
          </w:r>
        </w:p>
        <w:p>
          <w:pPr>
            <w:pStyle w:val="TOC2"/>
            <w:numPr>
              <w:ilvl w:val="1"/>
              <w:numId w:val="5"/>
            </w:numPr>
            <w:tabs>
              <w:tab w:pos="891" w:val="left" w:leader="none"/>
              <w:tab w:pos="892" w:val="left" w:leader="none"/>
              <w:tab w:pos="8325" w:val="left" w:leader="none"/>
            </w:tabs>
            <w:spacing w:line="240" w:lineRule="auto" w:before="201" w:after="0"/>
            <w:ind w:left="891" w:right="0" w:hanging="780"/>
            <w:jc w:val="left"/>
          </w:pPr>
          <w:hyperlink w:history="true" w:anchor="_TOC_250000">
            <w:r>
              <w:rPr/>
              <w:t>Competitividad y rentabilidad privada en la lechería de</w:t>
            </w:r>
            <w:r>
              <w:rPr>
                <w:spacing w:val="-12"/>
              </w:rPr>
              <w:t> </w:t>
            </w:r>
            <w:r>
              <w:rPr/>
              <w:t>pequeña</w:t>
            </w:r>
            <w:r>
              <w:rPr>
                <w:spacing w:val="3"/>
              </w:rPr>
              <w:t> </w:t>
            </w:r>
            <w:r>
              <w:rPr/>
              <w:t>escala...</w:t>
              <w:tab/>
              <w:t>108</w:t>
            </w:r>
          </w:hyperlink>
        </w:p>
        <w:p>
          <w:pPr>
            <w:pStyle w:val="TOC2"/>
            <w:numPr>
              <w:ilvl w:val="1"/>
              <w:numId w:val="5"/>
            </w:numPr>
            <w:tabs>
              <w:tab w:pos="891" w:val="left" w:leader="none"/>
              <w:tab w:pos="892" w:val="left" w:leader="none"/>
            </w:tabs>
            <w:spacing w:line="240" w:lineRule="auto" w:before="338" w:after="0"/>
            <w:ind w:left="891" w:right="0" w:hanging="780"/>
            <w:jc w:val="left"/>
          </w:pPr>
          <w:r>
            <w:rPr/>
            <w:t>Contribution of family labour to the profitability and competitiveness</w:t>
          </w:r>
          <w:r>
            <w:rPr>
              <w:spacing w:val="-14"/>
            </w:rPr>
            <w:t> </w:t>
          </w:r>
          <w:r>
            <w:rPr/>
            <w:t>of</w:t>
          </w:r>
        </w:p>
        <w:p>
          <w:pPr>
            <w:pStyle w:val="TOC5"/>
            <w:tabs>
              <w:tab w:pos="8325" w:val="left" w:leader="none"/>
            </w:tabs>
            <w:spacing w:before="200"/>
          </w:pPr>
          <w:r>
            <w:rPr/>
            <w:t>small-scale dairy production systems in</w:t>
          </w:r>
          <w:r>
            <w:rPr>
              <w:spacing w:val="-6"/>
            </w:rPr>
            <w:t> </w:t>
          </w:r>
          <w:r>
            <w:rPr/>
            <w:t>central</w:t>
          </w:r>
          <w:r>
            <w:rPr>
              <w:spacing w:val="-1"/>
            </w:rPr>
            <w:t> </w:t>
          </w:r>
          <w:r>
            <w:rPr/>
            <w:t>Mexico………………....</w:t>
            <w:tab/>
            <w:t>124</w:t>
          </w:r>
        </w:p>
      </w:sdtContent>
    </w:sdt>
    <w:p>
      <w:pPr>
        <w:spacing w:after="0"/>
        <w:sectPr>
          <w:pgSz w:w="12240" w:h="15840"/>
          <w:pgMar w:header="0" w:footer="657" w:top="1360" w:bottom="2105" w:left="1660" w:right="1660"/>
        </w:sectPr>
      </w:pPr>
    </w:p>
    <w:p>
      <w:pPr>
        <w:pStyle w:val="ListParagraph"/>
        <w:numPr>
          <w:ilvl w:val="1"/>
          <w:numId w:val="5"/>
        </w:numPr>
        <w:tabs>
          <w:tab w:pos="891" w:val="left" w:leader="none"/>
          <w:tab w:pos="892" w:val="left" w:leader="none"/>
        </w:tabs>
        <w:spacing w:line="415" w:lineRule="auto" w:before="199" w:after="0"/>
        <w:ind w:left="891" w:right="1211" w:hanging="780"/>
        <w:jc w:val="left"/>
        <w:rPr>
          <w:sz w:val="24"/>
        </w:rPr>
      </w:pPr>
      <w:r>
        <w:rPr>
          <w:sz w:val="24"/>
        </w:rPr>
        <w:t>Viabilidad económica y financiera de los sistemas lecheros de</w:t>
      </w:r>
      <w:r>
        <w:rPr>
          <w:spacing w:val="-13"/>
          <w:sz w:val="24"/>
        </w:rPr>
        <w:t> </w:t>
      </w:r>
      <w:r>
        <w:rPr>
          <w:sz w:val="24"/>
        </w:rPr>
        <w:t>pequeña escala y el papel de la mano de obra familiar: panorama</w:t>
      </w:r>
      <w:r>
        <w:rPr>
          <w:spacing w:val="-13"/>
          <w:sz w:val="24"/>
        </w:rPr>
        <w:t> </w:t>
      </w:r>
      <w:r>
        <w:rPr>
          <w:sz w:val="24"/>
        </w:rPr>
        <w:t>económico</w:t>
      </w:r>
    </w:p>
    <w:p>
      <w:pPr>
        <w:pStyle w:val="BodyText"/>
        <w:tabs>
          <w:tab w:pos="8325" w:val="left" w:leader="none"/>
        </w:tabs>
        <w:spacing w:before="5"/>
        <w:ind w:left="891"/>
      </w:pPr>
      <w:r>
        <w:rPr/>
        <w:t>2010-019……………………………………………………………….....</w:t>
        <w:tab/>
        <w:t>144</w:t>
      </w:r>
    </w:p>
    <w:p>
      <w:pPr>
        <w:pStyle w:val="ListParagraph"/>
        <w:numPr>
          <w:ilvl w:val="1"/>
          <w:numId w:val="5"/>
        </w:numPr>
        <w:tabs>
          <w:tab w:pos="891" w:val="left" w:leader="none"/>
          <w:tab w:pos="892" w:val="left" w:leader="none"/>
        </w:tabs>
        <w:spacing w:line="240" w:lineRule="auto" w:before="199" w:after="0"/>
        <w:ind w:left="891" w:right="0" w:hanging="780"/>
        <w:jc w:val="left"/>
        <w:rPr>
          <w:sz w:val="24"/>
        </w:rPr>
      </w:pPr>
      <w:r>
        <w:rPr>
          <w:sz w:val="24"/>
        </w:rPr>
        <w:t>Economic and financial viability of small-scale dairy systems in</w:t>
      </w:r>
      <w:r>
        <w:rPr>
          <w:spacing w:val="-12"/>
          <w:sz w:val="24"/>
        </w:rPr>
        <w:t> </w:t>
      </w:r>
      <w:r>
        <w:rPr>
          <w:sz w:val="24"/>
        </w:rPr>
        <w:t>central</w:t>
      </w:r>
    </w:p>
    <w:p>
      <w:pPr>
        <w:pStyle w:val="BodyText"/>
        <w:tabs>
          <w:tab w:pos="8685" w:val="right" w:leader="none"/>
        </w:tabs>
        <w:spacing w:before="199"/>
        <w:ind w:left="891"/>
      </w:pPr>
      <w:r>
        <w:rPr/>
        <w:t>Mexico: Economic</w:t>
      </w:r>
      <w:r>
        <w:rPr>
          <w:spacing w:val="-2"/>
        </w:rPr>
        <w:t> </w:t>
      </w:r>
      <w:r>
        <w:rPr/>
        <w:t>scenario</w:t>
      </w:r>
      <w:r>
        <w:rPr>
          <w:spacing w:val="-1"/>
        </w:rPr>
        <w:t> </w:t>
      </w:r>
      <w:r>
        <w:rPr/>
        <w:t>2010-2018………………………………….</w:t>
        <w:tab/>
        <w:t>162</w:t>
      </w:r>
    </w:p>
    <w:p>
      <w:pPr>
        <w:pStyle w:val="Heading1"/>
        <w:tabs>
          <w:tab w:pos="8685" w:val="right" w:leader="none"/>
        </w:tabs>
        <w:spacing w:before="225"/>
        <w:ind w:left="111"/>
        <w:jc w:val="left"/>
      </w:pPr>
      <w:r>
        <w:rPr/>
        <w:t>CAPÍTULO </w:t>
      </w:r>
      <w:r>
        <w:rPr>
          <w:sz w:val="50"/>
        </w:rPr>
        <w:t>6</w:t>
      </w:r>
      <w:r>
        <w:rPr>
          <w:position w:val="-5"/>
        </w:rPr>
        <w:tab/>
        <w:t>193</w:t>
      </w:r>
    </w:p>
    <w:p>
      <w:pPr>
        <w:pStyle w:val="Heading1"/>
        <w:tabs>
          <w:tab w:pos="8685" w:val="right" w:leader="none"/>
        </w:tabs>
        <w:spacing w:before="197"/>
        <w:ind w:left="111"/>
        <w:jc w:val="left"/>
      </w:pPr>
      <w:r>
        <w:rPr/>
        <w:t>OTROS</w:t>
      </w:r>
      <w:r>
        <w:rPr>
          <w:spacing w:val="-1"/>
        </w:rPr>
        <w:t> </w:t>
      </w:r>
      <w:r>
        <w:rPr/>
        <w:t>RESULTADOS</w:t>
        <w:tab/>
        <w:t>193</w:t>
      </w:r>
    </w:p>
    <w:p>
      <w:pPr>
        <w:pStyle w:val="ListParagraph"/>
        <w:numPr>
          <w:ilvl w:val="1"/>
          <w:numId w:val="6"/>
        </w:numPr>
        <w:tabs>
          <w:tab w:pos="831" w:val="left" w:leader="none"/>
          <w:tab w:pos="832" w:val="left" w:leader="none"/>
          <w:tab w:pos="8685" w:val="right" w:leader="none"/>
        </w:tabs>
        <w:spacing w:line="415" w:lineRule="auto" w:before="331" w:after="0"/>
        <w:ind w:left="831" w:right="233" w:hanging="720"/>
        <w:jc w:val="left"/>
        <w:rPr>
          <w:sz w:val="24"/>
        </w:rPr>
      </w:pPr>
      <w:r>
        <w:rPr>
          <w:sz w:val="24"/>
        </w:rPr>
        <w:t>Análisis de la cadena agroalimentaria productora de leche de pequeña escala……………………………………………………………………...</w:t>
        <w:tab/>
        <w:t>193</w:t>
      </w:r>
    </w:p>
    <w:p>
      <w:pPr>
        <w:pStyle w:val="ListParagraph"/>
        <w:numPr>
          <w:ilvl w:val="1"/>
          <w:numId w:val="6"/>
        </w:numPr>
        <w:tabs>
          <w:tab w:pos="831" w:val="left" w:leader="none"/>
          <w:tab w:pos="832" w:val="left" w:leader="none"/>
          <w:tab w:pos="8685" w:val="right" w:leader="none"/>
        </w:tabs>
        <w:spacing w:line="240" w:lineRule="auto" w:before="5" w:after="0"/>
        <w:ind w:left="831" w:right="0" w:hanging="720"/>
        <w:jc w:val="left"/>
        <w:rPr>
          <w:sz w:val="24"/>
        </w:rPr>
      </w:pPr>
      <w:r>
        <w:rPr>
          <w:sz w:val="24"/>
        </w:rPr>
        <w:t>Estructura de la</w:t>
      </w:r>
      <w:r>
        <w:rPr>
          <w:spacing w:val="-5"/>
          <w:sz w:val="24"/>
        </w:rPr>
        <w:t> </w:t>
      </w:r>
      <w:r>
        <w:rPr>
          <w:sz w:val="24"/>
        </w:rPr>
        <w:t>cadena agroalimentaria…………………………………..</w:t>
        <w:tab/>
        <w:t>194</w:t>
      </w:r>
    </w:p>
    <w:p>
      <w:pPr>
        <w:tabs>
          <w:tab w:pos="831" w:val="left" w:leader="none"/>
          <w:tab w:pos="8685" w:val="right" w:leader="none"/>
        </w:tabs>
        <w:spacing w:before="338"/>
        <w:ind w:left="111" w:right="0" w:firstLine="0"/>
        <w:jc w:val="left"/>
        <w:rPr>
          <w:sz w:val="24"/>
        </w:rPr>
      </w:pPr>
      <w:r>
        <w:rPr>
          <w:i/>
          <w:sz w:val="24"/>
        </w:rPr>
        <w:t>6.2.1</w:t>
        <w:tab/>
        <w:t>Eslabón</w:t>
      </w:r>
      <w:r>
        <w:rPr>
          <w:i/>
          <w:spacing w:val="-2"/>
          <w:sz w:val="24"/>
        </w:rPr>
        <w:t> </w:t>
      </w:r>
      <w:r>
        <w:rPr>
          <w:i/>
          <w:sz w:val="24"/>
        </w:rPr>
        <w:t>de</w:t>
      </w:r>
      <w:r>
        <w:rPr>
          <w:i/>
          <w:spacing w:val="-1"/>
          <w:sz w:val="24"/>
        </w:rPr>
        <w:t> </w:t>
      </w:r>
      <w:r>
        <w:rPr>
          <w:i/>
          <w:sz w:val="24"/>
        </w:rPr>
        <w:t>transformación</w:t>
      </w:r>
      <w:r>
        <w:rPr>
          <w:sz w:val="24"/>
        </w:rPr>
        <w:t>……………………………………………….</w:t>
        <w:tab/>
        <w:t>195</w:t>
      </w:r>
    </w:p>
    <w:p>
      <w:pPr>
        <w:pStyle w:val="ListParagraph"/>
        <w:numPr>
          <w:ilvl w:val="1"/>
          <w:numId w:val="6"/>
        </w:numPr>
        <w:tabs>
          <w:tab w:pos="831" w:val="left" w:leader="none"/>
          <w:tab w:pos="832" w:val="left" w:leader="none"/>
        </w:tabs>
        <w:spacing w:line="240" w:lineRule="auto" w:before="338" w:after="0"/>
        <w:ind w:left="831" w:right="0" w:hanging="720"/>
        <w:jc w:val="left"/>
        <w:rPr>
          <w:sz w:val="24"/>
        </w:rPr>
      </w:pPr>
      <w:r>
        <w:rPr>
          <w:sz w:val="24"/>
        </w:rPr>
        <w:t>Metodología para analizar la competitividad y márgenes</w:t>
      </w:r>
      <w:r>
        <w:rPr>
          <w:spacing w:val="-11"/>
          <w:sz w:val="24"/>
        </w:rPr>
        <w:t> </w:t>
      </w:r>
      <w:r>
        <w:rPr>
          <w:sz w:val="24"/>
        </w:rPr>
        <w:t>de</w:t>
      </w:r>
    </w:p>
    <w:p>
      <w:pPr>
        <w:pStyle w:val="BodyText"/>
        <w:tabs>
          <w:tab w:pos="8685" w:val="right" w:leader="none"/>
        </w:tabs>
        <w:spacing w:before="200"/>
        <w:ind w:left="831"/>
      </w:pPr>
      <w:r>
        <w:rPr/>
        <w:t>comercialización de la</w:t>
      </w:r>
      <w:r>
        <w:rPr>
          <w:spacing w:val="-1"/>
        </w:rPr>
        <w:t> </w:t>
      </w:r>
      <w:r>
        <w:rPr/>
        <w:t>cadena agroalimentaria…………………………...</w:t>
        <w:tab/>
        <w:t>196</w:t>
      </w:r>
    </w:p>
    <w:p>
      <w:pPr>
        <w:pStyle w:val="BodyText"/>
        <w:tabs>
          <w:tab w:pos="831" w:val="left" w:leader="none"/>
          <w:tab w:pos="8685" w:val="right" w:leader="none"/>
        </w:tabs>
        <w:spacing w:before="199"/>
        <w:ind w:left="111"/>
      </w:pPr>
      <w:r>
        <w:rPr/>
        <w:t>6.4</w:t>
        <w:tab/>
        <w:t>Resultados…………………………………………………………………</w:t>
        <w:tab/>
        <w:t>196</w:t>
      </w:r>
    </w:p>
    <w:p>
      <w:pPr>
        <w:pStyle w:val="ListParagraph"/>
        <w:numPr>
          <w:ilvl w:val="1"/>
          <w:numId w:val="7"/>
        </w:numPr>
        <w:tabs>
          <w:tab w:pos="831" w:val="left" w:leader="none"/>
          <w:tab w:pos="832" w:val="left" w:leader="none"/>
          <w:tab w:pos="8685" w:val="right" w:leader="none"/>
        </w:tabs>
        <w:spacing w:line="240" w:lineRule="auto" w:before="338" w:after="0"/>
        <w:ind w:left="831" w:right="0" w:hanging="720"/>
        <w:jc w:val="left"/>
        <w:rPr>
          <w:sz w:val="24"/>
        </w:rPr>
      </w:pPr>
      <w:r>
        <w:rPr>
          <w:sz w:val="24"/>
        </w:rPr>
        <w:t>Análisis de competitividad para el eslabón de producción</w:t>
      </w:r>
      <w:r>
        <w:rPr>
          <w:spacing w:val="-5"/>
          <w:sz w:val="24"/>
        </w:rPr>
        <w:t> </w:t>
      </w:r>
      <w:r>
        <w:rPr>
          <w:sz w:val="24"/>
        </w:rPr>
        <w:t>de</w:t>
      </w:r>
      <w:r>
        <w:rPr>
          <w:spacing w:val="-2"/>
          <w:sz w:val="24"/>
        </w:rPr>
        <w:t> </w:t>
      </w:r>
      <w:r>
        <w:rPr>
          <w:sz w:val="24"/>
        </w:rPr>
        <w:t>insumos…..</w:t>
        <w:tab/>
        <w:t>196</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Coeficiente de</w:t>
      </w:r>
      <w:r>
        <w:rPr>
          <w:i/>
          <w:spacing w:val="-3"/>
          <w:sz w:val="24"/>
        </w:rPr>
        <w:t> </w:t>
      </w:r>
      <w:r>
        <w:rPr>
          <w:i/>
          <w:sz w:val="24"/>
        </w:rPr>
        <w:t>rentabilidad</w:t>
      </w:r>
      <w:r>
        <w:rPr>
          <w:i/>
          <w:spacing w:val="-1"/>
          <w:sz w:val="24"/>
        </w:rPr>
        <w:t> </w:t>
      </w:r>
      <w:r>
        <w:rPr>
          <w:i/>
          <w:sz w:val="24"/>
        </w:rPr>
        <w:t>privada</w:t>
      </w:r>
      <w:r>
        <w:rPr>
          <w:sz w:val="24"/>
        </w:rPr>
        <w:t>……………………………………....</w:t>
        <w:tab/>
        <w:t>198</w:t>
      </w:r>
    </w:p>
    <w:p>
      <w:pPr>
        <w:spacing w:after="0" w:line="240" w:lineRule="auto"/>
        <w:jc w:val="left"/>
        <w:rPr>
          <w:sz w:val="24"/>
        </w:rPr>
        <w:sectPr>
          <w:type w:val="continuous"/>
          <w:pgSz w:w="12240" w:h="15840"/>
          <w:pgMar w:top="1420" w:bottom="840" w:left="1660" w:right="1660"/>
        </w:sectPr>
      </w:pPr>
    </w:p>
    <w:p>
      <w:pPr>
        <w:pStyle w:val="ListParagraph"/>
        <w:numPr>
          <w:ilvl w:val="2"/>
          <w:numId w:val="7"/>
        </w:numPr>
        <w:tabs>
          <w:tab w:pos="831" w:val="left" w:leader="none"/>
          <w:tab w:pos="832" w:val="left" w:leader="none"/>
          <w:tab w:pos="8685" w:val="right" w:leader="none"/>
        </w:tabs>
        <w:spacing w:line="240" w:lineRule="auto" w:before="50" w:after="0"/>
        <w:ind w:left="831" w:right="0" w:hanging="720"/>
        <w:jc w:val="left"/>
        <w:rPr>
          <w:sz w:val="24"/>
        </w:rPr>
      </w:pPr>
      <w:r>
        <w:rPr>
          <w:i/>
          <w:sz w:val="24"/>
        </w:rPr>
        <w:t>Consumo intermedio en el</w:t>
      </w:r>
      <w:r>
        <w:rPr>
          <w:i/>
          <w:spacing w:val="-1"/>
          <w:sz w:val="24"/>
        </w:rPr>
        <w:t> </w:t>
      </w:r>
      <w:r>
        <w:rPr>
          <w:i/>
          <w:sz w:val="24"/>
        </w:rPr>
        <w:t>ingreso</w:t>
      </w:r>
      <w:r>
        <w:rPr>
          <w:i/>
          <w:spacing w:val="-1"/>
          <w:sz w:val="24"/>
        </w:rPr>
        <w:t> </w:t>
      </w:r>
      <w:r>
        <w:rPr>
          <w:i/>
          <w:sz w:val="24"/>
        </w:rPr>
        <w:t>total</w:t>
      </w:r>
      <w:r>
        <w:rPr>
          <w:sz w:val="24"/>
        </w:rPr>
        <w:t>………………………………….</w:t>
        <w:tab/>
        <w:t>198</w:t>
      </w:r>
    </w:p>
    <w:p>
      <w:pPr>
        <w:pStyle w:val="ListParagraph"/>
        <w:numPr>
          <w:ilvl w:val="2"/>
          <w:numId w:val="7"/>
        </w:numPr>
        <w:tabs>
          <w:tab w:pos="831" w:val="left" w:leader="none"/>
          <w:tab w:pos="832" w:val="left" w:leader="none"/>
          <w:tab w:pos="8685" w:val="right" w:leader="none"/>
        </w:tabs>
        <w:spacing w:line="240" w:lineRule="auto" w:before="339" w:after="0"/>
        <w:ind w:left="831" w:right="0" w:hanging="720"/>
        <w:jc w:val="left"/>
        <w:rPr>
          <w:sz w:val="24"/>
        </w:rPr>
      </w:pPr>
      <w:r>
        <w:rPr>
          <w:i/>
          <w:sz w:val="24"/>
        </w:rPr>
        <w:t>Valor agregado en el</w:t>
      </w:r>
      <w:r>
        <w:rPr>
          <w:i/>
          <w:spacing w:val="-1"/>
          <w:sz w:val="24"/>
        </w:rPr>
        <w:t> </w:t>
      </w:r>
      <w:r>
        <w:rPr>
          <w:i/>
          <w:sz w:val="24"/>
        </w:rPr>
        <w:t>ingreso total</w:t>
      </w:r>
      <w:r>
        <w:rPr>
          <w:sz w:val="24"/>
        </w:rPr>
        <w:t>………………………………………..</w:t>
        <w:tab/>
        <w:t>199</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sz w:val="24"/>
        </w:rPr>
        <w:t>Valor agregado a precios</w:t>
      </w:r>
      <w:r>
        <w:rPr>
          <w:spacing w:val="-2"/>
          <w:sz w:val="24"/>
        </w:rPr>
        <w:t> </w:t>
      </w:r>
      <w:r>
        <w:rPr>
          <w:sz w:val="24"/>
        </w:rPr>
        <w:t>privados………………………………………..</w:t>
        <w:tab/>
        <w:t>199</w:t>
      </w:r>
    </w:p>
    <w:p>
      <w:pPr>
        <w:tabs>
          <w:tab w:pos="831" w:val="left" w:leader="none"/>
          <w:tab w:pos="8685" w:val="right" w:leader="none"/>
        </w:tabs>
        <w:spacing w:before="338"/>
        <w:ind w:left="111" w:right="0" w:firstLine="0"/>
        <w:jc w:val="left"/>
        <w:rPr>
          <w:sz w:val="24"/>
        </w:rPr>
      </w:pPr>
      <w:r>
        <w:rPr>
          <w:i/>
          <w:sz w:val="24"/>
        </w:rPr>
        <w:t>6.5.5</w:t>
        <w:tab/>
        <w:t>Relación de</w:t>
      </w:r>
      <w:r>
        <w:rPr>
          <w:i/>
          <w:spacing w:val="-3"/>
          <w:sz w:val="24"/>
        </w:rPr>
        <w:t> </w:t>
      </w:r>
      <w:r>
        <w:rPr>
          <w:i/>
          <w:sz w:val="24"/>
        </w:rPr>
        <w:t>costo</w:t>
      </w:r>
      <w:r>
        <w:rPr>
          <w:i/>
          <w:spacing w:val="1"/>
          <w:sz w:val="24"/>
        </w:rPr>
        <w:t> </w:t>
      </w:r>
      <w:r>
        <w:rPr>
          <w:i/>
          <w:sz w:val="24"/>
        </w:rPr>
        <w:t>privado</w:t>
      </w:r>
      <w:r>
        <w:rPr>
          <w:sz w:val="24"/>
        </w:rPr>
        <w:t>………………………………………………...</w:t>
        <w:tab/>
        <w:t>199</w:t>
      </w:r>
    </w:p>
    <w:p>
      <w:pPr>
        <w:pStyle w:val="ListParagraph"/>
        <w:numPr>
          <w:ilvl w:val="1"/>
          <w:numId w:val="7"/>
        </w:numPr>
        <w:tabs>
          <w:tab w:pos="831" w:val="left" w:leader="none"/>
          <w:tab w:pos="832" w:val="left" w:leader="none"/>
          <w:tab w:pos="8685" w:val="right" w:leader="none"/>
        </w:tabs>
        <w:spacing w:line="240" w:lineRule="auto" w:before="338" w:after="0"/>
        <w:ind w:left="831" w:right="0" w:hanging="720"/>
        <w:jc w:val="left"/>
        <w:rPr>
          <w:sz w:val="24"/>
        </w:rPr>
      </w:pPr>
      <w:r>
        <w:rPr>
          <w:sz w:val="24"/>
        </w:rPr>
        <w:t>Análisis de competitividad para el eslabón de producción</w:t>
      </w:r>
      <w:r>
        <w:rPr>
          <w:spacing w:val="-5"/>
          <w:sz w:val="24"/>
        </w:rPr>
        <w:t> </w:t>
      </w:r>
      <w:r>
        <w:rPr>
          <w:sz w:val="24"/>
        </w:rPr>
        <w:t>de</w:t>
      </w:r>
      <w:r>
        <w:rPr>
          <w:spacing w:val="-2"/>
          <w:sz w:val="24"/>
        </w:rPr>
        <w:t> </w:t>
      </w:r>
      <w:r>
        <w:rPr>
          <w:sz w:val="24"/>
        </w:rPr>
        <w:t>leche……...</w:t>
        <w:tab/>
        <w:t>200</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Coeficiente de</w:t>
      </w:r>
      <w:r>
        <w:rPr>
          <w:i/>
          <w:spacing w:val="-3"/>
          <w:sz w:val="24"/>
        </w:rPr>
        <w:t> </w:t>
      </w:r>
      <w:r>
        <w:rPr>
          <w:i/>
          <w:sz w:val="24"/>
        </w:rPr>
        <w:t>rentabilidad</w:t>
      </w:r>
      <w:r>
        <w:rPr>
          <w:i/>
          <w:spacing w:val="-1"/>
          <w:sz w:val="24"/>
        </w:rPr>
        <w:t> </w:t>
      </w:r>
      <w:r>
        <w:rPr>
          <w:i/>
          <w:sz w:val="24"/>
        </w:rPr>
        <w:t>privada</w:t>
      </w:r>
      <w:r>
        <w:rPr>
          <w:sz w:val="24"/>
        </w:rPr>
        <w:t>………………………………………</w:t>
        <w:tab/>
        <w:t>201</w:t>
      </w:r>
    </w:p>
    <w:p>
      <w:pPr>
        <w:pStyle w:val="ListParagraph"/>
        <w:numPr>
          <w:ilvl w:val="2"/>
          <w:numId w:val="7"/>
        </w:numPr>
        <w:tabs>
          <w:tab w:pos="831" w:val="left" w:leader="none"/>
          <w:tab w:pos="832" w:val="left" w:leader="none"/>
        </w:tabs>
        <w:spacing w:line="240" w:lineRule="auto" w:before="336" w:after="0"/>
        <w:ind w:left="831" w:right="0" w:hanging="720"/>
        <w:jc w:val="left"/>
        <w:rPr>
          <w:i/>
          <w:sz w:val="24"/>
        </w:rPr>
      </w:pPr>
      <w:r>
        <w:rPr>
          <w:i/>
          <w:sz w:val="24"/>
        </w:rPr>
        <w:t>Derrama económica de la actividad lechera hacia el resto de</w:t>
      </w:r>
      <w:r>
        <w:rPr>
          <w:i/>
          <w:spacing w:val="-7"/>
          <w:sz w:val="24"/>
        </w:rPr>
        <w:t> </w:t>
      </w:r>
      <w:r>
        <w:rPr>
          <w:i/>
          <w:sz w:val="24"/>
        </w:rPr>
        <w:t>los</w:t>
      </w:r>
    </w:p>
    <w:p>
      <w:pPr>
        <w:tabs>
          <w:tab w:pos="8685" w:val="right" w:leader="none"/>
        </w:tabs>
        <w:spacing w:before="201"/>
        <w:ind w:left="831" w:right="0" w:firstLine="0"/>
        <w:jc w:val="left"/>
        <w:rPr>
          <w:sz w:val="24"/>
        </w:rPr>
      </w:pPr>
      <w:r>
        <w:rPr>
          <w:i/>
          <w:sz w:val="24"/>
        </w:rPr>
        <w:t>sectores</w:t>
      </w:r>
      <w:r>
        <w:rPr>
          <w:i/>
          <w:spacing w:val="-1"/>
          <w:sz w:val="24"/>
        </w:rPr>
        <w:t> </w:t>
      </w:r>
      <w:r>
        <w:rPr>
          <w:i/>
          <w:sz w:val="24"/>
        </w:rPr>
        <w:t>económicos</w:t>
      </w:r>
      <w:r>
        <w:rPr>
          <w:sz w:val="24"/>
        </w:rPr>
        <w:t>………………………………………………………</w:t>
        <w:tab/>
        <w:t>201</w:t>
      </w:r>
    </w:p>
    <w:p>
      <w:pPr>
        <w:pStyle w:val="ListParagraph"/>
        <w:numPr>
          <w:ilvl w:val="2"/>
          <w:numId w:val="7"/>
        </w:numPr>
        <w:tabs>
          <w:tab w:pos="831" w:val="left" w:leader="none"/>
          <w:tab w:pos="832" w:val="left" w:leader="none"/>
          <w:tab w:pos="8685" w:val="right" w:leader="none"/>
        </w:tabs>
        <w:spacing w:line="240" w:lineRule="auto" w:before="199" w:after="0"/>
        <w:ind w:left="831" w:right="0" w:hanging="720"/>
        <w:jc w:val="left"/>
        <w:rPr>
          <w:sz w:val="24"/>
        </w:rPr>
      </w:pPr>
      <w:r>
        <w:rPr>
          <w:i/>
          <w:sz w:val="24"/>
        </w:rPr>
        <w:t>Contribución a la economía sectorial</w:t>
      </w:r>
      <w:r>
        <w:rPr>
          <w:i/>
          <w:spacing w:val="-5"/>
          <w:sz w:val="24"/>
        </w:rPr>
        <w:t> </w:t>
      </w:r>
      <w:r>
        <w:rPr>
          <w:i/>
          <w:sz w:val="24"/>
        </w:rPr>
        <w:t>y regional</w:t>
      </w:r>
      <w:r>
        <w:rPr>
          <w:sz w:val="24"/>
        </w:rPr>
        <w:t>………………………....</w:t>
        <w:tab/>
        <w:t>202</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Valor agregado a</w:t>
      </w:r>
      <w:r>
        <w:rPr>
          <w:i/>
          <w:spacing w:val="-2"/>
          <w:sz w:val="24"/>
        </w:rPr>
        <w:t> </w:t>
      </w:r>
      <w:r>
        <w:rPr>
          <w:i/>
          <w:sz w:val="24"/>
        </w:rPr>
        <w:t>precios privados</w:t>
      </w:r>
      <w:r>
        <w:rPr>
          <w:sz w:val="24"/>
        </w:rPr>
        <w:t>……………………………………….</w:t>
        <w:tab/>
        <w:t>202</w:t>
      </w:r>
    </w:p>
    <w:p>
      <w:pPr>
        <w:tabs>
          <w:tab w:pos="831" w:val="left" w:leader="none"/>
          <w:tab w:pos="8685" w:val="right" w:leader="none"/>
        </w:tabs>
        <w:spacing w:before="338"/>
        <w:ind w:left="111" w:right="0" w:firstLine="0"/>
        <w:jc w:val="left"/>
        <w:rPr>
          <w:sz w:val="24"/>
        </w:rPr>
      </w:pPr>
      <w:r>
        <w:rPr>
          <w:i/>
          <w:sz w:val="24"/>
        </w:rPr>
        <w:t>6.6.5</w:t>
        <w:tab/>
        <w:t>Relación de</w:t>
      </w:r>
      <w:r>
        <w:rPr>
          <w:i/>
          <w:spacing w:val="-3"/>
          <w:sz w:val="24"/>
        </w:rPr>
        <w:t> </w:t>
      </w:r>
      <w:r>
        <w:rPr>
          <w:i/>
          <w:sz w:val="24"/>
        </w:rPr>
        <w:t>costo</w:t>
      </w:r>
      <w:r>
        <w:rPr>
          <w:i/>
          <w:spacing w:val="1"/>
          <w:sz w:val="24"/>
        </w:rPr>
        <w:t> </w:t>
      </w:r>
      <w:r>
        <w:rPr>
          <w:i/>
          <w:sz w:val="24"/>
        </w:rPr>
        <w:t>privado</w:t>
      </w:r>
      <w:r>
        <w:rPr>
          <w:sz w:val="24"/>
        </w:rPr>
        <w:t>………………………………………………...</w:t>
        <w:tab/>
        <w:t>203</w:t>
      </w:r>
    </w:p>
    <w:p>
      <w:pPr>
        <w:pStyle w:val="ListParagraph"/>
        <w:numPr>
          <w:ilvl w:val="1"/>
          <w:numId w:val="7"/>
        </w:numPr>
        <w:tabs>
          <w:tab w:pos="831" w:val="left" w:leader="none"/>
          <w:tab w:pos="832" w:val="left" w:leader="none"/>
          <w:tab w:pos="8685" w:val="right" w:leader="none"/>
        </w:tabs>
        <w:spacing w:line="240" w:lineRule="auto" w:before="336" w:after="0"/>
        <w:ind w:left="831" w:right="0" w:hanging="720"/>
        <w:jc w:val="left"/>
        <w:rPr>
          <w:sz w:val="24"/>
        </w:rPr>
      </w:pPr>
      <w:r>
        <w:rPr>
          <w:sz w:val="24"/>
        </w:rPr>
        <w:t>Análisis de competitividad para el eslabón</w:t>
      </w:r>
      <w:r>
        <w:rPr>
          <w:spacing w:val="-4"/>
          <w:sz w:val="24"/>
        </w:rPr>
        <w:t> </w:t>
      </w:r>
      <w:r>
        <w:rPr>
          <w:sz w:val="24"/>
        </w:rPr>
        <w:t>de</w:t>
      </w:r>
      <w:r>
        <w:rPr>
          <w:spacing w:val="-2"/>
          <w:sz w:val="24"/>
        </w:rPr>
        <w:t> </w:t>
      </w:r>
      <w:r>
        <w:rPr>
          <w:sz w:val="24"/>
        </w:rPr>
        <w:t>transformación…………...</w:t>
        <w:tab/>
        <w:t>203</w:t>
      </w:r>
    </w:p>
    <w:p>
      <w:pPr>
        <w:pStyle w:val="ListParagraph"/>
        <w:numPr>
          <w:ilvl w:val="2"/>
          <w:numId w:val="7"/>
        </w:numPr>
        <w:tabs>
          <w:tab w:pos="831" w:val="left" w:leader="none"/>
          <w:tab w:pos="832" w:val="left" w:leader="none"/>
          <w:tab w:pos="8685" w:val="right" w:leader="none"/>
        </w:tabs>
        <w:spacing w:line="240" w:lineRule="auto" w:before="339" w:after="0"/>
        <w:ind w:left="831" w:right="0" w:hanging="720"/>
        <w:jc w:val="left"/>
        <w:rPr>
          <w:sz w:val="24"/>
        </w:rPr>
      </w:pPr>
      <w:r>
        <w:rPr>
          <w:i/>
          <w:sz w:val="24"/>
        </w:rPr>
        <w:t>Coeficiente de</w:t>
      </w:r>
      <w:r>
        <w:rPr>
          <w:i/>
          <w:spacing w:val="-3"/>
          <w:sz w:val="24"/>
        </w:rPr>
        <w:t> </w:t>
      </w:r>
      <w:r>
        <w:rPr>
          <w:i/>
          <w:sz w:val="24"/>
        </w:rPr>
        <w:t>rentabilidad</w:t>
      </w:r>
      <w:r>
        <w:rPr>
          <w:i/>
          <w:spacing w:val="-1"/>
          <w:sz w:val="24"/>
        </w:rPr>
        <w:t> </w:t>
      </w:r>
      <w:r>
        <w:rPr>
          <w:i/>
          <w:sz w:val="24"/>
        </w:rPr>
        <w:t>privada</w:t>
      </w:r>
      <w:r>
        <w:rPr>
          <w:sz w:val="24"/>
        </w:rPr>
        <w:t>……………………………………....</w:t>
        <w:tab/>
        <w:t>205</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Consumo intermedio en el</w:t>
      </w:r>
      <w:r>
        <w:rPr>
          <w:i/>
          <w:spacing w:val="-1"/>
          <w:sz w:val="24"/>
        </w:rPr>
        <w:t> </w:t>
      </w:r>
      <w:r>
        <w:rPr>
          <w:i/>
          <w:sz w:val="24"/>
        </w:rPr>
        <w:t>ingreso</w:t>
      </w:r>
      <w:r>
        <w:rPr>
          <w:i/>
          <w:spacing w:val="-1"/>
          <w:sz w:val="24"/>
        </w:rPr>
        <w:t> </w:t>
      </w:r>
      <w:r>
        <w:rPr>
          <w:i/>
          <w:sz w:val="24"/>
        </w:rPr>
        <w:t>total</w:t>
      </w:r>
      <w:r>
        <w:rPr>
          <w:sz w:val="24"/>
        </w:rPr>
        <w:t>…………………………………..</w:t>
        <w:tab/>
        <w:t>205</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Valor agregado en el</w:t>
      </w:r>
      <w:r>
        <w:rPr>
          <w:i/>
          <w:spacing w:val="-1"/>
          <w:sz w:val="24"/>
        </w:rPr>
        <w:t> </w:t>
      </w:r>
      <w:r>
        <w:rPr>
          <w:i/>
          <w:sz w:val="24"/>
        </w:rPr>
        <w:t>ingreso total</w:t>
      </w:r>
      <w:r>
        <w:rPr>
          <w:sz w:val="24"/>
        </w:rPr>
        <w:t>………………………………………..</w:t>
        <w:tab/>
        <w:t>205</w:t>
      </w:r>
    </w:p>
    <w:p>
      <w:pPr>
        <w:pStyle w:val="ListParagraph"/>
        <w:numPr>
          <w:ilvl w:val="2"/>
          <w:numId w:val="7"/>
        </w:numPr>
        <w:tabs>
          <w:tab w:pos="831" w:val="left" w:leader="none"/>
          <w:tab w:pos="832" w:val="left" w:leader="none"/>
          <w:tab w:pos="8685" w:val="right" w:leader="none"/>
        </w:tabs>
        <w:spacing w:line="240" w:lineRule="auto" w:before="338" w:after="0"/>
        <w:ind w:left="831" w:right="0" w:hanging="720"/>
        <w:jc w:val="left"/>
        <w:rPr>
          <w:sz w:val="24"/>
        </w:rPr>
      </w:pPr>
      <w:r>
        <w:rPr>
          <w:i/>
          <w:sz w:val="24"/>
        </w:rPr>
        <w:t>Valor agregado a</w:t>
      </w:r>
      <w:r>
        <w:rPr>
          <w:i/>
          <w:spacing w:val="-2"/>
          <w:sz w:val="24"/>
        </w:rPr>
        <w:t> </w:t>
      </w:r>
      <w:r>
        <w:rPr>
          <w:i/>
          <w:sz w:val="24"/>
        </w:rPr>
        <w:t>precios</w:t>
      </w:r>
      <w:r>
        <w:rPr>
          <w:i/>
          <w:spacing w:val="-2"/>
          <w:sz w:val="24"/>
        </w:rPr>
        <w:t> </w:t>
      </w:r>
      <w:r>
        <w:rPr>
          <w:i/>
          <w:sz w:val="24"/>
        </w:rPr>
        <w:t>privados</w:t>
      </w:r>
      <w:r>
        <w:rPr>
          <w:sz w:val="24"/>
        </w:rPr>
        <w:t>……………………………………….</w:t>
        <w:tab/>
        <w:t>205</w:t>
      </w:r>
    </w:p>
    <w:p>
      <w:pPr>
        <w:tabs>
          <w:tab w:pos="831" w:val="left" w:leader="none"/>
          <w:tab w:pos="8685" w:val="right" w:leader="none"/>
        </w:tabs>
        <w:spacing w:before="338"/>
        <w:ind w:left="111" w:right="0" w:firstLine="0"/>
        <w:jc w:val="left"/>
        <w:rPr>
          <w:sz w:val="24"/>
        </w:rPr>
      </w:pPr>
      <w:r>
        <w:rPr>
          <w:i/>
          <w:sz w:val="24"/>
        </w:rPr>
        <w:t>6.7.5</w:t>
        <w:tab/>
        <w:t>Relación de</w:t>
      </w:r>
      <w:r>
        <w:rPr>
          <w:i/>
          <w:spacing w:val="-3"/>
          <w:sz w:val="24"/>
        </w:rPr>
        <w:t> </w:t>
      </w:r>
      <w:r>
        <w:rPr>
          <w:i/>
          <w:sz w:val="24"/>
        </w:rPr>
        <w:t>costo</w:t>
      </w:r>
      <w:r>
        <w:rPr>
          <w:i/>
          <w:spacing w:val="1"/>
          <w:sz w:val="24"/>
        </w:rPr>
        <w:t> </w:t>
      </w:r>
      <w:r>
        <w:rPr>
          <w:i/>
          <w:sz w:val="24"/>
        </w:rPr>
        <w:t>privado</w:t>
      </w:r>
      <w:r>
        <w:rPr>
          <w:sz w:val="24"/>
        </w:rPr>
        <w:t>………………………………………………...</w:t>
        <w:tab/>
        <w:t>206</w:t>
      </w:r>
    </w:p>
    <w:p>
      <w:pPr>
        <w:pStyle w:val="ListParagraph"/>
        <w:numPr>
          <w:ilvl w:val="1"/>
          <w:numId w:val="7"/>
        </w:numPr>
        <w:tabs>
          <w:tab w:pos="831" w:val="left" w:leader="none"/>
          <w:tab w:pos="832" w:val="left" w:leader="none"/>
        </w:tabs>
        <w:spacing w:line="240" w:lineRule="auto" w:before="336" w:after="0"/>
        <w:ind w:left="831" w:right="0" w:hanging="720"/>
        <w:jc w:val="left"/>
        <w:rPr>
          <w:sz w:val="24"/>
        </w:rPr>
      </w:pPr>
      <w:r>
        <w:rPr>
          <w:sz w:val="24"/>
        </w:rPr>
        <w:t>Márgenes de comercialización de la cadena agroalimentaria</w:t>
      </w:r>
      <w:r>
        <w:rPr>
          <w:spacing w:val="-11"/>
          <w:sz w:val="24"/>
        </w:rPr>
        <w:t> </w:t>
      </w:r>
      <w:r>
        <w:rPr>
          <w:sz w:val="24"/>
        </w:rPr>
        <w:t>productora</w:t>
      </w:r>
    </w:p>
    <w:p>
      <w:pPr>
        <w:pStyle w:val="BodyText"/>
        <w:tabs>
          <w:tab w:pos="8685" w:val="right" w:leader="none"/>
        </w:tabs>
        <w:spacing w:before="201"/>
        <w:ind w:left="891"/>
      </w:pPr>
      <w:r>
        <w:rPr/>
        <w:t>de leche de</w:t>
      </w:r>
      <w:r>
        <w:rPr>
          <w:spacing w:val="-3"/>
        </w:rPr>
        <w:t> </w:t>
      </w:r>
      <w:r>
        <w:rPr/>
        <w:t>pequeña</w:t>
      </w:r>
      <w:r>
        <w:rPr>
          <w:spacing w:val="-1"/>
        </w:rPr>
        <w:t> </w:t>
      </w:r>
      <w:r>
        <w:rPr/>
        <w:t>escala……………………………………………….</w:t>
        <w:tab/>
        <w:t>207</w:t>
      </w:r>
    </w:p>
    <w:p>
      <w:pPr>
        <w:tabs>
          <w:tab w:pos="831" w:val="left" w:leader="none"/>
          <w:tab w:pos="8685" w:val="right" w:leader="none"/>
        </w:tabs>
        <w:spacing w:before="199"/>
        <w:ind w:left="111" w:right="0" w:firstLine="0"/>
        <w:jc w:val="left"/>
        <w:rPr>
          <w:sz w:val="24"/>
        </w:rPr>
      </w:pPr>
      <w:r>
        <w:rPr>
          <w:i/>
          <w:sz w:val="24"/>
        </w:rPr>
        <w:t>6.8.1</w:t>
        <w:tab/>
        <w:t>Resultados</w:t>
      </w:r>
      <w:r>
        <w:rPr>
          <w:sz w:val="24"/>
        </w:rPr>
        <w:t>………………………………………………………………....</w:t>
        <w:tab/>
        <w:t>207</w:t>
      </w:r>
    </w:p>
    <w:p>
      <w:pPr>
        <w:tabs>
          <w:tab w:pos="831" w:val="left" w:leader="none"/>
          <w:tab w:pos="8685" w:val="right" w:leader="none"/>
        </w:tabs>
        <w:spacing w:before="338"/>
        <w:ind w:left="111" w:right="0" w:firstLine="0"/>
        <w:jc w:val="left"/>
        <w:rPr>
          <w:sz w:val="24"/>
        </w:rPr>
      </w:pPr>
      <w:r>
        <w:rPr>
          <w:i/>
          <w:sz w:val="24"/>
        </w:rPr>
        <w:t>6.8.2</w:t>
        <w:tab/>
        <w:t>Conclusiones</w:t>
      </w:r>
      <w:r>
        <w:rPr>
          <w:sz w:val="24"/>
        </w:rPr>
        <w:t>………………………………………………………………</w:t>
        <w:tab/>
        <w:t>211</w:t>
      </w:r>
    </w:p>
    <w:p>
      <w:pPr>
        <w:spacing w:after="0"/>
        <w:jc w:val="left"/>
        <w:rPr>
          <w:sz w:val="24"/>
        </w:rPr>
        <w:sectPr>
          <w:footerReference w:type="default" r:id="rId7"/>
          <w:pgSz w:w="12240" w:h="15840"/>
          <w:pgMar w:footer="657" w:header="0" w:top="1360" w:bottom="840" w:left="1660" w:right="1660"/>
          <w:pgNumType w:start="12"/>
        </w:sectPr>
      </w:pPr>
    </w:p>
    <w:p>
      <w:pPr>
        <w:pStyle w:val="Heading1"/>
        <w:tabs>
          <w:tab w:pos="8685" w:val="right" w:leader="none"/>
        </w:tabs>
        <w:spacing w:before="14"/>
        <w:ind w:left="111"/>
        <w:jc w:val="left"/>
      </w:pPr>
      <w:r>
        <w:rPr/>
        <w:t>CAPÍTULO </w:t>
      </w:r>
      <w:r>
        <w:rPr>
          <w:sz w:val="50"/>
        </w:rPr>
        <w:t>7</w:t>
      </w:r>
      <w:r>
        <w:rPr>
          <w:position w:val="-5"/>
        </w:rPr>
        <w:tab/>
        <w:t>212</w:t>
      </w:r>
    </w:p>
    <w:p>
      <w:pPr>
        <w:pStyle w:val="Heading1"/>
        <w:tabs>
          <w:tab w:pos="8685" w:val="right" w:leader="none"/>
        </w:tabs>
        <w:spacing w:before="197"/>
        <w:ind w:left="111"/>
        <w:jc w:val="left"/>
      </w:pPr>
      <w:r>
        <w:rPr/>
        <w:t>CONCLUSIONES</w:t>
      </w:r>
      <w:r>
        <w:rPr>
          <w:spacing w:val="-1"/>
        </w:rPr>
        <w:t> </w:t>
      </w:r>
      <w:r>
        <w:rPr/>
        <w:t>GENERALES……………………………………………...</w:t>
        <w:tab/>
        <w:t>212</w:t>
      </w:r>
    </w:p>
    <w:p>
      <w:pPr>
        <w:pStyle w:val="Heading1"/>
        <w:tabs>
          <w:tab w:pos="8685" w:val="right" w:leader="none"/>
        </w:tabs>
        <w:spacing w:before="338"/>
        <w:ind w:left="111"/>
        <w:jc w:val="left"/>
      </w:pPr>
      <w:r>
        <w:rPr/>
        <w:t>LITERATURA</w:t>
      </w:r>
      <w:r>
        <w:rPr>
          <w:spacing w:val="-1"/>
        </w:rPr>
        <w:t> </w:t>
      </w:r>
      <w:r>
        <w:rPr/>
        <w:t>CITADA……………………………………………………….</w:t>
        <w:tab/>
        <w:t>214</w:t>
      </w:r>
    </w:p>
    <w:p>
      <w:pPr>
        <w:pStyle w:val="Heading1"/>
        <w:tabs>
          <w:tab w:pos="8685" w:val="right" w:leader="none"/>
        </w:tabs>
        <w:spacing w:before="338"/>
        <w:ind w:left="111"/>
        <w:jc w:val="left"/>
      </w:pPr>
      <w:r>
        <w:rPr/>
        <w:t>ANEXOS……………………………………………………………………........</w:t>
        <w:tab/>
        <w:t>222</w:t>
      </w:r>
    </w:p>
    <w:p>
      <w:pPr>
        <w:tabs>
          <w:tab w:pos="8685" w:val="right" w:leader="none"/>
        </w:tabs>
        <w:spacing w:before="333"/>
        <w:ind w:left="111" w:right="0" w:firstLine="0"/>
        <w:jc w:val="left"/>
        <w:rPr>
          <w:sz w:val="24"/>
        </w:rPr>
      </w:pPr>
      <w:r>
        <w:rPr>
          <w:b/>
          <w:sz w:val="24"/>
        </w:rPr>
        <w:t>Anexo Tabla 1. </w:t>
      </w:r>
      <w:r>
        <w:rPr>
          <w:sz w:val="24"/>
        </w:rPr>
        <w:t>Simulación de precios de tres</w:t>
      </w:r>
      <w:r>
        <w:rPr>
          <w:spacing w:val="-6"/>
          <w:sz w:val="24"/>
        </w:rPr>
        <w:t> </w:t>
      </w:r>
      <w:r>
        <w:rPr>
          <w:sz w:val="24"/>
        </w:rPr>
        <w:t>insumos</w:t>
      </w:r>
      <w:r>
        <w:rPr>
          <w:spacing w:val="-1"/>
          <w:sz w:val="24"/>
        </w:rPr>
        <w:t> </w:t>
      </w:r>
      <w:r>
        <w:rPr>
          <w:sz w:val="24"/>
        </w:rPr>
        <w:t>alimenticios……………</w:t>
        <w:tab/>
        <w:t>222</w:t>
      </w:r>
    </w:p>
    <w:p>
      <w:pPr>
        <w:tabs>
          <w:tab w:pos="8685" w:val="right" w:leader="none"/>
        </w:tabs>
        <w:spacing w:before="338"/>
        <w:ind w:left="111" w:right="0" w:firstLine="0"/>
        <w:jc w:val="left"/>
        <w:rPr>
          <w:sz w:val="24"/>
        </w:rPr>
      </w:pPr>
      <w:r>
        <w:rPr>
          <w:b/>
          <w:sz w:val="24"/>
        </w:rPr>
        <w:t>Anexo Tabla 2. </w:t>
      </w:r>
      <w:r>
        <w:rPr>
          <w:sz w:val="24"/>
        </w:rPr>
        <w:t>Pasos para determinar</w:t>
      </w:r>
      <w:r>
        <w:rPr>
          <w:spacing w:val="-2"/>
          <w:sz w:val="24"/>
        </w:rPr>
        <w:t> </w:t>
      </w:r>
      <w:r>
        <w:rPr>
          <w:sz w:val="24"/>
        </w:rPr>
        <w:t>una</w:t>
      </w:r>
      <w:r>
        <w:rPr>
          <w:spacing w:val="-3"/>
          <w:sz w:val="24"/>
        </w:rPr>
        <w:t> </w:t>
      </w:r>
      <w:r>
        <w:rPr>
          <w:sz w:val="24"/>
        </w:rPr>
        <w:t>DME………………………………..</w:t>
        <w:tab/>
        <w:t>223</w:t>
      </w:r>
    </w:p>
    <w:p>
      <w:pPr>
        <w:pStyle w:val="BodyText"/>
        <w:tabs>
          <w:tab w:pos="8685" w:val="right" w:leader="none"/>
        </w:tabs>
        <w:spacing w:before="336"/>
        <w:ind w:left="111"/>
      </w:pPr>
      <w:r>
        <w:rPr>
          <w:b/>
        </w:rPr>
        <w:t>Anexo 3. </w:t>
      </w:r>
      <w:r>
        <w:rPr/>
        <w:t>Carta de aceptación</w:t>
      </w:r>
      <w:r>
        <w:rPr>
          <w:spacing w:val="-3"/>
        </w:rPr>
        <w:t> </w:t>
      </w:r>
      <w:r>
        <w:rPr/>
        <w:t>de</w:t>
      </w:r>
      <w:r>
        <w:rPr>
          <w:spacing w:val="-1"/>
        </w:rPr>
        <w:t> </w:t>
      </w:r>
      <w:r>
        <w:rPr/>
        <w:t>artículo……………………………………........</w:t>
        <w:tab/>
        <w:t>229</w:t>
      </w:r>
    </w:p>
    <w:p>
      <w:pPr>
        <w:pStyle w:val="BodyText"/>
        <w:tabs>
          <w:tab w:pos="8685" w:val="right" w:leader="none"/>
        </w:tabs>
        <w:spacing w:before="338"/>
        <w:ind w:left="111"/>
      </w:pPr>
      <w:r>
        <w:rPr>
          <w:b/>
        </w:rPr>
        <w:t>Anexo 4. </w:t>
      </w:r>
      <w:r>
        <w:rPr/>
        <w:t>Portada de libro del</w:t>
      </w:r>
      <w:r>
        <w:rPr>
          <w:spacing w:val="-4"/>
        </w:rPr>
        <w:t> </w:t>
      </w:r>
      <w:r>
        <w:rPr/>
        <w:t>capítulo</w:t>
      </w:r>
      <w:r>
        <w:rPr>
          <w:spacing w:val="-1"/>
        </w:rPr>
        <w:t> </w:t>
      </w:r>
      <w:r>
        <w:rPr/>
        <w:t>publicado………………………………...</w:t>
        <w:tab/>
        <w:t>230</w:t>
      </w:r>
    </w:p>
    <w:p>
      <w:pPr>
        <w:pStyle w:val="BodyText"/>
        <w:tabs>
          <w:tab w:pos="8685" w:val="right" w:leader="none"/>
        </w:tabs>
        <w:spacing w:before="338"/>
        <w:ind w:left="111"/>
      </w:pPr>
      <w:r>
        <w:rPr>
          <w:b/>
        </w:rPr>
        <w:t>Anexo 5. </w:t>
      </w:r>
      <w:r>
        <w:rPr/>
        <w:t>Carátula de</w:t>
      </w:r>
      <w:r>
        <w:rPr>
          <w:spacing w:val="-2"/>
        </w:rPr>
        <w:t> </w:t>
      </w:r>
      <w:r>
        <w:rPr/>
        <w:t>artículo</w:t>
      </w:r>
      <w:r>
        <w:rPr>
          <w:spacing w:val="-1"/>
        </w:rPr>
        <w:t> </w:t>
      </w:r>
      <w:r>
        <w:rPr/>
        <w:t>publicado………………………………………….</w:t>
        <w:tab/>
        <w:t>231</w:t>
      </w:r>
    </w:p>
    <w:p>
      <w:pPr>
        <w:pStyle w:val="BodyText"/>
        <w:tabs>
          <w:tab w:pos="8685" w:val="right" w:leader="none"/>
        </w:tabs>
        <w:spacing w:before="338"/>
        <w:ind w:left="111"/>
      </w:pPr>
      <w:r>
        <w:rPr>
          <w:b/>
        </w:rPr>
        <w:t>Anexo 6. </w:t>
      </w:r>
      <w:r>
        <w:rPr/>
        <w:t>Portada del libro del</w:t>
      </w:r>
      <w:r>
        <w:rPr>
          <w:spacing w:val="-4"/>
        </w:rPr>
        <w:t> </w:t>
      </w:r>
      <w:r>
        <w:rPr/>
        <w:t>capítulo</w:t>
      </w:r>
      <w:r>
        <w:rPr>
          <w:spacing w:val="-1"/>
        </w:rPr>
        <w:t> </w:t>
      </w:r>
      <w:r>
        <w:rPr/>
        <w:t>publicado……………………………….</w:t>
        <w:tab/>
        <w:t>232</w:t>
      </w:r>
    </w:p>
    <w:p>
      <w:pPr>
        <w:pStyle w:val="BodyText"/>
        <w:tabs>
          <w:tab w:pos="8685" w:val="right" w:leader="none"/>
        </w:tabs>
        <w:spacing w:before="338"/>
        <w:ind w:left="111"/>
      </w:pPr>
      <w:r>
        <w:rPr>
          <w:b/>
        </w:rPr>
        <w:t>Anexo 7. </w:t>
      </w:r>
      <w:r>
        <w:rPr/>
        <w:t>Resumen de</w:t>
      </w:r>
      <w:r>
        <w:rPr>
          <w:spacing w:val="-4"/>
        </w:rPr>
        <w:t> </w:t>
      </w:r>
      <w:r>
        <w:rPr/>
        <w:t>publicaciones</w:t>
      </w:r>
      <w:r>
        <w:rPr>
          <w:spacing w:val="-2"/>
        </w:rPr>
        <w:t> </w:t>
      </w:r>
      <w:r>
        <w:rPr/>
        <w:t>complementarias…………………………..</w:t>
        <w:tab/>
        <w:t>233</w:t>
      </w:r>
    </w:p>
    <w:p>
      <w:pPr>
        <w:spacing w:after="0"/>
        <w:sectPr>
          <w:pgSz w:w="12240" w:h="15840"/>
          <w:pgMar w:header="0" w:footer="657" w:top="1420" w:bottom="840" w:left="1660" w:right="1660"/>
        </w:sectPr>
      </w:pPr>
    </w:p>
    <w:p>
      <w:pPr>
        <w:pStyle w:val="Heading1"/>
        <w:ind w:left="2728"/>
        <w:jc w:val="left"/>
      </w:pPr>
      <w:r>
        <w:rPr/>
        <w:t>ÍNDICE DE TABLAS</w:t>
      </w:r>
    </w:p>
    <w:p>
      <w:pPr>
        <w:pStyle w:val="BodyText"/>
        <w:spacing w:before="5"/>
        <w:rPr>
          <w:b/>
          <w:sz w:val="29"/>
        </w:rPr>
      </w:pPr>
    </w:p>
    <w:p>
      <w:pPr>
        <w:spacing w:before="0"/>
        <w:ind w:left="0" w:right="202" w:firstLine="0"/>
        <w:jc w:val="right"/>
        <w:rPr>
          <w:b/>
          <w:sz w:val="24"/>
        </w:rPr>
      </w:pPr>
      <w:r>
        <w:rPr>
          <w:b/>
          <w:sz w:val="24"/>
        </w:rPr>
        <w:t>PÁGINA</w:t>
      </w:r>
    </w:p>
    <w:p>
      <w:pPr>
        <w:pStyle w:val="BodyText"/>
        <w:rPr>
          <w:b/>
          <w:sz w:val="29"/>
        </w:rPr>
      </w:pPr>
    </w:p>
    <w:p>
      <w:pPr>
        <w:pStyle w:val="BodyText"/>
        <w:tabs>
          <w:tab w:pos="1193" w:val="left" w:leader="none"/>
          <w:tab w:pos="8169" w:val="left" w:leader="none"/>
        </w:tabs>
        <w:ind w:left="111"/>
      </w:pPr>
      <w:r>
        <w:rPr>
          <w:b/>
        </w:rPr>
        <w:t>Tabla 1.</w:t>
        <w:tab/>
      </w:r>
      <w:r>
        <w:rPr/>
        <w:t>Consumo de leche fluida para diferentes</w:t>
      </w:r>
      <w:r>
        <w:rPr>
          <w:spacing w:val="-5"/>
        </w:rPr>
        <w:t> </w:t>
      </w:r>
      <w:r>
        <w:rPr/>
        <w:t>países,</w:t>
      </w:r>
      <w:r>
        <w:rPr>
          <w:spacing w:val="-1"/>
        </w:rPr>
        <w:t> </w:t>
      </w:r>
      <w:r>
        <w:rPr/>
        <w:t>2008-2013……....</w:t>
        <w:tab/>
        <w:t>14</w:t>
      </w:r>
    </w:p>
    <w:p>
      <w:pPr>
        <w:pStyle w:val="BodyText"/>
        <w:spacing w:before="4"/>
        <w:rPr>
          <w:sz w:val="29"/>
        </w:rPr>
      </w:pPr>
    </w:p>
    <w:p>
      <w:pPr>
        <w:pStyle w:val="BodyText"/>
        <w:tabs>
          <w:tab w:pos="1193" w:val="left" w:leader="none"/>
          <w:tab w:pos="8169" w:val="left" w:leader="none"/>
        </w:tabs>
        <w:spacing w:before="1"/>
        <w:ind w:left="111"/>
      </w:pPr>
      <w:r>
        <w:rPr>
          <w:b/>
        </w:rPr>
        <w:t>Tabla 2</w:t>
      </w:r>
      <w:r>
        <w:rPr/>
        <w:t>.</w:t>
        <w:tab/>
        <w:t>Lácteos oferta y demanda</w:t>
      </w:r>
      <w:r>
        <w:rPr>
          <w:spacing w:val="-5"/>
        </w:rPr>
        <w:t> </w:t>
      </w:r>
      <w:r>
        <w:rPr/>
        <w:t>en</w:t>
      </w:r>
      <w:r>
        <w:rPr>
          <w:spacing w:val="-1"/>
        </w:rPr>
        <w:t> </w:t>
      </w:r>
      <w:r>
        <w:rPr/>
        <w:t>México………………………………</w:t>
        <w:tab/>
        <w:t>19</w:t>
      </w:r>
    </w:p>
    <w:p>
      <w:pPr>
        <w:pStyle w:val="BodyText"/>
        <w:spacing w:before="4"/>
        <w:rPr>
          <w:sz w:val="29"/>
        </w:rPr>
      </w:pPr>
    </w:p>
    <w:p>
      <w:pPr>
        <w:pStyle w:val="BodyText"/>
        <w:tabs>
          <w:tab w:pos="1193" w:val="left" w:leader="none"/>
          <w:tab w:pos="8169" w:val="left" w:leader="none"/>
        </w:tabs>
        <w:spacing w:before="1"/>
        <w:ind w:left="111"/>
      </w:pPr>
      <w:r>
        <w:rPr>
          <w:b/>
        </w:rPr>
        <w:t>Tabla 3.</w:t>
        <w:tab/>
      </w:r>
      <w:r>
        <w:rPr/>
        <w:t>Producto</w:t>
      </w:r>
      <w:r>
        <w:rPr>
          <w:spacing w:val="-1"/>
        </w:rPr>
        <w:t> </w:t>
      </w:r>
      <w:r>
        <w:rPr/>
        <w:t>interno</w:t>
      </w:r>
      <w:r>
        <w:rPr>
          <w:spacing w:val="-1"/>
        </w:rPr>
        <w:t> </w:t>
      </w:r>
      <w:r>
        <w:rPr/>
        <w:t>bruto………………………………………….......</w:t>
        <w:tab/>
        <w:t>20</w:t>
      </w:r>
    </w:p>
    <w:p>
      <w:pPr>
        <w:pStyle w:val="BodyText"/>
        <w:spacing w:before="4"/>
        <w:rPr>
          <w:sz w:val="29"/>
        </w:rPr>
      </w:pPr>
    </w:p>
    <w:p>
      <w:pPr>
        <w:pStyle w:val="BodyText"/>
        <w:tabs>
          <w:tab w:pos="1193" w:val="left" w:leader="none"/>
          <w:tab w:pos="8169" w:val="left" w:leader="none"/>
        </w:tabs>
        <w:spacing w:before="1"/>
        <w:ind w:left="111"/>
      </w:pPr>
      <w:r>
        <w:rPr>
          <w:b/>
        </w:rPr>
        <w:t>Tabla 4.</w:t>
        <w:tab/>
      </w:r>
      <w:r>
        <w:rPr/>
        <w:t>Información base para calcular el tamaño</w:t>
      </w:r>
      <w:r>
        <w:rPr>
          <w:spacing w:val="-7"/>
        </w:rPr>
        <w:t> </w:t>
      </w:r>
      <w:r>
        <w:rPr/>
        <w:t>de</w:t>
      </w:r>
      <w:r>
        <w:rPr>
          <w:spacing w:val="-2"/>
        </w:rPr>
        <w:t> </w:t>
      </w:r>
      <w:r>
        <w:rPr/>
        <w:t>muestra…………......</w:t>
        <w:tab/>
        <w:t>51</w:t>
      </w:r>
    </w:p>
    <w:p>
      <w:pPr>
        <w:pStyle w:val="BodyText"/>
        <w:spacing w:before="3"/>
        <w:rPr>
          <w:sz w:val="29"/>
        </w:rPr>
      </w:pPr>
    </w:p>
    <w:p>
      <w:pPr>
        <w:pStyle w:val="BodyText"/>
        <w:tabs>
          <w:tab w:pos="1193" w:val="left" w:leader="none"/>
          <w:tab w:pos="8169" w:val="left" w:leader="none"/>
        </w:tabs>
        <w:spacing w:line="415" w:lineRule="auto"/>
        <w:ind w:left="1191" w:right="509" w:hanging="1080"/>
      </w:pPr>
      <w:r>
        <w:rPr>
          <w:b/>
        </w:rPr>
        <w:t>Tabla</w:t>
      </w:r>
      <w:r>
        <w:rPr>
          <w:b/>
          <w:spacing w:val="-1"/>
        </w:rPr>
        <w:t> </w:t>
      </w:r>
      <w:r>
        <w:rPr>
          <w:b/>
        </w:rPr>
        <w:t>5.</w:t>
        <w:tab/>
        <w:tab/>
        <w:t> </w:t>
      </w:r>
      <w:r>
        <w:rPr/>
        <w:t>Muestra estratificada de productores lecheros</w:t>
      </w:r>
      <w:r>
        <w:rPr>
          <w:spacing w:val="-7"/>
        </w:rPr>
        <w:t> </w:t>
      </w:r>
      <w:r>
        <w:rPr/>
        <w:t>de</w:t>
      </w:r>
      <w:r>
        <w:rPr>
          <w:spacing w:val="-2"/>
        </w:rPr>
        <w:t> </w:t>
      </w:r>
      <w:r>
        <w:rPr/>
        <w:t>pequeña escala………………………………………………………….........</w:t>
        <w:tab/>
        <w:t>51</w:t>
      </w:r>
    </w:p>
    <w:p>
      <w:pPr>
        <w:pStyle w:val="BodyText"/>
        <w:tabs>
          <w:tab w:pos="1193" w:val="left" w:leader="none"/>
          <w:tab w:pos="8169" w:val="left" w:leader="none"/>
        </w:tabs>
        <w:spacing w:before="5"/>
        <w:ind w:left="111"/>
      </w:pPr>
      <w:r>
        <w:rPr>
          <w:b/>
        </w:rPr>
        <w:t>Tabla 6.</w:t>
        <w:tab/>
      </w:r>
      <w:r>
        <w:rPr/>
        <w:t>Estructura de la Matriz de Análisis</w:t>
      </w:r>
      <w:r>
        <w:rPr>
          <w:spacing w:val="-7"/>
        </w:rPr>
        <w:t> </w:t>
      </w:r>
      <w:r>
        <w:rPr/>
        <w:t>de</w:t>
      </w:r>
      <w:r>
        <w:rPr>
          <w:spacing w:val="-2"/>
        </w:rPr>
        <w:t> </w:t>
      </w:r>
      <w:r>
        <w:rPr/>
        <w:t>Política……………….........</w:t>
        <w:tab/>
        <w:t>53</w:t>
      </w:r>
    </w:p>
    <w:p>
      <w:pPr>
        <w:pStyle w:val="BodyText"/>
        <w:spacing w:before="4"/>
        <w:rPr>
          <w:sz w:val="29"/>
        </w:rPr>
      </w:pPr>
    </w:p>
    <w:p>
      <w:pPr>
        <w:pStyle w:val="BodyText"/>
        <w:tabs>
          <w:tab w:pos="1193" w:val="left" w:leader="none"/>
        </w:tabs>
        <w:spacing w:before="1"/>
        <w:ind w:left="111"/>
      </w:pPr>
      <w:r>
        <w:rPr>
          <w:b/>
        </w:rPr>
        <w:t>Tabla 7.</w:t>
        <w:tab/>
      </w:r>
      <w:r>
        <w:rPr/>
        <w:t>Interpretación de impacto neto de políticas para</w:t>
      </w:r>
      <w:r>
        <w:rPr>
          <w:spacing w:val="-14"/>
        </w:rPr>
        <w:t> </w:t>
      </w:r>
      <w:r>
        <w:rPr/>
        <w:t>diferentes</w:t>
      </w:r>
    </w:p>
    <w:p>
      <w:pPr>
        <w:pStyle w:val="BodyText"/>
        <w:tabs>
          <w:tab w:pos="8169" w:val="left" w:leader="none"/>
        </w:tabs>
        <w:spacing w:before="199"/>
        <w:ind w:left="1191"/>
      </w:pPr>
      <w:r>
        <w:rPr/>
        <w:t>valores de I, J, K</w:t>
      </w:r>
      <w:r>
        <w:rPr>
          <w:spacing w:val="-4"/>
        </w:rPr>
        <w:t> </w:t>
      </w:r>
      <w:r>
        <w:rPr/>
        <w:t>o</w:t>
      </w:r>
      <w:r>
        <w:rPr>
          <w:spacing w:val="-1"/>
        </w:rPr>
        <w:t> </w:t>
      </w:r>
      <w:r>
        <w:rPr/>
        <w:t>L…………………………………………….....</w:t>
        <w:tab/>
        <w:t>56</w:t>
      </w:r>
    </w:p>
    <w:p>
      <w:pPr>
        <w:pStyle w:val="BodyText"/>
        <w:tabs>
          <w:tab w:pos="1193" w:val="left" w:leader="none"/>
          <w:tab w:pos="8169" w:val="left" w:leader="none"/>
        </w:tabs>
        <w:spacing w:before="199"/>
        <w:ind w:left="111"/>
      </w:pPr>
      <w:r>
        <w:rPr>
          <w:b/>
        </w:rPr>
        <w:t>Tabla 8.</w:t>
        <w:tab/>
      </w:r>
      <w:r>
        <w:rPr/>
        <w:t>Precios históricos de tres</w:t>
      </w:r>
      <w:r>
        <w:rPr>
          <w:spacing w:val="-8"/>
        </w:rPr>
        <w:t> </w:t>
      </w:r>
      <w:r>
        <w:rPr/>
        <w:t>insumos</w:t>
      </w:r>
      <w:r>
        <w:rPr>
          <w:spacing w:val="-1"/>
        </w:rPr>
        <w:t> </w:t>
      </w:r>
      <w:r>
        <w:rPr/>
        <w:t>alimenticios…………………....</w:t>
        <w:tab/>
        <w:t>63</w:t>
      </w:r>
    </w:p>
    <w:p>
      <w:pPr>
        <w:pStyle w:val="BodyText"/>
        <w:spacing w:before="5"/>
        <w:rPr>
          <w:sz w:val="29"/>
        </w:rPr>
      </w:pPr>
    </w:p>
    <w:p>
      <w:pPr>
        <w:pStyle w:val="BodyText"/>
        <w:tabs>
          <w:tab w:pos="1193" w:val="left" w:leader="none"/>
          <w:tab w:pos="8169" w:val="left" w:leader="none"/>
        </w:tabs>
        <w:ind w:left="111"/>
      </w:pPr>
      <w:r>
        <w:rPr>
          <w:b/>
        </w:rPr>
        <w:t>Tabla 9.</w:t>
        <w:tab/>
      </w:r>
      <w:r>
        <w:rPr/>
        <w:t>Validación de resultados para el precio del</w:t>
      </w:r>
      <w:r>
        <w:rPr>
          <w:spacing w:val="-7"/>
        </w:rPr>
        <w:t> </w:t>
      </w:r>
      <w:r>
        <w:rPr/>
        <w:t>maíz amarillo………....</w:t>
        <w:tab/>
        <w:t>64</w:t>
      </w:r>
    </w:p>
    <w:p>
      <w:pPr>
        <w:pStyle w:val="BodyText"/>
        <w:spacing w:before="4"/>
        <w:rPr>
          <w:sz w:val="29"/>
        </w:rPr>
      </w:pPr>
    </w:p>
    <w:p>
      <w:pPr>
        <w:pStyle w:val="BodyText"/>
        <w:spacing w:before="1"/>
        <w:ind w:left="111"/>
      </w:pPr>
      <w:r>
        <w:rPr>
          <w:b/>
        </w:rPr>
        <w:t>Tabla 10.  </w:t>
      </w:r>
      <w:r>
        <w:rPr/>
        <w:t>Costos de producción por hectárea de cultivo en sistemas</w:t>
      </w:r>
    </w:p>
    <w:p>
      <w:pPr>
        <w:pStyle w:val="BodyText"/>
        <w:tabs>
          <w:tab w:pos="8169" w:val="left" w:leader="none"/>
        </w:tabs>
        <w:spacing w:before="199"/>
        <w:ind w:left="1191"/>
      </w:pPr>
      <w:r>
        <w:rPr/>
        <w:t>lecheros de pequeña escala año</w:t>
      </w:r>
      <w:r>
        <w:rPr>
          <w:spacing w:val="-3"/>
        </w:rPr>
        <w:t> </w:t>
      </w:r>
      <w:r>
        <w:rPr/>
        <w:t>base,</w:t>
      </w:r>
      <w:r>
        <w:rPr>
          <w:spacing w:val="-1"/>
        </w:rPr>
        <w:t> </w:t>
      </w:r>
      <w:r>
        <w:rPr/>
        <w:t>2013………………………...</w:t>
        <w:tab/>
        <w:t>66</w:t>
      </w:r>
    </w:p>
    <w:p>
      <w:pPr>
        <w:pStyle w:val="BodyText"/>
        <w:spacing w:before="201"/>
        <w:ind w:left="111"/>
      </w:pPr>
      <w:r>
        <w:rPr>
          <w:b/>
        </w:rPr>
        <w:t>Tabla 11.  </w:t>
      </w:r>
      <w:r>
        <w:rPr/>
        <w:t>Variables de entrada y salida para el sistema lechero de</w:t>
      </w:r>
    </w:p>
    <w:p>
      <w:pPr>
        <w:pStyle w:val="BodyText"/>
        <w:tabs>
          <w:tab w:pos="8169" w:val="left" w:leader="none"/>
        </w:tabs>
        <w:spacing w:before="199"/>
        <w:ind w:left="1191"/>
      </w:pPr>
      <w:r>
        <w:rPr/>
        <w:t>pequeña escala……………………………………………………...</w:t>
        <w:tab/>
        <w:t>68</w:t>
      </w:r>
    </w:p>
    <w:p>
      <w:pPr>
        <w:pStyle w:val="BodyText"/>
        <w:spacing w:before="199"/>
        <w:ind w:left="111"/>
      </w:pPr>
      <w:r>
        <w:rPr>
          <w:b/>
        </w:rPr>
        <w:t>Tabla 12.  </w:t>
      </w:r>
      <w:r>
        <w:rPr/>
        <w:t>Determinación de Dominancia Estocástica con Respecto a</w:t>
      </w:r>
    </w:p>
    <w:p>
      <w:pPr>
        <w:pStyle w:val="BodyText"/>
        <w:tabs>
          <w:tab w:pos="8169" w:val="left" w:leader="none"/>
        </w:tabs>
        <w:spacing w:before="201"/>
        <w:ind w:left="1191"/>
      </w:pPr>
      <w:r>
        <w:rPr/>
        <w:t>una Función para cuatro alternativas</w:t>
      </w:r>
      <w:r>
        <w:rPr>
          <w:spacing w:val="-8"/>
        </w:rPr>
        <w:t> </w:t>
      </w:r>
      <w:r>
        <w:rPr/>
        <w:t>de inversión…………………</w:t>
        <w:tab/>
        <w:t>78</w:t>
      </w:r>
    </w:p>
    <w:p>
      <w:pPr>
        <w:pStyle w:val="BodyText"/>
        <w:spacing w:before="200"/>
        <w:ind w:left="111"/>
      </w:pPr>
      <w:r>
        <w:rPr>
          <w:b/>
        </w:rPr>
        <w:t>Tabla 13.  </w:t>
      </w:r>
      <w:r>
        <w:rPr/>
        <w:t>Costos de producción por hectárea de cultivo. Margen</w:t>
      </w:r>
    </w:p>
    <w:p>
      <w:pPr>
        <w:pStyle w:val="BodyText"/>
        <w:tabs>
          <w:tab w:pos="8109" w:val="left" w:leader="none"/>
        </w:tabs>
        <w:spacing w:before="199"/>
        <w:ind w:left="1191"/>
      </w:pPr>
      <w:r>
        <w:rPr/>
        <w:t>absoluto ($/kg) y</w:t>
      </w:r>
      <w:r>
        <w:rPr>
          <w:spacing w:val="-1"/>
        </w:rPr>
        <w:t> </w:t>
      </w:r>
      <w:r>
        <w:rPr/>
        <w:t>relativo</w:t>
      </w:r>
      <w:r>
        <w:rPr>
          <w:spacing w:val="-2"/>
        </w:rPr>
        <w:t> </w:t>
      </w:r>
      <w:r>
        <w:rPr/>
        <w:t>(%)……………………………………...</w:t>
        <w:tab/>
        <w:t>197</w:t>
      </w:r>
    </w:p>
    <w:p>
      <w:pPr>
        <w:pStyle w:val="BodyText"/>
        <w:spacing w:before="201"/>
        <w:ind w:left="111"/>
      </w:pPr>
      <w:r>
        <w:rPr>
          <w:b/>
        </w:rPr>
        <w:t>Tabla 14.  </w:t>
      </w:r>
      <w:r>
        <w:rPr/>
        <w:t>Coeficiente de protección de rentabilidad efectiva para el</w:t>
      </w:r>
    </w:p>
    <w:p>
      <w:pPr>
        <w:pStyle w:val="BodyText"/>
        <w:tabs>
          <w:tab w:pos="8109" w:val="left" w:leader="none"/>
        </w:tabs>
        <w:spacing w:before="199"/>
        <w:ind w:left="1191"/>
      </w:pPr>
      <w:r>
        <w:rPr/>
        <w:t>eslabón de producción</w:t>
      </w:r>
      <w:r>
        <w:rPr>
          <w:spacing w:val="-3"/>
        </w:rPr>
        <w:t> </w:t>
      </w:r>
      <w:r>
        <w:rPr/>
        <w:t>de insumos…………………………………</w:t>
        <w:tab/>
        <w:t>200</w:t>
      </w:r>
    </w:p>
    <w:p>
      <w:pPr>
        <w:spacing w:after="0"/>
        <w:sectPr>
          <w:pgSz w:w="12240" w:h="15840"/>
          <w:pgMar w:header="0" w:footer="657" w:top="1360" w:bottom="840" w:left="1660" w:right="1660"/>
        </w:sect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6"/>
        <w:gridCol w:w="6735"/>
        <w:gridCol w:w="637"/>
      </w:tblGrid>
      <w:tr>
        <w:trPr>
          <w:trHeight w:val="459" w:hRule="exact"/>
        </w:trPr>
        <w:tc>
          <w:tcPr>
            <w:tcW w:w="1056" w:type="dxa"/>
          </w:tcPr>
          <w:p>
            <w:pPr>
              <w:pStyle w:val="TableParagraph"/>
              <w:spacing w:before="69"/>
              <w:ind w:left="35"/>
              <w:jc w:val="left"/>
              <w:rPr>
                <w:b/>
                <w:sz w:val="24"/>
              </w:rPr>
            </w:pPr>
            <w:r>
              <w:rPr>
                <w:b/>
                <w:sz w:val="24"/>
              </w:rPr>
              <w:t>Tabla 15.</w:t>
            </w:r>
          </w:p>
        </w:tc>
        <w:tc>
          <w:tcPr>
            <w:tcW w:w="6735" w:type="dxa"/>
          </w:tcPr>
          <w:p>
            <w:pPr>
              <w:pStyle w:val="TableParagraph"/>
              <w:spacing w:before="69"/>
              <w:ind w:left="61"/>
              <w:jc w:val="left"/>
              <w:rPr>
                <w:sz w:val="24"/>
              </w:rPr>
            </w:pPr>
            <w:r>
              <w:rPr>
                <w:sz w:val="24"/>
              </w:rPr>
              <w:t>Costos de producción por litro de leche. Margen absoluto</w:t>
            </w:r>
          </w:p>
        </w:tc>
        <w:tc>
          <w:tcPr>
            <w:tcW w:w="637" w:type="dxa"/>
          </w:tcPr>
          <w:p>
            <w:pPr/>
          </w:p>
        </w:tc>
      </w:tr>
      <w:tr>
        <w:trPr>
          <w:trHeight w:val="477" w:hRule="exact"/>
        </w:trPr>
        <w:tc>
          <w:tcPr>
            <w:tcW w:w="1056" w:type="dxa"/>
          </w:tcPr>
          <w:p>
            <w:pPr/>
          </w:p>
        </w:tc>
        <w:tc>
          <w:tcPr>
            <w:tcW w:w="6735" w:type="dxa"/>
          </w:tcPr>
          <w:p>
            <w:pPr>
              <w:pStyle w:val="TableParagraph"/>
              <w:spacing w:before="88"/>
              <w:ind w:left="59"/>
              <w:jc w:val="left"/>
              <w:rPr>
                <w:sz w:val="24"/>
              </w:rPr>
            </w:pPr>
            <w:r>
              <w:rPr>
                <w:sz w:val="24"/>
              </w:rPr>
              <w:t>($/L) y relativo (%)………………………………………………...</w:t>
            </w:r>
          </w:p>
        </w:tc>
        <w:tc>
          <w:tcPr>
            <w:tcW w:w="637" w:type="dxa"/>
          </w:tcPr>
          <w:p>
            <w:pPr>
              <w:pStyle w:val="TableParagraph"/>
              <w:spacing w:before="88"/>
              <w:ind w:right="33"/>
              <w:rPr>
                <w:sz w:val="24"/>
              </w:rPr>
            </w:pPr>
            <w:r>
              <w:rPr>
                <w:sz w:val="24"/>
              </w:rPr>
              <w:t>201</w:t>
            </w:r>
          </w:p>
        </w:tc>
      </w:tr>
      <w:tr>
        <w:trPr>
          <w:trHeight w:val="475" w:hRule="exact"/>
        </w:trPr>
        <w:tc>
          <w:tcPr>
            <w:tcW w:w="1056" w:type="dxa"/>
          </w:tcPr>
          <w:p>
            <w:pPr>
              <w:pStyle w:val="TableParagraph"/>
              <w:spacing w:before="86"/>
              <w:ind w:left="35"/>
              <w:jc w:val="left"/>
              <w:rPr>
                <w:b/>
                <w:sz w:val="24"/>
              </w:rPr>
            </w:pPr>
            <w:r>
              <w:rPr>
                <w:b/>
                <w:sz w:val="24"/>
              </w:rPr>
              <w:t>Tabla 16.</w:t>
            </w:r>
          </w:p>
        </w:tc>
        <w:tc>
          <w:tcPr>
            <w:tcW w:w="6735" w:type="dxa"/>
          </w:tcPr>
          <w:p>
            <w:pPr>
              <w:pStyle w:val="TableParagraph"/>
              <w:spacing w:before="86"/>
              <w:ind w:left="61"/>
              <w:jc w:val="left"/>
              <w:rPr>
                <w:sz w:val="24"/>
              </w:rPr>
            </w:pPr>
            <w:r>
              <w:rPr>
                <w:sz w:val="24"/>
              </w:rPr>
              <w:t>Coeficientes de protección de rentabilidad efectiva para el</w:t>
            </w:r>
          </w:p>
        </w:tc>
        <w:tc>
          <w:tcPr>
            <w:tcW w:w="637" w:type="dxa"/>
          </w:tcPr>
          <w:p>
            <w:pPr/>
          </w:p>
        </w:tc>
      </w:tr>
      <w:tr>
        <w:trPr>
          <w:trHeight w:val="476" w:hRule="exact"/>
        </w:trPr>
        <w:tc>
          <w:tcPr>
            <w:tcW w:w="1056" w:type="dxa"/>
          </w:tcPr>
          <w:p>
            <w:pPr/>
          </w:p>
        </w:tc>
        <w:tc>
          <w:tcPr>
            <w:tcW w:w="6735" w:type="dxa"/>
          </w:tcPr>
          <w:p>
            <w:pPr>
              <w:pStyle w:val="TableParagraph"/>
              <w:spacing w:before="86"/>
              <w:ind w:left="59"/>
              <w:jc w:val="left"/>
              <w:rPr>
                <w:sz w:val="24"/>
              </w:rPr>
            </w:pPr>
            <w:r>
              <w:rPr>
                <w:sz w:val="24"/>
              </w:rPr>
              <w:t>eslabón de producción de leche…………………………………….</w:t>
            </w:r>
          </w:p>
        </w:tc>
        <w:tc>
          <w:tcPr>
            <w:tcW w:w="637" w:type="dxa"/>
          </w:tcPr>
          <w:p>
            <w:pPr>
              <w:pStyle w:val="TableParagraph"/>
              <w:spacing w:before="86"/>
              <w:ind w:right="33"/>
              <w:rPr>
                <w:sz w:val="24"/>
              </w:rPr>
            </w:pPr>
            <w:r>
              <w:rPr>
                <w:sz w:val="24"/>
              </w:rPr>
              <w:t>203</w:t>
            </w:r>
          </w:p>
        </w:tc>
      </w:tr>
      <w:tr>
        <w:trPr>
          <w:trHeight w:val="476" w:hRule="exact"/>
        </w:trPr>
        <w:tc>
          <w:tcPr>
            <w:tcW w:w="1056" w:type="dxa"/>
          </w:tcPr>
          <w:p>
            <w:pPr>
              <w:pStyle w:val="TableParagraph"/>
              <w:spacing w:before="88"/>
              <w:ind w:left="35"/>
              <w:jc w:val="left"/>
              <w:rPr>
                <w:b/>
                <w:sz w:val="24"/>
              </w:rPr>
            </w:pPr>
            <w:r>
              <w:rPr>
                <w:b/>
                <w:sz w:val="24"/>
              </w:rPr>
              <w:t>Tabla 17.</w:t>
            </w:r>
          </w:p>
        </w:tc>
        <w:tc>
          <w:tcPr>
            <w:tcW w:w="6735" w:type="dxa"/>
          </w:tcPr>
          <w:p>
            <w:pPr>
              <w:pStyle w:val="TableParagraph"/>
              <w:spacing w:before="88"/>
              <w:ind w:left="61"/>
              <w:jc w:val="left"/>
              <w:rPr>
                <w:sz w:val="24"/>
              </w:rPr>
            </w:pPr>
            <w:r>
              <w:rPr>
                <w:sz w:val="24"/>
              </w:rPr>
              <w:t>Costos de producción por kilogramo de queso panela y</w:t>
            </w:r>
          </w:p>
        </w:tc>
        <w:tc>
          <w:tcPr>
            <w:tcW w:w="637" w:type="dxa"/>
          </w:tcPr>
          <w:p>
            <w:pPr/>
          </w:p>
        </w:tc>
      </w:tr>
      <w:tr>
        <w:trPr>
          <w:trHeight w:val="475" w:hRule="exact"/>
        </w:trPr>
        <w:tc>
          <w:tcPr>
            <w:tcW w:w="1056" w:type="dxa"/>
          </w:tcPr>
          <w:p>
            <w:pPr/>
          </w:p>
        </w:tc>
        <w:tc>
          <w:tcPr>
            <w:tcW w:w="6735" w:type="dxa"/>
          </w:tcPr>
          <w:p>
            <w:pPr>
              <w:pStyle w:val="TableParagraph"/>
              <w:spacing w:before="86"/>
              <w:ind w:left="59"/>
              <w:jc w:val="left"/>
              <w:rPr>
                <w:sz w:val="24"/>
              </w:rPr>
            </w:pPr>
            <w:r>
              <w:rPr>
                <w:sz w:val="24"/>
              </w:rPr>
              <w:t>ranchero. Margen absoluto ($/kg) y relativo (%)………………......</w:t>
            </w:r>
          </w:p>
        </w:tc>
        <w:tc>
          <w:tcPr>
            <w:tcW w:w="637" w:type="dxa"/>
          </w:tcPr>
          <w:p>
            <w:pPr>
              <w:pStyle w:val="TableParagraph"/>
              <w:spacing w:before="86"/>
              <w:ind w:right="33"/>
              <w:rPr>
                <w:sz w:val="24"/>
              </w:rPr>
            </w:pPr>
            <w:r>
              <w:rPr>
                <w:sz w:val="24"/>
              </w:rPr>
              <w:t>204</w:t>
            </w:r>
          </w:p>
        </w:tc>
      </w:tr>
      <w:tr>
        <w:trPr>
          <w:trHeight w:val="476" w:hRule="exact"/>
        </w:trPr>
        <w:tc>
          <w:tcPr>
            <w:tcW w:w="1056" w:type="dxa"/>
          </w:tcPr>
          <w:p>
            <w:pPr>
              <w:pStyle w:val="TableParagraph"/>
              <w:spacing w:before="86"/>
              <w:ind w:left="35"/>
              <w:jc w:val="left"/>
              <w:rPr>
                <w:b/>
                <w:sz w:val="24"/>
              </w:rPr>
            </w:pPr>
            <w:r>
              <w:rPr>
                <w:b/>
                <w:sz w:val="24"/>
              </w:rPr>
              <w:t>Tabla 18.</w:t>
            </w:r>
          </w:p>
        </w:tc>
        <w:tc>
          <w:tcPr>
            <w:tcW w:w="6735" w:type="dxa"/>
          </w:tcPr>
          <w:p>
            <w:pPr>
              <w:pStyle w:val="TableParagraph"/>
              <w:spacing w:before="86"/>
              <w:ind w:left="61"/>
              <w:jc w:val="left"/>
              <w:rPr>
                <w:sz w:val="24"/>
              </w:rPr>
            </w:pPr>
            <w:r>
              <w:rPr>
                <w:sz w:val="24"/>
              </w:rPr>
              <w:t>Coeficientes de protección de rentabilidad efectiva para el</w:t>
            </w:r>
          </w:p>
        </w:tc>
        <w:tc>
          <w:tcPr>
            <w:tcW w:w="637" w:type="dxa"/>
          </w:tcPr>
          <w:p>
            <w:pPr/>
          </w:p>
        </w:tc>
      </w:tr>
      <w:tr>
        <w:trPr>
          <w:trHeight w:val="477" w:hRule="exact"/>
        </w:trPr>
        <w:tc>
          <w:tcPr>
            <w:tcW w:w="1056" w:type="dxa"/>
          </w:tcPr>
          <w:p>
            <w:pPr/>
          </w:p>
        </w:tc>
        <w:tc>
          <w:tcPr>
            <w:tcW w:w="6735" w:type="dxa"/>
          </w:tcPr>
          <w:p>
            <w:pPr>
              <w:pStyle w:val="TableParagraph"/>
              <w:spacing w:before="88"/>
              <w:ind w:left="59"/>
              <w:jc w:val="left"/>
              <w:rPr>
                <w:sz w:val="24"/>
              </w:rPr>
            </w:pPr>
            <w:r>
              <w:rPr>
                <w:sz w:val="24"/>
              </w:rPr>
              <w:t>eslabón de transformación………………………………………….</w:t>
            </w:r>
          </w:p>
        </w:tc>
        <w:tc>
          <w:tcPr>
            <w:tcW w:w="637" w:type="dxa"/>
          </w:tcPr>
          <w:p>
            <w:pPr>
              <w:pStyle w:val="TableParagraph"/>
              <w:spacing w:before="88"/>
              <w:ind w:right="33"/>
              <w:rPr>
                <w:sz w:val="24"/>
              </w:rPr>
            </w:pPr>
            <w:r>
              <w:rPr>
                <w:sz w:val="24"/>
              </w:rPr>
              <w:t>206</w:t>
            </w:r>
          </w:p>
        </w:tc>
      </w:tr>
      <w:tr>
        <w:trPr>
          <w:trHeight w:val="475" w:hRule="exact"/>
        </w:trPr>
        <w:tc>
          <w:tcPr>
            <w:tcW w:w="1056" w:type="dxa"/>
          </w:tcPr>
          <w:p>
            <w:pPr>
              <w:pStyle w:val="TableParagraph"/>
              <w:spacing w:before="87"/>
              <w:ind w:left="35"/>
              <w:jc w:val="left"/>
              <w:rPr>
                <w:b/>
                <w:sz w:val="24"/>
              </w:rPr>
            </w:pPr>
            <w:r>
              <w:rPr>
                <w:b/>
                <w:sz w:val="24"/>
              </w:rPr>
              <w:t>Tabla 19.</w:t>
            </w:r>
          </w:p>
        </w:tc>
        <w:tc>
          <w:tcPr>
            <w:tcW w:w="6735" w:type="dxa"/>
          </w:tcPr>
          <w:p>
            <w:pPr>
              <w:pStyle w:val="TableParagraph"/>
              <w:spacing w:before="87"/>
              <w:ind w:left="61"/>
              <w:jc w:val="left"/>
              <w:rPr>
                <w:sz w:val="24"/>
              </w:rPr>
            </w:pPr>
            <w:r>
              <w:rPr>
                <w:sz w:val="24"/>
              </w:rPr>
              <w:t>Márgenes de comercialización de la cadena agroalimentaria</w:t>
            </w:r>
          </w:p>
        </w:tc>
        <w:tc>
          <w:tcPr>
            <w:tcW w:w="637" w:type="dxa"/>
          </w:tcPr>
          <w:p>
            <w:pPr/>
          </w:p>
        </w:tc>
      </w:tr>
      <w:tr>
        <w:trPr>
          <w:trHeight w:val="458" w:hRule="exact"/>
        </w:trPr>
        <w:tc>
          <w:tcPr>
            <w:tcW w:w="1056" w:type="dxa"/>
          </w:tcPr>
          <w:p>
            <w:pPr/>
          </w:p>
        </w:tc>
        <w:tc>
          <w:tcPr>
            <w:tcW w:w="6735" w:type="dxa"/>
          </w:tcPr>
          <w:p>
            <w:pPr>
              <w:pStyle w:val="TableParagraph"/>
              <w:spacing w:before="86"/>
              <w:ind w:left="59"/>
              <w:jc w:val="left"/>
              <w:rPr>
                <w:sz w:val="24"/>
              </w:rPr>
            </w:pPr>
            <w:r>
              <w:rPr>
                <w:sz w:val="24"/>
              </w:rPr>
              <w:t>de leche de pequeña escala…………………………………………</w:t>
            </w:r>
          </w:p>
        </w:tc>
        <w:tc>
          <w:tcPr>
            <w:tcW w:w="637" w:type="dxa"/>
          </w:tcPr>
          <w:p>
            <w:pPr>
              <w:pStyle w:val="TableParagraph"/>
              <w:spacing w:before="86"/>
              <w:ind w:right="33"/>
              <w:rPr>
                <w:sz w:val="24"/>
              </w:rPr>
            </w:pPr>
            <w:r>
              <w:rPr>
                <w:sz w:val="24"/>
              </w:rPr>
              <w:t>210</w:t>
            </w:r>
          </w:p>
        </w:tc>
      </w:tr>
    </w:tbl>
    <w:p>
      <w:pPr>
        <w:spacing w:after="0"/>
        <w:rPr>
          <w:sz w:val="24"/>
        </w:rPr>
        <w:sectPr>
          <w:pgSz w:w="12240" w:h="15840"/>
          <w:pgMar w:header="0" w:footer="657" w:top="1340" w:bottom="840" w:left="1620" w:right="1660"/>
        </w:sectPr>
      </w:pPr>
    </w:p>
    <w:p>
      <w:pPr>
        <w:pStyle w:val="Heading1"/>
        <w:ind w:left="2670"/>
        <w:jc w:val="left"/>
      </w:pPr>
      <w:r>
        <w:rPr/>
        <w:t>ÍNDICE DE FIGURAS</w:t>
      </w:r>
    </w:p>
    <w:p>
      <w:pPr>
        <w:pStyle w:val="BodyText"/>
        <w:spacing w:before="5"/>
        <w:rPr>
          <w:b/>
          <w:sz w:val="23"/>
        </w:rPr>
      </w:pPr>
    </w:p>
    <w:p>
      <w:pPr>
        <w:spacing w:before="69"/>
        <w:ind w:left="0" w:right="157" w:firstLine="0"/>
        <w:jc w:val="right"/>
        <w:rPr>
          <w:b/>
          <w:sz w:val="24"/>
        </w:rPr>
      </w:pPr>
      <w:r>
        <w:rPr>
          <w:b/>
          <w:sz w:val="24"/>
        </w:rPr>
        <w:t>PÁGINA</w:t>
      </w:r>
    </w:p>
    <w:p>
      <w:pPr>
        <w:pStyle w:val="BodyText"/>
        <w:rPr>
          <w:b/>
          <w:sz w:val="29"/>
        </w:rPr>
      </w:pPr>
    </w:p>
    <w:p>
      <w:pPr>
        <w:pStyle w:val="BodyText"/>
        <w:ind w:left="111"/>
      </w:pPr>
      <w:r>
        <w:rPr>
          <w:b/>
        </w:rPr>
        <w:t>Figura 1.   </w:t>
      </w:r>
      <w:r>
        <w:rPr/>
        <w:t>Partición de los principales países productores de leche fresca</w:t>
      </w:r>
    </w:p>
    <w:p>
      <w:pPr>
        <w:pStyle w:val="BodyText"/>
        <w:tabs>
          <w:tab w:pos="8409" w:val="right" w:leader="none"/>
        </w:tabs>
        <w:spacing w:before="199"/>
        <w:ind w:left="1191"/>
      </w:pPr>
      <w:r>
        <w:rPr/>
        <w:t>de bovino a</w:t>
      </w:r>
      <w:r>
        <w:rPr>
          <w:spacing w:val="-2"/>
        </w:rPr>
        <w:t> </w:t>
      </w:r>
      <w:r>
        <w:rPr/>
        <w:t>nivel</w:t>
      </w:r>
      <w:r>
        <w:rPr>
          <w:spacing w:val="-1"/>
        </w:rPr>
        <w:t> </w:t>
      </w:r>
      <w:r>
        <w:rPr/>
        <w:t>mundial…………………………………….........</w:t>
        <w:tab/>
        <w:t>11</w:t>
      </w:r>
    </w:p>
    <w:p>
      <w:pPr>
        <w:pStyle w:val="BodyText"/>
        <w:spacing w:before="201"/>
        <w:ind w:left="111"/>
      </w:pPr>
      <w:r>
        <w:rPr>
          <w:b/>
        </w:rPr>
        <w:t>Figura 2.   </w:t>
      </w:r>
      <w:r>
        <w:rPr/>
        <w:t>Principales países importadores de leche descremada y entera</w:t>
      </w:r>
    </w:p>
    <w:p>
      <w:pPr>
        <w:pStyle w:val="BodyText"/>
        <w:tabs>
          <w:tab w:pos="8409" w:val="right" w:leader="none"/>
        </w:tabs>
        <w:spacing w:before="199"/>
        <w:ind w:left="1191"/>
      </w:pPr>
      <w:r>
        <w:rPr/>
        <w:t>en polvo 2010……………………………………………………....</w:t>
        <w:tab/>
        <w:t>15</w:t>
      </w:r>
    </w:p>
    <w:p>
      <w:pPr>
        <w:pStyle w:val="BodyText"/>
        <w:spacing w:before="199"/>
        <w:ind w:left="111"/>
      </w:pPr>
      <w:r>
        <w:rPr>
          <w:b/>
        </w:rPr>
        <w:t>Figura 3.   </w:t>
      </w:r>
      <w:r>
        <w:rPr/>
        <w:t>Principales países exportadores de leche descremada y entera</w:t>
      </w:r>
    </w:p>
    <w:p>
      <w:pPr>
        <w:pStyle w:val="BodyText"/>
        <w:tabs>
          <w:tab w:pos="8409" w:val="right" w:leader="none"/>
        </w:tabs>
        <w:spacing w:before="202"/>
        <w:ind w:left="1191"/>
      </w:pPr>
      <w:r>
        <w:rPr/>
        <w:t>en polvo 2013……………………………………………………....</w:t>
        <w:tab/>
        <w:t>17</w:t>
      </w:r>
    </w:p>
    <w:p>
      <w:pPr>
        <w:pStyle w:val="BodyText"/>
        <w:tabs>
          <w:tab w:pos="8409" w:val="right" w:leader="none"/>
        </w:tabs>
        <w:spacing w:before="199"/>
        <w:ind w:left="111"/>
      </w:pPr>
      <w:r>
        <w:rPr>
          <w:b/>
        </w:rPr>
        <w:t>Figura 4.   </w:t>
      </w:r>
      <w:r>
        <w:rPr/>
        <w:t>Crecimiento del producto interno</w:t>
      </w:r>
      <w:r>
        <w:rPr>
          <w:spacing w:val="-4"/>
        </w:rPr>
        <w:t> </w:t>
      </w:r>
      <w:r>
        <w:rPr/>
        <w:t>bruto</w:t>
      </w:r>
      <w:r>
        <w:rPr>
          <w:spacing w:val="-1"/>
        </w:rPr>
        <w:t> </w:t>
      </w:r>
      <w:r>
        <w:rPr/>
        <w:t>mexicano………………...</w:t>
        <w:tab/>
        <w:t>21</w:t>
      </w:r>
    </w:p>
    <w:p>
      <w:pPr>
        <w:tabs>
          <w:tab w:pos="8409" w:val="right" w:leader="none"/>
        </w:tabs>
        <w:spacing w:before="338"/>
        <w:ind w:left="111" w:right="0" w:firstLine="0"/>
        <w:jc w:val="left"/>
        <w:rPr>
          <w:sz w:val="24"/>
        </w:rPr>
      </w:pPr>
      <w:r>
        <w:rPr>
          <w:b/>
          <w:sz w:val="24"/>
        </w:rPr>
        <w:t>Figura 5.   </w:t>
      </w:r>
      <w:r>
        <w:rPr>
          <w:sz w:val="24"/>
        </w:rPr>
        <w:t>Tipo de</w:t>
      </w:r>
      <w:r>
        <w:rPr>
          <w:spacing w:val="-1"/>
          <w:sz w:val="24"/>
        </w:rPr>
        <w:t> </w:t>
      </w:r>
      <w:r>
        <w:rPr>
          <w:sz w:val="24"/>
        </w:rPr>
        <w:t>cambio</w:t>
      </w:r>
      <w:r>
        <w:rPr>
          <w:spacing w:val="-1"/>
          <w:sz w:val="24"/>
        </w:rPr>
        <w:t> </w:t>
      </w:r>
      <w:r>
        <w:rPr>
          <w:sz w:val="24"/>
        </w:rPr>
        <w:t>mexicano………………………………………....</w:t>
        <w:tab/>
        <w:t>23</w:t>
      </w:r>
    </w:p>
    <w:p>
      <w:pPr>
        <w:pStyle w:val="BodyText"/>
        <w:tabs>
          <w:tab w:pos="8409" w:val="right" w:leader="none"/>
        </w:tabs>
        <w:spacing w:before="338"/>
        <w:ind w:left="111"/>
      </w:pPr>
      <w:r>
        <w:rPr>
          <w:b/>
        </w:rPr>
        <w:t>Figura 6.   </w:t>
      </w:r>
      <w:r>
        <w:rPr/>
        <w:t>Precio del</w:t>
      </w:r>
      <w:r>
        <w:rPr>
          <w:spacing w:val="-2"/>
        </w:rPr>
        <w:t> </w:t>
      </w:r>
      <w:r>
        <w:rPr/>
        <w:t>petróleo</w:t>
      </w:r>
      <w:r>
        <w:rPr>
          <w:spacing w:val="-1"/>
        </w:rPr>
        <w:t> </w:t>
      </w:r>
      <w:r>
        <w:rPr/>
        <w:t>mexicano……………………………………...</w:t>
        <w:tab/>
        <w:t>24</w:t>
      </w:r>
    </w:p>
    <w:p>
      <w:pPr>
        <w:pStyle w:val="BodyText"/>
        <w:tabs>
          <w:tab w:pos="8409" w:val="right" w:leader="none"/>
        </w:tabs>
        <w:spacing w:before="336"/>
        <w:ind w:left="111"/>
      </w:pPr>
      <w:r>
        <w:rPr>
          <w:b/>
        </w:rPr>
        <w:t>Figura 7.   </w:t>
      </w:r>
      <w:r>
        <w:rPr/>
        <w:t>Crecimiento de la</w:t>
      </w:r>
      <w:r>
        <w:rPr>
          <w:spacing w:val="-4"/>
        </w:rPr>
        <w:t> </w:t>
      </w:r>
      <w:r>
        <w:rPr/>
        <w:t>población</w:t>
      </w:r>
      <w:r>
        <w:rPr>
          <w:spacing w:val="-2"/>
        </w:rPr>
        <w:t> </w:t>
      </w:r>
      <w:r>
        <w:rPr/>
        <w:t>mexicana…………………………….</w:t>
        <w:tab/>
        <w:t>25</w:t>
      </w:r>
    </w:p>
    <w:p>
      <w:pPr>
        <w:pStyle w:val="BodyText"/>
        <w:tabs>
          <w:tab w:pos="8409" w:val="right" w:leader="none"/>
        </w:tabs>
        <w:spacing w:before="338"/>
        <w:ind w:left="111"/>
      </w:pPr>
      <w:r>
        <w:rPr>
          <w:b/>
        </w:rPr>
        <w:t>Figura 8.   </w:t>
      </w:r>
      <w:r>
        <w:rPr/>
        <w:t>Índice nacional de precios</w:t>
      </w:r>
      <w:r>
        <w:rPr>
          <w:spacing w:val="-5"/>
        </w:rPr>
        <w:t> </w:t>
      </w:r>
      <w:r>
        <w:rPr/>
        <w:t>al</w:t>
      </w:r>
      <w:r>
        <w:rPr>
          <w:spacing w:val="-1"/>
        </w:rPr>
        <w:t> </w:t>
      </w:r>
      <w:r>
        <w:rPr/>
        <w:t>productor…………………………....</w:t>
        <w:tab/>
        <w:t>26</w:t>
      </w:r>
    </w:p>
    <w:p>
      <w:pPr>
        <w:tabs>
          <w:tab w:pos="8409" w:val="right" w:leader="none"/>
        </w:tabs>
        <w:spacing w:before="339"/>
        <w:ind w:left="111" w:right="0" w:firstLine="0"/>
        <w:jc w:val="left"/>
        <w:rPr>
          <w:sz w:val="24"/>
        </w:rPr>
      </w:pPr>
      <w:r>
        <w:rPr>
          <w:b/>
          <w:sz w:val="24"/>
        </w:rPr>
        <w:t>Figura 9.   </w:t>
      </w:r>
      <w:r>
        <w:rPr>
          <w:sz w:val="24"/>
        </w:rPr>
        <w:t>Tasa de</w:t>
      </w:r>
      <w:r>
        <w:rPr>
          <w:spacing w:val="-3"/>
          <w:sz w:val="24"/>
        </w:rPr>
        <w:t> </w:t>
      </w:r>
      <w:r>
        <w:rPr>
          <w:sz w:val="24"/>
        </w:rPr>
        <w:t>interés</w:t>
      </w:r>
      <w:r>
        <w:rPr>
          <w:spacing w:val="-1"/>
          <w:sz w:val="24"/>
        </w:rPr>
        <w:t> </w:t>
      </w:r>
      <w:r>
        <w:rPr>
          <w:sz w:val="24"/>
        </w:rPr>
        <w:t>nominal…………………………………………....</w:t>
        <w:tab/>
        <w:t>27</w:t>
      </w:r>
    </w:p>
    <w:p>
      <w:pPr>
        <w:pStyle w:val="BodyText"/>
        <w:spacing w:line="412" w:lineRule="auto" w:before="338"/>
        <w:ind w:left="1251" w:right="1784" w:hanging="1140"/>
      </w:pPr>
      <w:r>
        <w:rPr>
          <w:b/>
        </w:rPr>
        <w:t>Figura 10. </w:t>
      </w:r>
      <w:r>
        <w:rPr/>
        <w:t>Principales estados productores de leche de pequeña escala, doble propósito y tecnificada por regiones agroecológicas en</w:t>
      </w:r>
    </w:p>
    <w:p>
      <w:pPr>
        <w:pStyle w:val="BodyText"/>
        <w:tabs>
          <w:tab w:pos="8409" w:val="right" w:leader="none"/>
        </w:tabs>
        <w:spacing w:before="10"/>
        <w:ind w:left="1251"/>
      </w:pPr>
      <w:r>
        <w:rPr/>
        <w:t>México………………………………………………………….....</w:t>
        <w:tab/>
        <w:t>29</w:t>
      </w:r>
    </w:p>
    <w:p>
      <w:pPr>
        <w:pStyle w:val="BodyText"/>
        <w:tabs>
          <w:tab w:pos="8409" w:val="right" w:leader="none"/>
        </w:tabs>
        <w:spacing w:before="199"/>
        <w:ind w:left="111"/>
      </w:pPr>
      <w:r>
        <w:rPr>
          <w:b/>
        </w:rPr>
        <w:t>Figura 11.</w:t>
      </w:r>
      <w:r>
        <w:rPr>
          <w:b/>
          <w:spacing w:val="-1"/>
        </w:rPr>
        <w:t> </w:t>
      </w:r>
      <w:r>
        <w:rPr/>
        <w:t>Competitividad</w:t>
      </w:r>
      <w:r>
        <w:rPr>
          <w:spacing w:val="-1"/>
        </w:rPr>
        <w:t> </w:t>
      </w:r>
      <w:r>
        <w:rPr/>
        <w:t>sistémica………………………………………….</w:t>
        <w:tab/>
        <w:t>33</w:t>
      </w:r>
    </w:p>
    <w:p>
      <w:pPr>
        <w:pStyle w:val="BodyText"/>
        <w:tabs>
          <w:tab w:pos="8409" w:val="right" w:leader="none"/>
        </w:tabs>
        <w:spacing w:before="338"/>
        <w:ind w:left="111"/>
      </w:pPr>
      <w:r>
        <w:rPr>
          <w:b/>
        </w:rPr>
        <w:t>Figura 12. </w:t>
      </w:r>
      <w:r>
        <w:rPr/>
        <w:t>División distrital del</w:t>
      </w:r>
      <w:r>
        <w:rPr>
          <w:spacing w:val="-2"/>
        </w:rPr>
        <w:t> </w:t>
      </w:r>
      <w:r>
        <w:rPr/>
        <w:t>estado</w:t>
      </w:r>
      <w:r>
        <w:rPr>
          <w:spacing w:val="-1"/>
        </w:rPr>
        <w:t> </w:t>
      </w:r>
      <w:r>
        <w:rPr/>
        <w:t>México……………………………….</w:t>
        <w:tab/>
        <w:t>49</w:t>
      </w:r>
    </w:p>
    <w:p>
      <w:pPr>
        <w:pStyle w:val="BodyText"/>
        <w:spacing w:before="339"/>
        <w:ind w:left="111"/>
      </w:pPr>
      <w:r>
        <w:rPr>
          <w:b/>
        </w:rPr>
        <w:t>Figura 13. </w:t>
      </w:r>
      <w:r>
        <w:rPr/>
        <w:t>Pasos para programar un modelo de simulación con el</w:t>
      </w:r>
    </w:p>
    <w:p>
      <w:pPr>
        <w:pStyle w:val="BodyText"/>
        <w:tabs>
          <w:tab w:pos="8409" w:val="right" w:leader="none"/>
        </w:tabs>
        <w:spacing w:before="199"/>
        <w:ind w:left="1251"/>
      </w:pPr>
      <w:r>
        <w:rPr/>
        <w:t>programa</w:t>
      </w:r>
      <w:r>
        <w:rPr>
          <w:spacing w:val="-1"/>
        </w:rPr>
        <w:t> </w:t>
      </w:r>
      <w:r>
        <w:rPr/>
        <w:t>MexSim…………………………………………………</w:t>
        <w:tab/>
        <w:t>62</w:t>
      </w:r>
    </w:p>
    <w:p>
      <w:pPr>
        <w:pStyle w:val="BodyText"/>
        <w:spacing w:before="199"/>
        <w:ind w:left="111"/>
      </w:pPr>
      <w:r>
        <w:rPr>
          <w:b/>
        </w:rPr>
        <w:t>Figura 14. </w:t>
      </w:r>
      <w:r>
        <w:rPr/>
        <w:t>Pasos para construir un modelo de simulación económica y</w:t>
      </w:r>
    </w:p>
    <w:p>
      <w:pPr>
        <w:pStyle w:val="BodyText"/>
        <w:tabs>
          <w:tab w:pos="8409" w:val="right" w:leader="none"/>
        </w:tabs>
        <w:spacing w:before="199"/>
        <w:ind w:left="1251"/>
      </w:pPr>
      <w:r>
        <w:rPr/>
        <w:t>financiera con el</w:t>
      </w:r>
      <w:r>
        <w:rPr>
          <w:spacing w:val="-2"/>
        </w:rPr>
        <w:t> </w:t>
      </w:r>
      <w:r>
        <w:rPr/>
        <w:t>programa</w:t>
      </w:r>
      <w:r>
        <w:rPr>
          <w:spacing w:val="-1"/>
        </w:rPr>
        <w:t> </w:t>
      </w:r>
      <w:r>
        <w:rPr/>
        <w:t>MexSim………………………………</w:t>
        <w:tab/>
        <w:t>65</w:t>
      </w:r>
    </w:p>
    <w:p>
      <w:pPr>
        <w:spacing w:after="0"/>
        <w:sectPr>
          <w:pgSz w:w="12240" w:h="15840"/>
          <w:pgMar w:header="0" w:footer="657" w:top="1360" w:bottom="840" w:left="1660" w:right="1660"/>
        </w:sectPr>
      </w:pPr>
    </w:p>
    <w:p>
      <w:pPr>
        <w:pStyle w:val="BodyText"/>
        <w:spacing w:line="415" w:lineRule="auto" w:before="50"/>
        <w:ind w:left="1251" w:right="1784" w:hanging="1140"/>
      </w:pPr>
      <w:r>
        <w:rPr>
          <w:b/>
        </w:rPr>
        <w:t>Figura 15. </w:t>
      </w:r>
      <w:r>
        <w:rPr/>
        <w:t>Distribuciones de probabilidades acumuladas para alternativas A y B, en Dominancia Estocástica de Primer</w:t>
      </w:r>
    </w:p>
    <w:p>
      <w:pPr>
        <w:pStyle w:val="BodyText"/>
        <w:tabs>
          <w:tab w:pos="8169" w:val="left" w:leader="none"/>
        </w:tabs>
        <w:spacing w:before="5"/>
        <w:ind w:left="1251"/>
      </w:pPr>
      <w:r>
        <w:rPr/>
        <w:t>Orden……………………………………………………………...</w:t>
        <w:tab/>
        <w:t>76</w:t>
      </w:r>
    </w:p>
    <w:p>
      <w:pPr>
        <w:pStyle w:val="BodyText"/>
        <w:spacing w:before="199"/>
        <w:ind w:left="111"/>
      </w:pPr>
      <w:r>
        <w:rPr>
          <w:b/>
        </w:rPr>
        <w:t>Figura 16. </w:t>
      </w:r>
      <w:r>
        <w:rPr/>
        <w:t>Distribuciones de probabilidades acumuladas para estrategias</w:t>
      </w:r>
    </w:p>
    <w:p>
      <w:pPr>
        <w:pStyle w:val="BodyText"/>
        <w:tabs>
          <w:tab w:pos="8169" w:val="left" w:leader="none"/>
        </w:tabs>
        <w:spacing w:before="201"/>
        <w:ind w:left="1251"/>
      </w:pPr>
      <w:r>
        <w:rPr/>
        <w:t>A y B, en Dominancia Estocástica de</w:t>
      </w:r>
      <w:r>
        <w:rPr>
          <w:spacing w:val="-6"/>
        </w:rPr>
        <w:t> </w:t>
      </w:r>
      <w:r>
        <w:rPr/>
        <w:t>Segundo</w:t>
      </w:r>
      <w:r>
        <w:rPr>
          <w:spacing w:val="2"/>
        </w:rPr>
        <w:t> </w:t>
      </w:r>
      <w:r>
        <w:rPr/>
        <w:t>Orden…………...</w:t>
        <w:tab/>
        <w:t>77</w:t>
      </w:r>
    </w:p>
    <w:p>
      <w:pPr>
        <w:pStyle w:val="BodyText"/>
        <w:spacing w:before="199"/>
        <w:ind w:left="111"/>
      </w:pPr>
      <w:r>
        <w:rPr>
          <w:b/>
        </w:rPr>
        <w:t>Figura 17. </w:t>
      </w:r>
      <w:r>
        <w:rPr/>
        <w:t>Dominancia Estocástica con Respecto a una Función para</w:t>
      </w:r>
    </w:p>
    <w:p>
      <w:pPr>
        <w:pStyle w:val="BodyText"/>
        <w:tabs>
          <w:tab w:pos="8169" w:val="left" w:leader="none"/>
        </w:tabs>
        <w:spacing w:before="199"/>
        <w:ind w:left="1251"/>
      </w:pPr>
      <w:r>
        <w:rPr/>
        <w:t>cuatro alternativas</w:t>
      </w:r>
      <w:r>
        <w:rPr>
          <w:spacing w:val="-3"/>
        </w:rPr>
        <w:t> </w:t>
      </w:r>
      <w:r>
        <w:rPr/>
        <w:t>de</w:t>
      </w:r>
      <w:r>
        <w:rPr>
          <w:spacing w:val="-2"/>
        </w:rPr>
        <w:t> </w:t>
      </w:r>
      <w:r>
        <w:rPr/>
        <w:t>negocio…………………………………….</w:t>
        <w:tab/>
        <w:t>79</w:t>
      </w:r>
    </w:p>
    <w:p>
      <w:pPr>
        <w:pStyle w:val="BodyText"/>
        <w:spacing w:line="412" w:lineRule="auto" w:before="201"/>
        <w:ind w:left="1251" w:right="1784" w:hanging="1140"/>
      </w:pPr>
      <w:r>
        <w:rPr>
          <w:b/>
        </w:rPr>
        <w:t>Figura 18. </w:t>
      </w:r>
      <w:r>
        <w:rPr/>
        <w:t>Modelo general de la cadena agroalimentaria productora de leche de pequeña escala en siete comunidades del Distrito</w:t>
      </w:r>
    </w:p>
    <w:p>
      <w:pPr>
        <w:pStyle w:val="BodyText"/>
        <w:tabs>
          <w:tab w:pos="8109" w:val="left" w:leader="none"/>
        </w:tabs>
        <w:spacing w:before="8"/>
        <w:ind w:left="1251"/>
      </w:pPr>
      <w:r>
        <w:rPr/>
        <w:t>de Desarrollo Rural</w:t>
      </w:r>
      <w:r>
        <w:rPr>
          <w:spacing w:val="-1"/>
        </w:rPr>
        <w:t> </w:t>
      </w:r>
      <w:r>
        <w:rPr/>
        <w:t>de</w:t>
      </w:r>
      <w:r>
        <w:rPr>
          <w:spacing w:val="-1"/>
        </w:rPr>
        <w:t> </w:t>
      </w:r>
      <w:r>
        <w:rPr/>
        <w:t>Texcoco…………………………………..</w:t>
        <w:tab/>
        <w:t>194</w:t>
      </w:r>
    </w:p>
    <w:p>
      <w:pPr>
        <w:spacing w:after="0"/>
        <w:sectPr>
          <w:pgSz w:w="12240" w:h="15840"/>
          <w:pgMar w:header="0" w:footer="657" w:top="1360" w:bottom="840" w:left="1660" w:right="1660"/>
        </w:sectPr>
      </w:pPr>
    </w:p>
    <w:p>
      <w:pPr>
        <w:pStyle w:val="Heading1"/>
        <w:spacing w:before="15"/>
        <w:ind w:left="366" w:right="26"/>
        <w:jc w:val="center"/>
        <w:rPr>
          <w:sz w:val="50"/>
        </w:rPr>
      </w:pPr>
      <w:r>
        <w:rPr/>
        <w:t>CAPÍTULO </w:t>
      </w:r>
      <w:r>
        <w:rPr>
          <w:sz w:val="50"/>
        </w:rPr>
        <w:t>1</w:t>
      </w:r>
    </w:p>
    <w:p>
      <w:pPr>
        <w:spacing w:before="200"/>
        <w:ind w:left="365" w:right="26" w:firstLine="0"/>
        <w:jc w:val="center"/>
        <w:rPr>
          <w:b/>
          <w:sz w:val="24"/>
        </w:rPr>
      </w:pPr>
      <w:r>
        <w:rPr>
          <w:b/>
          <w:sz w:val="24"/>
        </w:rPr>
        <w:t>INTRODUCCIÓN</w:t>
      </w:r>
    </w:p>
    <w:p>
      <w:pPr>
        <w:pStyle w:val="BodyText"/>
        <w:rPr>
          <w:b/>
        </w:rPr>
      </w:pPr>
    </w:p>
    <w:p>
      <w:pPr>
        <w:pStyle w:val="BodyText"/>
        <w:rPr>
          <w:b/>
        </w:rPr>
      </w:pPr>
    </w:p>
    <w:p>
      <w:pPr>
        <w:pStyle w:val="BodyText"/>
        <w:spacing w:before="2"/>
        <w:rPr>
          <w:b/>
          <w:sz w:val="29"/>
        </w:rPr>
      </w:pPr>
    </w:p>
    <w:p>
      <w:pPr>
        <w:pStyle w:val="BodyText"/>
        <w:spacing w:line="360" w:lineRule="auto"/>
        <w:ind w:left="102" w:right="113"/>
        <w:jc w:val="both"/>
      </w:pPr>
      <w:r>
        <w:rPr/>
        <w:t>Existe un axioma que cada vez cobra mayor importancia y urgencia: las sociedades de hoy son más intensivas en el uso de conocimientos y su desarrollo económico y social depende, por lo mismo, directamente del aprovechamiento de los diferentes capitales y recursos. En este</w:t>
      </w:r>
      <w:r>
        <w:rPr>
          <w:spacing w:val="-7"/>
        </w:rPr>
        <w:t> </w:t>
      </w:r>
      <w:r>
        <w:rPr/>
        <w:t>escenario</w:t>
      </w:r>
      <w:r>
        <w:rPr>
          <w:spacing w:val="-5"/>
        </w:rPr>
        <w:t> </w:t>
      </w:r>
      <w:r>
        <w:rPr/>
        <w:t>el</w:t>
      </w:r>
      <w:r>
        <w:rPr>
          <w:spacing w:val="-7"/>
        </w:rPr>
        <w:t> </w:t>
      </w:r>
      <w:r>
        <w:rPr/>
        <w:t>productor</w:t>
      </w:r>
      <w:r>
        <w:rPr>
          <w:spacing w:val="-8"/>
        </w:rPr>
        <w:t> </w:t>
      </w:r>
      <w:r>
        <w:rPr/>
        <w:t>necesita</w:t>
      </w:r>
      <w:r>
        <w:rPr>
          <w:spacing w:val="-8"/>
        </w:rPr>
        <w:t> </w:t>
      </w:r>
      <w:r>
        <w:rPr/>
        <w:t>tomar</w:t>
      </w:r>
      <w:r>
        <w:rPr>
          <w:spacing w:val="-8"/>
        </w:rPr>
        <w:t> </w:t>
      </w:r>
      <w:r>
        <w:rPr/>
        <w:t>decisiones</w:t>
      </w:r>
      <w:r>
        <w:rPr>
          <w:spacing w:val="-7"/>
        </w:rPr>
        <w:t> </w:t>
      </w:r>
      <w:r>
        <w:rPr/>
        <w:t>complejas</w:t>
      </w:r>
      <w:r>
        <w:rPr>
          <w:spacing w:val="-2"/>
        </w:rPr>
        <w:t> </w:t>
      </w:r>
      <w:r>
        <w:rPr/>
        <w:t>y</w:t>
      </w:r>
      <w:r>
        <w:rPr>
          <w:spacing w:val="-9"/>
        </w:rPr>
        <w:t> </w:t>
      </w:r>
      <w:r>
        <w:rPr/>
        <w:t>estas</w:t>
      </w:r>
      <w:r>
        <w:rPr>
          <w:spacing w:val="-7"/>
        </w:rPr>
        <w:t> </w:t>
      </w:r>
      <w:r>
        <w:rPr/>
        <w:t>solo</w:t>
      </w:r>
      <w:r>
        <w:rPr>
          <w:spacing w:val="-7"/>
        </w:rPr>
        <w:t> </w:t>
      </w:r>
      <w:r>
        <w:rPr/>
        <w:t>serán</w:t>
      </w:r>
      <w:r>
        <w:rPr>
          <w:spacing w:val="-5"/>
        </w:rPr>
        <w:t> </w:t>
      </w:r>
      <w:r>
        <w:rPr/>
        <w:t>eficaces</w:t>
      </w:r>
      <w:r>
        <w:rPr>
          <w:spacing w:val="-7"/>
        </w:rPr>
        <w:t> </w:t>
      </w:r>
      <w:r>
        <w:rPr/>
        <w:t>si se encuentran cimentadas en una información económica y financiera fiable (Vásquez et al., 2010), que permita al productor aumentar su productividad, competitividad y viabilidad económica, como palancas claves en el desarrollo de la economía nacional (Abarzúa,</w:t>
      </w:r>
      <w:r>
        <w:rPr>
          <w:spacing w:val="-33"/>
        </w:rPr>
        <w:t> </w:t>
      </w:r>
      <w:r>
        <w:rPr/>
        <w:t>2005).</w:t>
      </w:r>
    </w:p>
    <w:p>
      <w:pPr>
        <w:pStyle w:val="BodyText"/>
      </w:pPr>
    </w:p>
    <w:p>
      <w:pPr>
        <w:pStyle w:val="BodyText"/>
      </w:pPr>
    </w:p>
    <w:p>
      <w:pPr>
        <w:pStyle w:val="BodyText"/>
        <w:spacing w:line="360" w:lineRule="auto" w:before="145"/>
        <w:ind w:left="102" w:right="116"/>
        <w:jc w:val="both"/>
      </w:pPr>
      <w:r>
        <w:rPr/>
        <w:t>El sistema lechero de pequeña escala, como un subsector integrado en el sector ganadero,</w:t>
      </w:r>
      <w:r>
        <w:rPr>
          <w:spacing w:val="-23"/>
        </w:rPr>
        <w:t> </w:t>
      </w:r>
      <w:r>
        <w:rPr/>
        <w:t>se mueve en un entorno de incertidumbre consecuencia de las reformas políticas internas, la liberalización del mercado y los pobres subsidios a este sector (Cesín et al., 2007). A esto</w:t>
      </w:r>
      <w:r>
        <w:rPr>
          <w:spacing w:val="-18"/>
        </w:rPr>
        <w:t> </w:t>
      </w:r>
      <w:r>
        <w:rPr/>
        <w:t>se suma la complejidad inherente de la propia actividad y su competitividad, difícil como consecuencia de los cambios estructurales actuales y donde al empresario ganadero sólo le queda un pequeño margen de ganancias en el precio, siempre que consiga un producto de calidad, que hoy exige el</w:t>
      </w:r>
      <w:r>
        <w:rPr>
          <w:spacing w:val="-8"/>
        </w:rPr>
        <w:t> </w:t>
      </w:r>
      <w:r>
        <w:rPr/>
        <w:t>mercado.</w:t>
      </w:r>
    </w:p>
    <w:p>
      <w:pPr>
        <w:pStyle w:val="BodyText"/>
      </w:pPr>
    </w:p>
    <w:p>
      <w:pPr>
        <w:pStyle w:val="BodyText"/>
      </w:pPr>
    </w:p>
    <w:p>
      <w:pPr>
        <w:pStyle w:val="BodyText"/>
        <w:spacing w:line="360" w:lineRule="auto" w:before="143"/>
        <w:ind w:left="102" w:right="118"/>
        <w:jc w:val="both"/>
      </w:pPr>
      <w:r>
        <w:rPr/>
        <w:t>Esta situación genera retos en cada país, que parten de indicadores nacionales los cuales reflejan necesidades de evaluaciones económicas para medir las capacidades reales en los sistemas agropecuarios. Sin embargo, pocas veces, estos retos incluyen la realidad local y regional (Abarzúa, 2005), que permita agregar otras variables, como la distribución de la inversión, uso de mano de obra familiar, producción de insumos, cercanía de zonas de distribución y procesamiento, condiciones de comercialización, y estabilidad económica a largo plazo (Torres y Lima, 2006; Posadas-Domínguez et al., 2013a), es decir, un conjunto de realidades que no siempre se refleja en las evaluaciones habituales sobre el tema.</w:t>
      </w:r>
    </w:p>
    <w:p>
      <w:pPr>
        <w:spacing w:after="0" w:line="360" w:lineRule="auto"/>
        <w:jc w:val="both"/>
        <w:sectPr>
          <w:footerReference w:type="default" r:id="rId8"/>
          <w:pgSz w:w="12240" w:h="15840"/>
          <w:pgMar w:footer="657" w:header="0" w:top="1400" w:bottom="840" w:left="1600" w:right="1580"/>
          <w:pgNumType w:start="1"/>
        </w:sectPr>
      </w:pPr>
    </w:p>
    <w:p>
      <w:pPr>
        <w:pStyle w:val="BodyText"/>
        <w:spacing w:line="360" w:lineRule="auto" w:before="50"/>
        <w:ind w:left="102" w:right="118"/>
        <w:jc w:val="both"/>
      </w:pPr>
      <w:r>
        <w:rPr/>
        <w:t>La literatura especializada a nivel nacional e internacional ha demostrado que las variables mano de obra familiar (MOF), producción de insumos, comercialización y subsidios tienen un impacto directo en la rentabilidad, competitividad y viabilidad del sistema lechero de pequeña escala.</w:t>
      </w:r>
    </w:p>
    <w:p>
      <w:pPr>
        <w:pStyle w:val="BodyText"/>
      </w:pPr>
    </w:p>
    <w:p>
      <w:pPr>
        <w:pStyle w:val="BodyText"/>
      </w:pPr>
    </w:p>
    <w:p>
      <w:pPr>
        <w:pStyle w:val="BodyText"/>
        <w:spacing w:before="3"/>
        <w:rPr>
          <w:sz w:val="23"/>
        </w:rPr>
      </w:pPr>
    </w:p>
    <w:p>
      <w:pPr>
        <w:pStyle w:val="BodyText"/>
        <w:spacing w:line="360" w:lineRule="auto"/>
        <w:ind w:left="102" w:right="117"/>
        <w:jc w:val="both"/>
      </w:pPr>
      <w:r>
        <w:rPr/>
        <w:t>Staal et al. (2008) en un estudio realizado en el sur de Asia y Este de África, señalaron la importancia de la MOF en la viabilidad económica de sistemas lecheros de pequeña escala </w:t>
      </w:r>
      <w:r>
        <w:rPr>
          <w:spacing w:val="-3"/>
        </w:rPr>
        <w:t>ya </w:t>
      </w:r>
      <w:r>
        <w:rPr/>
        <w:t>que este insumo genera un mecanismo de sustitución de capital económico por mano de obra. Ndambi et al. (2008) y Ndambi y Hemme (2009) en investigaciones realizadas en sistemas</w:t>
      </w:r>
      <w:r>
        <w:rPr>
          <w:spacing w:val="-6"/>
        </w:rPr>
        <w:t> </w:t>
      </w:r>
      <w:r>
        <w:rPr/>
        <w:t>lecheros</w:t>
      </w:r>
      <w:r>
        <w:rPr>
          <w:spacing w:val="-7"/>
        </w:rPr>
        <w:t> </w:t>
      </w:r>
      <w:r>
        <w:rPr/>
        <w:t>de</w:t>
      </w:r>
      <w:r>
        <w:rPr>
          <w:spacing w:val="-7"/>
        </w:rPr>
        <w:t> </w:t>
      </w:r>
      <w:r>
        <w:rPr/>
        <w:t>pequeña</w:t>
      </w:r>
      <w:r>
        <w:rPr>
          <w:spacing w:val="-7"/>
        </w:rPr>
        <w:t> </w:t>
      </w:r>
      <w:r>
        <w:rPr/>
        <w:t>escala</w:t>
      </w:r>
      <w:r>
        <w:rPr>
          <w:spacing w:val="-7"/>
        </w:rPr>
        <w:t> </w:t>
      </w:r>
      <w:r>
        <w:rPr/>
        <w:t>en</w:t>
      </w:r>
      <w:r>
        <w:rPr>
          <w:spacing w:val="-4"/>
        </w:rPr>
        <w:t> </w:t>
      </w:r>
      <w:r>
        <w:rPr/>
        <w:t>África</w:t>
      </w:r>
      <w:r>
        <w:rPr>
          <w:spacing w:val="-5"/>
        </w:rPr>
        <w:t> </w:t>
      </w:r>
      <w:r>
        <w:rPr/>
        <w:t>señalan</w:t>
      </w:r>
      <w:r>
        <w:rPr>
          <w:spacing w:val="-6"/>
        </w:rPr>
        <w:t> </w:t>
      </w:r>
      <w:r>
        <w:rPr/>
        <w:t>que</w:t>
      </w:r>
      <w:r>
        <w:rPr>
          <w:spacing w:val="-7"/>
        </w:rPr>
        <w:t> </w:t>
      </w:r>
      <w:r>
        <w:rPr/>
        <w:t>la</w:t>
      </w:r>
      <w:r>
        <w:rPr>
          <w:spacing w:val="-7"/>
        </w:rPr>
        <w:t> </w:t>
      </w:r>
      <w:r>
        <w:rPr/>
        <w:t>importancia</w:t>
      </w:r>
      <w:r>
        <w:rPr>
          <w:spacing w:val="-7"/>
        </w:rPr>
        <w:t> </w:t>
      </w:r>
      <w:r>
        <w:rPr/>
        <w:t>de</w:t>
      </w:r>
      <w:r>
        <w:rPr>
          <w:spacing w:val="-7"/>
        </w:rPr>
        <w:t> </w:t>
      </w:r>
      <w:r>
        <w:rPr/>
        <w:t>la</w:t>
      </w:r>
      <w:r>
        <w:rPr>
          <w:spacing w:val="-7"/>
        </w:rPr>
        <w:t> </w:t>
      </w:r>
      <w:r>
        <w:rPr/>
        <w:t>MOF</w:t>
      </w:r>
      <w:r>
        <w:rPr>
          <w:spacing w:val="-8"/>
        </w:rPr>
        <w:t> </w:t>
      </w:r>
      <w:r>
        <w:rPr/>
        <w:t>no</w:t>
      </w:r>
      <w:r>
        <w:rPr>
          <w:spacing w:val="-6"/>
        </w:rPr>
        <w:t> </w:t>
      </w:r>
      <w:r>
        <w:rPr/>
        <w:t>solo se refleja en la creación de empleos (impacto social), sino también, en su estabilidad económica y financiera, al ser la MOF, un mecanismo que aporta su labor a los procesos de producción sin percibir un ingreso constante lo que permite crear una frontera de posibilidades para apalancar al sistema en situaciones</w:t>
      </w:r>
      <w:r>
        <w:rPr>
          <w:spacing w:val="-8"/>
        </w:rPr>
        <w:t> </w:t>
      </w:r>
      <w:r>
        <w:rPr/>
        <w:t>críticas.</w:t>
      </w:r>
    </w:p>
    <w:p>
      <w:pPr>
        <w:pStyle w:val="BodyText"/>
      </w:pPr>
    </w:p>
    <w:p>
      <w:pPr>
        <w:pStyle w:val="BodyText"/>
      </w:pPr>
    </w:p>
    <w:p>
      <w:pPr>
        <w:pStyle w:val="BodyText"/>
        <w:spacing w:before="3"/>
        <w:rPr>
          <w:sz w:val="23"/>
        </w:rPr>
      </w:pPr>
    </w:p>
    <w:p>
      <w:pPr>
        <w:pStyle w:val="BodyText"/>
        <w:spacing w:line="360" w:lineRule="auto" w:before="1"/>
        <w:ind w:left="102" w:right="112"/>
        <w:jc w:val="both"/>
      </w:pPr>
      <w:r>
        <w:rPr/>
        <w:t>Gómez et al. (2007) en Perú, Cabrera et al. (2010) en USA, Zhuo et al. (2013) en China y Posadas-Domínguez</w:t>
      </w:r>
      <w:r>
        <w:rPr>
          <w:spacing w:val="-13"/>
        </w:rPr>
        <w:t> </w:t>
      </w:r>
      <w:r>
        <w:rPr/>
        <w:t>et</w:t>
      </w:r>
      <w:r>
        <w:rPr>
          <w:spacing w:val="-14"/>
        </w:rPr>
        <w:t> </w:t>
      </w:r>
      <w:r>
        <w:rPr/>
        <w:t>al.</w:t>
      </w:r>
      <w:r>
        <w:rPr>
          <w:spacing w:val="-14"/>
        </w:rPr>
        <w:t> </w:t>
      </w:r>
      <w:r>
        <w:rPr/>
        <w:t>(2014)</w:t>
      </w:r>
      <w:r>
        <w:rPr>
          <w:spacing w:val="-14"/>
        </w:rPr>
        <w:t> </w:t>
      </w:r>
      <w:r>
        <w:rPr/>
        <w:t>en</w:t>
      </w:r>
      <w:r>
        <w:rPr>
          <w:spacing w:val="-14"/>
        </w:rPr>
        <w:t> </w:t>
      </w:r>
      <w:r>
        <w:rPr/>
        <w:t>México,</w:t>
      </w:r>
      <w:r>
        <w:rPr>
          <w:spacing w:val="-14"/>
        </w:rPr>
        <w:t> </w:t>
      </w:r>
      <w:r>
        <w:rPr/>
        <w:t>reportaron</w:t>
      </w:r>
      <w:r>
        <w:rPr>
          <w:spacing w:val="-15"/>
        </w:rPr>
        <w:t> </w:t>
      </w:r>
      <w:r>
        <w:rPr/>
        <w:t>que</w:t>
      </w:r>
      <w:r>
        <w:rPr>
          <w:spacing w:val="-15"/>
        </w:rPr>
        <w:t> </w:t>
      </w:r>
      <w:r>
        <w:rPr/>
        <w:t>la</w:t>
      </w:r>
      <w:r>
        <w:rPr>
          <w:spacing w:val="-15"/>
        </w:rPr>
        <w:t> </w:t>
      </w:r>
      <w:r>
        <w:rPr/>
        <w:t>MOF</w:t>
      </w:r>
      <w:r>
        <w:rPr>
          <w:spacing w:val="-16"/>
        </w:rPr>
        <w:t> </w:t>
      </w:r>
      <w:r>
        <w:rPr/>
        <w:t>tiene</w:t>
      </w:r>
      <w:r>
        <w:rPr>
          <w:spacing w:val="-15"/>
        </w:rPr>
        <w:t> </w:t>
      </w:r>
      <w:r>
        <w:rPr/>
        <w:t>un</w:t>
      </w:r>
      <w:r>
        <w:rPr>
          <w:spacing w:val="-14"/>
        </w:rPr>
        <w:t> </w:t>
      </w:r>
      <w:r>
        <w:rPr/>
        <w:t>impacto</w:t>
      </w:r>
      <w:r>
        <w:rPr>
          <w:spacing w:val="-14"/>
        </w:rPr>
        <w:t> </w:t>
      </w:r>
      <w:r>
        <w:rPr/>
        <w:t>directo en los costos totales de producción y aumento de ingresos, lo que está directamente correlacionado con la rentabilidad, competitividad y viabilidad económica del sistema lechero de pequeña</w:t>
      </w:r>
      <w:r>
        <w:rPr>
          <w:spacing w:val="-4"/>
        </w:rPr>
        <w:t> </w:t>
      </w:r>
      <w:r>
        <w:rPr/>
        <w:t>escala.</w:t>
      </w:r>
    </w:p>
    <w:p>
      <w:pPr>
        <w:pStyle w:val="BodyText"/>
      </w:pPr>
    </w:p>
    <w:p>
      <w:pPr>
        <w:pStyle w:val="BodyText"/>
        <w:spacing w:before="8"/>
        <w:rPr>
          <w:sz w:val="29"/>
        </w:rPr>
      </w:pPr>
    </w:p>
    <w:p>
      <w:pPr>
        <w:pStyle w:val="BodyText"/>
        <w:spacing w:line="360" w:lineRule="auto" w:before="1"/>
        <w:ind w:left="102" w:right="118"/>
        <w:jc w:val="both"/>
      </w:pPr>
      <w:r>
        <w:rPr/>
        <w:t>La producción de insumos al igual que la MOF son elementos clave que le han permitido al sistema lechero de pequeña escala permanecer dentro del mercado de competencia actual (Carranza-Trinidad et al., 2007; Hemme y Otte, 2010). Zimmermann y Heckelei (2012) en un estudio en la industria lechera Europea concluyen que la volatilidad en el precio de insumos</w:t>
      </w:r>
      <w:r>
        <w:rPr>
          <w:spacing w:val="-8"/>
        </w:rPr>
        <w:t> </w:t>
      </w:r>
      <w:r>
        <w:rPr/>
        <w:t>alimenticios</w:t>
      </w:r>
      <w:r>
        <w:rPr>
          <w:spacing w:val="-9"/>
        </w:rPr>
        <w:t> </w:t>
      </w:r>
      <w:r>
        <w:rPr/>
        <w:t>en</w:t>
      </w:r>
      <w:r>
        <w:rPr>
          <w:spacing w:val="-11"/>
        </w:rPr>
        <w:t> </w:t>
      </w:r>
      <w:r>
        <w:rPr/>
        <w:t>el</w:t>
      </w:r>
      <w:r>
        <w:rPr>
          <w:spacing w:val="-8"/>
        </w:rPr>
        <w:t> </w:t>
      </w:r>
      <w:r>
        <w:rPr/>
        <w:t>mercado</w:t>
      </w:r>
      <w:r>
        <w:rPr>
          <w:spacing w:val="-9"/>
        </w:rPr>
        <w:t> </w:t>
      </w:r>
      <w:r>
        <w:rPr/>
        <w:t>se</w:t>
      </w:r>
      <w:r>
        <w:rPr>
          <w:spacing w:val="-7"/>
        </w:rPr>
        <w:t> </w:t>
      </w:r>
      <w:r>
        <w:rPr/>
        <w:t>relaciona</w:t>
      </w:r>
      <w:r>
        <w:rPr>
          <w:spacing w:val="-9"/>
        </w:rPr>
        <w:t> </w:t>
      </w:r>
      <w:r>
        <w:rPr/>
        <w:t>con</w:t>
      </w:r>
      <w:r>
        <w:rPr>
          <w:spacing w:val="-9"/>
        </w:rPr>
        <w:t> </w:t>
      </w:r>
      <w:r>
        <w:rPr/>
        <w:t>una</w:t>
      </w:r>
      <w:r>
        <w:rPr>
          <w:spacing w:val="-10"/>
        </w:rPr>
        <w:t> </w:t>
      </w:r>
      <w:r>
        <w:rPr/>
        <w:t>mayor</w:t>
      </w:r>
      <w:r>
        <w:rPr>
          <w:spacing w:val="-9"/>
        </w:rPr>
        <w:t> </w:t>
      </w:r>
      <w:r>
        <w:rPr/>
        <w:t>incertidumbre</w:t>
      </w:r>
      <w:r>
        <w:rPr>
          <w:spacing w:val="-6"/>
        </w:rPr>
        <w:t> </w:t>
      </w:r>
      <w:r>
        <w:rPr/>
        <w:t>y</w:t>
      </w:r>
      <w:r>
        <w:rPr>
          <w:spacing w:val="-16"/>
        </w:rPr>
        <w:t> </w:t>
      </w:r>
      <w:r>
        <w:rPr/>
        <w:t>hace</w:t>
      </w:r>
      <w:r>
        <w:rPr>
          <w:spacing w:val="-10"/>
        </w:rPr>
        <w:t> </w:t>
      </w:r>
      <w:r>
        <w:rPr/>
        <w:t>que</w:t>
      </w:r>
      <w:r>
        <w:rPr>
          <w:spacing w:val="-10"/>
        </w:rPr>
        <w:t> </w:t>
      </w:r>
      <w:r>
        <w:rPr/>
        <w:t>las granjas eviten nuevas inversiones, por tanto, reduce el crecimiento agrícola y </w:t>
      </w:r>
      <w:r>
        <w:rPr>
          <w:spacing w:val="2"/>
        </w:rPr>
        <w:t>su </w:t>
      </w:r>
      <w:r>
        <w:rPr/>
        <w:t>viabilidad económica. Wiek y Heckelei (2007) demostraron que la producción de forraje disminuye</w:t>
      </w:r>
      <w:r>
        <w:rPr>
          <w:spacing w:val="33"/>
        </w:rPr>
        <w:t> </w:t>
      </w:r>
      <w:r>
        <w:rPr/>
        <w:t>el</w:t>
      </w:r>
    </w:p>
    <w:p>
      <w:pPr>
        <w:spacing w:after="0" w:line="360" w:lineRule="auto"/>
        <w:jc w:val="both"/>
        <w:sectPr>
          <w:pgSz w:w="12240" w:h="15840"/>
          <w:pgMar w:header="0" w:footer="657" w:top="1360" w:bottom="840" w:left="1600" w:right="1580"/>
        </w:sectPr>
      </w:pPr>
    </w:p>
    <w:p>
      <w:pPr>
        <w:pStyle w:val="BodyText"/>
        <w:spacing w:line="362" w:lineRule="auto" w:before="50"/>
        <w:ind w:left="102" w:right="116"/>
        <w:jc w:val="both"/>
      </w:pPr>
      <w:r>
        <w:rPr/>
        <w:t>costo marginal de producción y aumenta la rentabilidad económica del sistema lechero de pequeña escala Europeo.</w:t>
      </w:r>
    </w:p>
    <w:p>
      <w:pPr>
        <w:pStyle w:val="BodyText"/>
      </w:pPr>
    </w:p>
    <w:p>
      <w:pPr>
        <w:pStyle w:val="BodyText"/>
        <w:spacing w:line="360" w:lineRule="auto" w:before="140"/>
        <w:ind w:left="102" w:right="114"/>
        <w:jc w:val="both"/>
      </w:pPr>
      <w:r>
        <w:rPr/>
        <w:t>En México se ha mostrado que la producción de insumos alimenticios particularmente en el sistema</w:t>
      </w:r>
      <w:r>
        <w:rPr>
          <w:spacing w:val="-10"/>
        </w:rPr>
        <w:t> </w:t>
      </w:r>
      <w:r>
        <w:rPr/>
        <w:t>lechero</w:t>
      </w:r>
      <w:r>
        <w:rPr>
          <w:spacing w:val="-9"/>
        </w:rPr>
        <w:t> </w:t>
      </w:r>
      <w:r>
        <w:rPr/>
        <w:t>de</w:t>
      </w:r>
      <w:r>
        <w:rPr>
          <w:spacing w:val="-10"/>
        </w:rPr>
        <w:t> </w:t>
      </w:r>
      <w:r>
        <w:rPr/>
        <w:t>pequeña</w:t>
      </w:r>
      <w:r>
        <w:rPr>
          <w:spacing w:val="-10"/>
        </w:rPr>
        <w:t> </w:t>
      </w:r>
      <w:r>
        <w:rPr/>
        <w:t>escala</w:t>
      </w:r>
      <w:r>
        <w:rPr>
          <w:spacing w:val="-9"/>
        </w:rPr>
        <w:t> </w:t>
      </w:r>
      <w:r>
        <w:rPr/>
        <w:t>aumenta</w:t>
      </w:r>
      <w:r>
        <w:rPr>
          <w:spacing w:val="-9"/>
        </w:rPr>
        <w:t> </w:t>
      </w:r>
      <w:r>
        <w:rPr/>
        <w:t>significativamente</w:t>
      </w:r>
      <w:r>
        <w:rPr>
          <w:spacing w:val="-10"/>
        </w:rPr>
        <w:t> </w:t>
      </w:r>
      <w:r>
        <w:rPr/>
        <w:t>la</w:t>
      </w:r>
      <w:r>
        <w:rPr>
          <w:spacing w:val="-9"/>
        </w:rPr>
        <w:t> </w:t>
      </w:r>
      <w:r>
        <w:rPr/>
        <w:t>competitividad</w:t>
      </w:r>
      <w:r>
        <w:rPr>
          <w:spacing w:val="-7"/>
        </w:rPr>
        <w:t> </w:t>
      </w:r>
      <w:r>
        <w:rPr/>
        <w:t>y</w:t>
      </w:r>
      <w:r>
        <w:rPr>
          <w:spacing w:val="-13"/>
        </w:rPr>
        <w:t> </w:t>
      </w:r>
      <w:r>
        <w:rPr/>
        <w:t>viabilidad económica a largo plazo (Ochoa et al., 1998; Carranza-Trinidad et al., 2007; Posadas- Domínguez et al.,</w:t>
      </w:r>
      <w:r>
        <w:rPr>
          <w:spacing w:val="-4"/>
        </w:rPr>
        <w:t> </w:t>
      </w:r>
      <w:r>
        <w:rPr/>
        <w:t>2013b).</w:t>
      </w:r>
    </w:p>
    <w:p>
      <w:pPr>
        <w:pStyle w:val="BodyText"/>
      </w:pPr>
    </w:p>
    <w:p>
      <w:pPr>
        <w:pStyle w:val="BodyText"/>
        <w:spacing w:line="360" w:lineRule="auto" w:before="143"/>
        <w:ind w:left="102" w:right="120"/>
        <w:jc w:val="both"/>
      </w:pPr>
      <w:r>
        <w:rPr/>
        <w:t>En los análisis mediante modelación econométrica, se ha reportado que la producción de alimento tiene un efecto del 93% en la reducción de costos por concepto de alimentación, comparado con el 47% cuando se compra el alimento (Bozic et al., 2012).</w:t>
      </w:r>
    </w:p>
    <w:p>
      <w:pPr>
        <w:pStyle w:val="BodyText"/>
      </w:pPr>
    </w:p>
    <w:p>
      <w:pPr>
        <w:pStyle w:val="BodyText"/>
        <w:spacing w:line="360" w:lineRule="auto" w:before="143"/>
        <w:ind w:left="102" w:right="115"/>
        <w:jc w:val="both"/>
      </w:pPr>
      <w:r>
        <w:rPr/>
        <w:t>En México particularmente, en el Distrito de Desarrollo Rural de Texcoco (DDRT) se demostró</w:t>
      </w:r>
      <w:r>
        <w:rPr>
          <w:spacing w:val="-7"/>
        </w:rPr>
        <w:t> </w:t>
      </w:r>
      <w:r>
        <w:rPr/>
        <w:t>que</w:t>
      </w:r>
      <w:r>
        <w:rPr>
          <w:spacing w:val="-7"/>
        </w:rPr>
        <w:t> </w:t>
      </w:r>
      <w:r>
        <w:rPr/>
        <w:t>la</w:t>
      </w:r>
      <w:r>
        <w:rPr>
          <w:spacing w:val="-7"/>
        </w:rPr>
        <w:t> </w:t>
      </w:r>
      <w:r>
        <w:rPr/>
        <w:t>producción</w:t>
      </w:r>
      <w:r>
        <w:rPr>
          <w:spacing w:val="-6"/>
        </w:rPr>
        <w:t> </w:t>
      </w:r>
      <w:r>
        <w:rPr/>
        <w:t>de</w:t>
      </w:r>
      <w:r>
        <w:rPr>
          <w:spacing w:val="-7"/>
        </w:rPr>
        <w:t> </w:t>
      </w:r>
      <w:r>
        <w:rPr/>
        <w:t>insumos</w:t>
      </w:r>
      <w:r>
        <w:rPr>
          <w:spacing w:val="-6"/>
        </w:rPr>
        <w:t> </w:t>
      </w:r>
      <w:r>
        <w:rPr/>
        <w:t>alimenticios</w:t>
      </w:r>
      <w:r>
        <w:rPr>
          <w:spacing w:val="-6"/>
        </w:rPr>
        <w:t> </w:t>
      </w:r>
      <w:r>
        <w:rPr/>
        <w:t>en</w:t>
      </w:r>
      <w:r>
        <w:rPr>
          <w:spacing w:val="-6"/>
        </w:rPr>
        <w:t> </w:t>
      </w:r>
      <w:r>
        <w:rPr/>
        <w:t>el</w:t>
      </w:r>
      <w:r>
        <w:rPr>
          <w:spacing w:val="-6"/>
        </w:rPr>
        <w:t> </w:t>
      </w:r>
      <w:r>
        <w:rPr/>
        <w:t>sistema</w:t>
      </w:r>
      <w:r>
        <w:rPr>
          <w:spacing w:val="-7"/>
        </w:rPr>
        <w:t> </w:t>
      </w:r>
      <w:r>
        <w:rPr/>
        <w:t>lechero</w:t>
      </w:r>
      <w:r>
        <w:rPr>
          <w:spacing w:val="-7"/>
        </w:rPr>
        <w:t> </w:t>
      </w:r>
      <w:r>
        <w:rPr/>
        <w:t>de</w:t>
      </w:r>
      <w:r>
        <w:rPr>
          <w:spacing w:val="-7"/>
        </w:rPr>
        <w:t> </w:t>
      </w:r>
      <w:r>
        <w:rPr/>
        <w:t>pequeña</w:t>
      </w:r>
      <w:r>
        <w:rPr>
          <w:spacing w:val="-7"/>
        </w:rPr>
        <w:t> </w:t>
      </w:r>
      <w:r>
        <w:rPr/>
        <w:t>escala disminuye</w:t>
      </w:r>
      <w:r>
        <w:rPr>
          <w:spacing w:val="-4"/>
        </w:rPr>
        <w:t> </w:t>
      </w:r>
      <w:r>
        <w:rPr/>
        <w:t>más</w:t>
      </w:r>
      <w:r>
        <w:rPr>
          <w:spacing w:val="-4"/>
        </w:rPr>
        <w:t> </w:t>
      </w:r>
      <w:r>
        <w:rPr/>
        <w:t>del</w:t>
      </w:r>
      <w:r>
        <w:rPr>
          <w:spacing w:val="-3"/>
        </w:rPr>
        <w:t> </w:t>
      </w:r>
      <w:r>
        <w:rPr/>
        <w:t>50%</w:t>
      </w:r>
      <w:r>
        <w:rPr>
          <w:spacing w:val="-4"/>
        </w:rPr>
        <w:t> </w:t>
      </w:r>
      <w:r>
        <w:rPr/>
        <w:t>los</w:t>
      </w:r>
      <w:r>
        <w:rPr>
          <w:spacing w:val="-4"/>
        </w:rPr>
        <w:t> </w:t>
      </w:r>
      <w:r>
        <w:rPr/>
        <w:t>costos</w:t>
      </w:r>
      <w:r>
        <w:rPr>
          <w:spacing w:val="-3"/>
        </w:rPr>
        <w:t> </w:t>
      </w:r>
      <w:r>
        <w:rPr/>
        <w:t>de</w:t>
      </w:r>
      <w:r>
        <w:rPr>
          <w:spacing w:val="-5"/>
        </w:rPr>
        <w:t> </w:t>
      </w:r>
      <w:r>
        <w:rPr/>
        <w:t>alimentación</w:t>
      </w:r>
      <w:r>
        <w:rPr>
          <w:spacing w:val="-3"/>
        </w:rPr>
        <w:t> </w:t>
      </w:r>
      <w:r>
        <w:rPr/>
        <w:t>comparado</w:t>
      </w:r>
      <w:r>
        <w:rPr>
          <w:spacing w:val="-2"/>
        </w:rPr>
        <w:t> </w:t>
      </w:r>
      <w:r>
        <w:rPr/>
        <w:t>con</w:t>
      </w:r>
      <w:r>
        <w:rPr>
          <w:spacing w:val="-4"/>
        </w:rPr>
        <w:t> </w:t>
      </w:r>
      <w:r>
        <w:rPr/>
        <w:t>la</w:t>
      </w:r>
      <w:r>
        <w:rPr>
          <w:spacing w:val="-2"/>
        </w:rPr>
        <w:t> </w:t>
      </w:r>
      <w:r>
        <w:rPr/>
        <w:t>compra</w:t>
      </w:r>
      <w:r>
        <w:rPr>
          <w:spacing w:val="-5"/>
        </w:rPr>
        <w:t> </w:t>
      </w:r>
      <w:r>
        <w:rPr/>
        <w:t>de</w:t>
      </w:r>
      <w:r>
        <w:rPr>
          <w:spacing w:val="-5"/>
        </w:rPr>
        <w:t> </w:t>
      </w:r>
      <w:r>
        <w:rPr/>
        <w:t>insumos</w:t>
      </w:r>
      <w:r>
        <w:rPr>
          <w:spacing w:val="-4"/>
        </w:rPr>
        <w:t> </w:t>
      </w:r>
      <w:r>
        <w:rPr/>
        <w:t>en las forrajeras locales (Posadas-Domínguez et al., 2013b). Por su parte, Herbst et al. (2010) concluyeron en un análisis realizado en el sistema lechero de Texas, que los hatos lecheros de pequeña escala presentan una ventaja al producir la mayor parte de los insumos de producción </w:t>
      </w:r>
      <w:r>
        <w:rPr>
          <w:spacing w:val="-3"/>
        </w:rPr>
        <w:t>ya </w:t>
      </w:r>
      <w:r>
        <w:rPr/>
        <w:t>que logran disminuir un 75% sus costos de producción en relación con hatos de</w:t>
      </w:r>
      <w:r>
        <w:rPr>
          <w:spacing w:val="-7"/>
        </w:rPr>
        <w:t> </w:t>
      </w:r>
      <w:r>
        <w:rPr/>
        <w:t>gran</w:t>
      </w:r>
      <w:r>
        <w:rPr>
          <w:spacing w:val="-6"/>
        </w:rPr>
        <w:t> </w:t>
      </w:r>
      <w:r>
        <w:rPr/>
        <w:t>escala</w:t>
      </w:r>
      <w:r>
        <w:rPr>
          <w:spacing w:val="-1"/>
        </w:rPr>
        <w:t> </w:t>
      </w:r>
      <w:r>
        <w:rPr>
          <w:spacing w:val="-3"/>
        </w:rPr>
        <w:t>ya</w:t>
      </w:r>
      <w:r>
        <w:rPr>
          <w:spacing w:val="-7"/>
        </w:rPr>
        <w:t> </w:t>
      </w:r>
      <w:r>
        <w:rPr/>
        <w:t>que</w:t>
      </w:r>
      <w:r>
        <w:rPr>
          <w:spacing w:val="-7"/>
        </w:rPr>
        <w:t> </w:t>
      </w:r>
      <w:r>
        <w:rPr/>
        <w:t>al</w:t>
      </w:r>
      <w:r>
        <w:rPr>
          <w:spacing w:val="-6"/>
        </w:rPr>
        <w:t> </w:t>
      </w:r>
      <w:r>
        <w:rPr/>
        <w:t>comprar</w:t>
      </w:r>
      <w:r>
        <w:rPr>
          <w:spacing w:val="-7"/>
        </w:rPr>
        <w:t> </w:t>
      </w:r>
      <w:r>
        <w:rPr/>
        <w:t>la</w:t>
      </w:r>
      <w:r>
        <w:rPr>
          <w:spacing w:val="-7"/>
        </w:rPr>
        <w:t> </w:t>
      </w:r>
      <w:r>
        <w:rPr/>
        <w:t>mayor</w:t>
      </w:r>
      <w:r>
        <w:rPr>
          <w:spacing w:val="-7"/>
        </w:rPr>
        <w:t> </w:t>
      </w:r>
      <w:r>
        <w:rPr/>
        <w:t>parte</w:t>
      </w:r>
      <w:r>
        <w:rPr>
          <w:spacing w:val="-7"/>
        </w:rPr>
        <w:t> </w:t>
      </w:r>
      <w:r>
        <w:rPr/>
        <w:t>de</w:t>
      </w:r>
      <w:r>
        <w:rPr>
          <w:spacing w:val="-5"/>
        </w:rPr>
        <w:t> </w:t>
      </w:r>
      <w:r>
        <w:rPr/>
        <w:t>sus</w:t>
      </w:r>
      <w:r>
        <w:rPr>
          <w:spacing w:val="-6"/>
        </w:rPr>
        <w:t> </w:t>
      </w:r>
      <w:r>
        <w:rPr/>
        <w:t>insumos</w:t>
      </w:r>
      <w:r>
        <w:rPr>
          <w:spacing w:val="-6"/>
        </w:rPr>
        <w:t> </w:t>
      </w:r>
      <w:r>
        <w:rPr/>
        <w:t>aumentan</w:t>
      </w:r>
      <w:r>
        <w:rPr>
          <w:spacing w:val="-6"/>
        </w:rPr>
        <w:t> </w:t>
      </w:r>
      <w:r>
        <w:rPr/>
        <w:t>un</w:t>
      </w:r>
      <w:r>
        <w:rPr>
          <w:spacing w:val="-6"/>
        </w:rPr>
        <w:t> </w:t>
      </w:r>
      <w:r>
        <w:rPr/>
        <w:t>77%</w:t>
      </w:r>
      <w:r>
        <w:rPr>
          <w:spacing w:val="-7"/>
        </w:rPr>
        <w:t> </w:t>
      </w:r>
      <w:r>
        <w:rPr/>
        <w:t>sus</w:t>
      </w:r>
      <w:r>
        <w:rPr>
          <w:spacing w:val="-6"/>
        </w:rPr>
        <w:t> </w:t>
      </w:r>
      <w:r>
        <w:rPr/>
        <w:t>costos productivos.</w:t>
      </w:r>
    </w:p>
    <w:p>
      <w:pPr>
        <w:pStyle w:val="BodyText"/>
      </w:pPr>
    </w:p>
    <w:p>
      <w:pPr>
        <w:pStyle w:val="BodyText"/>
        <w:spacing w:line="360" w:lineRule="auto" w:before="143"/>
        <w:ind w:left="102" w:right="117"/>
        <w:jc w:val="both"/>
      </w:pPr>
      <w:r>
        <w:rPr/>
        <w:t>Los subsidios tienen un papel importante en la competitividad y una gran controversia en el mercado internacional de la leche. La Secretaria de Economía mexicana (2012), señala que las reformas en política agrícola y los altos subsidios en los países industrializados como Estados Unidos y los de la Unión Europea, han tenido y pueden tener un alto impacto en el comercio de leche y derivados, afectando con ello la producción interna de países en desarrollo como México, por la competencia con productos más baratos.</w:t>
      </w:r>
    </w:p>
    <w:p>
      <w:pPr>
        <w:spacing w:after="0" w:line="360" w:lineRule="auto"/>
        <w:jc w:val="both"/>
        <w:sectPr>
          <w:pgSz w:w="12240" w:h="15840"/>
          <w:pgMar w:header="0" w:footer="657" w:top="1360" w:bottom="840" w:left="1600" w:right="1580"/>
        </w:sectPr>
      </w:pPr>
    </w:p>
    <w:p>
      <w:pPr>
        <w:pStyle w:val="BodyText"/>
        <w:spacing w:line="360" w:lineRule="auto" w:before="50"/>
        <w:ind w:left="102" w:right="118"/>
        <w:jc w:val="both"/>
      </w:pPr>
      <w:r>
        <w:rPr/>
        <w:t>En este contexto, la mayoría de los estudios a nivel internacional siguen señalando que los subsidios</w:t>
      </w:r>
      <w:r>
        <w:rPr>
          <w:spacing w:val="-7"/>
        </w:rPr>
        <w:t> </w:t>
      </w:r>
      <w:r>
        <w:rPr/>
        <w:t>gubernamentales</w:t>
      </w:r>
      <w:r>
        <w:rPr>
          <w:spacing w:val="-8"/>
        </w:rPr>
        <w:t> </w:t>
      </w:r>
      <w:r>
        <w:rPr/>
        <w:t>juegan</w:t>
      </w:r>
      <w:r>
        <w:rPr>
          <w:spacing w:val="-7"/>
        </w:rPr>
        <w:t> </w:t>
      </w:r>
      <w:r>
        <w:rPr/>
        <w:t>un</w:t>
      </w:r>
      <w:r>
        <w:rPr>
          <w:spacing w:val="-7"/>
        </w:rPr>
        <w:t> </w:t>
      </w:r>
      <w:r>
        <w:rPr/>
        <w:t>papel</w:t>
      </w:r>
      <w:r>
        <w:rPr>
          <w:spacing w:val="-7"/>
        </w:rPr>
        <w:t> </w:t>
      </w:r>
      <w:r>
        <w:rPr/>
        <w:t>preponderante</w:t>
      </w:r>
      <w:r>
        <w:rPr>
          <w:spacing w:val="-8"/>
        </w:rPr>
        <w:t> </w:t>
      </w:r>
      <w:r>
        <w:rPr/>
        <w:t>en</w:t>
      </w:r>
      <w:r>
        <w:rPr>
          <w:spacing w:val="-7"/>
        </w:rPr>
        <w:t> </w:t>
      </w:r>
      <w:r>
        <w:rPr/>
        <w:t>la</w:t>
      </w:r>
      <w:r>
        <w:rPr>
          <w:spacing w:val="-8"/>
        </w:rPr>
        <w:t> </w:t>
      </w:r>
      <w:r>
        <w:rPr/>
        <w:t>permanencia</w:t>
      </w:r>
      <w:r>
        <w:rPr>
          <w:spacing w:val="-8"/>
        </w:rPr>
        <w:t> </w:t>
      </w:r>
      <w:r>
        <w:rPr/>
        <w:t>de</w:t>
      </w:r>
      <w:r>
        <w:rPr>
          <w:spacing w:val="-8"/>
        </w:rPr>
        <w:t> </w:t>
      </w:r>
      <w:r>
        <w:rPr/>
        <w:t>los</w:t>
      </w:r>
      <w:r>
        <w:rPr>
          <w:spacing w:val="-7"/>
        </w:rPr>
        <w:t> </w:t>
      </w:r>
      <w:r>
        <w:rPr/>
        <w:t>sistemas agropecuarios de pequeña escala, aunque en estos trabajos se admite el hecho de que los subsidios se relaciona negativamente con la eficiencia técnica de las fincas pero positivamente con su rentabilidad (Bognec y Latrueffe, 2013; Viaggi et al., 2013;</w:t>
      </w:r>
      <w:r>
        <w:rPr>
          <w:spacing w:val="-37"/>
        </w:rPr>
        <w:t> </w:t>
      </w:r>
      <w:r>
        <w:rPr/>
        <w:t>Hendricks et al., 2012; Jonnason et al., 2012; Franco et al.,</w:t>
      </w:r>
      <w:r>
        <w:rPr>
          <w:spacing w:val="-7"/>
        </w:rPr>
        <w:t> </w:t>
      </w:r>
      <w:r>
        <w:rPr/>
        <w:t>2012).</w:t>
      </w:r>
    </w:p>
    <w:p>
      <w:pPr>
        <w:pStyle w:val="BodyText"/>
      </w:pPr>
    </w:p>
    <w:p>
      <w:pPr>
        <w:pStyle w:val="BodyText"/>
      </w:pPr>
    </w:p>
    <w:p>
      <w:pPr>
        <w:pStyle w:val="BodyText"/>
        <w:spacing w:before="1"/>
        <w:rPr>
          <w:sz w:val="23"/>
        </w:rPr>
      </w:pPr>
    </w:p>
    <w:p>
      <w:pPr>
        <w:pStyle w:val="BodyText"/>
        <w:spacing w:line="360" w:lineRule="auto"/>
        <w:ind w:left="102" w:right="115"/>
        <w:jc w:val="both"/>
      </w:pPr>
      <w:r>
        <w:rPr/>
        <w:t>González-Estrada y Orrantia-Bustos (2006) concluyen que los subsidios en forma de trasferencias en México, como el de Apoyo Directo al Campo (PROCAMPO) deberían ser eliminados hasta donde fuera políticamente posible porque tienen efectos económicos y de bienestar agregado negativos, por lo tanto, esas políticas del gasto son ineficientes desde el punto</w:t>
      </w:r>
      <w:r>
        <w:rPr>
          <w:spacing w:val="-11"/>
        </w:rPr>
        <w:t> </w:t>
      </w:r>
      <w:r>
        <w:rPr/>
        <w:t>de</w:t>
      </w:r>
      <w:r>
        <w:rPr>
          <w:spacing w:val="-12"/>
        </w:rPr>
        <w:t> </w:t>
      </w:r>
      <w:r>
        <w:rPr/>
        <w:t>vista</w:t>
      </w:r>
      <w:r>
        <w:rPr>
          <w:spacing w:val="-12"/>
        </w:rPr>
        <w:t> </w:t>
      </w:r>
      <w:r>
        <w:rPr/>
        <w:t>de</w:t>
      </w:r>
      <w:r>
        <w:rPr>
          <w:spacing w:val="-12"/>
        </w:rPr>
        <w:t> </w:t>
      </w:r>
      <w:r>
        <w:rPr/>
        <w:t>la</w:t>
      </w:r>
      <w:r>
        <w:rPr>
          <w:spacing w:val="-12"/>
        </w:rPr>
        <w:t> </w:t>
      </w:r>
      <w:r>
        <w:rPr/>
        <w:t>economía</w:t>
      </w:r>
      <w:r>
        <w:rPr>
          <w:spacing w:val="-12"/>
        </w:rPr>
        <w:t> </w:t>
      </w:r>
      <w:r>
        <w:rPr/>
        <w:t>nacional</w:t>
      </w:r>
      <w:r>
        <w:rPr>
          <w:spacing w:val="-9"/>
        </w:rPr>
        <w:t> </w:t>
      </w:r>
      <w:r>
        <w:rPr/>
        <w:t>y</w:t>
      </w:r>
      <w:r>
        <w:rPr>
          <w:spacing w:val="-16"/>
        </w:rPr>
        <w:t> </w:t>
      </w:r>
      <w:r>
        <w:rPr/>
        <w:t>de</w:t>
      </w:r>
      <w:r>
        <w:rPr>
          <w:spacing w:val="-12"/>
        </w:rPr>
        <w:t> </w:t>
      </w:r>
      <w:r>
        <w:rPr/>
        <w:t>la</w:t>
      </w:r>
      <w:r>
        <w:rPr>
          <w:spacing w:val="-12"/>
        </w:rPr>
        <w:t> </w:t>
      </w:r>
      <w:r>
        <w:rPr/>
        <w:t>sociedad</w:t>
      </w:r>
      <w:r>
        <w:rPr>
          <w:spacing w:val="-11"/>
        </w:rPr>
        <w:t> </w:t>
      </w:r>
      <w:r>
        <w:rPr/>
        <w:t>mexicana</w:t>
      </w:r>
      <w:r>
        <w:rPr>
          <w:spacing w:val="-12"/>
        </w:rPr>
        <w:t> </w:t>
      </w:r>
      <w:r>
        <w:rPr/>
        <w:t>en</w:t>
      </w:r>
      <w:r>
        <w:rPr>
          <w:spacing w:val="-11"/>
        </w:rPr>
        <w:t> </w:t>
      </w:r>
      <w:r>
        <w:rPr/>
        <w:t>su</w:t>
      </w:r>
      <w:r>
        <w:rPr>
          <w:spacing w:val="-11"/>
        </w:rPr>
        <w:t> </w:t>
      </w:r>
      <w:r>
        <w:rPr/>
        <w:t>conjunto.</w:t>
      </w:r>
      <w:r>
        <w:rPr>
          <w:spacing w:val="-11"/>
        </w:rPr>
        <w:t> </w:t>
      </w:r>
      <w:r>
        <w:rPr/>
        <w:t>Así</w:t>
      </w:r>
      <w:r>
        <w:rPr>
          <w:spacing w:val="-11"/>
        </w:rPr>
        <w:t> </w:t>
      </w:r>
      <w:r>
        <w:rPr/>
        <w:t>mismo, destaca que la ineficiencia de la política de subsidios y de protección a la agricultura en la etapa</w:t>
      </w:r>
      <w:r>
        <w:rPr>
          <w:spacing w:val="-12"/>
        </w:rPr>
        <w:t> </w:t>
      </w:r>
      <w:r>
        <w:rPr/>
        <w:t>actual</w:t>
      </w:r>
      <w:r>
        <w:rPr>
          <w:spacing w:val="-11"/>
        </w:rPr>
        <w:t> </w:t>
      </w:r>
      <w:r>
        <w:rPr/>
        <w:t>del</w:t>
      </w:r>
      <w:r>
        <w:rPr>
          <w:spacing w:val="-11"/>
        </w:rPr>
        <w:t> </w:t>
      </w:r>
      <w:r>
        <w:rPr/>
        <w:t>desarrollo</w:t>
      </w:r>
      <w:r>
        <w:rPr>
          <w:spacing w:val="-11"/>
        </w:rPr>
        <w:t> </w:t>
      </w:r>
      <w:r>
        <w:rPr/>
        <w:t>agrícola</w:t>
      </w:r>
      <w:r>
        <w:rPr>
          <w:spacing w:val="-11"/>
        </w:rPr>
        <w:t> </w:t>
      </w:r>
      <w:r>
        <w:rPr/>
        <w:t>de</w:t>
      </w:r>
      <w:r>
        <w:rPr>
          <w:spacing w:val="-12"/>
        </w:rPr>
        <w:t> </w:t>
      </w:r>
      <w:r>
        <w:rPr/>
        <w:t>México,</w:t>
      </w:r>
      <w:r>
        <w:rPr>
          <w:spacing w:val="-10"/>
        </w:rPr>
        <w:t> </w:t>
      </w:r>
      <w:r>
        <w:rPr/>
        <w:t>significa</w:t>
      </w:r>
      <w:r>
        <w:rPr>
          <w:spacing w:val="-12"/>
        </w:rPr>
        <w:t> </w:t>
      </w:r>
      <w:r>
        <w:rPr/>
        <w:t>que</w:t>
      </w:r>
      <w:r>
        <w:rPr>
          <w:spacing w:val="-12"/>
        </w:rPr>
        <w:t> </w:t>
      </w:r>
      <w:r>
        <w:rPr/>
        <w:t>es</w:t>
      </w:r>
      <w:r>
        <w:rPr>
          <w:spacing w:val="-11"/>
        </w:rPr>
        <w:t> </w:t>
      </w:r>
      <w:r>
        <w:rPr/>
        <w:t>posible</w:t>
      </w:r>
      <w:r>
        <w:rPr>
          <w:spacing w:val="-11"/>
        </w:rPr>
        <w:t> </w:t>
      </w:r>
      <w:r>
        <w:rPr/>
        <w:t>lograr</w:t>
      </w:r>
      <w:r>
        <w:rPr>
          <w:spacing w:val="-10"/>
        </w:rPr>
        <w:t> </w:t>
      </w:r>
      <w:r>
        <w:rPr/>
        <w:t>con</w:t>
      </w:r>
      <w:r>
        <w:rPr>
          <w:spacing w:val="-11"/>
        </w:rPr>
        <w:t> </w:t>
      </w:r>
      <w:r>
        <w:rPr/>
        <w:t>los</w:t>
      </w:r>
      <w:r>
        <w:rPr>
          <w:spacing w:val="-10"/>
        </w:rPr>
        <w:t> </w:t>
      </w:r>
      <w:r>
        <w:rPr/>
        <w:t>mismos recursos</w:t>
      </w:r>
      <w:r>
        <w:rPr>
          <w:spacing w:val="-4"/>
        </w:rPr>
        <w:t> </w:t>
      </w:r>
      <w:r>
        <w:rPr/>
        <w:t>destinados</w:t>
      </w:r>
      <w:r>
        <w:rPr>
          <w:spacing w:val="-4"/>
        </w:rPr>
        <w:t> </w:t>
      </w:r>
      <w:r>
        <w:rPr/>
        <w:t>a</w:t>
      </w:r>
      <w:r>
        <w:rPr>
          <w:spacing w:val="-5"/>
        </w:rPr>
        <w:t> </w:t>
      </w:r>
      <w:r>
        <w:rPr/>
        <w:t>los</w:t>
      </w:r>
      <w:r>
        <w:rPr>
          <w:spacing w:val="-2"/>
        </w:rPr>
        <w:t> </w:t>
      </w:r>
      <w:r>
        <w:rPr/>
        <w:t>subsidios</w:t>
      </w:r>
      <w:r>
        <w:rPr>
          <w:spacing w:val="-3"/>
        </w:rPr>
        <w:t> </w:t>
      </w:r>
      <w:r>
        <w:rPr/>
        <w:t>agrícolas</w:t>
      </w:r>
      <w:r>
        <w:rPr>
          <w:spacing w:val="-3"/>
        </w:rPr>
        <w:t> </w:t>
      </w:r>
      <w:r>
        <w:rPr/>
        <w:t>mayores</w:t>
      </w:r>
      <w:r>
        <w:rPr>
          <w:spacing w:val="-4"/>
        </w:rPr>
        <w:t> </w:t>
      </w:r>
      <w:r>
        <w:rPr/>
        <w:t>beneficios</w:t>
      </w:r>
      <w:r>
        <w:rPr>
          <w:spacing w:val="-3"/>
        </w:rPr>
        <w:t> </w:t>
      </w:r>
      <w:r>
        <w:rPr/>
        <w:t>económicos</w:t>
      </w:r>
      <w:r>
        <w:rPr>
          <w:spacing w:val="-1"/>
        </w:rPr>
        <w:t> </w:t>
      </w:r>
      <w:r>
        <w:rPr/>
        <w:t>y</w:t>
      </w:r>
      <w:r>
        <w:rPr>
          <w:spacing w:val="-8"/>
        </w:rPr>
        <w:t> </w:t>
      </w:r>
      <w:r>
        <w:rPr/>
        <w:t>sociales</w:t>
      </w:r>
      <w:r>
        <w:rPr>
          <w:spacing w:val="-4"/>
        </w:rPr>
        <w:t> </w:t>
      </w:r>
      <w:r>
        <w:rPr/>
        <w:t>si</w:t>
      </w:r>
      <w:r>
        <w:rPr>
          <w:spacing w:val="-3"/>
        </w:rPr>
        <w:t> </w:t>
      </w:r>
      <w:r>
        <w:rPr/>
        <w:t>se les usará de manera más eficiente, como en infraestructura de riego y de transporte, investigación, difusión, educación, capacitación, organización para la compra de insumos y para la venta de la producción, seguro agrícola, crédito,</w:t>
      </w:r>
      <w:r>
        <w:rPr>
          <w:spacing w:val="-12"/>
        </w:rPr>
        <w:t> </w:t>
      </w:r>
      <w:r>
        <w:rPr/>
        <w:t>etc.</w:t>
      </w:r>
    </w:p>
    <w:p>
      <w:pPr>
        <w:pStyle w:val="BodyText"/>
      </w:pPr>
    </w:p>
    <w:p>
      <w:pPr>
        <w:pStyle w:val="BodyText"/>
        <w:spacing w:before="2"/>
        <w:rPr>
          <w:sz w:val="35"/>
        </w:rPr>
      </w:pPr>
    </w:p>
    <w:p>
      <w:pPr>
        <w:pStyle w:val="BodyText"/>
        <w:spacing w:line="360" w:lineRule="auto"/>
        <w:ind w:left="102" w:right="117"/>
        <w:jc w:val="both"/>
      </w:pPr>
      <w:r>
        <w:rPr/>
        <w:t>Es claro que la política agrícola mexicana no ha tenido los beneficios esperados y se le ha criticado, principalmente por que el desempeño de los subsidios no está impactando de manera</w:t>
      </w:r>
      <w:r>
        <w:rPr>
          <w:spacing w:val="-11"/>
        </w:rPr>
        <w:t> </w:t>
      </w:r>
      <w:r>
        <w:rPr/>
        <w:t>contundente</w:t>
      </w:r>
      <w:r>
        <w:rPr>
          <w:spacing w:val="-10"/>
        </w:rPr>
        <w:t> </w:t>
      </w:r>
      <w:r>
        <w:rPr/>
        <w:t>en</w:t>
      </w:r>
      <w:r>
        <w:rPr>
          <w:spacing w:val="-10"/>
        </w:rPr>
        <w:t> </w:t>
      </w:r>
      <w:r>
        <w:rPr/>
        <w:t>los</w:t>
      </w:r>
      <w:r>
        <w:rPr>
          <w:spacing w:val="-9"/>
        </w:rPr>
        <w:t> </w:t>
      </w:r>
      <w:r>
        <w:rPr/>
        <w:t>sistemas</w:t>
      </w:r>
      <w:r>
        <w:rPr>
          <w:spacing w:val="-9"/>
        </w:rPr>
        <w:t> </w:t>
      </w:r>
      <w:r>
        <w:rPr/>
        <w:t>agropecuarios.</w:t>
      </w:r>
      <w:r>
        <w:rPr>
          <w:spacing w:val="-7"/>
        </w:rPr>
        <w:t> </w:t>
      </w:r>
      <w:r>
        <w:rPr/>
        <w:t>Esto</w:t>
      </w:r>
      <w:r>
        <w:rPr>
          <w:spacing w:val="-9"/>
        </w:rPr>
        <w:t> </w:t>
      </w:r>
      <w:r>
        <w:rPr/>
        <w:t>no</w:t>
      </w:r>
      <w:r>
        <w:rPr>
          <w:spacing w:val="-10"/>
        </w:rPr>
        <w:t> </w:t>
      </w:r>
      <w:r>
        <w:rPr/>
        <w:t>quiere</w:t>
      </w:r>
      <w:r>
        <w:rPr>
          <w:spacing w:val="-11"/>
        </w:rPr>
        <w:t> </w:t>
      </w:r>
      <w:r>
        <w:rPr/>
        <w:t>decir</w:t>
      </w:r>
      <w:r>
        <w:rPr>
          <w:spacing w:val="-10"/>
        </w:rPr>
        <w:t> </w:t>
      </w:r>
      <w:r>
        <w:rPr/>
        <w:t>que</w:t>
      </w:r>
      <w:r>
        <w:rPr>
          <w:spacing w:val="-11"/>
        </w:rPr>
        <w:t> </w:t>
      </w:r>
      <w:r>
        <w:rPr/>
        <w:t>se</w:t>
      </w:r>
      <w:r>
        <w:rPr>
          <w:spacing w:val="-10"/>
        </w:rPr>
        <w:t> </w:t>
      </w:r>
      <w:r>
        <w:rPr/>
        <w:t>le</w:t>
      </w:r>
      <w:r>
        <w:rPr>
          <w:spacing w:val="-8"/>
        </w:rPr>
        <w:t> </w:t>
      </w:r>
      <w:r>
        <w:rPr/>
        <w:t>debe</w:t>
      </w:r>
      <w:r>
        <w:rPr>
          <w:spacing w:val="-11"/>
        </w:rPr>
        <w:t> </w:t>
      </w:r>
      <w:r>
        <w:rPr/>
        <w:t>retirar el apoyo al campo mexicano, si no, que se deberían buscar mecanismos más eficientes por parte de los responsables de la política agrícola que verdaderamente se reflejen en sistemas más rentables y de esta manera poder hacer frente a la competencia</w:t>
      </w:r>
      <w:r>
        <w:rPr>
          <w:spacing w:val="-13"/>
        </w:rPr>
        <w:t> </w:t>
      </w:r>
      <w:r>
        <w:rPr/>
        <w:t>internacional.</w:t>
      </w:r>
    </w:p>
    <w:p>
      <w:pPr>
        <w:pStyle w:val="BodyText"/>
      </w:pPr>
    </w:p>
    <w:p>
      <w:pPr>
        <w:pStyle w:val="BodyText"/>
        <w:spacing w:line="360" w:lineRule="auto" w:before="143"/>
        <w:ind w:left="102" w:right="114"/>
        <w:jc w:val="both"/>
      </w:pPr>
      <w:r>
        <w:rPr/>
        <w:t>Se ha documentado previamente que la producción de insumos alimenticios y empleo de MOF, le han permitido al sistema lechero de pequeña escala aumentar su competitividad y viabilidad económica sectorial. Sin embargo, diversas investigaciones e instituciones gubernamentales en México han señalado que las ventajas comparativas del sistema lechero</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de pequeña escala se han visto disminuidas por el efecto en la desarticulación que enfrenta en el espectro completo de la cadena agroalimentaria, lo cual ha sido factor para que la economía de estos sistemas productivos, en términos financieros y de rentabilidad se vea disminuida por la poca integración, escasa agregación de valor al producto (leche), y la marginación de venta de su producto a mercados locales o regionales, situación que se ha reflejado</w:t>
      </w:r>
      <w:r>
        <w:rPr>
          <w:spacing w:val="-5"/>
        </w:rPr>
        <w:t> </w:t>
      </w:r>
      <w:r>
        <w:rPr/>
        <w:t>en</w:t>
      </w:r>
      <w:r>
        <w:rPr>
          <w:spacing w:val="-7"/>
        </w:rPr>
        <w:t> </w:t>
      </w:r>
      <w:r>
        <w:rPr/>
        <w:t>un</w:t>
      </w:r>
      <w:r>
        <w:rPr>
          <w:spacing w:val="-7"/>
        </w:rPr>
        <w:t> </w:t>
      </w:r>
      <w:r>
        <w:rPr/>
        <w:t>comportamiento</w:t>
      </w:r>
      <w:r>
        <w:rPr>
          <w:spacing w:val="-7"/>
        </w:rPr>
        <w:t> </w:t>
      </w:r>
      <w:r>
        <w:rPr/>
        <w:t>decreciente</w:t>
      </w:r>
      <w:r>
        <w:rPr>
          <w:spacing w:val="-8"/>
        </w:rPr>
        <w:t> </w:t>
      </w:r>
      <w:r>
        <w:rPr/>
        <w:t>en</w:t>
      </w:r>
      <w:r>
        <w:rPr>
          <w:spacing w:val="-7"/>
        </w:rPr>
        <w:t> </w:t>
      </w:r>
      <w:r>
        <w:rPr/>
        <w:t>la</w:t>
      </w:r>
      <w:r>
        <w:rPr>
          <w:spacing w:val="-5"/>
        </w:rPr>
        <w:t> </w:t>
      </w:r>
      <w:r>
        <w:rPr/>
        <w:t>participación</w:t>
      </w:r>
      <w:r>
        <w:rPr>
          <w:spacing w:val="-7"/>
        </w:rPr>
        <w:t> </w:t>
      </w:r>
      <w:r>
        <w:rPr/>
        <w:t>nacional</w:t>
      </w:r>
      <w:r>
        <w:rPr>
          <w:spacing w:val="-5"/>
        </w:rPr>
        <w:t> </w:t>
      </w:r>
      <w:r>
        <w:rPr/>
        <w:t>(García</w:t>
      </w:r>
      <w:r>
        <w:rPr>
          <w:spacing w:val="-8"/>
        </w:rPr>
        <w:t> </w:t>
      </w:r>
      <w:r>
        <w:rPr/>
        <w:t>et</w:t>
      </w:r>
      <w:r>
        <w:rPr>
          <w:spacing w:val="-7"/>
        </w:rPr>
        <w:t> </w:t>
      </w:r>
      <w:r>
        <w:rPr/>
        <w:t>al.,</w:t>
      </w:r>
      <w:r>
        <w:rPr>
          <w:spacing w:val="-7"/>
        </w:rPr>
        <w:t> </w:t>
      </w:r>
      <w:r>
        <w:rPr/>
        <w:t>2005; FIRCO, 2008; SAGARPA, 2010; SIAP,</w:t>
      </w:r>
      <w:r>
        <w:rPr>
          <w:spacing w:val="-7"/>
        </w:rPr>
        <w:t> </w:t>
      </w:r>
      <w:r>
        <w:rPr/>
        <w:t>2013a).</w:t>
      </w:r>
    </w:p>
    <w:p>
      <w:pPr>
        <w:pStyle w:val="BodyText"/>
      </w:pPr>
    </w:p>
    <w:p>
      <w:pPr>
        <w:pStyle w:val="BodyText"/>
        <w:spacing w:line="360" w:lineRule="auto" w:before="143"/>
        <w:ind w:left="102" w:right="115"/>
        <w:jc w:val="both"/>
      </w:pPr>
      <w:r>
        <w:rPr/>
        <w:t>Esta situación, crea un escenario complejo para el sistema lechero de pequeña escala mexicano y su cadena agroalimentaria, en donde, uno de sus principales desafíos estará en avanzar hacia el diseño de políticas que permitan potenciar e incentivar un desarrollo más productivo, competitivo y sostenible, aprovechando las fortalezas a favor e identificando factores críticos. Iglesias (2002) menciona que las fortalezas de un sistema de producción</w:t>
      </w:r>
      <w:r>
        <w:rPr>
          <w:spacing w:val="-28"/>
        </w:rPr>
        <w:t> </w:t>
      </w:r>
      <w:r>
        <w:rPr/>
        <w:t>se pueden aprovechar de mejor manera cuando se produce una integración; es decir, estableciendo</w:t>
      </w:r>
      <w:r>
        <w:rPr>
          <w:spacing w:val="-9"/>
        </w:rPr>
        <w:t> </w:t>
      </w:r>
      <w:r>
        <w:rPr/>
        <w:t>vínculos</w:t>
      </w:r>
      <w:r>
        <w:rPr>
          <w:spacing w:val="-8"/>
        </w:rPr>
        <w:t> </w:t>
      </w:r>
      <w:r>
        <w:rPr/>
        <w:t>entre</w:t>
      </w:r>
      <w:r>
        <w:rPr>
          <w:spacing w:val="-10"/>
        </w:rPr>
        <w:t> </w:t>
      </w:r>
      <w:r>
        <w:rPr/>
        <w:t>las</w:t>
      </w:r>
      <w:r>
        <w:rPr>
          <w:spacing w:val="-9"/>
        </w:rPr>
        <w:t> </w:t>
      </w:r>
      <w:r>
        <w:rPr/>
        <w:t>empresas</w:t>
      </w:r>
      <w:r>
        <w:rPr>
          <w:spacing w:val="-8"/>
        </w:rPr>
        <w:t> </w:t>
      </w:r>
      <w:r>
        <w:rPr/>
        <w:t>productoras</w:t>
      </w:r>
      <w:r>
        <w:rPr>
          <w:spacing w:val="-8"/>
        </w:rPr>
        <w:t> </w:t>
      </w:r>
      <w:r>
        <w:rPr/>
        <w:t>en</w:t>
      </w:r>
      <w:r>
        <w:rPr>
          <w:spacing w:val="-7"/>
        </w:rPr>
        <w:t> </w:t>
      </w:r>
      <w:r>
        <w:rPr/>
        <w:t>los</w:t>
      </w:r>
      <w:r>
        <w:rPr>
          <w:spacing w:val="-8"/>
        </w:rPr>
        <w:t> </w:t>
      </w:r>
      <w:r>
        <w:rPr/>
        <w:t>diversos</w:t>
      </w:r>
      <w:r>
        <w:rPr>
          <w:spacing w:val="-8"/>
        </w:rPr>
        <w:t> </w:t>
      </w:r>
      <w:r>
        <w:rPr/>
        <w:t>eslabones</w:t>
      </w:r>
      <w:r>
        <w:rPr>
          <w:spacing w:val="-8"/>
        </w:rPr>
        <w:t> </w:t>
      </w:r>
      <w:r>
        <w:rPr/>
        <w:t>de</w:t>
      </w:r>
      <w:r>
        <w:rPr>
          <w:spacing w:val="-10"/>
        </w:rPr>
        <w:t> </w:t>
      </w:r>
      <w:r>
        <w:rPr/>
        <w:t>la</w:t>
      </w:r>
      <w:r>
        <w:rPr>
          <w:spacing w:val="-7"/>
        </w:rPr>
        <w:t> </w:t>
      </w:r>
      <w:r>
        <w:rPr/>
        <w:t>cadena productiva; con visión a largo plazo, estrechando relaciones; mejorando sus costos y estableciendo estrategias conjuntas frente al</w:t>
      </w:r>
      <w:r>
        <w:rPr>
          <w:spacing w:val="-11"/>
        </w:rPr>
        <w:t> </w:t>
      </w:r>
      <w:r>
        <w:rPr/>
        <w:t>mercado.</w:t>
      </w:r>
    </w:p>
    <w:p>
      <w:pPr>
        <w:pStyle w:val="BodyText"/>
      </w:pPr>
    </w:p>
    <w:p>
      <w:pPr>
        <w:pStyle w:val="BodyText"/>
        <w:spacing w:line="360" w:lineRule="auto" w:before="143"/>
        <w:ind w:left="102" w:right="115"/>
        <w:jc w:val="both"/>
      </w:pPr>
      <w:r>
        <w:rPr/>
        <w:t>No obstante, llevar a cabo análisis económicos completos de una cadena agroalimentaria a nivel</w:t>
      </w:r>
      <w:r>
        <w:rPr>
          <w:spacing w:val="-4"/>
        </w:rPr>
        <w:t> </w:t>
      </w:r>
      <w:r>
        <w:rPr/>
        <w:t>regional</w:t>
      </w:r>
      <w:r>
        <w:rPr>
          <w:spacing w:val="-4"/>
        </w:rPr>
        <w:t> </w:t>
      </w:r>
      <w:r>
        <w:rPr/>
        <w:t>o</w:t>
      </w:r>
      <w:r>
        <w:rPr>
          <w:spacing w:val="-4"/>
        </w:rPr>
        <w:t> </w:t>
      </w:r>
      <w:r>
        <w:rPr/>
        <w:t>estatal,</w:t>
      </w:r>
      <w:r>
        <w:rPr>
          <w:spacing w:val="-4"/>
        </w:rPr>
        <w:t> </w:t>
      </w:r>
      <w:r>
        <w:rPr/>
        <w:t>para</w:t>
      </w:r>
      <w:r>
        <w:rPr>
          <w:spacing w:val="-6"/>
        </w:rPr>
        <w:t> </w:t>
      </w:r>
      <w:r>
        <w:rPr/>
        <w:t>conocer</w:t>
      </w:r>
      <w:r>
        <w:rPr>
          <w:spacing w:val="-5"/>
        </w:rPr>
        <w:t> </w:t>
      </w:r>
      <w:r>
        <w:rPr/>
        <w:t>sus</w:t>
      </w:r>
      <w:r>
        <w:rPr>
          <w:spacing w:val="-3"/>
        </w:rPr>
        <w:t> </w:t>
      </w:r>
      <w:r>
        <w:rPr/>
        <w:t>fortalezas</w:t>
      </w:r>
      <w:r>
        <w:rPr>
          <w:spacing w:val="-1"/>
        </w:rPr>
        <w:t> </w:t>
      </w:r>
      <w:r>
        <w:rPr/>
        <w:t>y</w:t>
      </w:r>
      <w:r>
        <w:rPr>
          <w:spacing w:val="-8"/>
        </w:rPr>
        <w:t> </w:t>
      </w:r>
      <w:r>
        <w:rPr/>
        <w:t>debilidades</w:t>
      </w:r>
      <w:r>
        <w:rPr>
          <w:spacing w:val="-2"/>
        </w:rPr>
        <w:t> </w:t>
      </w:r>
      <w:r>
        <w:rPr/>
        <w:t>es</w:t>
      </w:r>
      <w:r>
        <w:rPr>
          <w:spacing w:val="-4"/>
        </w:rPr>
        <w:t> </w:t>
      </w:r>
      <w:r>
        <w:rPr/>
        <w:t>complejo,</w:t>
      </w:r>
      <w:r>
        <w:rPr>
          <w:spacing w:val="-3"/>
        </w:rPr>
        <w:t> </w:t>
      </w:r>
      <w:r>
        <w:rPr/>
        <w:t>por</w:t>
      </w:r>
      <w:r>
        <w:rPr>
          <w:spacing w:val="-5"/>
        </w:rPr>
        <w:t> </w:t>
      </w:r>
      <w:r>
        <w:rPr/>
        <w:t>el</w:t>
      </w:r>
      <w:r>
        <w:rPr>
          <w:spacing w:val="-3"/>
        </w:rPr>
        <w:t> </w:t>
      </w:r>
      <w:r>
        <w:rPr/>
        <w:t>tamaño de la actividad, la diversidad de los sistemas de producción y por la cantidad de productos que integran la cadena, lo cual requiere gran cantidad de recursos y tiempo para realizarlo (Cuevas et al., 2007). Por esta razón, en este trabajo se planteó un estudio a nivel</w:t>
      </w:r>
      <w:r>
        <w:rPr>
          <w:spacing w:val="-12"/>
        </w:rPr>
        <w:t> </w:t>
      </w:r>
      <w:r>
        <w:rPr/>
        <w:t>municipal, que</w:t>
      </w:r>
      <w:r>
        <w:rPr>
          <w:spacing w:val="-17"/>
        </w:rPr>
        <w:t> </w:t>
      </w:r>
      <w:r>
        <w:rPr/>
        <w:t>permitierá</w:t>
      </w:r>
      <w:r>
        <w:rPr>
          <w:spacing w:val="-16"/>
        </w:rPr>
        <w:t> </w:t>
      </w:r>
      <w:r>
        <w:rPr/>
        <w:t>probar</w:t>
      </w:r>
      <w:r>
        <w:rPr>
          <w:spacing w:val="-17"/>
        </w:rPr>
        <w:t> </w:t>
      </w:r>
      <w:r>
        <w:rPr/>
        <w:t>la</w:t>
      </w:r>
      <w:r>
        <w:rPr>
          <w:spacing w:val="-12"/>
        </w:rPr>
        <w:t> </w:t>
      </w:r>
      <w:r>
        <w:rPr/>
        <w:t>metodología</w:t>
      </w:r>
      <w:r>
        <w:rPr>
          <w:spacing w:val="-16"/>
        </w:rPr>
        <w:t> </w:t>
      </w:r>
      <w:r>
        <w:rPr/>
        <w:t>de</w:t>
      </w:r>
      <w:r>
        <w:rPr>
          <w:spacing w:val="-17"/>
        </w:rPr>
        <w:t> </w:t>
      </w:r>
      <w:r>
        <w:rPr/>
        <w:t>la</w:t>
      </w:r>
      <w:r>
        <w:rPr>
          <w:spacing w:val="-16"/>
        </w:rPr>
        <w:t> </w:t>
      </w:r>
      <w:r>
        <w:rPr/>
        <w:t>Matriz</w:t>
      </w:r>
      <w:r>
        <w:rPr>
          <w:spacing w:val="-14"/>
        </w:rPr>
        <w:t> </w:t>
      </w:r>
      <w:r>
        <w:rPr/>
        <w:t>de</w:t>
      </w:r>
      <w:r>
        <w:rPr>
          <w:spacing w:val="-17"/>
        </w:rPr>
        <w:t> </w:t>
      </w:r>
      <w:r>
        <w:rPr/>
        <w:t>Análisis</w:t>
      </w:r>
      <w:r>
        <w:rPr>
          <w:spacing w:val="-15"/>
        </w:rPr>
        <w:t> </w:t>
      </w:r>
      <w:r>
        <w:rPr/>
        <w:t>de</w:t>
      </w:r>
      <w:r>
        <w:rPr>
          <w:spacing w:val="-17"/>
        </w:rPr>
        <w:t> </w:t>
      </w:r>
      <w:r>
        <w:rPr/>
        <w:t>Política</w:t>
      </w:r>
      <w:r>
        <w:rPr>
          <w:spacing w:val="-14"/>
        </w:rPr>
        <w:t> </w:t>
      </w:r>
      <w:r>
        <w:rPr/>
        <w:t>(MAP)</w:t>
      </w:r>
      <w:r>
        <w:rPr>
          <w:spacing w:val="-12"/>
        </w:rPr>
        <w:t> </w:t>
      </w:r>
      <w:r>
        <w:rPr/>
        <w:t>en</w:t>
      </w:r>
      <w:r>
        <w:rPr>
          <w:spacing w:val="-16"/>
        </w:rPr>
        <w:t> </w:t>
      </w:r>
      <w:r>
        <w:rPr/>
        <w:t>el</w:t>
      </w:r>
      <w:r>
        <w:rPr>
          <w:spacing w:val="-13"/>
        </w:rPr>
        <w:t> </w:t>
      </w:r>
      <w:r>
        <w:rPr/>
        <w:t>análisis de</w:t>
      </w:r>
      <w:r>
        <w:rPr>
          <w:spacing w:val="-5"/>
        </w:rPr>
        <w:t> </w:t>
      </w:r>
      <w:r>
        <w:rPr/>
        <w:t>la</w:t>
      </w:r>
      <w:r>
        <w:rPr>
          <w:spacing w:val="-4"/>
        </w:rPr>
        <w:t> </w:t>
      </w:r>
      <w:r>
        <w:rPr/>
        <w:t>competitividad</w:t>
      </w:r>
      <w:r>
        <w:rPr>
          <w:spacing w:val="-4"/>
        </w:rPr>
        <w:t> </w:t>
      </w:r>
      <w:r>
        <w:rPr/>
        <w:t>en</w:t>
      </w:r>
      <w:r>
        <w:rPr>
          <w:spacing w:val="-4"/>
        </w:rPr>
        <w:t> </w:t>
      </w:r>
      <w:r>
        <w:rPr/>
        <w:t>la</w:t>
      </w:r>
      <w:r>
        <w:rPr>
          <w:spacing w:val="-4"/>
        </w:rPr>
        <w:t> </w:t>
      </w:r>
      <w:r>
        <w:rPr/>
        <w:t>cadena</w:t>
      </w:r>
      <w:r>
        <w:rPr>
          <w:spacing w:val="-5"/>
        </w:rPr>
        <w:t> </w:t>
      </w:r>
      <w:r>
        <w:rPr/>
        <w:t>agroalimentaria</w:t>
      </w:r>
      <w:r>
        <w:rPr>
          <w:spacing w:val="-1"/>
        </w:rPr>
        <w:t> </w:t>
      </w:r>
      <w:r>
        <w:rPr/>
        <w:t>productora</w:t>
      </w:r>
      <w:r>
        <w:rPr>
          <w:spacing w:val="-5"/>
        </w:rPr>
        <w:t> </w:t>
      </w:r>
      <w:r>
        <w:rPr/>
        <w:t>de</w:t>
      </w:r>
      <w:r>
        <w:rPr>
          <w:spacing w:val="-5"/>
        </w:rPr>
        <w:t> </w:t>
      </w:r>
      <w:r>
        <w:rPr/>
        <w:t>leche</w:t>
      </w:r>
      <w:r>
        <w:rPr>
          <w:spacing w:val="-5"/>
        </w:rPr>
        <w:t> </w:t>
      </w:r>
      <w:r>
        <w:rPr/>
        <w:t>de</w:t>
      </w:r>
      <w:r>
        <w:rPr>
          <w:spacing w:val="-5"/>
        </w:rPr>
        <w:t> </w:t>
      </w:r>
      <w:r>
        <w:rPr/>
        <w:t>pequeña</w:t>
      </w:r>
      <w:r>
        <w:rPr>
          <w:spacing w:val="-5"/>
        </w:rPr>
        <w:t> </w:t>
      </w:r>
      <w:r>
        <w:rPr/>
        <w:t>escala</w:t>
      </w:r>
      <w:r>
        <w:rPr>
          <w:spacing w:val="-4"/>
        </w:rPr>
        <w:t> </w:t>
      </w:r>
      <w:r>
        <w:rPr/>
        <w:t>del municipio de Texcoco. Se seleccionó al municipio de Texcoco por ser el mayor productor de</w:t>
      </w:r>
      <w:r>
        <w:rPr>
          <w:spacing w:val="-10"/>
        </w:rPr>
        <w:t> </w:t>
      </w:r>
      <w:r>
        <w:rPr/>
        <w:t>leche</w:t>
      </w:r>
      <w:r>
        <w:rPr>
          <w:spacing w:val="-7"/>
        </w:rPr>
        <w:t> </w:t>
      </w:r>
      <w:r>
        <w:rPr/>
        <w:t>a</w:t>
      </w:r>
      <w:r>
        <w:rPr>
          <w:spacing w:val="-10"/>
        </w:rPr>
        <w:t> </w:t>
      </w:r>
      <w:r>
        <w:rPr/>
        <w:t>nivel</w:t>
      </w:r>
      <w:r>
        <w:rPr>
          <w:spacing w:val="-9"/>
        </w:rPr>
        <w:t> </w:t>
      </w:r>
      <w:r>
        <w:rPr/>
        <w:t>Distrito</w:t>
      </w:r>
      <w:r>
        <w:rPr>
          <w:spacing w:val="-8"/>
        </w:rPr>
        <w:t> </w:t>
      </w:r>
      <w:r>
        <w:rPr/>
        <w:t>con</w:t>
      </w:r>
      <w:r>
        <w:rPr>
          <w:spacing w:val="-9"/>
        </w:rPr>
        <w:t> </w:t>
      </w:r>
      <w:r>
        <w:rPr/>
        <w:t>21.3</w:t>
      </w:r>
      <w:r>
        <w:rPr>
          <w:spacing w:val="-9"/>
        </w:rPr>
        <w:t> </w:t>
      </w:r>
      <w:r>
        <w:rPr/>
        <w:t>millones</w:t>
      </w:r>
      <w:r>
        <w:rPr>
          <w:spacing w:val="-8"/>
        </w:rPr>
        <w:t> </w:t>
      </w:r>
      <w:r>
        <w:rPr/>
        <w:t>de</w:t>
      </w:r>
      <w:r>
        <w:rPr>
          <w:spacing w:val="-10"/>
        </w:rPr>
        <w:t> </w:t>
      </w:r>
      <w:r>
        <w:rPr/>
        <w:t>litros</w:t>
      </w:r>
      <w:r>
        <w:rPr>
          <w:spacing w:val="-11"/>
        </w:rPr>
        <w:t> </w:t>
      </w:r>
      <w:r>
        <w:rPr/>
        <w:t>(SIAP,</w:t>
      </w:r>
      <w:r>
        <w:rPr>
          <w:spacing w:val="-8"/>
        </w:rPr>
        <w:t> </w:t>
      </w:r>
      <w:r>
        <w:rPr/>
        <w:t>2014)</w:t>
      </w:r>
      <w:r>
        <w:rPr>
          <w:spacing w:val="-2"/>
        </w:rPr>
        <w:t> </w:t>
      </w:r>
      <w:r>
        <w:rPr/>
        <w:t>y</w:t>
      </w:r>
      <w:r>
        <w:rPr>
          <w:spacing w:val="-13"/>
        </w:rPr>
        <w:t> </w:t>
      </w:r>
      <w:r>
        <w:rPr/>
        <w:t>por</w:t>
      </w:r>
      <w:r>
        <w:rPr>
          <w:spacing w:val="-9"/>
        </w:rPr>
        <w:t> </w:t>
      </w:r>
      <w:r>
        <w:rPr/>
        <w:t>qué</w:t>
      </w:r>
      <w:r>
        <w:rPr>
          <w:spacing w:val="-9"/>
        </w:rPr>
        <w:t> </w:t>
      </w:r>
      <w:r>
        <w:rPr/>
        <w:t>en</w:t>
      </w:r>
      <w:r>
        <w:rPr>
          <w:spacing w:val="-9"/>
        </w:rPr>
        <w:t> </w:t>
      </w:r>
      <w:r>
        <w:rPr/>
        <w:t>este</w:t>
      </w:r>
      <w:r>
        <w:rPr>
          <w:spacing w:val="-9"/>
        </w:rPr>
        <w:t> </w:t>
      </w:r>
      <w:r>
        <w:rPr/>
        <w:t>municipio predomina la lechería de pequeña escala (Posadas-Domínguez et al.,</w:t>
      </w:r>
      <w:r>
        <w:rPr>
          <w:spacing w:val="-11"/>
        </w:rPr>
        <w:t> </w:t>
      </w:r>
      <w:r>
        <w:rPr/>
        <w:t>2014).</w:t>
      </w:r>
    </w:p>
    <w:p>
      <w:pPr>
        <w:pStyle w:val="BodyText"/>
      </w:pPr>
    </w:p>
    <w:p>
      <w:pPr>
        <w:pStyle w:val="BodyText"/>
        <w:spacing w:line="360" w:lineRule="auto" w:before="140"/>
        <w:ind w:left="102" w:right="113"/>
        <w:jc w:val="both"/>
      </w:pPr>
      <w:r>
        <w:rPr/>
        <w:t>El análisis de competitividad analiza diversos factores micro y macroeconómicos de gran importancia para conocer el estado económico actual de un sistema-producto (Monke y</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Pearson, 1989). Sin embargo, existe una tendencia en el área económica, agropecuaria y de política agrícola de emplear herramientas con modelación estocástica, las cuales no solo te permiten</w:t>
      </w:r>
      <w:r>
        <w:rPr>
          <w:spacing w:val="-11"/>
        </w:rPr>
        <w:t> </w:t>
      </w:r>
      <w:r>
        <w:rPr/>
        <w:t>conocer</w:t>
      </w:r>
      <w:r>
        <w:rPr>
          <w:spacing w:val="-12"/>
        </w:rPr>
        <w:t> </w:t>
      </w:r>
      <w:r>
        <w:rPr/>
        <w:t>la</w:t>
      </w:r>
      <w:r>
        <w:rPr>
          <w:spacing w:val="-12"/>
        </w:rPr>
        <w:t> </w:t>
      </w:r>
      <w:r>
        <w:rPr/>
        <w:t>realidad</w:t>
      </w:r>
      <w:r>
        <w:rPr>
          <w:spacing w:val="-11"/>
        </w:rPr>
        <w:t> </w:t>
      </w:r>
      <w:r>
        <w:rPr/>
        <w:t>actual</w:t>
      </w:r>
      <w:r>
        <w:rPr>
          <w:spacing w:val="-10"/>
        </w:rPr>
        <w:t> </w:t>
      </w:r>
      <w:r>
        <w:rPr/>
        <w:t>de</w:t>
      </w:r>
      <w:r>
        <w:rPr>
          <w:spacing w:val="-12"/>
        </w:rPr>
        <w:t> </w:t>
      </w:r>
      <w:r>
        <w:rPr/>
        <w:t>un</w:t>
      </w:r>
      <w:r>
        <w:rPr>
          <w:spacing w:val="-11"/>
        </w:rPr>
        <w:t> </w:t>
      </w:r>
      <w:r>
        <w:rPr/>
        <w:t>sistema</w:t>
      </w:r>
      <w:r>
        <w:rPr>
          <w:spacing w:val="-12"/>
        </w:rPr>
        <w:t> </w:t>
      </w:r>
      <w:r>
        <w:rPr/>
        <w:t>si</w:t>
      </w:r>
      <w:r>
        <w:rPr>
          <w:spacing w:val="-11"/>
        </w:rPr>
        <w:t> </w:t>
      </w:r>
      <w:r>
        <w:rPr/>
        <w:t>no</w:t>
      </w:r>
      <w:r>
        <w:rPr>
          <w:spacing w:val="-11"/>
        </w:rPr>
        <w:t> </w:t>
      </w:r>
      <w:r>
        <w:rPr/>
        <w:t>también</w:t>
      </w:r>
      <w:r>
        <w:rPr>
          <w:spacing w:val="-12"/>
        </w:rPr>
        <w:t> </w:t>
      </w:r>
      <w:r>
        <w:rPr/>
        <w:t>proyectar</w:t>
      </w:r>
      <w:r>
        <w:rPr>
          <w:spacing w:val="-11"/>
        </w:rPr>
        <w:t> </w:t>
      </w:r>
      <w:r>
        <w:rPr/>
        <w:t>su</w:t>
      </w:r>
      <w:r>
        <w:rPr>
          <w:spacing w:val="-8"/>
        </w:rPr>
        <w:t> </w:t>
      </w:r>
      <w:r>
        <w:rPr/>
        <w:t>comportamiento futuro (Lien,</w:t>
      </w:r>
      <w:r>
        <w:rPr>
          <w:spacing w:val="-6"/>
        </w:rPr>
        <w:t> </w:t>
      </w:r>
      <w:r>
        <w:rPr/>
        <w:t>2003).</w:t>
      </w:r>
    </w:p>
    <w:p>
      <w:pPr>
        <w:pStyle w:val="BodyText"/>
      </w:pPr>
    </w:p>
    <w:p>
      <w:pPr>
        <w:pStyle w:val="BodyText"/>
        <w:spacing w:line="360" w:lineRule="auto" w:before="143"/>
        <w:ind w:left="102" w:right="117"/>
        <w:jc w:val="both"/>
      </w:pPr>
      <w:r>
        <w:rPr/>
        <w:t>En el área económica y de gestión, los investigadores y tomadores de decisiones han reconocido</w:t>
      </w:r>
      <w:r>
        <w:rPr>
          <w:spacing w:val="-15"/>
        </w:rPr>
        <w:t> </w:t>
      </w:r>
      <w:r>
        <w:rPr/>
        <w:t>la</w:t>
      </w:r>
      <w:r>
        <w:rPr>
          <w:spacing w:val="-16"/>
        </w:rPr>
        <w:t> </w:t>
      </w:r>
      <w:r>
        <w:rPr/>
        <w:t>importancia</w:t>
      </w:r>
      <w:r>
        <w:rPr>
          <w:spacing w:val="-17"/>
        </w:rPr>
        <w:t> </w:t>
      </w:r>
      <w:r>
        <w:rPr/>
        <w:t>de</w:t>
      </w:r>
      <w:r>
        <w:rPr>
          <w:spacing w:val="-17"/>
        </w:rPr>
        <w:t> </w:t>
      </w:r>
      <w:r>
        <w:rPr/>
        <w:t>tomar</w:t>
      </w:r>
      <w:r>
        <w:rPr>
          <w:spacing w:val="-17"/>
        </w:rPr>
        <w:t> </w:t>
      </w:r>
      <w:r>
        <w:rPr/>
        <w:t>en</w:t>
      </w:r>
      <w:r>
        <w:rPr>
          <w:spacing w:val="-13"/>
        </w:rPr>
        <w:t> </w:t>
      </w:r>
      <w:r>
        <w:rPr/>
        <w:t>cuenta</w:t>
      </w:r>
      <w:r>
        <w:rPr>
          <w:spacing w:val="-14"/>
        </w:rPr>
        <w:t> </w:t>
      </w:r>
      <w:r>
        <w:rPr/>
        <w:t>el</w:t>
      </w:r>
      <w:r>
        <w:rPr>
          <w:spacing w:val="-15"/>
        </w:rPr>
        <w:t> </w:t>
      </w:r>
      <w:r>
        <w:rPr/>
        <w:t>riesgo</w:t>
      </w:r>
      <w:r>
        <w:rPr>
          <w:spacing w:val="-16"/>
        </w:rPr>
        <w:t> </w:t>
      </w:r>
      <w:r>
        <w:rPr/>
        <w:t>al</w:t>
      </w:r>
      <w:r>
        <w:rPr>
          <w:spacing w:val="-15"/>
        </w:rPr>
        <w:t> </w:t>
      </w:r>
      <w:r>
        <w:rPr/>
        <w:t>llevar</w:t>
      </w:r>
      <w:r>
        <w:rPr>
          <w:spacing w:val="-17"/>
        </w:rPr>
        <w:t> </w:t>
      </w:r>
      <w:r>
        <w:rPr/>
        <w:t>a</w:t>
      </w:r>
      <w:r>
        <w:rPr>
          <w:spacing w:val="-17"/>
        </w:rPr>
        <w:t> </w:t>
      </w:r>
      <w:r>
        <w:rPr/>
        <w:t>cabo</w:t>
      </w:r>
      <w:r>
        <w:rPr>
          <w:spacing w:val="-16"/>
        </w:rPr>
        <w:t> </w:t>
      </w:r>
      <w:r>
        <w:rPr/>
        <w:t>análisis</w:t>
      </w:r>
      <w:r>
        <w:rPr>
          <w:spacing w:val="-15"/>
        </w:rPr>
        <w:t> </w:t>
      </w:r>
      <w:r>
        <w:rPr/>
        <w:t>de</w:t>
      </w:r>
      <w:r>
        <w:rPr>
          <w:spacing w:val="-17"/>
        </w:rPr>
        <w:t> </w:t>
      </w:r>
      <w:r>
        <w:rPr/>
        <w:t>rentabilidad y</w:t>
      </w:r>
      <w:r>
        <w:rPr>
          <w:spacing w:val="-6"/>
        </w:rPr>
        <w:t> </w:t>
      </w:r>
      <w:r>
        <w:rPr/>
        <w:t>viabilidad</w:t>
      </w:r>
      <w:r>
        <w:rPr>
          <w:spacing w:val="-4"/>
        </w:rPr>
        <w:t> </w:t>
      </w:r>
      <w:r>
        <w:rPr/>
        <w:t>económica</w:t>
      </w:r>
      <w:r>
        <w:rPr>
          <w:spacing w:val="-5"/>
        </w:rPr>
        <w:t> </w:t>
      </w:r>
      <w:r>
        <w:rPr/>
        <w:t>(Grové,</w:t>
      </w:r>
      <w:r>
        <w:rPr>
          <w:spacing w:val="-4"/>
        </w:rPr>
        <w:t> </w:t>
      </w:r>
      <w:r>
        <w:rPr/>
        <w:t>2007).</w:t>
      </w:r>
      <w:r>
        <w:rPr>
          <w:spacing w:val="-5"/>
        </w:rPr>
        <w:t> </w:t>
      </w:r>
      <w:r>
        <w:rPr/>
        <w:t>No</w:t>
      </w:r>
      <w:r>
        <w:rPr>
          <w:spacing w:val="-4"/>
        </w:rPr>
        <w:t> </w:t>
      </w:r>
      <w:r>
        <w:rPr/>
        <w:t>obstante,</w:t>
      </w:r>
      <w:r>
        <w:rPr>
          <w:spacing w:val="-4"/>
        </w:rPr>
        <w:t> </w:t>
      </w:r>
      <w:r>
        <w:rPr/>
        <w:t>la</w:t>
      </w:r>
      <w:r>
        <w:rPr>
          <w:spacing w:val="-4"/>
        </w:rPr>
        <w:t> </w:t>
      </w:r>
      <w:r>
        <w:rPr/>
        <w:t>falta</w:t>
      </w:r>
      <w:r>
        <w:rPr>
          <w:spacing w:val="-5"/>
        </w:rPr>
        <w:t> </w:t>
      </w:r>
      <w:r>
        <w:rPr/>
        <w:t>de</w:t>
      </w:r>
      <w:r>
        <w:rPr>
          <w:spacing w:val="-5"/>
        </w:rPr>
        <w:t> </w:t>
      </w:r>
      <w:r>
        <w:rPr/>
        <w:t>datos,</w:t>
      </w:r>
      <w:r>
        <w:rPr>
          <w:spacing w:val="-3"/>
        </w:rPr>
        <w:t> </w:t>
      </w:r>
      <w:r>
        <w:rPr/>
        <w:t>el</w:t>
      </w:r>
      <w:r>
        <w:rPr>
          <w:spacing w:val="-3"/>
        </w:rPr>
        <w:t> </w:t>
      </w:r>
      <w:r>
        <w:rPr/>
        <w:t>tiempo</w:t>
      </w:r>
      <w:r>
        <w:rPr>
          <w:spacing w:val="-3"/>
        </w:rPr>
        <w:t> </w:t>
      </w:r>
      <w:r>
        <w:rPr/>
        <w:t>de</w:t>
      </w:r>
      <w:r>
        <w:rPr>
          <w:spacing w:val="-5"/>
        </w:rPr>
        <w:t> </w:t>
      </w:r>
      <w:r>
        <w:rPr/>
        <w:t>modelado y</w:t>
      </w:r>
      <w:r>
        <w:rPr>
          <w:spacing w:val="-12"/>
        </w:rPr>
        <w:t> </w:t>
      </w:r>
      <w:r>
        <w:rPr/>
        <w:t>los</w:t>
      </w:r>
      <w:r>
        <w:rPr>
          <w:spacing w:val="-4"/>
        </w:rPr>
        <w:t> </w:t>
      </w:r>
      <w:r>
        <w:rPr/>
        <w:t>conocimientos</w:t>
      </w:r>
      <w:r>
        <w:rPr>
          <w:spacing w:val="-7"/>
        </w:rPr>
        <w:t> </w:t>
      </w:r>
      <w:r>
        <w:rPr/>
        <w:t>necesarios</w:t>
      </w:r>
      <w:r>
        <w:rPr>
          <w:spacing w:val="-7"/>
        </w:rPr>
        <w:t> </w:t>
      </w:r>
      <w:r>
        <w:rPr/>
        <w:t>dificulta</w:t>
      </w:r>
      <w:r>
        <w:rPr>
          <w:spacing w:val="-8"/>
        </w:rPr>
        <w:t> </w:t>
      </w:r>
      <w:r>
        <w:rPr/>
        <w:t>la</w:t>
      </w:r>
      <w:r>
        <w:rPr>
          <w:spacing w:val="-8"/>
        </w:rPr>
        <w:t> </w:t>
      </w:r>
      <w:r>
        <w:rPr/>
        <w:t>implementación</w:t>
      </w:r>
      <w:r>
        <w:rPr>
          <w:spacing w:val="-7"/>
        </w:rPr>
        <w:t> </w:t>
      </w:r>
      <w:r>
        <w:rPr/>
        <w:t>del</w:t>
      </w:r>
      <w:r>
        <w:rPr>
          <w:spacing w:val="-7"/>
        </w:rPr>
        <w:t> </w:t>
      </w:r>
      <w:r>
        <w:rPr/>
        <w:t>análisis</w:t>
      </w:r>
      <w:r>
        <w:rPr>
          <w:spacing w:val="-7"/>
        </w:rPr>
        <w:t> </w:t>
      </w:r>
      <w:r>
        <w:rPr/>
        <w:t>de</w:t>
      </w:r>
      <w:r>
        <w:rPr>
          <w:spacing w:val="-8"/>
        </w:rPr>
        <w:t> </w:t>
      </w:r>
      <w:r>
        <w:rPr/>
        <w:t>riesgo</w:t>
      </w:r>
      <w:r>
        <w:rPr>
          <w:spacing w:val="-7"/>
        </w:rPr>
        <w:t> </w:t>
      </w:r>
      <w:r>
        <w:rPr/>
        <w:t>en</w:t>
      </w:r>
      <w:r>
        <w:rPr>
          <w:spacing w:val="-7"/>
        </w:rPr>
        <w:t> </w:t>
      </w:r>
      <w:r>
        <w:rPr/>
        <w:t>sistemas agropecuarios.</w:t>
      </w:r>
    </w:p>
    <w:p>
      <w:pPr>
        <w:pStyle w:val="BodyText"/>
      </w:pPr>
    </w:p>
    <w:p>
      <w:pPr>
        <w:pStyle w:val="BodyText"/>
      </w:pPr>
    </w:p>
    <w:p>
      <w:pPr>
        <w:pStyle w:val="BodyText"/>
        <w:spacing w:before="1"/>
        <w:rPr>
          <w:sz w:val="23"/>
        </w:rPr>
      </w:pPr>
    </w:p>
    <w:p>
      <w:pPr>
        <w:pStyle w:val="BodyText"/>
        <w:spacing w:line="360" w:lineRule="auto"/>
        <w:ind w:left="102" w:right="119"/>
        <w:jc w:val="both"/>
      </w:pPr>
      <w:r>
        <w:rPr/>
        <w:t>En</w:t>
      </w:r>
      <w:r>
        <w:rPr>
          <w:spacing w:val="-7"/>
        </w:rPr>
        <w:t> </w:t>
      </w:r>
      <w:r>
        <w:rPr/>
        <w:t>este</w:t>
      </w:r>
      <w:r>
        <w:rPr>
          <w:spacing w:val="-4"/>
        </w:rPr>
        <w:t> </w:t>
      </w:r>
      <w:r>
        <w:rPr/>
        <w:t>contexto,</w:t>
      </w:r>
      <w:r>
        <w:rPr>
          <w:spacing w:val="-6"/>
        </w:rPr>
        <w:t> </w:t>
      </w:r>
      <w:r>
        <w:rPr/>
        <w:t>diversas</w:t>
      </w:r>
      <w:r>
        <w:rPr>
          <w:spacing w:val="-6"/>
        </w:rPr>
        <w:t> </w:t>
      </w:r>
      <w:r>
        <w:rPr/>
        <w:t>investigaciones</w:t>
      </w:r>
      <w:r>
        <w:rPr>
          <w:spacing w:val="-4"/>
        </w:rPr>
        <w:t> </w:t>
      </w:r>
      <w:r>
        <w:rPr/>
        <w:t>coinciden</w:t>
      </w:r>
      <w:r>
        <w:rPr>
          <w:spacing w:val="-6"/>
        </w:rPr>
        <w:t> </w:t>
      </w:r>
      <w:r>
        <w:rPr/>
        <w:t>en</w:t>
      </w:r>
      <w:r>
        <w:rPr>
          <w:spacing w:val="-4"/>
        </w:rPr>
        <w:t> </w:t>
      </w:r>
      <w:r>
        <w:rPr/>
        <w:t>que</w:t>
      </w:r>
      <w:r>
        <w:rPr>
          <w:spacing w:val="-5"/>
        </w:rPr>
        <w:t> </w:t>
      </w:r>
      <w:r>
        <w:rPr/>
        <w:t>el</w:t>
      </w:r>
      <w:r>
        <w:rPr>
          <w:spacing w:val="-6"/>
        </w:rPr>
        <w:t> </w:t>
      </w:r>
      <w:r>
        <w:rPr/>
        <w:t>conocimiento</w:t>
      </w:r>
      <w:r>
        <w:rPr>
          <w:spacing w:val="-6"/>
        </w:rPr>
        <w:t> </w:t>
      </w:r>
      <w:r>
        <w:rPr/>
        <w:t>de</w:t>
      </w:r>
      <w:r>
        <w:rPr>
          <w:spacing w:val="-7"/>
        </w:rPr>
        <w:t> </w:t>
      </w:r>
      <w:r>
        <w:rPr/>
        <w:t>la</w:t>
      </w:r>
      <w:r>
        <w:rPr>
          <w:spacing w:val="-5"/>
        </w:rPr>
        <w:t> </w:t>
      </w:r>
      <w:r>
        <w:rPr/>
        <w:t>naturaleza de los riesgos que afectan a los sistemas agropecuarios es la clave para el desarrollo de soluciones adecuadas y toma de decisiones (Lien, 2003; Grové, 2007; Richardson et al., 2007a; Hardaker y Lien,</w:t>
      </w:r>
      <w:r>
        <w:rPr>
          <w:spacing w:val="-7"/>
        </w:rPr>
        <w:t> </w:t>
      </w:r>
      <w:r>
        <w:rPr/>
        <w:t>2010).</w:t>
      </w:r>
    </w:p>
    <w:p>
      <w:pPr>
        <w:pStyle w:val="BodyText"/>
      </w:pPr>
    </w:p>
    <w:p>
      <w:pPr>
        <w:pStyle w:val="BodyText"/>
      </w:pPr>
    </w:p>
    <w:p>
      <w:pPr>
        <w:pStyle w:val="BodyText"/>
        <w:spacing w:before="3"/>
        <w:rPr>
          <w:sz w:val="23"/>
        </w:rPr>
      </w:pPr>
    </w:p>
    <w:p>
      <w:pPr>
        <w:pStyle w:val="BodyText"/>
        <w:spacing w:line="360" w:lineRule="auto" w:before="1"/>
        <w:ind w:left="102" w:right="117"/>
        <w:jc w:val="both"/>
      </w:pPr>
      <w:r>
        <w:rPr/>
        <w:t>La</w:t>
      </w:r>
      <w:r>
        <w:rPr>
          <w:spacing w:val="-6"/>
        </w:rPr>
        <w:t> </w:t>
      </w:r>
      <w:r>
        <w:rPr/>
        <w:t>tendencia</w:t>
      </w:r>
      <w:r>
        <w:rPr>
          <w:spacing w:val="-5"/>
        </w:rPr>
        <w:t> </w:t>
      </w:r>
      <w:r>
        <w:rPr/>
        <w:t>en</w:t>
      </w:r>
      <w:r>
        <w:rPr>
          <w:spacing w:val="-5"/>
        </w:rPr>
        <w:t> </w:t>
      </w:r>
      <w:r>
        <w:rPr/>
        <w:t>el</w:t>
      </w:r>
      <w:r>
        <w:rPr>
          <w:spacing w:val="-4"/>
        </w:rPr>
        <w:t> </w:t>
      </w:r>
      <w:r>
        <w:rPr/>
        <w:t>uso</w:t>
      </w:r>
      <w:r>
        <w:rPr>
          <w:spacing w:val="-5"/>
        </w:rPr>
        <w:t> </w:t>
      </w:r>
      <w:r>
        <w:rPr/>
        <w:t>de</w:t>
      </w:r>
      <w:r>
        <w:rPr>
          <w:spacing w:val="-6"/>
        </w:rPr>
        <w:t> </w:t>
      </w:r>
      <w:r>
        <w:rPr/>
        <w:t>modelación</w:t>
      </w:r>
      <w:r>
        <w:rPr>
          <w:spacing w:val="-4"/>
        </w:rPr>
        <w:t> </w:t>
      </w:r>
      <w:r>
        <w:rPr/>
        <w:t>estocástica</w:t>
      </w:r>
      <w:r>
        <w:rPr>
          <w:spacing w:val="-6"/>
        </w:rPr>
        <w:t> </w:t>
      </w:r>
      <w:r>
        <w:rPr/>
        <w:t>viene</w:t>
      </w:r>
      <w:r>
        <w:rPr>
          <w:spacing w:val="-6"/>
        </w:rPr>
        <w:t> </w:t>
      </w:r>
      <w:r>
        <w:rPr/>
        <w:t>antecedida</w:t>
      </w:r>
      <w:r>
        <w:rPr>
          <w:spacing w:val="-6"/>
        </w:rPr>
        <w:t> </w:t>
      </w:r>
      <w:r>
        <w:rPr/>
        <w:t>porque</w:t>
      </w:r>
      <w:r>
        <w:rPr>
          <w:spacing w:val="-6"/>
        </w:rPr>
        <w:t> </w:t>
      </w:r>
      <w:r>
        <w:rPr/>
        <w:t>se</w:t>
      </w:r>
      <w:r>
        <w:rPr>
          <w:spacing w:val="-6"/>
        </w:rPr>
        <w:t> </w:t>
      </w:r>
      <w:r>
        <w:rPr/>
        <w:t>ha</w:t>
      </w:r>
      <w:r>
        <w:rPr>
          <w:spacing w:val="-6"/>
        </w:rPr>
        <w:t> </w:t>
      </w:r>
      <w:r>
        <w:rPr/>
        <w:t>concentrado un gran interés por parte de los tomadores de decisiones a nivel finca (productores) y de política agrícola a nivel nacional (Richardson et al., 2000), en predecir el comportamiento futuro de un negocio agropecuario (Richardson,</w:t>
      </w:r>
      <w:r>
        <w:rPr>
          <w:spacing w:val="-6"/>
        </w:rPr>
        <w:t> </w:t>
      </w:r>
      <w:r>
        <w:rPr/>
        <w:t>2007).</w:t>
      </w:r>
    </w:p>
    <w:p>
      <w:pPr>
        <w:pStyle w:val="BodyText"/>
      </w:pPr>
    </w:p>
    <w:p>
      <w:pPr>
        <w:pStyle w:val="BodyText"/>
        <w:spacing w:line="360" w:lineRule="auto" w:before="143"/>
        <w:ind w:left="102" w:right="114"/>
        <w:jc w:val="both"/>
      </w:pPr>
      <w:r>
        <w:rPr/>
        <w:t>El análisis de riego en el área agropecuaria ha tenido mucha discusión en los métodos y herramientas para evaluar la toma de decisiones de los agricultores. Sin embargo, se ha demostrado que el análisis de probabilidad es a menudo el componente analítico más importante</w:t>
      </w:r>
      <w:r>
        <w:rPr>
          <w:spacing w:val="-7"/>
        </w:rPr>
        <w:t> </w:t>
      </w:r>
      <w:r>
        <w:rPr/>
        <w:t>para</w:t>
      </w:r>
      <w:r>
        <w:rPr>
          <w:spacing w:val="-7"/>
        </w:rPr>
        <w:t> </w:t>
      </w:r>
      <w:r>
        <w:rPr/>
        <w:t>la</w:t>
      </w:r>
      <w:r>
        <w:rPr>
          <w:spacing w:val="-7"/>
        </w:rPr>
        <w:t> </w:t>
      </w:r>
      <w:r>
        <w:rPr/>
        <w:t>toma</w:t>
      </w:r>
      <w:r>
        <w:rPr>
          <w:spacing w:val="-5"/>
        </w:rPr>
        <w:t> </w:t>
      </w:r>
      <w:r>
        <w:rPr/>
        <w:t>de</w:t>
      </w:r>
      <w:r>
        <w:rPr>
          <w:spacing w:val="-7"/>
        </w:rPr>
        <w:t> </w:t>
      </w:r>
      <w:r>
        <w:rPr/>
        <w:t>decisiones</w:t>
      </w:r>
      <w:r>
        <w:rPr>
          <w:spacing w:val="-4"/>
        </w:rPr>
        <w:t> </w:t>
      </w:r>
      <w:r>
        <w:rPr/>
        <w:t>en</w:t>
      </w:r>
      <w:r>
        <w:rPr>
          <w:spacing w:val="-4"/>
        </w:rPr>
        <w:t> </w:t>
      </w:r>
      <w:r>
        <w:rPr/>
        <w:t>ambientes</w:t>
      </w:r>
      <w:r>
        <w:rPr>
          <w:spacing w:val="-6"/>
        </w:rPr>
        <w:t> </w:t>
      </w:r>
      <w:r>
        <w:rPr/>
        <w:t>de</w:t>
      </w:r>
      <w:r>
        <w:rPr>
          <w:spacing w:val="-7"/>
        </w:rPr>
        <w:t> </w:t>
      </w:r>
      <w:r>
        <w:rPr/>
        <w:t>riesgo</w:t>
      </w:r>
      <w:r>
        <w:rPr>
          <w:spacing w:val="-4"/>
        </w:rPr>
        <w:t> </w:t>
      </w:r>
      <w:r>
        <w:rPr/>
        <w:t>(Reutlinger,</w:t>
      </w:r>
      <w:r>
        <w:rPr>
          <w:spacing w:val="-6"/>
        </w:rPr>
        <w:t> </w:t>
      </w:r>
      <w:r>
        <w:rPr/>
        <w:t>1970;</w:t>
      </w:r>
      <w:r>
        <w:rPr>
          <w:spacing w:val="-6"/>
        </w:rPr>
        <w:t> </w:t>
      </w:r>
      <w:r>
        <w:rPr/>
        <w:t>Hardaker</w:t>
      </w:r>
      <w:r>
        <w:rPr>
          <w:spacing w:val="-5"/>
        </w:rPr>
        <w:t> </w:t>
      </w:r>
      <w:r>
        <w:rPr/>
        <w:t>et al., 2004a; Richardson, 2007). Dado que el uso de modelos deterministas solo muestra un punto</w:t>
      </w:r>
      <w:r>
        <w:rPr>
          <w:spacing w:val="-3"/>
        </w:rPr>
        <w:t> </w:t>
      </w:r>
      <w:r>
        <w:rPr/>
        <w:t>de</w:t>
      </w:r>
      <w:r>
        <w:rPr>
          <w:spacing w:val="-5"/>
        </w:rPr>
        <w:t> </w:t>
      </w:r>
      <w:r>
        <w:rPr/>
        <w:t>estimación</w:t>
      </w:r>
      <w:r>
        <w:rPr>
          <w:spacing w:val="-3"/>
        </w:rPr>
        <w:t> </w:t>
      </w:r>
      <w:r>
        <w:rPr/>
        <w:t>para</w:t>
      </w:r>
      <w:r>
        <w:rPr>
          <w:spacing w:val="-3"/>
        </w:rPr>
        <w:t> </w:t>
      </w:r>
      <w:r>
        <w:rPr/>
        <w:t>la</w:t>
      </w:r>
      <w:r>
        <w:rPr>
          <w:spacing w:val="-4"/>
        </w:rPr>
        <w:t> </w:t>
      </w:r>
      <w:r>
        <w:rPr/>
        <w:t>variable</w:t>
      </w:r>
      <w:r>
        <w:rPr>
          <w:spacing w:val="-5"/>
        </w:rPr>
        <w:t> </w:t>
      </w:r>
      <w:r>
        <w:rPr/>
        <w:t>principal,</w:t>
      </w:r>
      <w:r>
        <w:rPr>
          <w:spacing w:val="-2"/>
        </w:rPr>
        <w:t> </w:t>
      </w:r>
      <w:r>
        <w:rPr/>
        <w:t>en</w:t>
      </w:r>
      <w:r>
        <w:rPr>
          <w:spacing w:val="-4"/>
        </w:rPr>
        <w:t> </w:t>
      </w:r>
      <w:r>
        <w:rPr/>
        <w:t>lugar</w:t>
      </w:r>
      <w:r>
        <w:rPr>
          <w:spacing w:val="-5"/>
        </w:rPr>
        <w:t> </w:t>
      </w:r>
      <w:r>
        <w:rPr/>
        <w:t>de</w:t>
      </w:r>
      <w:r>
        <w:rPr>
          <w:spacing w:val="-5"/>
        </w:rPr>
        <w:t> </w:t>
      </w:r>
      <w:r>
        <w:rPr/>
        <w:t>las</w:t>
      </w:r>
      <w:r>
        <w:rPr>
          <w:spacing w:val="-4"/>
        </w:rPr>
        <w:t> </w:t>
      </w:r>
      <w:r>
        <w:rPr/>
        <w:t>distribuciones</w:t>
      </w:r>
      <w:r>
        <w:rPr>
          <w:spacing w:val="-2"/>
        </w:rPr>
        <w:t> </w:t>
      </w:r>
      <w:r>
        <w:rPr/>
        <w:t>de</w:t>
      </w:r>
      <w:r>
        <w:rPr>
          <w:spacing w:val="-5"/>
        </w:rPr>
        <w:t> </w:t>
      </w:r>
      <w:r>
        <w:rPr/>
        <w:t>probabilidad que estiman las posibilidades de éxito o fracaso de un proyecto (Vargas-Leitón y Cuevas- Abrego,</w:t>
      </w:r>
      <w:r>
        <w:rPr>
          <w:spacing w:val="-6"/>
        </w:rPr>
        <w:t> </w:t>
      </w:r>
      <w:r>
        <w:rPr/>
        <w:t>2009).</w:t>
      </w:r>
    </w:p>
    <w:p>
      <w:pPr>
        <w:spacing w:after="0" w:line="360" w:lineRule="auto"/>
        <w:jc w:val="both"/>
        <w:sectPr>
          <w:pgSz w:w="12240" w:h="15840"/>
          <w:pgMar w:header="0" w:footer="657" w:top="1360" w:bottom="840" w:left="1600" w:right="1580"/>
        </w:sectPr>
      </w:pPr>
    </w:p>
    <w:p>
      <w:pPr>
        <w:pStyle w:val="BodyText"/>
        <w:spacing w:line="360" w:lineRule="auto" w:before="50"/>
        <w:ind w:left="102" w:right="114"/>
        <w:jc w:val="both"/>
      </w:pPr>
      <w:r>
        <w:rPr/>
        <w:t>No obstante, el análisis del riesgo por si solo es un área sumamente compleja, tanto para los analistas como para el dueño del capital, </w:t>
      </w:r>
      <w:r>
        <w:rPr>
          <w:spacing w:val="-3"/>
        </w:rPr>
        <w:t>ya </w:t>
      </w:r>
      <w:r>
        <w:rPr/>
        <w:t>que se deben tomar en cuenta muchos aspectos en una decisión acerca de una inversión futura, los agricultores (dueños del capital) tienen que</w:t>
      </w:r>
      <w:r>
        <w:rPr>
          <w:spacing w:val="-7"/>
        </w:rPr>
        <w:t> </w:t>
      </w:r>
      <w:r>
        <w:rPr/>
        <w:t>incluir</w:t>
      </w:r>
      <w:r>
        <w:rPr>
          <w:spacing w:val="-7"/>
        </w:rPr>
        <w:t> </w:t>
      </w:r>
      <w:r>
        <w:rPr/>
        <w:t>en</w:t>
      </w:r>
      <w:r>
        <w:rPr>
          <w:spacing w:val="-6"/>
        </w:rPr>
        <w:t> </w:t>
      </w:r>
      <w:r>
        <w:rPr/>
        <w:t>su</w:t>
      </w:r>
      <w:r>
        <w:rPr>
          <w:spacing w:val="-6"/>
        </w:rPr>
        <w:t> </w:t>
      </w:r>
      <w:r>
        <w:rPr/>
        <w:t>decisión</w:t>
      </w:r>
      <w:r>
        <w:rPr>
          <w:spacing w:val="-5"/>
        </w:rPr>
        <w:t> </w:t>
      </w:r>
      <w:r>
        <w:rPr/>
        <w:t>diferentes</w:t>
      </w:r>
      <w:r>
        <w:rPr>
          <w:spacing w:val="-6"/>
        </w:rPr>
        <w:t> </w:t>
      </w:r>
      <w:r>
        <w:rPr/>
        <w:t>cuestionamientos</w:t>
      </w:r>
      <w:r>
        <w:rPr>
          <w:spacing w:val="-3"/>
        </w:rPr>
        <w:t> </w:t>
      </w:r>
      <w:r>
        <w:rPr/>
        <w:t>y</w:t>
      </w:r>
      <w:r>
        <w:rPr>
          <w:spacing w:val="-12"/>
        </w:rPr>
        <w:t> </w:t>
      </w:r>
      <w:r>
        <w:rPr/>
        <w:t>formarse</w:t>
      </w:r>
      <w:r>
        <w:rPr>
          <w:spacing w:val="-7"/>
        </w:rPr>
        <w:t> </w:t>
      </w:r>
      <w:r>
        <w:rPr/>
        <w:t>una</w:t>
      </w:r>
      <w:r>
        <w:rPr>
          <w:spacing w:val="-7"/>
        </w:rPr>
        <w:t> </w:t>
      </w:r>
      <w:r>
        <w:rPr/>
        <w:t>opinión</w:t>
      </w:r>
      <w:r>
        <w:rPr>
          <w:spacing w:val="-6"/>
        </w:rPr>
        <w:t> </w:t>
      </w:r>
      <w:r>
        <w:rPr/>
        <w:t>sobre</w:t>
      </w:r>
      <w:r>
        <w:rPr>
          <w:spacing w:val="-8"/>
        </w:rPr>
        <w:t> </w:t>
      </w:r>
      <w:r>
        <w:rPr/>
        <w:t>diversas preguntas y como afectarían estas su decisión en la inversión de capital económico, por ejemplo: ¿Qué pasaría si mi sistema de producción requiere contratar mano de obra para las distintas</w:t>
      </w:r>
      <w:r>
        <w:rPr>
          <w:spacing w:val="-16"/>
        </w:rPr>
        <w:t> </w:t>
      </w:r>
      <w:r>
        <w:rPr/>
        <w:t>actividades</w:t>
      </w:r>
      <w:r>
        <w:rPr>
          <w:spacing w:val="-16"/>
        </w:rPr>
        <w:t> </w:t>
      </w:r>
      <w:r>
        <w:rPr/>
        <w:t>productivas?</w:t>
      </w:r>
      <w:r>
        <w:rPr>
          <w:spacing w:val="-12"/>
        </w:rPr>
        <w:t> </w:t>
      </w:r>
      <w:r>
        <w:rPr/>
        <w:t>¿Cuántas</w:t>
      </w:r>
      <w:r>
        <w:rPr>
          <w:spacing w:val="-16"/>
        </w:rPr>
        <w:t> </w:t>
      </w:r>
      <w:r>
        <w:rPr/>
        <w:t>horas</w:t>
      </w:r>
      <w:r>
        <w:rPr>
          <w:spacing w:val="-16"/>
        </w:rPr>
        <w:t> </w:t>
      </w:r>
      <w:r>
        <w:rPr/>
        <w:t>por</w:t>
      </w:r>
      <w:r>
        <w:rPr>
          <w:spacing w:val="-17"/>
        </w:rPr>
        <w:t> </w:t>
      </w:r>
      <w:r>
        <w:rPr/>
        <w:t>semana</w:t>
      </w:r>
      <w:r>
        <w:rPr>
          <w:spacing w:val="-17"/>
        </w:rPr>
        <w:t> </w:t>
      </w:r>
      <w:r>
        <w:rPr/>
        <w:t>o</w:t>
      </w:r>
      <w:r>
        <w:rPr>
          <w:spacing w:val="-14"/>
        </w:rPr>
        <w:t> </w:t>
      </w:r>
      <w:r>
        <w:rPr/>
        <w:t>jornaleros</w:t>
      </w:r>
      <w:r>
        <w:rPr>
          <w:spacing w:val="-16"/>
        </w:rPr>
        <w:t> </w:t>
      </w:r>
      <w:r>
        <w:rPr/>
        <w:t>necesito</w:t>
      </w:r>
      <w:r>
        <w:rPr>
          <w:spacing w:val="-16"/>
        </w:rPr>
        <w:t> </w:t>
      </w:r>
      <w:r>
        <w:rPr/>
        <w:t>contratar?</w:t>
      </w:r>
    </w:p>
    <w:p>
      <w:pPr>
        <w:pStyle w:val="BodyText"/>
        <w:spacing w:line="360" w:lineRule="auto" w:before="6"/>
        <w:ind w:left="102" w:right="118"/>
        <w:jc w:val="both"/>
      </w:pPr>
      <w:r>
        <w:rPr/>
        <w:t>¿Cuál es el costo fijo por hora y jornal que tengo que pagar? ¿Habrá un cambio en las tasas de</w:t>
      </w:r>
      <w:r>
        <w:rPr>
          <w:spacing w:val="-17"/>
        </w:rPr>
        <w:t> </w:t>
      </w:r>
      <w:r>
        <w:rPr/>
        <w:t>inflación</w:t>
      </w:r>
      <w:r>
        <w:rPr>
          <w:spacing w:val="-14"/>
        </w:rPr>
        <w:t> </w:t>
      </w:r>
      <w:r>
        <w:rPr/>
        <w:t>e</w:t>
      </w:r>
      <w:r>
        <w:rPr>
          <w:spacing w:val="-17"/>
        </w:rPr>
        <w:t> </w:t>
      </w:r>
      <w:r>
        <w:rPr/>
        <w:t>interés</w:t>
      </w:r>
      <w:r>
        <w:rPr>
          <w:spacing w:val="-17"/>
        </w:rPr>
        <w:t> </w:t>
      </w:r>
      <w:r>
        <w:rPr/>
        <w:t>en</w:t>
      </w:r>
      <w:r>
        <w:rPr>
          <w:spacing w:val="-15"/>
        </w:rPr>
        <w:t> </w:t>
      </w:r>
      <w:r>
        <w:rPr/>
        <w:t>los</w:t>
      </w:r>
      <w:r>
        <w:rPr>
          <w:spacing w:val="-16"/>
        </w:rPr>
        <w:t> </w:t>
      </w:r>
      <w:r>
        <w:rPr/>
        <w:t>próximos</w:t>
      </w:r>
      <w:r>
        <w:rPr>
          <w:spacing w:val="-17"/>
        </w:rPr>
        <w:t> </w:t>
      </w:r>
      <w:r>
        <w:rPr/>
        <w:t>años?</w:t>
      </w:r>
      <w:r>
        <w:rPr>
          <w:spacing w:val="-13"/>
        </w:rPr>
        <w:t> </w:t>
      </w:r>
      <w:r>
        <w:rPr/>
        <w:t>¿Cuál</w:t>
      </w:r>
      <w:r>
        <w:rPr>
          <w:spacing w:val="-16"/>
        </w:rPr>
        <w:t> </w:t>
      </w:r>
      <w:r>
        <w:rPr/>
        <w:t>será</w:t>
      </w:r>
      <w:r>
        <w:rPr>
          <w:spacing w:val="-18"/>
        </w:rPr>
        <w:t> </w:t>
      </w:r>
      <w:r>
        <w:rPr/>
        <w:t>la</w:t>
      </w:r>
      <w:r>
        <w:rPr>
          <w:spacing w:val="-15"/>
        </w:rPr>
        <w:t> </w:t>
      </w:r>
      <w:r>
        <w:rPr/>
        <w:t>disposición</w:t>
      </w:r>
      <w:r>
        <w:rPr>
          <w:spacing w:val="-17"/>
        </w:rPr>
        <w:t> </w:t>
      </w:r>
      <w:r>
        <w:rPr/>
        <w:t>del</w:t>
      </w:r>
      <w:r>
        <w:rPr>
          <w:spacing w:val="-14"/>
        </w:rPr>
        <w:t> </w:t>
      </w:r>
      <w:r>
        <w:rPr/>
        <w:t>gobierno</w:t>
      </w:r>
      <w:r>
        <w:rPr>
          <w:spacing w:val="-17"/>
        </w:rPr>
        <w:t> </w:t>
      </w:r>
      <w:r>
        <w:rPr/>
        <w:t>para</w:t>
      </w:r>
      <w:r>
        <w:rPr>
          <w:spacing w:val="-17"/>
        </w:rPr>
        <w:t> </w:t>
      </w:r>
      <w:r>
        <w:rPr/>
        <w:t>retirar los subsidios existentes en el futuro?, y si es así ¿Cómo? Afecta a mis ingresos netos ¿Cuál es el precio por litro de leche al que se podría vender en el futuro?, estas, y otras incertidumbres similares implica la necesidad de análisis estocásticos (Lien,</w:t>
      </w:r>
      <w:r>
        <w:rPr>
          <w:spacing w:val="-17"/>
        </w:rPr>
        <w:t> </w:t>
      </w:r>
      <w:r>
        <w:rPr/>
        <w:t>2003).</w:t>
      </w:r>
    </w:p>
    <w:p>
      <w:pPr>
        <w:pStyle w:val="BodyText"/>
      </w:pPr>
    </w:p>
    <w:p>
      <w:pPr>
        <w:pStyle w:val="BodyText"/>
        <w:spacing w:line="360" w:lineRule="auto" w:before="143"/>
        <w:ind w:left="102" w:right="117"/>
        <w:jc w:val="both"/>
      </w:pPr>
      <w:r>
        <w:rPr/>
        <w:t>Richardson y Nixon (1982) desarrollaron el modelo FLIPSIM (The Farm Level Income and Policy Simulation Model) un modelo econométrico para análisis estocástico integral a nivel finca. El FLIPSIM simula los precios de insumos y productos bajo condiciones de riesgo, en actividades económicas anuales de una granja en horizontes de planeación futuros. Este modelo se ha utilizado en la comparación de estrategias de gestión de riesgo (Duffy et al., 1986) en el análisis de políticas (Lee et al., 2001), en análisis financieros (Lien, 2003),</w:t>
      </w:r>
      <w:r>
        <w:rPr>
          <w:spacing w:val="-19"/>
        </w:rPr>
        <w:t> </w:t>
      </w:r>
      <w:r>
        <w:rPr/>
        <w:t>etc.</w:t>
      </w:r>
    </w:p>
    <w:p>
      <w:pPr>
        <w:pStyle w:val="BodyText"/>
      </w:pPr>
    </w:p>
    <w:p>
      <w:pPr>
        <w:pStyle w:val="BodyText"/>
      </w:pPr>
    </w:p>
    <w:p>
      <w:pPr>
        <w:pStyle w:val="BodyText"/>
        <w:spacing w:before="3"/>
        <w:rPr>
          <w:sz w:val="23"/>
        </w:rPr>
      </w:pPr>
    </w:p>
    <w:p>
      <w:pPr>
        <w:pStyle w:val="BodyText"/>
        <w:spacing w:line="360" w:lineRule="auto"/>
        <w:ind w:left="102" w:right="115"/>
        <w:jc w:val="both"/>
      </w:pPr>
      <w:r>
        <w:rPr/>
        <w:t>Richardson et al. (2000) desarrollaron una variante del FLIPSIM, llamado Simetar (Simulation Econometrics to Analyze Risk) el cual permite analizar con mayor robustez el análisis estocástico integral de una empresa industrial o agropecuaria. El Simetar lo ha utilizado Richardson et al. (2007a y 2007b) en estrategias de gestión de riesgo, Dlamini y Fraser</w:t>
      </w:r>
      <w:r>
        <w:rPr>
          <w:spacing w:val="-9"/>
        </w:rPr>
        <w:t> </w:t>
      </w:r>
      <w:r>
        <w:rPr/>
        <w:t>(2010)</w:t>
      </w:r>
      <w:r>
        <w:rPr>
          <w:spacing w:val="-9"/>
        </w:rPr>
        <w:t> </w:t>
      </w:r>
      <w:r>
        <w:rPr/>
        <w:t>en</w:t>
      </w:r>
      <w:r>
        <w:rPr>
          <w:spacing w:val="-7"/>
        </w:rPr>
        <w:t> </w:t>
      </w:r>
      <w:r>
        <w:rPr/>
        <w:t>la</w:t>
      </w:r>
      <w:r>
        <w:rPr>
          <w:spacing w:val="-9"/>
        </w:rPr>
        <w:t> </w:t>
      </w:r>
      <w:r>
        <w:rPr/>
        <w:t>reconversión</w:t>
      </w:r>
      <w:r>
        <w:rPr>
          <w:spacing w:val="-9"/>
        </w:rPr>
        <w:t> </w:t>
      </w:r>
      <w:r>
        <w:rPr/>
        <w:t>de</w:t>
      </w:r>
      <w:r>
        <w:rPr>
          <w:spacing w:val="-10"/>
        </w:rPr>
        <w:t> </w:t>
      </w:r>
      <w:r>
        <w:rPr/>
        <w:t>sistemas</w:t>
      </w:r>
      <w:r>
        <w:rPr>
          <w:spacing w:val="-8"/>
        </w:rPr>
        <w:t> </w:t>
      </w:r>
      <w:r>
        <w:rPr/>
        <w:t>productivos,</w:t>
      </w:r>
      <w:r>
        <w:rPr>
          <w:spacing w:val="-8"/>
        </w:rPr>
        <w:t> </w:t>
      </w:r>
      <w:r>
        <w:rPr/>
        <w:t>Barham</w:t>
      </w:r>
      <w:r>
        <w:rPr>
          <w:spacing w:val="-8"/>
        </w:rPr>
        <w:t> </w:t>
      </w:r>
      <w:r>
        <w:rPr/>
        <w:t>et</w:t>
      </w:r>
      <w:r>
        <w:rPr>
          <w:spacing w:val="-6"/>
        </w:rPr>
        <w:t> </w:t>
      </w:r>
      <w:r>
        <w:rPr/>
        <w:t>al.</w:t>
      </w:r>
      <w:r>
        <w:rPr>
          <w:spacing w:val="-8"/>
        </w:rPr>
        <w:t> </w:t>
      </w:r>
      <w:r>
        <w:rPr/>
        <w:t>(2011)</w:t>
      </w:r>
      <w:r>
        <w:rPr>
          <w:spacing w:val="-9"/>
        </w:rPr>
        <w:t> </w:t>
      </w:r>
      <w:r>
        <w:rPr/>
        <w:t>en</w:t>
      </w:r>
      <w:r>
        <w:rPr>
          <w:spacing w:val="-6"/>
        </w:rPr>
        <w:t> </w:t>
      </w:r>
      <w:r>
        <w:rPr/>
        <w:t>análisis</w:t>
      </w:r>
      <w:r>
        <w:rPr>
          <w:spacing w:val="-8"/>
        </w:rPr>
        <w:t> </w:t>
      </w:r>
      <w:r>
        <w:rPr/>
        <w:t>de política, Williams et al. (2012) en la gestión y toma de decisiones,</w:t>
      </w:r>
      <w:r>
        <w:rPr>
          <w:spacing w:val="-14"/>
        </w:rPr>
        <w:t> </w:t>
      </w:r>
      <w:r>
        <w:rPr/>
        <w:t>etc.</w:t>
      </w:r>
    </w:p>
    <w:p>
      <w:pPr>
        <w:pStyle w:val="BodyText"/>
      </w:pPr>
    </w:p>
    <w:p>
      <w:pPr>
        <w:pStyle w:val="BodyText"/>
      </w:pPr>
    </w:p>
    <w:p>
      <w:pPr>
        <w:pStyle w:val="BodyText"/>
        <w:spacing w:before="3"/>
        <w:rPr>
          <w:sz w:val="23"/>
        </w:rPr>
      </w:pPr>
    </w:p>
    <w:p>
      <w:pPr>
        <w:pStyle w:val="BodyText"/>
        <w:spacing w:line="360" w:lineRule="auto"/>
        <w:ind w:left="102" w:right="117"/>
        <w:jc w:val="both"/>
      </w:pPr>
      <w:r>
        <w:rPr/>
        <w:t>En México, los estudios empíricos con modelación estocástica implementados para conocer el efecto del riesgo en los sistemas de producción agropecuarios son limitados. Ochoa et</w:t>
      </w:r>
      <w:r>
        <w:rPr>
          <w:spacing w:val="51"/>
        </w:rPr>
        <w:t> </w:t>
      </w:r>
      <w:r>
        <w:rPr/>
        <w:t>al.</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(1998) y Sagarnaga et al. (1999) llevaron a cabo estudios utilizando modelación econométrica con simulación Monte Carlo (SMC), el objetivo fue determinar el comportamiento económico de granjas representativas en el sistema lechero y porcino de pequeña, mediana y gran escala en México. Los resultados mostraron que las condiciones económicas de México se observan favorables para la expansión de la industria lechera de pequeña escala. En cuanto a la porcicultura mexicana la información y el ciclo de análisis 1995-2004 coincidente con la crisis económica de México en el 1994, fue un factor que no permitió acercarse a una conclusión certera del comportamiento financiero del sistema porcino. Sin embargo, estos estudios tienen más de una década y las condiciones macro y microeconómicas han cambiado en la actualidad.</w:t>
      </w:r>
    </w:p>
    <w:p>
      <w:pPr>
        <w:pStyle w:val="BodyText"/>
      </w:pPr>
    </w:p>
    <w:p>
      <w:pPr>
        <w:pStyle w:val="BodyText"/>
      </w:pPr>
    </w:p>
    <w:p>
      <w:pPr>
        <w:pStyle w:val="BodyText"/>
        <w:spacing w:before="1"/>
        <w:rPr>
          <w:sz w:val="23"/>
        </w:rPr>
      </w:pPr>
    </w:p>
    <w:p>
      <w:pPr>
        <w:pStyle w:val="BodyText"/>
        <w:spacing w:line="360" w:lineRule="auto"/>
        <w:ind w:left="102" w:right="117"/>
        <w:jc w:val="both"/>
      </w:pPr>
      <w:r>
        <w:rPr/>
        <w:t>Zavala-Pineda</w:t>
      </w:r>
      <w:r>
        <w:rPr>
          <w:spacing w:val="-10"/>
        </w:rPr>
        <w:t> </w:t>
      </w:r>
      <w:r>
        <w:rPr/>
        <w:t>et</w:t>
      </w:r>
      <w:r>
        <w:rPr>
          <w:spacing w:val="-8"/>
        </w:rPr>
        <w:t> </w:t>
      </w:r>
      <w:r>
        <w:rPr/>
        <w:t>al.</w:t>
      </w:r>
      <w:r>
        <w:rPr>
          <w:spacing w:val="-8"/>
        </w:rPr>
        <w:t> </w:t>
      </w:r>
      <w:r>
        <w:rPr/>
        <w:t>(2012)</w:t>
      </w:r>
      <w:r>
        <w:rPr>
          <w:spacing w:val="-9"/>
        </w:rPr>
        <w:t> </w:t>
      </w:r>
      <w:r>
        <w:rPr/>
        <w:t>realizaron</w:t>
      </w:r>
      <w:r>
        <w:rPr>
          <w:spacing w:val="-9"/>
        </w:rPr>
        <w:t> </w:t>
      </w:r>
      <w:r>
        <w:rPr/>
        <w:t>un</w:t>
      </w:r>
      <w:r>
        <w:rPr>
          <w:spacing w:val="-6"/>
        </w:rPr>
        <w:t> </w:t>
      </w:r>
      <w:r>
        <w:rPr/>
        <w:t>estudio</w:t>
      </w:r>
      <w:r>
        <w:rPr>
          <w:spacing w:val="-9"/>
        </w:rPr>
        <w:t> </w:t>
      </w:r>
      <w:r>
        <w:rPr/>
        <w:t>con</w:t>
      </w:r>
      <w:r>
        <w:rPr>
          <w:spacing w:val="-9"/>
        </w:rPr>
        <w:t> </w:t>
      </w:r>
      <w:r>
        <w:rPr/>
        <w:t>modelación</w:t>
      </w:r>
      <w:r>
        <w:rPr>
          <w:spacing w:val="-8"/>
        </w:rPr>
        <w:t> </w:t>
      </w:r>
      <w:r>
        <w:rPr/>
        <w:t>econométrica</w:t>
      </w:r>
      <w:r>
        <w:rPr>
          <w:spacing w:val="-10"/>
        </w:rPr>
        <w:t> </w:t>
      </w:r>
      <w:r>
        <w:rPr/>
        <w:t>para</w:t>
      </w:r>
      <w:r>
        <w:rPr>
          <w:spacing w:val="-9"/>
        </w:rPr>
        <w:t> </w:t>
      </w:r>
      <w:r>
        <w:rPr/>
        <w:t>analizar la viabilidad económica y el impacto de la política agrícola del sistema porcino mexicano utilizando el programa de riesgo y análisis econométrico para México MexSim. Los resultados mostraron que con o sin transferencias gubernamentales la porcicultura mostrará en los próximos años una situación económica favorable. Por tanto, es factible aplicar una política</w:t>
      </w:r>
      <w:r>
        <w:rPr>
          <w:spacing w:val="-12"/>
        </w:rPr>
        <w:t> </w:t>
      </w:r>
      <w:r>
        <w:rPr/>
        <w:t>de</w:t>
      </w:r>
      <w:r>
        <w:rPr>
          <w:spacing w:val="-12"/>
        </w:rPr>
        <w:t> </w:t>
      </w:r>
      <w:r>
        <w:rPr/>
        <w:t>expansión</w:t>
      </w:r>
      <w:r>
        <w:rPr>
          <w:spacing w:val="-11"/>
        </w:rPr>
        <w:t> </w:t>
      </w:r>
      <w:r>
        <w:rPr/>
        <w:t>de</w:t>
      </w:r>
      <w:r>
        <w:rPr>
          <w:spacing w:val="-12"/>
        </w:rPr>
        <w:t> </w:t>
      </w:r>
      <w:r>
        <w:rPr/>
        <w:t>la</w:t>
      </w:r>
      <w:r>
        <w:rPr>
          <w:spacing w:val="-12"/>
        </w:rPr>
        <w:t> </w:t>
      </w:r>
      <w:r>
        <w:rPr/>
        <w:t>producción</w:t>
      </w:r>
      <w:r>
        <w:rPr>
          <w:spacing w:val="-11"/>
        </w:rPr>
        <w:t> </w:t>
      </w:r>
      <w:r>
        <w:rPr/>
        <w:t>con</w:t>
      </w:r>
      <w:r>
        <w:rPr>
          <w:spacing w:val="-11"/>
        </w:rPr>
        <w:t> </w:t>
      </w:r>
      <w:r>
        <w:rPr/>
        <w:t>bajos</w:t>
      </w:r>
      <w:r>
        <w:rPr>
          <w:spacing w:val="-10"/>
        </w:rPr>
        <w:t> </w:t>
      </w:r>
      <w:r>
        <w:rPr/>
        <w:t>costos</w:t>
      </w:r>
      <w:r>
        <w:rPr>
          <w:spacing w:val="-10"/>
        </w:rPr>
        <w:t> </w:t>
      </w:r>
      <w:r>
        <w:rPr/>
        <w:t>fiscales</w:t>
      </w:r>
      <w:r>
        <w:rPr>
          <w:spacing w:val="-11"/>
        </w:rPr>
        <w:t> </w:t>
      </w:r>
      <w:r>
        <w:rPr/>
        <w:t>que</w:t>
      </w:r>
      <w:r>
        <w:rPr>
          <w:spacing w:val="-12"/>
        </w:rPr>
        <w:t> </w:t>
      </w:r>
      <w:r>
        <w:rPr/>
        <w:t>cierre</w:t>
      </w:r>
      <w:r>
        <w:rPr>
          <w:spacing w:val="-12"/>
        </w:rPr>
        <w:t> </w:t>
      </w:r>
      <w:r>
        <w:rPr/>
        <w:t>la</w:t>
      </w:r>
      <w:r>
        <w:rPr>
          <w:spacing w:val="-12"/>
        </w:rPr>
        <w:t> </w:t>
      </w:r>
      <w:r>
        <w:rPr/>
        <w:t>brecha</w:t>
      </w:r>
      <w:r>
        <w:rPr>
          <w:spacing w:val="-12"/>
        </w:rPr>
        <w:t> </w:t>
      </w:r>
      <w:r>
        <w:rPr/>
        <w:t>creciente entre producción y consumo nacional. Sin embargo, esta investigación sólo analiza la construcción de unidades representativas y su viabilidad económica, dejando de lado el análisis de viabilidad financiera y de variables de riesgo que pueden tener impacto en la permanencia del sistema en el</w:t>
      </w:r>
      <w:r>
        <w:rPr>
          <w:spacing w:val="-6"/>
        </w:rPr>
        <w:t> </w:t>
      </w:r>
      <w:r>
        <w:rPr/>
        <w:t>futuro.</w:t>
      </w:r>
    </w:p>
    <w:p>
      <w:pPr>
        <w:pStyle w:val="BodyText"/>
      </w:pPr>
    </w:p>
    <w:p>
      <w:pPr>
        <w:pStyle w:val="BodyText"/>
      </w:pPr>
    </w:p>
    <w:p>
      <w:pPr>
        <w:pStyle w:val="BodyText"/>
        <w:spacing w:before="1"/>
        <w:rPr>
          <w:sz w:val="23"/>
        </w:rPr>
      </w:pPr>
    </w:p>
    <w:p>
      <w:pPr>
        <w:pStyle w:val="BodyText"/>
        <w:spacing w:line="360" w:lineRule="auto"/>
        <w:ind w:left="102" w:right="119"/>
        <w:jc w:val="both"/>
      </w:pPr>
      <w:r>
        <w:rPr/>
        <w:t>El riesgo juega un papel importante en los sistemas agropecuarios mexicanos, </w:t>
      </w:r>
      <w:r>
        <w:rPr>
          <w:spacing w:val="-3"/>
        </w:rPr>
        <w:t>ya </w:t>
      </w:r>
      <w:r>
        <w:rPr/>
        <w:t>que el entorno en el que se desarrolla la producción interna tiene un comportamiento inestable en precios de insumos alimenticios, precios de los productos agrícolas y la variación en el tipo de</w:t>
      </w:r>
      <w:r>
        <w:rPr>
          <w:spacing w:val="-18"/>
        </w:rPr>
        <w:t> </w:t>
      </w:r>
      <w:r>
        <w:rPr/>
        <w:t>cambio,</w:t>
      </w:r>
      <w:r>
        <w:rPr>
          <w:spacing w:val="-17"/>
        </w:rPr>
        <w:t> </w:t>
      </w:r>
      <w:r>
        <w:rPr/>
        <w:t>tasa</w:t>
      </w:r>
      <w:r>
        <w:rPr>
          <w:spacing w:val="-16"/>
        </w:rPr>
        <w:t> </w:t>
      </w:r>
      <w:r>
        <w:rPr/>
        <w:t>de</w:t>
      </w:r>
      <w:r>
        <w:rPr>
          <w:spacing w:val="-18"/>
        </w:rPr>
        <w:t> </w:t>
      </w:r>
      <w:r>
        <w:rPr/>
        <w:t>interés</w:t>
      </w:r>
      <w:r>
        <w:rPr>
          <w:spacing w:val="-14"/>
        </w:rPr>
        <w:t> </w:t>
      </w:r>
      <w:r>
        <w:rPr/>
        <w:t>e</w:t>
      </w:r>
      <w:r>
        <w:rPr>
          <w:spacing w:val="-18"/>
        </w:rPr>
        <w:t> </w:t>
      </w:r>
      <w:r>
        <w:rPr/>
        <w:t>inflación.</w:t>
      </w:r>
      <w:r>
        <w:rPr>
          <w:spacing w:val="-14"/>
        </w:rPr>
        <w:t> </w:t>
      </w:r>
      <w:r>
        <w:rPr/>
        <w:t>La</w:t>
      </w:r>
      <w:r>
        <w:rPr>
          <w:spacing w:val="-16"/>
        </w:rPr>
        <w:t> </w:t>
      </w:r>
      <w:r>
        <w:rPr/>
        <w:t>inestabilidad</w:t>
      </w:r>
      <w:r>
        <w:rPr>
          <w:spacing w:val="-17"/>
        </w:rPr>
        <w:t> </w:t>
      </w:r>
      <w:r>
        <w:rPr/>
        <w:t>en</w:t>
      </w:r>
      <w:r>
        <w:rPr>
          <w:spacing w:val="-17"/>
        </w:rPr>
        <w:t> </w:t>
      </w:r>
      <w:r>
        <w:rPr/>
        <w:t>estas</w:t>
      </w:r>
      <w:r>
        <w:rPr>
          <w:spacing w:val="-17"/>
        </w:rPr>
        <w:t> </w:t>
      </w:r>
      <w:r>
        <w:rPr/>
        <w:t>variables</w:t>
      </w:r>
      <w:r>
        <w:rPr>
          <w:spacing w:val="-17"/>
        </w:rPr>
        <w:t> </w:t>
      </w:r>
      <w:r>
        <w:rPr/>
        <w:t>tiene</w:t>
      </w:r>
      <w:r>
        <w:rPr>
          <w:spacing w:val="-16"/>
        </w:rPr>
        <w:t> </w:t>
      </w:r>
      <w:r>
        <w:rPr/>
        <w:t>impacto</w:t>
      </w:r>
      <w:r>
        <w:rPr>
          <w:spacing w:val="-16"/>
        </w:rPr>
        <w:t> </w:t>
      </w:r>
      <w:r>
        <w:rPr/>
        <w:t>directo en la viabilidad económica pero sobre todo la toma de decisiones a largo plazo (Richardson et al., 2007a y 2007b; Outlaw et al., 2007; Lien at al., 2007; Lien et al., 2009). Este es uno de los dos temas centrales en este trabajo de</w:t>
      </w:r>
      <w:r>
        <w:rPr>
          <w:spacing w:val="-12"/>
        </w:rPr>
        <w:t> </w:t>
      </w:r>
      <w:r>
        <w:rPr/>
        <w:t>investigación.</w:t>
      </w:r>
    </w:p>
    <w:p>
      <w:pPr>
        <w:spacing w:after="0" w:line="360" w:lineRule="auto"/>
        <w:jc w:val="both"/>
        <w:sectPr>
          <w:pgSz w:w="12240" w:h="15840"/>
          <w:pgMar w:header="0" w:footer="657" w:top="1360" w:bottom="840" w:left="1600" w:right="1580"/>
        </w:sectPr>
      </w:pPr>
    </w:p>
    <w:p>
      <w:pPr>
        <w:pStyle w:val="Heading1"/>
        <w:numPr>
          <w:ilvl w:val="1"/>
          <w:numId w:val="8"/>
        </w:numPr>
        <w:tabs>
          <w:tab w:pos="463" w:val="left" w:leader="none"/>
        </w:tabs>
        <w:spacing w:line="240" w:lineRule="auto" w:before="55" w:after="0"/>
        <w:ind w:left="462" w:right="0" w:hanging="360"/>
        <w:jc w:val="left"/>
      </w:pPr>
      <w:r>
        <w:rPr/>
        <w:t>Objetivo</w:t>
      </w:r>
      <w:r>
        <w:rPr>
          <w:spacing w:val="-6"/>
        </w:rPr>
        <w:t> </w:t>
      </w:r>
      <w:r>
        <w:rPr/>
        <w:t>general</w:t>
      </w:r>
    </w:p>
    <w:p>
      <w:pPr>
        <w:pStyle w:val="BodyText"/>
        <w:rPr>
          <w:b/>
        </w:rPr>
      </w:pPr>
    </w:p>
    <w:p>
      <w:pPr>
        <w:pStyle w:val="BodyText"/>
        <w:rPr>
          <w:b/>
        </w:rPr>
      </w:pPr>
    </w:p>
    <w:p>
      <w:pPr>
        <w:pStyle w:val="BodyText"/>
        <w:spacing w:before="5"/>
        <w:rPr>
          <w:b/>
          <w:sz w:val="34"/>
        </w:rPr>
      </w:pPr>
    </w:p>
    <w:p>
      <w:pPr>
        <w:pStyle w:val="BodyText"/>
        <w:spacing w:line="360" w:lineRule="auto"/>
        <w:ind w:left="810"/>
      </w:pPr>
      <w:r>
        <w:rPr/>
        <w:t>Evaluar la competitividad y viabilidad económica de la cadena agroalimentaria productora de leche de pequeña escala del nor-oriente del Estado de México.</w:t>
      </w:r>
    </w:p>
    <w:p>
      <w:pPr>
        <w:pStyle w:val="BodyText"/>
      </w:pPr>
    </w:p>
    <w:p>
      <w:pPr>
        <w:pStyle w:val="BodyText"/>
      </w:pPr>
    </w:p>
    <w:p>
      <w:pPr>
        <w:pStyle w:val="BodyText"/>
        <w:spacing w:before="5"/>
        <w:rPr>
          <w:sz w:val="23"/>
        </w:rPr>
      </w:pPr>
    </w:p>
    <w:p>
      <w:pPr>
        <w:pStyle w:val="Heading1"/>
        <w:numPr>
          <w:ilvl w:val="1"/>
          <w:numId w:val="8"/>
        </w:numPr>
        <w:tabs>
          <w:tab w:pos="462" w:val="left" w:leader="none"/>
        </w:tabs>
        <w:spacing w:line="240" w:lineRule="auto" w:before="1" w:after="0"/>
        <w:ind w:left="462" w:right="0" w:hanging="360"/>
        <w:jc w:val="left"/>
      </w:pPr>
      <w:r>
        <w:rPr/>
        <w:t>Objetivos</w:t>
      </w:r>
      <w:r>
        <w:rPr>
          <w:spacing w:val="-4"/>
        </w:rPr>
        <w:t> </w:t>
      </w:r>
      <w:r>
        <w:rPr/>
        <w:t>específicos</w:t>
      </w:r>
    </w:p>
    <w:p>
      <w:pPr>
        <w:pStyle w:val="BodyText"/>
        <w:rPr>
          <w:b/>
        </w:rPr>
      </w:pPr>
    </w:p>
    <w:p>
      <w:pPr>
        <w:pStyle w:val="BodyText"/>
        <w:rPr>
          <w:b/>
        </w:rPr>
      </w:pPr>
    </w:p>
    <w:p>
      <w:pPr>
        <w:pStyle w:val="BodyText"/>
        <w:spacing w:before="5"/>
        <w:rPr>
          <w:b/>
          <w:sz w:val="34"/>
        </w:rPr>
      </w:pPr>
    </w:p>
    <w:p>
      <w:pPr>
        <w:pStyle w:val="ListParagraph"/>
        <w:numPr>
          <w:ilvl w:val="2"/>
          <w:numId w:val="8"/>
        </w:numPr>
        <w:tabs>
          <w:tab w:pos="822" w:val="left" w:leader="none"/>
        </w:tabs>
        <w:spacing w:line="240" w:lineRule="auto" w:before="0" w:after="0"/>
        <w:ind w:left="822" w:right="0" w:hanging="360"/>
        <w:jc w:val="left"/>
        <w:rPr>
          <w:sz w:val="24"/>
        </w:rPr>
      </w:pPr>
      <w:r>
        <w:rPr>
          <w:sz w:val="24"/>
        </w:rPr>
        <w:t>Determinar la rentabilidad del sistema lechero de pequeña</w:t>
      </w:r>
      <w:r>
        <w:rPr>
          <w:spacing w:val="-12"/>
          <w:sz w:val="24"/>
        </w:rPr>
        <w:t> </w:t>
      </w:r>
      <w:r>
        <w:rPr>
          <w:sz w:val="24"/>
        </w:rPr>
        <w:t>escala.</w:t>
      </w:r>
    </w:p>
    <w:p>
      <w:pPr>
        <w:pStyle w:val="BodyText"/>
        <w:spacing w:before="4"/>
        <w:rPr>
          <w:sz w:val="29"/>
        </w:rPr>
      </w:pPr>
    </w:p>
    <w:p>
      <w:pPr>
        <w:pStyle w:val="ListParagraph"/>
        <w:numPr>
          <w:ilvl w:val="2"/>
          <w:numId w:val="8"/>
        </w:numPr>
        <w:tabs>
          <w:tab w:pos="822" w:val="left" w:leader="none"/>
        </w:tabs>
        <w:spacing w:line="240" w:lineRule="auto" w:before="1" w:after="0"/>
        <w:ind w:left="822" w:right="0" w:hanging="360"/>
        <w:jc w:val="left"/>
        <w:rPr>
          <w:sz w:val="24"/>
        </w:rPr>
      </w:pPr>
      <w:r>
        <w:rPr>
          <w:sz w:val="24"/>
        </w:rPr>
        <w:t>Evaluar la competitividad del sistema lechero de pequeña</w:t>
      </w:r>
      <w:r>
        <w:rPr>
          <w:spacing w:val="-12"/>
          <w:sz w:val="24"/>
        </w:rPr>
        <w:t> </w:t>
      </w:r>
      <w:r>
        <w:rPr>
          <w:sz w:val="24"/>
        </w:rPr>
        <w:t>escala.</w:t>
      </w:r>
    </w:p>
    <w:p>
      <w:pPr>
        <w:pStyle w:val="BodyText"/>
        <w:spacing w:before="2"/>
        <w:rPr>
          <w:sz w:val="29"/>
        </w:rPr>
      </w:pPr>
    </w:p>
    <w:p>
      <w:pPr>
        <w:pStyle w:val="ListParagraph"/>
        <w:numPr>
          <w:ilvl w:val="2"/>
          <w:numId w:val="8"/>
        </w:numPr>
        <w:tabs>
          <w:tab w:pos="822" w:val="left" w:leader="none"/>
        </w:tabs>
        <w:spacing w:line="240" w:lineRule="auto" w:before="0" w:after="0"/>
        <w:ind w:left="822" w:right="0" w:hanging="360"/>
        <w:jc w:val="left"/>
        <w:rPr>
          <w:sz w:val="24"/>
        </w:rPr>
      </w:pPr>
      <w:r>
        <w:rPr>
          <w:sz w:val="24"/>
        </w:rPr>
        <w:t>Evaluar la viabilidad económica y financiera del sistema lechero de pequeña</w:t>
      </w:r>
      <w:r>
        <w:rPr>
          <w:spacing w:val="-12"/>
          <w:sz w:val="24"/>
        </w:rPr>
        <w:t> </w:t>
      </w:r>
      <w:r>
        <w:rPr>
          <w:sz w:val="24"/>
        </w:rPr>
        <w:t>escala.</w:t>
      </w:r>
    </w:p>
    <w:p>
      <w:pPr>
        <w:pStyle w:val="BodyText"/>
        <w:spacing w:before="4"/>
        <w:rPr>
          <w:sz w:val="29"/>
        </w:rPr>
      </w:pPr>
    </w:p>
    <w:p>
      <w:pPr>
        <w:pStyle w:val="ListParagraph"/>
        <w:numPr>
          <w:ilvl w:val="2"/>
          <w:numId w:val="8"/>
        </w:numPr>
        <w:tabs>
          <w:tab w:pos="822" w:val="left" w:leader="none"/>
        </w:tabs>
        <w:spacing w:line="360" w:lineRule="auto" w:before="1" w:after="0"/>
        <w:ind w:left="822" w:right="118" w:hanging="360"/>
        <w:jc w:val="left"/>
        <w:rPr>
          <w:sz w:val="24"/>
        </w:rPr>
      </w:pPr>
      <w:r>
        <w:rPr>
          <w:sz w:val="24"/>
        </w:rPr>
        <w:t>Evaluar la competitividad y viabilidad económica de la cadena agroalimentaria productora de leche de pequeña</w:t>
      </w:r>
      <w:r>
        <w:rPr>
          <w:spacing w:val="-7"/>
          <w:sz w:val="24"/>
        </w:rPr>
        <w:t> </w:t>
      </w:r>
      <w:r>
        <w:rPr>
          <w:sz w:val="24"/>
        </w:rPr>
        <w:t>escala.</w:t>
      </w:r>
    </w:p>
    <w:p>
      <w:pPr>
        <w:spacing w:after="0" w:line="360" w:lineRule="auto"/>
        <w:jc w:val="left"/>
        <w:rPr>
          <w:sz w:val="24"/>
        </w:rPr>
        <w:sectPr>
          <w:pgSz w:w="12240" w:h="15840"/>
          <w:pgMar w:header="0" w:footer="657" w:top="1360" w:bottom="840" w:left="1600" w:right="1580"/>
        </w:sectPr>
      </w:pPr>
    </w:p>
    <w:p>
      <w:pPr>
        <w:pStyle w:val="Heading1"/>
        <w:spacing w:before="15"/>
        <w:ind w:left="366" w:right="26"/>
        <w:jc w:val="center"/>
        <w:rPr>
          <w:sz w:val="50"/>
        </w:rPr>
      </w:pPr>
      <w:r>
        <w:rPr/>
        <w:t>CAPÍTULO </w:t>
      </w:r>
      <w:r>
        <w:rPr>
          <w:sz w:val="50"/>
        </w:rPr>
        <w:t>2</w:t>
      </w:r>
    </w:p>
    <w:p>
      <w:pPr>
        <w:spacing w:before="200"/>
        <w:ind w:left="829" w:right="0" w:firstLine="0"/>
        <w:jc w:val="left"/>
        <w:rPr>
          <w:b/>
          <w:sz w:val="24"/>
        </w:rPr>
      </w:pPr>
      <w:r>
        <w:rPr>
          <w:b/>
          <w:sz w:val="24"/>
        </w:rPr>
        <w:t>CONTEXTO MUNDIAL Y NACIONAL DEL MERCADO DE LECHE</w:t>
      </w:r>
    </w:p>
    <w:p>
      <w:pPr>
        <w:pStyle w:val="BodyText"/>
        <w:rPr>
          <w:b/>
        </w:rPr>
      </w:pPr>
    </w:p>
    <w:p>
      <w:pPr>
        <w:pStyle w:val="BodyText"/>
        <w:rPr>
          <w:b/>
        </w:rPr>
      </w:pPr>
    </w:p>
    <w:p>
      <w:pPr>
        <w:pStyle w:val="BodyText"/>
        <w:spacing w:before="9"/>
        <w:rPr>
          <w:b/>
          <w:sz w:val="34"/>
        </w:rPr>
      </w:pPr>
    </w:p>
    <w:p>
      <w:pPr>
        <w:pStyle w:val="ListParagraph"/>
        <w:numPr>
          <w:ilvl w:val="1"/>
          <w:numId w:val="9"/>
        </w:numPr>
        <w:tabs>
          <w:tab w:pos="463" w:val="left" w:leader="none"/>
        </w:tabs>
        <w:spacing w:line="240" w:lineRule="auto" w:before="1" w:after="0"/>
        <w:ind w:left="462" w:right="0" w:hanging="360"/>
        <w:jc w:val="both"/>
        <w:rPr>
          <w:b/>
          <w:sz w:val="24"/>
        </w:rPr>
      </w:pPr>
      <w:r>
        <w:rPr>
          <w:b/>
          <w:sz w:val="24"/>
        </w:rPr>
        <w:t>Contexto mundial del mercado de</w:t>
      </w:r>
      <w:r>
        <w:rPr>
          <w:b/>
          <w:spacing w:val="-14"/>
          <w:sz w:val="24"/>
        </w:rPr>
        <w:t> </w:t>
      </w:r>
      <w:r>
        <w:rPr>
          <w:b/>
          <w:sz w:val="24"/>
        </w:rPr>
        <w:t>leche</w:t>
      </w:r>
    </w:p>
    <w:p>
      <w:pPr>
        <w:pStyle w:val="BodyText"/>
        <w:rPr>
          <w:b/>
        </w:rPr>
      </w:pPr>
    </w:p>
    <w:p>
      <w:pPr>
        <w:pStyle w:val="BodyText"/>
        <w:rPr>
          <w:b/>
        </w:rPr>
      </w:pPr>
    </w:p>
    <w:p>
      <w:pPr>
        <w:pStyle w:val="BodyText"/>
        <w:spacing w:before="5"/>
        <w:rPr>
          <w:b/>
          <w:sz w:val="34"/>
        </w:rPr>
      </w:pPr>
    </w:p>
    <w:p>
      <w:pPr>
        <w:pStyle w:val="BodyText"/>
        <w:spacing w:line="360" w:lineRule="auto"/>
        <w:ind w:left="102" w:right="118"/>
        <w:jc w:val="both"/>
      </w:pPr>
      <w:r>
        <w:rPr/>
        <w:t>El consumo y el comercio mundial de alimentos en general y de lácteos en particular está influenciado por un conjunto de factores referidos al contexto macroeconómico esperado, la evolución de la población mundial, localización de los países, políticas de apoyo a la producción y comercialización, así como las negociaciones internacionales. Todos estos factores afectan la demanda, oferta y el comercio mundial (OCDE-FAO, 2011).</w:t>
      </w:r>
    </w:p>
    <w:p>
      <w:pPr>
        <w:pStyle w:val="BodyText"/>
      </w:pPr>
    </w:p>
    <w:p>
      <w:pPr>
        <w:pStyle w:val="BodyText"/>
      </w:pPr>
    </w:p>
    <w:p>
      <w:pPr>
        <w:pStyle w:val="BodyText"/>
        <w:spacing w:before="1"/>
        <w:rPr>
          <w:sz w:val="23"/>
        </w:rPr>
      </w:pPr>
    </w:p>
    <w:p>
      <w:pPr>
        <w:pStyle w:val="BodyText"/>
        <w:spacing w:line="360" w:lineRule="auto"/>
        <w:ind w:left="102" w:right="116"/>
        <w:jc w:val="both"/>
      </w:pPr>
      <w:r>
        <w:rPr/>
        <w:t>Las reformas en política agrícola de los países, así como las negociaciones comerciales internacionales han tenido y pueden tener un alto impacto en el comercio de lácteos debido a</w:t>
      </w:r>
      <w:r>
        <w:rPr>
          <w:spacing w:val="-10"/>
        </w:rPr>
        <w:t> </w:t>
      </w:r>
      <w:r>
        <w:rPr/>
        <w:t>que</w:t>
      </w:r>
      <w:r>
        <w:rPr>
          <w:spacing w:val="-10"/>
        </w:rPr>
        <w:t> </w:t>
      </w:r>
      <w:r>
        <w:rPr/>
        <w:t>se</w:t>
      </w:r>
      <w:r>
        <w:rPr>
          <w:spacing w:val="-9"/>
        </w:rPr>
        <w:t> </w:t>
      </w:r>
      <w:r>
        <w:rPr/>
        <w:t>trata</w:t>
      </w:r>
      <w:r>
        <w:rPr>
          <w:spacing w:val="-9"/>
        </w:rPr>
        <w:t> </w:t>
      </w:r>
      <w:r>
        <w:rPr/>
        <w:t>de</w:t>
      </w:r>
      <w:r>
        <w:rPr>
          <w:spacing w:val="-7"/>
        </w:rPr>
        <w:t> </w:t>
      </w:r>
      <w:r>
        <w:rPr/>
        <w:t>un</w:t>
      </w:r>
      <w:r>
        <w:rPr>
          <w:spacing w:val="-9"/>
        </w:rPr>
        <w:t> </w:t>
      </w:r>
      <w:r>
        <w:rPr/>
        <w:t>sector</w:t>
      </w:r>
      <w:r>
        <w:rPr>
          <w:spacing w:val="-7"/>
        </w:rPr>
        <w:t> </w:t>
      </w:r>
      <w:r>
        <w:rPr/>
        <w:t>que</w:t>
      </w:r>
      <w:r>
        <w:rPr>
          <w:spacing w:val="-10"/>
        </w:rPr>
        <w:t> </w:t>
      </w:r>
      <w:r>
        <w:rPr/>
        <w:t>mantiene</w:t>
      </w:r>
      <w:r>
        <w:rPr>
          <w:spacing w:val="-10"/>
        </w:rPr>
        <w:t> </w:t>
      </w:r>
      <w:r>
        <w:rPr/>
        <w:t>una</w:t>
      </w:r>
      <w:r>
        <w:rPr>
          <w:spacing w:val="-10"/>
        </w:rPr>
        <w:t> </w:t>
      </w:r>
      <w:r>
        <w:rPr/>
        <w:t>política</w:t>
      </w:r>
      <w:r>
        <w:rPr>
          <w:spacing w:val="-10"/>
        </w:rPr>
        <w:t> </w:t>
      </w:r>
      <w:r>
        <w:rPr/>
        <w:t>de</w:t>
      </w:r>
      <w:r>
        <w:rPr>
          <w:spacing w:val="-10"/>
        </w:rPr>
        <w:t> </w:t>
      </w:r>
      <w:r>
        <w:rPr/>
        <w:t>proteccionismo,</w:t>
      </w:r>
      <w:r>
        <w:rPr>
          <w:spacing w:val="-8"/>
        </w:rPr>
        <w:t> </w:t>
      </w:r>
      <w:r>
        <w:rPr/>
        <w:t>especialmente</w:t>
      </w:r>
      <w:r>
        <w:rPr>
          <w:spacing w:val="-7"/>
        </w:rPr>
        <w:t> </w:t>
      </w:r>
      <w:r>
        <w:rPr/>
        <w:t>en</w:t>
      </w:r>
      <w:r>
        <w:rPr>
          <w:spacing w:val="-9"/>
        </w:rPr>
        <w:t> </w:t>
      </w:r>
      <w:r>
        <w:rPr/>
        <w:t>los países industrializados, que concentran actualmente la mayor parte de la demanda y las importaciones</w:t>
      </w:r>
      <w:r>
        <w:rPr>
          <w:spacing w:val="-12"/>
        </w:rPr>
        <w:t> </w:t>
      </w:r>
      <w:r>
        <w:rPr/>
        <w:t>de</w:t>
      </w:r>
      <w:r>
        <w:rPr>
          <w:spacing w:val="-13"/>
        </w:rPr>
        <w:t> </w:t>
      </w:r>
      <w:r>
        <w:rPr/>
        <w:t>lácteos.</w:t>
      </w:r>
      <w:r>
        <w:rPr>
          <w:spacing w:val="-8"/>
        </w:rPr>
        <w:t> </w:t>
      </w:r>
      <w:r>
        <w:rPr/>
        <w:t>Las</w:t>
      </w:r>
      <w:r>
        <w:rPr>
          <w:spacing w:val="-12"/>
        </w:rPr>
        <w:t> </w:t>
      </w:r>
      <w:r>
        <w:rPr/>
        <w:t>políticas</w:t>
      </w:r>
      <w:r>
        <w:rPr>
          <w:spacing w:val="-12"/>
        </w:rPr>
        <w:t> </w:t>
      </w:r>
      <w:r>
        <w:rPr/>
        <w:t>de</w:t>
      </w:r>
      <w:r>
        <w:rPr>
          <w:spacing w:val="-13"/>
        </w:rPr>
        <w:t> </w:t>
      </w:r>
      <w:r>
        <w:rPr/>
        <w:t>alto</w:t>
      </w:r>
      <w:r>
        <w:rPr>
          <w:spacing w:val="-12"/>
        </w:rPr>
        <w:t> </w:t>
      </w:r>
      <w:r>
        <w:rPr/>
        <w:t>proteccionismo</w:t>
      </w:r>
      <w:r>
        <w:rPr>
          <w:spacing w:val="-11"/>
        </w:rPr>
        <w:t> </w:t>
      </w:r>
      <w:r>
        <w:rPr/>
        <w:t>son</w:t>
      </w:r>
      <w:r>
        <w:rPr>
          <w:spacing w:val="-12"/>
        </w:rPr>
        <w:t> </w:t>
      </w:r>
      <w:r>
        <w:rPr/>
        <w:t>medidas</w:t>
      </w:r>
      <w:r>
        <w:rPr>
          <w:spacing w:val="-12"/>
        </w:rPr>
        <w:t> </w:t>
      </w:r>
      <w:r>
        <w:rPr/>
        <w:t>que</w:t>
      </w:r>
      <w:r>
        <w:rPr>
          <w:spacing w:val="-13"/>
        </w:rPr>
        <w:t> </w:t>
      </w:r>
      <w:r>
        <w:rPr/>
        <w:t>han</w:t>
      </w:r>
      <w:r>
        <w:rPr>
          <w:spacing w:val="-12"/>
        </w:rPr>
        <w:t> </w:t>
      </w:r>
      <w:r>
        <w:rPr/>
        <w:t>adoptado un gran número de países en el mundo </w:t>
      </w:r>
      <w:r>
        <w:rPr>
          <w:spacing w:val="-3"/>
        </w:rPr>
        <w:t>ya </w:t>
      </w:r>
      <w:r>
        <w:rPr/>
        <w:t>que se considera la producción y abasto de leche como una prioridad nacional. Países desarrollados como Estados Unidos de América</w:t>
      </w:r>
      <w:r>
        <w:rPr>
          <w:spacing w:val="-23"/>
        </w:rPr>
        <w:t> </w:t>
      </w:r>
      <w:r>
        <w:rPr/>
        <w:t>(EUA) y los de la Unión Europea (UE), producen un gran volumen de leche, por lo cual sus excedentes terminan vendiéndolos en el mercado internacional con grandes subsidios, distorsionando fuertemente los precios (Secretaría de Economía,</w:t>
      </w:r>
      <w:r>
        <w:rPr>
          <w:spacing w:val="-12"/>
        </w:rPr>
        <w:t> </w:t>
      </w:r>
      <w:r>
        <w:rPr/>
        <w:t>2012).</w:t>
      </w:r>
    </w:p>
    <w:p>
      <w:pPr>
        <w:pStyle w:val="BodyText"/>
      </w:pPr>
    </w:p>
    <w:p>
      <w:pPr>
        <w:pStyle w:val="BodyText"/>
      </w:pPr>
    </w:p>
    <w:p>
      <w:pPr>
        <w:pStyle w:val="BodyText"/>
        <w:spacing w:before="1"/>
        <w:rPr>
          <w:sz w:val="23"/>
        </w:rPr>
      </w:pPr>
    </w:p>
    <w:p>
      <w:pPr>
        <w:pStyle w:val="BodyText"/>
        <w:spacing w:line="360" w:lineRule="auto"/>
        <w:ind w:left="102" w:right="119"/>
        <w:jc w:val="both"/>
      </w:pPr>
      <w:r>
        <w:rPr/>
        <w:t>Durante los últimos años, la UE ha sido la región productora de leche de bovino por excelencia a nivel mundial, durante el 2010 ostentó una producción de 134 millones de toneladas</w:t>
      </w:r>
      <w:r>
        <w:rPr>
          <w:spacing w:val="-6"/>
        </w:rPr>
        <w:t> </w:t>
      </w:r>
      <w:r>
        <w:rPr/>
        <w:t>(31%</w:t>
      </w:r>
      <w:r>
        <w:rPr>
          <w:spacing w:val="-8"/>
        </w:rPr>
        <w:t> </w:t>
      </w:r>
      <w:r>
        <w:rPr/>
        <w:t>de</w:t>
      </w:r>
      <w:r>
        <w:rPr>
          <w:spacing w:val="-7"/>
        </w:rPr>
        <w:t> </w:t>
      </w:r>
      <w:r>
        <w:rPr/>
        <w:t>la</w:t>
      </w:r>
      <w:r>
        <w:rPr>
          <w:spacing w:val="-7"/>
        </w:rPr>
        <w:t> </w:t>
      </w:r>
      <w:r>
        <w:rPr/>
        <w:t>leche</w:t>
      </w:r>
      <w:r>
        <w:rPr>
          <w:spacing w:val="-7"/>
        </w:rPr>
        <w:t> </w:t>
      </w:r>
      <w:r>
        <w:rPr/>
        <w:t>fresca</w:t>
      </w:r>
      <w:r>
        <w:rPr>
          <w:spacing w:val="-7"/>
        </w:rPr>
        <w:t> </w:t>
      </w:r>
      <w:r>
        <w:rPr/>
        <w:t>a</w:t>
      </w:r>
      <w:r>
        <w:rPr>
          <w:spacing w:val="-7"/>
        </w:rPr>
        <w:t> </w:t>
      </w:r>
      <w:r>
        <w:rPr/>
        <w:t>nivel</w:t>
      </w:r>
      <w:r>
        <w:rPr>
          <w:spacing w:val="-6"/>
        </w:rPr>
        <w:t> </w:t>
      </w:r>
      <w:r>
        <w:rPr/>
        <w:t>mundial),</w:t>
      </w:r>
      <w:r>
        <w:rPr>
          <w:spacing w:val="-4"/>
        </w:rPr>
        <w:t> </w:t>
      </w:r>
      <w:r>
        <w:rPr/>
        <w:t>seguida</w:t>
      </w:r>
      <w:r>
        <w:rPr>
          <w:spacing w:val="-7"/>
        </w:rPr>
        <w:t> </w:t>
      </w:r>
      <w:r>
        <w:rPr/>
        <w:t>por</w:t>
      </w:r>
      <w:r>
        <w:rPr>
          <w:spacing w:val="-7"/>
        </w:rPr>
        <w:t> </w:t>
      </w:r>
      <w:r>
        <w:rPr/>
        <w:t>los</w:t>
      </w:r>
      <w:r>
        <w:rPr>
          <w:spacing w:val="-3"/>
        </w:rPr>
        <w:t> </w:t>
      </w:r>
      <w:r>
        <w:rPr/>
        <w:t>EUA</w:t>
      </w:r>
      <w:r>
        <w:rPr>
          <w:spacing w:val="-7"/>
        </w:rPr>
        <w:t> </w:t>
      </w:r>
      <w:r>
        <w:rPr/>
        <w:t>con</w:t>
      </w:r>
      <w:r>
        <w:rPr>
          <w:spacing w:val="-4"/>
        </w:rPr>
        <w:t> </w:t>
      </w:r>
      <w:r>
        <w:rPr/>
        <w:t>una</w:t>
      </w:r>
      <w:r>
        <w:rPr>
          <w:spacing w:val="-7"/>
        </w:rPr>
        <w:t> </w:t>
      </w:r>
      <w:r>
        <w:rPr/>
        <w:t>producción de 86 millones de toneladas, la India con 48 millones (Figura</w:t>
      </w:r>
      <w:r>
        <w:rPr>
          <w:spacing w:val="-10"/>
        </w:rPr>
        <w:t> </w:t>
      </w:r>
      <w:r>
        <w:rPr/>
        <w:t>1).</w:t>
      </w:r>
    </w:p>
    <w:p>
      <w:pPr>
        <w:spacing w:after="0" w:line="360" w:lineRule="auto"/>
        <w:jc w:val="both"/>
        <w:sectPr>
          <w:footerReference w:type="default" r:id="rId9"/>
          <w:pgSz w:w="12240" w:h="15840"/>
          <w:pgMar w:footer="657" w:header="0" w:top="1400" w:bottom="840" w:left="1600" w:right="1580"/>
        </w:sectPr>
      </w:pPr>
    </w:p>
    <w:p>
      <w:pPr>
        <w:pStyle w:val="BodyText"/>
        <w:ind w:left="159"/>
        <w:rPr>
          <w:sz w:val="20"/>
        </w:rPr>
      </w:pPr>
      <w:r>
        <w:rPr>
          <w:sz w:val="20"/>
        </w:rPr>
        <w:pict>
          <v:group style="width:438.3pt;height:241.1pt;mso-position-horizontal-relative:char;mso-position-vertical-relative:line" coordorigin="0,0" coordsize="8766,4822">
            <v:shape style="position:absolute;left:10;top:10;width:8746;height:4802" type="#_x0000_t75" stroked="false">
              <v:imagedata r:id="rId11" o:title=""/>
            </v:shape>
            <v:shape style="position:absolute;left:3115;top:1152;width:734;height:830" type="#_x0000_t75" stroked="false">
              <v:imagedata r:id="rId12" o:title=""/>
            </v:shape>
            <v:shape style="position:absolute;left:3670;top:1467;width:881;height:197" type="#_x0000_t75" stroked="false">
              <v:imagedata r:id="rId13" o:title=""/>
            </v:shape>
            <v:line style="position:absolute" from="4483,1518" to="3753,1549" stroked="true" strokeweight="1.56pt" strokecolor="#0d0d0d"/>
            <v:shape style="position:absolute;left:3691;top:1519;width:874;height:336" type="#_x0000_t75" stroked="false">
              <v:imagedata r:id="rId14" o:title=""/>
            </v:shape>
            <v:line style="position:absolute" from="4494,1742" to="3774,1571" stroked="true" strokeweight="1.56pt" strokecolor="#0d0d0d"/>
            <v:shape style="position:absolute;left:5664;top:2767;width:734;height:830" type="#_x0000_t75" stroked="false">
              <v:imagedata r:id="rId12" o:title=""/>
            </v:shape>
            <v:shape style="position:absolute;left:118;top:1637;width:734;height:830" type="#_x0000_t75" stroked="false">
              <v:imagedata r:id="rId15" o:title=""/>
            </v:shape>
            <v:shape style="position:absolute;left:7843;top:1925;width:734;height:809" type="#_x0000_t75" stroked="false">
              <v:imagedata r:id="rId16" o:title=""/>
            </v:shape>
            <v:shape style="position:absolute;left:5472;top:17;width:734;height:830" type="#_x0000_t75" stroked="false">
              <v:imagedata r:id="rId17" o:title=""/>
            </v:shape>
            <v:shape style="position:absolute;left:3473;top:3490;width:734;height:830" type="#_x0000_t75" stroked="false">
              <v:imagedata r:id="rId18" o:title=""/>
            </v:shape>
            <v:shape style="position:absolute;left:7536;top:3975;width:734;height:830" type="#_x0000_t75" stroked="false">
              <v:imagedata r:id="rId19" o:title=""/>
            </v:shape>
            <v:shape style="position:absolute;left:948;top:2487;width:734;height:830" type="#_x0000_t75" stroked="false">
              <v:imagedata r:id="rId20" o:title=""/>
            </v:shape>
            <v:shape style="position:absolute;left:2595;top:3840;width:1001;height:314" type="#_x0000_t75" stroked="false">
              <v:imagedata r:id="rId21" o:title=""/>
            </v:shape>
            <v:shape style="position:absolute;left:2609;top:3787;width:1020;height:269" type="#_x0000_t75" stroked="false">
              <v:imagedata r:id="rId22" o:title=""/>
            </v:shape>
            <v:line style="position:absolute" from="2677,3881" to="3547,3839" stroked="true" strokeweight="1.56pt" strokecolor="#0d0d0d"/>
            <v:shape style="position:absolute;left:1263;top:2254;width:566;height:420" type="#_x0000_t75" stroked="false">
              <v:imagedata r:id="rId23" o:title=""/>
            </v:shape>
            <v:line style="position:absolute" from="1752,2303" to="1345,2560" stroked="true" strokeweight="1.56pt" strokecolor="#0d0d0d"/>
            <v:shape style="position:absolute;left:1435;top:2280;width:398;height:490" type="#_x0000_t75" stroked="false">
              <v:imagedata r:id="rId24" o:title=""/>
            </v:shape>
            <v:line style="position:absolute" from="1753,2325" to="1518,2657" stroked="true" strokeweight="1.56pt" strokecolor="#0d0d0d"/>
            <v:shape style="position:absolute;left:691;top:1757;width:917;height:317" type="#_x0000_t75" stroked="false">
              <v:imagedata r:id="rId25" o:title=""/>
            </v:shape>
            <v:line style="position:absolute" from="1537,1809" to="774,1959" stroked="true" strokeweight="1.56pt" strokecolor="#0d0d0d"/>
            <v:shape style="position:absolute;left:691;top:1781;width:888;height:506" type="#_x0000_t75" stroked="false">
              <v:imagedata r:id="rId26" o:title=""/>
            </v:shape>
            <v:line style="position:absolute" from="1505,1830" to="774,2173" stroked="true" strokeweight="1.56pt" strokecolor="#0d0d0d"/>
            <v:shape style="position:absolute;left:5722;top:687;width:206;height:538" type="#_x0000_t75" stroked="false">
              <v:imagedata r:id="rId27" o:title=""/>
            </v:shape>
            <v:shape style="position:absolute;left:5765;top:675;width:324;height:480" type="#_x0000_t75" stroked="false">
              <v:imagedata r:id="rId28" o:title=""/>
            </v:shape>
            <v:line style="position:absolute" from="6009,1048" to="5848,726" stroked="true" strokeweight="1.56pt" strokecolor="#0d0d0d"/>
            <v:shape style="position:absolute;left:7011;top:2122;width:994;height:446" type="#_x0000_t75" stroked="false">
              <v:imagedata r:id="rId29" o:title=""/>
            </v:shape>
            <v:line style="position:absolute" from="7084,2173" to="7922,2453" stroked="true" strokeweight="1.56pt" strokecolor="#0d0d0d"/>
            <v:shape style="position:absolute;left:6994;top:2122;width:1010;height:166" type="#_x0000_t75" stroked="false">
              <v:imagedata r:id="rId30" o:title=""/>
            </v:shape>
            <v:line style="position:absolute" from="7062,2173" to="7921,2173" stroked="true" strokeweight="1.56pt" strokecolor="#0d0d0d"/>
            <v:shape style="position:absolute;left:8107;top:3763;width:386;height:458" type="#_x0000_t75" stroked="false">
              <v:imagedata r:id="rId31" o:title=""/>
            </v:shape>
            <v:line style="position:absolute" from="8415,3808" to="8190,4108" stroked="true" strokeweight="1.56pt" strokecolor="#0d0d0d"/>
            <v:shape style="position:absolute;left:5775;top:2261;width:410;height:682" type="#_x0000_t75" stroked="false">
              <v:imagedata r:id="rId32" o:title=""/>
            </v:shape>
            <v:line style="position:absolute" from="6103,2303" to="5857,2829" stroked="true" strokeweight="1.56pt" strokecolor="#0d0d0d"/>
            <v:shape style="position:absolute;left:6022;top:2263;width:293;height:679" type="#_x0000_t75" stroked="false">
              <v:imagedata r:id="rId33" o:title=""/>
            </v:shape>
            <v:line style="position:absolute" from="6105,2303" to="6233,2829" stroked="true" strokeweight="1.56pt" strokecolor="#0d0d0d"/>
            <v:shape style="position:absolute;left:5;top:5;width:8756;height:4812" type="#_x0000_t202" filled="false" stroked="true" strokeweight=".48pt" strokecolor="#000000">
              <v:textbox inset="0,0,0,0">
                <w:txbxContent>
                  <w:p>
                    <w:pPr>
                      <w:spacing w:line="240" w:lineRule="auto" w:before="0"/>
                      <w:rPr>
                        <w:sz w:val="12"/>
                      </w:rPr>
                    </w:pPr>
                  </w:p>
                  <w:p>
                    <w:pPr>
                      <w:spacing w:line="240" w:lineRule="auto" w:before="5"/>
                      <w:rPr>
                        <w:sz w:val="11"/>
                      </w:rPr>
                    </w:pPr>
                  </w:p>
                  <w:p>
                    <w:pPr>
                      <w:spacing w:before="0"/>
                      <w:ind w:left="5747" w:right="0" w:firstLine="0"/>
                      <w:jc w:val="left"/>
                      <w:rPr>
                        <w:sz w:val="12"/>
                      </w:rPr>
                    </w:pPr>
                    <w:r>
                      <w:rPr>
                        <w:color w:val="FFFFFF"/>
                        <w:sz w:val="12"/>
                      </w:rPr>
                      <w:t>8%</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8"/>
                      <w:rPr>
                        <w:sz w:val="14"/>
                      </w:rPr>
                    </w:pPr>
                  </w:p>
                  <w:p>
                    <w:pPr>
                      <w:spacing w:before="0"/>
                      <w:ind w:left="3024" w:right="4820" w:firstLine="0"/>
                      <w:jc w:val="center"/>
                      <w:rPr>
                        <w:sz w:val="12"/>
                      </w:rPr>
                    </w:pPr>
                    <w:r>
                      <w:rPr>
                        <w:color w:val="FFFFFF"/>
                        <w:sz w:val="12"/>
                      </w:rPr>
                      <w:t>31%</w:t>
                    </w:r>
                  </w:p>
                  <w:p>
                    <w:pPr>
                      <w:spacing w:line="240" w:lineRule="auto" w:before="0"/>
                      <w:rPr>
                        <w:sz w:val="12"/>
                      </w:rPr>
                    </w:pPr>
                  </w:p>
                  <w:p>
                    <w:pPr>
                      <w:spacing w:line="240" w:lineRule="auto" w:before="10"/>
                      <w:rPr>
                        <w:sz w:val="17"/>
                      </w:rPr>
                    </w:pPr>
                  </w:p>
                  <w:p>
                    <w:pPr>
                      <w:spacing w:before="1"/>
                      <w:ind w:left="365" w:right="0" w:firstLine="0"/>
                      <w:jc w:val="left"/>
                      <w:rPr>
                        <w:sz w:val="12"/>
                      </w:rPr>
                    </w:pPr>
                    <w:r>
                      <w:rPr>
                        <w:color w:val="FFFFFF"/>
                        <w:sz w:val="12"/>
                      </w:rPr>
                      <w:t>20%</w:t>
                    </w:r>
                  </w:p>
                  <w:p>
                    <w:pPr>
                      <w:spacing w:line="240" w:lineRule="auto" w:before="2"/>
                      <w:rPr>
                        <w:sz w:val="13"/>
                      </w:rPr>
                    </w:pPr>
                  </w:p>
                  <w:p>
                    <w:pPr>
                      <w:spacing w:before="1"/>
                      <w:ind w:left="0" w:right="462" w:firstLine="0"/>
                      <w:jc w:val="right"/>
                      <w:rPr>
                        <w:sz w:val="12"/>
                      </w:rPr>
                    </w:pPr>
                    <w:r>
                      <w:rPr>
                        <w:color w:val="FFFFFF"/>
                        <w:sz w:val="12"/>
                      </w:rPr>
                      <w:t>7%</w:t>
                    </w:r>
                  </w:p>
                  <w:p>
                    <w:pPr>
                      <w:spacing w:line="240" w:lineRule="auto" w:before="0"/>
                      <w:rPr>
                        <w:sz w:val="12"/>
                      </w:rPr>
                    </w:pPr>
                  </w:p>
                  <w:p>
                    <w:pPr>
                      <w:spacing w:line="240" w:lineRule="auto" w:before="0"/>
                      <w:rPr>
                        <w:sz w:val="12"/>
                      </w:rPr>
                    </w:pPr>
                  </w:p>
                  <w:p>
                    <w:pPr>
                      <w:spacing w:line="240" w:lineRule="auto" w:before="9"/>
                      <w:rPr>
                        <w:sz w:val="12"/>
                      </w:rPr>
                    </w:pPr>
                  </w:p>
                  <w:p>
                    <w:pPr>
                      <w:spacing w:before="0"/>
                      <w:ind w:left="1178" w:right="0" w:firstLine="0"/>
                      <w:jc w:val="left"/>
                      <w:rPr>
                        <w:sz w:val="12"/>
                      </w:rPr>
                    </w:pPr>
                    <w:r>
                      <w:rPr>
                        <w:color w:val="FFFFFF"/>
                        <w:sz w:val="12"/>
                      </w:rPr>
                      <w:t>1.8%</w:t>
                    </w:r>
                  </w:p>
                  <w:p>
                    <w:pPr>
                      <w:spacing w:line="240" w:lineRule="auto" w:before="4"/>
                      <w:rPr>
                        <w:sz w:val="12"/>
                      </w:rPr>
                    </w:pPr>
                  </w:p>
                  <w:p>
                    <w:pPr>
                      <w:spacing w:before="1"/>
                      <w:ind w:left="0" w:right="2611" w:firstLine="0"/>
                      <w:jc w:val="right"/>
                      <w:rPr>
                        <w:sz w:val="12"/>
                      </w:rPr>
                    </w:pPr>
                    <w:r>
                      <w:rPr>
                        <w:color w:val="FFFFFF"/>
                        <w:sz w:val="12"/>
                      </w:rPr>
                      <w:t>11%</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7"/>
                      <w:rPr>
                        <w:sz w:val="14"/>
                      </w:rPr>
                    </w:pPr>
                  </w:p>
                  <w:p>
                    <w:pPr>
                      <w:spacing w:before="0"/>
                      <w:ind w:left="3350" w:right="4434" w:firstLine="0"/>
                      <w:jc w:val="center"/>
                      <w:rPr>
                        <w:sz w:val="12"/>
                      </w:rPr>
                    </w:pPr>
                    <w:r>
                      <w:rPr>
                        <w:color w:val="FFFFFF"/>
                        <w:sz w:val="12"/>
                      </w:rPr>
                      <w:t>7%</w:t>
                    </w:r>
                  </w:p>
                  <w:p>
                    <w:pPr>
                      <w:spacing w:line="240" w:lineRule="auto" w:before="0"/>
                      <w:rPr>
                        <w:sz w:val="12"/>
                      </w:rPr>
                    </w:pPr>
                  </w:p>
                  <w:p>
                    <w:pPr>
                      <w:spacing w:line="240" w:lineRule="auto" w:before="0"/>
                      <w:rPr>
                        <w:sz w:val="12"/>
                      </w:rPr>
                    </w:pPr>
                  </w:p>
                  <w:p>
                    <w:pPr>
                      <w:spacing w:before="73"/>
                      <w:ind w:left="0" w:right="772" w:firstLine="0"/>
                      <w:jc w:val="right"/>
                      <w:rPr>
                        <w:sz w:val="12"/>
                      </w:rPr>
                    </w:pPr>
                    <w:r>
                      <w:rPr>
                        <w:color w:val="FFFFFF"/>
                        <w:sz w:val="12"/>
                      </w:rPr>
                      <w:t>4%</w:t>
                    </w:r>
                  </w:p>
                </w:txbxContent>
              </v:textbox>
              <w10:wrap type="none"/>
            </v:shape>
          </v:group>
        </w:pict>
      </w:r>
      <w:r>
        <w:rPr>
          <w:sz w:val="20"/>
        </w:rPr>
      </w:r>
    </w:p>
    <w:p>
      <w:pPr>
        <w:spacing w:before="127"/>
        <w:ind w:left="122" w:right="51" w:firstLine="2410"/>
        <w:jc w:val="left"/>
        <w:rPr>
          <w:sz w:val="20"/>
        </w:rPr>
      </w:pPr>
      <w:r>
        <w:rPr>
          <w:sz w:val="20"/>
        </w:rPr>
        <w:t>Fuente: Elaboración propia con información de la Secretaria de Economía, 2012</w:t>
      </w:r>
    </w:p>
    <w:p>
      <w:pPr>
        <w:pStyle w:val="BodyText"/>
        <w:spacing w:before="3"/>
        <w:rPr>
          <w:sz w:val="27"/>
        </w:rPr>
      </w:pPr>
    </w:p>
    <w:p>
      <w:pPr>
        <w:pStyle w:val="BodyText"/>
        <w:spacing w:line="360" w:lineRule="auto"/>
        <w:ind w:left="122" w:right="116"/>
        <w:jc w:val="both"/>
      </w:pPr>
      <w:r>
        <w:rPr/>
        <w:pict>
          <v:line style="position:absolute;mso-position-horizontal-relative:page;mso-position-vertical-relative:paragraph;z-index:-462592" from="85.139999pt,.293124pt" to="526.789999pt,.293124pt" stroked="true" strokeweight="2.04pt" strokecolor="#000000">
            <w10:wrap type="none"/>
          </v:line>
        </w:pict>
      </w:r>
      <w:r>
        <w:rPr>
          <w:b/>
        </w:rPr>
        <w:t>Figura 1. </w:t>
      </w:r>
      <w:r>
        <w:rPr/>
        <w:t>Participación de los principales países productores de leche fresca de bovino a nivel mundial.</w:t>
      </w:r>
    </w:p>
    <w:p>
      <w:pPr>
        <w:pStyle w:val="BodyText"/>
      </w:pPr>
    </w:p>
    <w:p>
      <w:pPr>
        <w:pStyle w:val="BodyText"/>
      </w:pPr>
    </w:p>
    <w:p>
      <w:pPr>
        <w:pStyle w:val="BodyText"/>
        <w:spacing w:before="3"/>
        <w:rPr>
          <w:sz w:val="23"/>
        </w:rPr>
      </w:pPr>
    </w:p>
    <w:p>
      <w:pPr>
        <w:pStyle w:val="BodyText"/>
        <w:spacing w:line="360" w:lineRule="auto" w:before="1"/>
        <w:ind w:left="122" w:right="116"/>
        <w:jc w:val="both"/>
      </w:pPr>
      <w:r>
        <w:rPr/>
        <w:t>De acuerdo con estadísticas de la OCDE-FAO (2011). </w:t>
      </w:r>
      <w:r>
        <w:rPr>
          <w:b/>
        </w:rPr>
        <w:t>Asia </w:t>
      </w:r>
      <w:r>
        <w:rPr/>
        <w:t>continúa siendo el continente con el mayor dinamismo en producción de lácteos a nivel mundial, impulsado por el ritmo de crecimiento rápido en países como India y China. Se estima una producción en la región de 265 millones de toneladas de leche, un 3.4% más que en 2011. De este total en 2013, la India aportó el 45%, 34.4 millones de toneladas de leche, 2.3 millones de toneladas más</w:t>
      </w:r>
      <w:r>
        <w:rPr>
          <w:spacing w:val="-16"/>
        </w:rPr>
        <w:t> </w:t>
      </w:r>
      <w:r>
        <w:rPr/>
        <w:t>que en 2012, </w:t>
      </w:r>
      <w:r>
        <w:rPr>
          <w:spacing w:val="-3"/>
        </w:rPr>
        <w:t>ya </w:t>
      </w:r>
      <w:r>
        <w:rPr/>
        <w:t>que los agricultores respondieron a una demanda interna muy activa. En China, la</w:t>
      </w:r>
      <w:r>
        <w:rPr>
          <w:spacing w:val="-9"/>
        </w:rPr>
        <w:t> </w:t>
      </w:r>
      <w:r>
        <w:rPr/>
        <w:t>industria</w:t>
      </w:r>
      <w:r>
        <w:rPr>
          <w:spacing w:val="-9"/>
        </w:rPr>
        <w:t> </w:t>
      </w:r>
      <w:r>
        <w:rPr/>
        <w:t>lechera</w:t>
      </w:r>
      <w:r>
        <w:rPr>
          <w:spacing w:val="-8"/>
        </w:rPr>
        <w:t> </w:t>
      </w:r>
      <w:r>
        <w:rPr/>
        <w:t>está</w:t>
      </w:r>
      <w:r>
        <w:rPr>
          <w:spacing w:val="-9"/>
        </w:rPr>
        <w:t> </w:t>
      </w:r>
      <w:r>
        <w:rPr/>
        <w:t>tratando</w:t>
      </w:r>
      <w:r>
        <w:rPr>
          <w:spacing w:val="-9"/>
        </w:rPr>
        <w:t> </w:t>
      </w:r>
      <w:r>
        <w:rPr/>
        <w:t>de</w:t>
      </w:r>
      <w:r>
        <w:rPr>
          <w:spacing w:val="-7"/>
        </w:rPr>
        <w:t> </w:t>
      </w:r>
      <w:r>
        <w:rPr/>
        <w:t>recuperarse</w:t>
      </w:r>
      <w:r>
        <w:rPr>
          <w:spacing w:val="-8"/>
        </w:rPr>
        <w:t> </w:t>
      </w:r>
      <w:r>
        <w:rPr/>
        <w:t>del</w:t>
      </w:r>
      <w:r>
        <w:rPr>
          <w:spacing w:val="-6"/>
        </w:rPr>
        <w:t> </w:t>
      </w:r>
      <w:r>
        <w:rPr/>
        <w:t>escándalo</w:t>
      </w:r>
      <w:r>
        <w:rPr>
          <w:spacing w:val="-8"/>
        </w:rPr>
        <w:t> </w:t>
      </w:r>
      <w:r>
        <w:rPr/>
        <w:t>de</w:t>
      </w:r>
      <w:r>
        <w:rPr>
          <w:spacing w:val="-7"/>
        </w:rPr>
        <w:t> </w:t>
      </w:r>
      <w:r>
        <w:rPr/>
        <w:t>la</w:t>
      </w:r>
      <w:r>
        <w:rPr>
          <w:spacing w:val="-9"/>
        </w:rPr>
        <w:t> </w:t>
      </w:r>
      <w:r>
        <w:rPr/>
        <w:t>melamina,</w:t>
      </w:r>
      <w:r>
        <w:rPr>
          <w:spacing w:val="-9"/>
        </w:rPr>
        <w:t> </w:t>
      </w:r>
      <w:r>
        <w:rPr/>
        <w:t>que,</w:t>
      </w:r>
      <w:r>
        <w:rPr>
          <w:spacing w:val="-9"/>
        </w:rPr>
        <w:t> </w:t>
      </w:r>
      <w:r>
        <w:rPr/>
        <w:t>junto</w:t>
      </w:r>
      <w:r>
        <w:rPr>
          <w:spacing w:val="-6"/>
        </w:rPr>
        <w:t> </w:t>
      </w:r>
      <w:r>
        <w:rPr/>
        <w:t>con los niveles bajos de rentabilidad de las explotaciones, ha reducido el crecimiento a niveles situados muy por debajo del doble dígito observado en los últimos años. Las perspectivas actuales cifran la producción nacional de 2013 en 57.7 millones de toneladas, con un decremento del 0.3% con respecto al</w:t>
      </w:r>
      <w:r>
        <w:rPr>
          <w:spacing w:val="-6"/>
        </w:rPr>
        <w:t> </w:t>
      </w:r>
      <w:r>
        <w:rPr/>
        <w:t>2012.</w:t>
      </w:r>
    </w:p>
    <w:p>
      <w:pPr>
        <w:spacing w:after="0" w:line="360" w:lineRule="auto"/>
        <w:jc w:val="both"/>
        <w:sectPr>
          <w:footerReference w:type="default" r:id="rId10"/>
          <w:pgSz w:w="12240" w:h="15840"/>
          <w:pgMar w:footer="657" w:header="0" w:top="1440" w:bottom="840" w:left="1580" w:right="1580"/>
          <w:pgNumType w:start="11"/>
        </w:sectPr>
      </w:pPr>
    </w:p>
    <w:p>
      <w:pPr>
        <w:pStyle w:val="BodyText"/>
        <w:spacing w:line="360" w:lineRule="auto" w:before="50"/>
        <w:ind w:left="102" w:right="114"/>
        <w:jc w:val="both"/>
      </w:pPr>
      <w:r>
        <w:rPr/>
        <w:t>En </w:t>
      </w:r>
      <w:r>
        <w:rPr>
          <w:b/>
        </w:rPr>
        <w:t>África</w:t>
      </w:r>
      <w:r>
        <w:rPr/>
        <w:t>, la producción debería aumentar en un 1 por ciento a 38 millones de toneladas, debido</w:t>
      </w:r>
      <w:r>
        <w:rPr>
          <w:spacing w:val="-7"/>
        </w:rPr>
        <w:t> </w:t>
      </w:r>
      <w:r>
        <w:rPr/>
        <w:t>principalmente</w:t>
      </w:r>
      <w:r>
        <w:rPr>
          <w:spacing w:val="-8"/>
        </w:rPr>
        <w:t> </w:t>
      </w:r>
      <w:r>
        <w:rPr/>
        <w:t>a</w:t>
      </w:r>
      <w:r>
        <w:rPr>
          <w:spacing w:val="-6"/>
        </w:rPr>
        <w:t> </w:t>
      </w:r>
      <w:r>
        <w:rPr/>
        <w:t>los</w:t>
      </w:r>
      <w:r>
        <w:rPr>
          <w:spacing w:val="-7"/>
        </w:rPr>
        <w:t> </w:t>
      </w:r>
      <w:r>
        <w:rPr/>
        <w:t>aumentos</w:t>
      </w:r>
      <w:r>
        <w:rPr>
          <w:spacing w:val="-7"/>
        </w:rPr>
        <w:t> </w:t>
      </w:r>
      <w:r>
        <w:rPr/>
        <w:t>en</w:t>
      </w:r>
      <w:r>
        <w:rPr>
          <w:spacing w:val="-7"/>
        </w:rPr>
        <w:t> </w:t>
      </w:r>
      <w:r>
        <w:rPr/>
        <w:t>Kenya</w:t>
      </w:r>
      <w:r>
        <w:rPr>
          <w:spacing w:val="-1"/>
        </w:rPr>
        <w:t> </w:t>
      </w:r>
      <w:r>
        <w:rPr/>
        <w:t>y</w:t>
      </w:r>
      <w:r>
        <w:rPr>
          <w:spacing w:val="-10"/>
        </w:rPr>
        <w:t> </w:t>
      </w:r>
      <w:r>
        <w:rPr/>
        <w:t>Malí.</w:t>
      </w:r>
      <w:r>
        <w:rPr>
          <w:spacing w:val="-7"/>
        </w:rPr>
        <w:t> </w:t>
      </w:r>
      <w:r>
        <w:rPr/>
        <w:t>En</w:t>
      </w:r>
      <w:r>
        <w:rPr>
          <w:spacing w:val="-8"/>
        </w:rPr>
        <w:t> </w:t>
      </w:r>
      <w:r>
        <w:rPr/>
        <w:t>general,</w:t>
      </w:r>
      <w:r>
        <w:rPr>
          <w:spacing w:val="-7"/>
        </w:rPr>
        <w:t> </w:t>
      </w:r>
      <w:r>
        <w:rPr/>
        <w:t>los</w:t>
      </w:r>
      <w:r>
        <w:rPr>
          <w:spacing w:val="-7"/>
        </w:rPr>
        <w:t> </w:t>
      </w:r>
      <w:r>
        <w:rPr/>
        <w:t>productores</w:t>
      </w:r>
      <w:r>
        <w:rPr>
          <w:spacing w:val="-7"/>
        </w:rPr>
        <w:t> </w:t>
      </w:r>
      <w:r>
        <w:rPr/>
        <w:t>de</w:t>
      </w:r>
      <w:r>
        <w:rPr>
          <w:spacing w:val="-8"/>
        </w:rPr>
        <w:t> </w:t>
      </w:r>
      <w:r>
        <w:rPr/>
        <w:t>leche comercial en África han sentido los efectos del alza en los precios de insumos, lo que limita el crecimiento de la</w:t>
      </w:r>
      <w:r>
        <w:rPr>
          <w:spacing w:val="-7"/>
        </w:rPr>
        <w:t> </w:t>
      </w:r>
      <w:r>
        <w:rPr/>
        <w:t>producción.</w:t>
      </w:r>
    </w:p>
    <w:p>
      <w:pPr>
        <w:pStyle w:val="BodyText"/>
      </w:pPr>
    </w:p>
    <w:p>
      <w:pPr>
        <w:pStyle w:val="BodyText"/>
      </w:pPr>
    </w:p>
    <w:p>
      <w:pPr>
        <w:pStyle w:val="BodyText"/>
        <w:spacing w:before="3"/>
        <w:rPr>
          <w:sz w:val="23"/>
        </w:rPr>
      </w:pPr>
    </w:p>
    <w:p>
      <w:pPr>
        <w:pStyle w:val="BodyText"/>
        <w:spacing w:line="360" w:lineRule="auto"/>
        <w:ind w:left="102" w:right="115"/>
        <w:jc w:val="both"/>
      </w:pPr>
      <w:r>
        <w:rPr/>
        <w:t>En</w:t>
      </w:r>
      <w:r>
        <w:rPr>
          <w:spacing w:val="-11"/>
        </w:rPr>
        <w:t> </w:t>
      </w:r>
      <w:r>
        <w:rPr>
          <w:b/>
        </w:rPr>
        <w:t>América</w:t>
      </w:r>
      <w:r>
        <w:rPr>
          <w:b/>
          <w:spacing w:val="-12"/>
        </w:rPr>
        <w:t> </w:t>
      </w:r>
      <w:r>
        <w:rPr>
          <w:b/>
        </w:rPr>
        <w:t>del</w:t>
      </w:r>
      <w:r>
        <w:rPr>
          <w:b/>
          <w:spacing w:val="-11"/>
        </w:rPr>
        <w:t> </w:t>
      </w:r>
      <w:r>
        <w:rPr>
          <w:b/>
        </w:rPr>
        <w:t>Norte</w:t>
      </w:r>
      <w:r>
        <w:rPr/>
        <w:t>,</w:t>
      </w:r>
      <w:r>
        <w:rPr>
          <w:spacing w:val="-11"/>
        </w:rPr>
        <w:t> </w:t>
      </w:r>
      <w:r>
        <w:rPr/>
        <w:t>se</w:t>
      </w:r>
      <w:r>
        <w:rPr>
          <w:spacing w:val="-12"/>
        </w:rPr>
        <w:t> </w:t>
      </w:r>
      <w:r>
        <w:rPr/>
        <w:t>prevé</w:t>
      </w:r>
      <w:r>
        <w:rPr>
          <w:spacing w:val="-12"/>
        </w:rPr>
        <w:t> </w:t>
      </w:r>
      <w:r>
        <w:rPr/>
        <w:t>que</w:t>
      </w:r>
      <w:r>
        <w:rPr>
          <w:spacing w:val="-12"/>
        </w:rPr>
        <w:t> </w:t>
      </w:r>
      <w:r>
        <w:rPr/>
        <w:t>la</w:t>
      </w:r>
      <w:r>
        <w:rPr>
          <w:spacing w:val="-12"/>
        </w:rPr>
        <w:t> </w:t>
      </w:r>
      <w:r>
        <w:rPr/>
        <w:t>producción</w:t>
      </w:r>
      <w:r>
        <w:rPr>
          <w:spacing w:val="-11"/>
        </w:rPr>
        <w:t> </w:t>
      </w:r>
      <w:r>
        <w:rPr/>
        <w:t>de</w:t>
      </w:r>
      <w:r>
        <w:rPr>
          <w:spacing w:val="-11"/>
        </w:rPr>
        <w:t> </w:t>
      </w:r>
      <w:r>
        <w:rPr/>
        <w:t>leche</w:t>
      </w:r>
      <w:r>
        <w:rPr>
          <w:spacing w:val="-12"/>
        </w:rPr>
        <w:t> </w:t>
      </w:r>
      <w:r>
        <w:rPr/>
        <w:t>aumente</w:t>
      </w:r>
      <w:r>
        <w:rPr>
          <w:spacing w:val="-11"/>
        </w:rPr>
        <w:t> </w:t>
      </w:r>
      <w:r>
        <w:rPr/>
        <w:t>en</w:t>
      </w:r>
      <w:r>
        <w:rPr>
          <w:spacing w:val="-11"/>
        </w:rPr>
        <w:t> </w:t>
      </w:r>
      <w:r>
        <w:rPr/>
        <w:t>2013</w:t>
      </w:r>
      <w:r>
        <w:rPr>
          <w:spacing w:val="-11"/>
        </w:rPr>
        <w:t> </w:t>
      </w:r>
      <w:r>
        <w:rPr/>
        <w:t>a</w:t>
      </w:r>
      <w:r>
        <w:rPr>
          <w:spacing w:val="-12"/>
        </w:rPr>
        <w:t> </w:t>
      </w:r>
      <w:r>
        <w:rPr/>
        <w:t>90.6</w:t>
      </w:r>
      <w:r>
        <w:rPr>
          <w:spacing w:val="-10"/>
        </w:rPr>
        <w:t> </w:t>
      </w:r>
      <w:r>
        <w:rPr/>
        <w:t>millones de toneladas en los EUA, donde la industria está reconstituyendo su cabaña lechera en respuesta a una buena demanda nacional e internacional. En </w:t>
      </w:r>
      <w:r>
        <w:rPr>
          <w:b/>
        </w:rPr>
        <w:t>América del Sur</w:t>
      </w:r>
      <w:r>
        <w:rPr/>
        <w:t>, la situación de los pastizales ha sido buena durante la temporada 2012/2013 y la producción lechera se ha incrementado en algunos países, como Argentina, Brasil y Chile. Sin embargo, este aumento se ha atenuado a causa de la competencia de los productos agrícolas por las tierras de pastoreo, debido a los precios internacionales favorables de que gozan dichos productos, lo cual limita el potencial de expansión del hato</w:t>
      </w:r>
      <w:r>
        <w:rPr>
          <w:spacing w:val="-11"/>
        </w:rPr>
        <w:t> </w:t>
      </w:r>
      <w:r>
        <w:rPr/>
        <w:t>lechero.</w:t>
      </w:r>
    </w:p>
    <w:p>
      <w:pPr>
        <w:pStyle w:val="BodyText"/>
      </w:pPr>
    </w:p>
    <w:p>
      <w:pPr>
        <w:pStyle w:val="BodyText"/>
      </w:pPr>
    </w:p>
    <w:p>
      <w:pPr>
        <w:pStyle w:val="BodyText"/>
        <w:spacing w:before="3"/>
        <w:rPr>
          <w:sz w:val="23"/>
        </w:rPr>
      </w:pPr>
    </w:p>
    <w:p>
      <w:pPr>
        <w:pStyle w:val="BodyText"/>
        <w:spacing w:line="360" w:lineRule="auto"/>
        <w:ind w:left="102" w:right="114"/>
        <w:jc w:val="both"/>
      </w:pPr>
      <w:r>
        <w:rPr/>
        <w:t>En </w:t>
      </w:r>
      <w:r>
        <w:rPr>
          <w:b/>
        </w:rPr>
        <w:t>Europa</w:t>
      </w:r>
      <w:r>
        <w:rPr/>
        <w:t>, la producción aumentó en 0.5 por ciento del 2012 a 2013, este aumento en producción</w:t>
      </w:r>
      <w:r>
        <w:rPr>
          <w:spacing w:val="-12"/>
        </w:rPr>
        <w:t> </w:t>
      </w:r>
      <w:r>
        <w:rPr/>
        <w:t>se</w:t>
      </w:r>
      <w:r>
        <w:rPr>
          <w:spacing w:val="-13"/>
        </w:rPr>
        <w:t> </w:t>
      </w:r>
      <w:r>
        <w:rPr/>
        <w:t>explica</w:t>
      </w:r>
      <w:r>
        <w:rPr>
          <w:spacing w:val="-13"/>
        </w:rPr>
        <w:t> </w:t>
      </w:r>
      <w:r>
        <w:rPr/>
        <w:t>por</w:t>
      </w:r>
      <w:r>
        <w:rPr>
          <w:spacing w:val="-11"/>
        </w:rPr>
        <w:t> </w:t>
      </w:r>
      <w:r>
        <w:rPr/>
        <w:t>rendimientos</w:t>
      </w:r>
      <w:r>
        <w:rPr>
          <w:spacing w:val="-12"/>
        </w:rPr>
        <w:t> </w:t>
      </w:r>
      <w:r>
        <w:rPr/>
        <w:t>crecientes</w:t>
      </w:r>
      <w:r>
        <w:rPr>
          <w:spacing w:val="-10"/>
        </w:rPr>
        <w:t> </w:t>
      </w:r>
      <w:r>
        <w:rPr/>
        <w:t>en</w:t>
      </w:r>
      <w:r>
        <w:rPr>
          <w:spacing w:val="-10"/>
        </w:rPr>
        <w:t> </w:t>
      </w:r>
      <w:r>
        <w:rPr/>
        <w:t>producción</w:t>
      </w:r>
      <w:r>
        <w:rPr>
          <w:spacing w:val="-12"/>
        </w:rPr>
        <w:t> </w:t>
      </w:r>
      <w:r>
        <w:rPr/>
        <w:t>por</w:t>
      </w:r>
      <w:r>
        <w:rPr>
          <w:spacing w:val="-13"/>
        </w:rPr>
        <w:t> </w:t>
      </w:r>
      <w:r>
        <w:rPr/>
        <w:t>vaca,</w:t>
      </w:r>
      <w:r>
        <w:rPr>
          <w:spacing w:val="-12"/>
        </w:rPr>
        <w:t> </w:t>
      </w:r>
      <w:r>
        <w:rPr/>
        <w:t>lo</w:t>
      </w:r>
      <w:r>
        <w:rPr>
          <w:spacing w:val="-12"/>
        </w:rPr>
        <w:t> </w:t>
      </w:r>
      <w:r>
        <w:rPr/>
        <w:t>cual,</w:t>
      </w:r>
      <w:r>
        <w:rPr>
          <w:spacing w:val="-11"/>
        </w:rPr>
        <w:t> </w:t>
      </w:r>
      <w:r>
        <w:rPr/>
        <w:t>compensa con creces la reducción del hato lechero. El sector sigue estando sujeto a límites de producción, en virtud de un sistema de contingencias que aumenta en un 1 por ciento cada año hasta que cese en 2015. En la Federación de Rusia, la sequía del 2009 provocó una contracción del hato lechero, </w:t>
      </w:r>
      <w:r>
        <w:rPr>
          <w:spacing w:val="-3"/>
        </w:rPr>
        <w:t>ya </w:t>
      </w:r>
      <w:r>
        <w:rPr/>
        <w:t>que la grave escasez de insumos indujo a los productores a sacrificar</w:t>
      </w:r>
      <w:r>
        <w:rPr>
          <w:spacing w:val="-14"/>
        </w:rPr>
        <w:t> </w:t>
      </w:r>
      <w:r>
        <w:rPr/>
        <w:t>animales.</w:t>
      </w:r>
      <w:r>
        <w:rPr>
          <w:spacing w:val="-16"/>
        </w:rPr>
        <w:t> </w:t>
      </w:r>
      <w:r>
        <w:rPr/>
        <w:t>Consiguientemente</w:t>
      </w:r>
      <w:r>
        <w:rPr>
          <w:spacing w:val="-15"/>
        </w:rPr>
        <w:t> </w:t>
      </w:r>
      <w:r>
        <w:rPr/>
        <w:t>en</w:t>
      </w:r>
      <w:r>
        <w:rPr>
          <w:spacing w:val="-14"/>
        </w:rPr>
        <w:t> </w:t>
      </w:r>
      <w:r>
        <w:rPr/>
        <w:t>el</w:t>
      </w:r>
      <w:r>
        <w:rPr>
          <w:spacing w:val="-13"/>
        </w:rPr>
        <w:t> </w:t>
      </w:r>
      <w:r>
        <w:rPr/>
        <w:t>periodo</w:t>
      </w:r>
      <w:r>
        <w:rPr>
          <w:spacing w:val="-16"/>
        </w:rPr>
        <w:t> </w:t>
      </w:r>
      <w:r>
        <w:rPr/>
        <w:t>2009-2012</w:t>
      </w:r>
      <w:r>
        <w:rPr>
          <w:spacing w:val="-16"/>
        </w:rPr>
        <w:t> </w:t>
      </w:r>
      <w:r>
        <w:rPr/>
        <w:t>se</w:t>
      </w:r>
      <w:r>
        <w:rPr>
          <w:spacing w:val="-17"/>
        </w:rPr>
        <w:t> </w:t>
      </w:r>
      <w:r>
        <w:rPr/>
        <w:t>observaron</w:t>
      </w:r>
      <w:r>
        <w:rPr>
          <w:spacing w:val="-16"/>
        </w:rPr>
        <w:t> </w:t>
      </w:r>
      <w:r>
        <w:rPr/>
        <w:t>contracciones en su producción del 2%, no obstante en 2013 tuvo un repunte de 5.7% con respecto a la producción del</w:t>
      </w:r>
      <w:r>
        <w:rPr>
          <w:spacing w:val="-5"/>
        </w:rPr>
        <w:t> </w:t>
      </w:r>
      <w:r>
        <w:rPr/>
        <w:t>2012.</w:t>
      </w:r>
    </w:p>
    <w:p>
      <w:pPr>
        <w:pStyle w:val="BodyText"/>
      </w:pPr>
    </w:p>
    <w:p>
      <w:pPr>
        <w:pStyle w:val="BodyText"/>
      </w:pPr>
    </w:p>
    <w:p>
      <w:pPr>
        <w:pStyle w:val="BodyText"/>
        <w:spacing w:before="4"/>
        <w:rPr>
          <w:sz w:val="23"/>
        </w:rPr>
      </w:pPr>
    </w:p>
    <w:p>
      <w:pPr>
        <w:pStyle w:val="BodyText"/>
        <w:spacing w:line="360" w:lineRule="auto"/>
        <w:ind w:left="102" w:right="116"/>
        <w:jc w:val="both"/>
      </w:pPr>
      <w:r>
        <w:rPr/>
        <w:t>En</w:t>
      </w:r>
      <w:r>
        <w:rPr>
          <w:spacing w:val="-8"/>
        </w:rPr>
        <w:t> </w:t>
      </w:r>
      <w:r>
        <w:rPr>
          <w:b/>
        </w:rPr>
        <w:t>Oceanía</w:t>
      </w:r>
      <w:r>
        <w:rPr/>
        <w:t>,</w:t>
      </w:r>
      <w:r>
        <w:rPr>
          <w:spacing w:val="-7"/>
        </w:rPr>
        <w:t> </w:t>
      </w:r>
      <w:r>
        <w:rPr/>
        <w:t>el</w:t>
      </w:r>
      <w:r>
        <w:rPr>
          <w:spacing w:val="-5"/>
        </w:rPr>
        <w:t> </w:t>
      </w:r>
      <w:r>
        <w:rPr/>
        <w:t>fortalecimiento</w:t>
      </w:r>
      <w:r>
        <w:rPr>
          <w:spacing w:val="-7"/>
        </w:rPr>
        <w:t> </w:t>
      </w:r>
      <w:r>
        <w:rPr/>
        <w:t>de</w:t>
      </w:r>
      <w:r>
        <w:rPr>
          <w:spacing w:val="-8"/>
        </w:rPr>
        <w:t> </w:t>
      </w:r>
      <w:r>
        <w:rPr/>
        <w:t>los</w:t>
      </w:r>
      <w:r>
        <w:rPr>
          <w:spacing w:val="-7"/>
        </w:rPr>
        <w:t> </w:t>
      </w:r>
      <w:r>
        <w:rPr/>
        <w:t>precios</w:t>
      </w:r>
      <w:r>
        <w:rPr>
          <w:spacing w:val="-5"/>
        </w:rPr>
        <w:t> </w:t>
      </w:r>
      <w:r>
        <w:rPr/>
        <w:t>internacionales</w:t>
      </w:r>
      <w:r>
        <w:rPr>
          <w:spacing w:val="-5"/>
        </w:rPr>
        <w:t> </w:t>
      </w:r>
      <w:r>
        <w:rPr/>
        <w:t>de</w:t>
      </w:r>
      <w:r>
        <w:rPr>
          <w:spacing w:val="-5"/>
        </w:rPr>
        <w:t> </w:t>
      </w:r>
      <w:r>
        <w:rPr/>
        <w:t>productos</w:t>
      </w:r>
      <w:r>
        <w:rPr>
          <w:spacing w:val="-4"/>
        </w:rPr>
        <w:t> </w:t>
      </w:r>
      <w:r>
        <w:rPr/>
        <w:t>lácteos</w:t>
      </w:r>
      <w:r>
        <w:rPr>
          <w:spacing w:val="-8"/>
        </w:rPr>
        <w:t> </w:t>
      </w:r>
      <w:r>
        <w:rPr/>
        <w:t>ha</w:t>
      </w:r>
      <w:r>
        <w:rPr>
          <w:spacing w:val="-6"/>
        </w:rPr>
        <w:t> </w:t>
      </w:r>
      <w:r>
        <w:rPr/>
        <w:t>creado un entorno favorable para que los agricultores amplíen la producción en los próximos años. La sequía del 2010/11, seguida de unas condiciones fuertemente húmedas, han limitado el crecimiento  de  la  producción  lechera  en  Nueva  Zelanda.  Sin  embargo,  en  2013    </w:t>
      </w:r>
      <w:r>
        <w:rPr>
          <w:spacing w:val="19"/>
        </w:rPr>
        <w:t> </w:t>
      </w:r>
      <w:r>
        <w:rPr/>
        <w:t>las</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condiciones idóneas en este país repuntaron su producción en 5.8% con respecto a su año inmediato anterior. En Australia, el final de la sequía prolongada alienta a los productores a reconstruir</w:t>
      </w:r>
      <w:r>
        <w:rPr>
          <w:spacing w:val="-5"/>
        </w:rPr>
        <w:t> </w:t>
      </w:r>
      <w:r>
        <w:rPr/>
        <w:t>su</w:t>
      </w:r>
      <w:r>
        <w:rPr>
          <w:spacing w:val="-3"/>
        </w:rPr>
        <w:t> </w:t>
      </w:r>
      <w:r>
        <w:rPr/>
        <w:t>hato</w:t>
      </w:r>
      <w:r>
        <w:rPr>
          <w:spacing w:val="-3"/>
        </w:rPr>
        <w:t> </w:t>
      </w:r>
      <w:r>
        <w:rPr/>
        <w:t>lechero,</w:t>
      </w:r>
      <w:r>
        <w:rPr>
          <w:spacing w:val="-4"/>
        </w:rPr>
        <w:t> </w:t>
      </w:r>
      <w:r>
        <w:rPr/>
        <w:t>por</w:t>
      </w:r>
      <w:r>
        <w:rPr>
          <w:spacing w:val="-5"/>
        </w:rPr>
        <w:t> </w:t>
      </w:r>
      <w:r>
        <w:rPr/>
        <w:t>lo</w:t>
      </w:r>
      <w:r>
        <w:rPr>
          <w:spacing w:val="-3"/>
        </w:rPr>
        <w:t> </w:t>
      </w:r>
      <w:r>
        <w:rPr/>
        <w:t>que</w:t>
      </w:r>
      <w:r>
        <w:rPr>
          <w:spacing w:val="-5"/>
        </w:rPr>
        <w:t> </w:t>
      </w:r>
      <w:r>
        <w:rPr/>
        <w:t>en</w:t>
      </w:r>
      <w:r>
        <w:rPr>
          <w:spacing w:val="-4"/>
        </w:rPr>
        <w:t> </w:t>
      </w:r>
      <w:r>
        <w:rPr/>
        <w:t>2013</w:t>
      </w:r>
      <w:r>
        <w:rPr>
          <w:spacing w:val="-3"/>
        </w:rPr>
        <w:t> </w:t>
      </w:r>
      <w:r>
        <w:rPr/>
        <w:t>su</w:t>
      </w:r>
      <w:r>
        <w:rPr>
          <w:spacing w:val="-1"/>
        </w:rPr>
        <w:t> </w:t>
      </w:r>
      <w:r>
        <w:rPr/>
        <w:t>producción</w:t>
      </w:r>
      <w:r>
        <w:rPr>
          <w:spacing w:val="-3"/>
        </w:rPr>
        <w:t> </w:t>
      </w:r>
      <w:r>
        <w:rPr/>
        <w:t>crecio</w:t>
      </w:r>
      <w:r>
        <w:rPr>
          <w:spacing w:val="-1"/>
        </w:rPr>
        <w:t> </w:t>
      </w:r>
      <w:r>
        <w:rPr/>
        <w:t>en</w:t>
      </w:r>
      <w:r>
        <w:rPr>
          <w:spacing w:val="-4"/>
        </w:rPr>
        <w:t> </w:t>
      </w:r>
      <w:r>
        <w:rPr/>
        <w:t>1.2%</w:t>
      </w:r>
      <w:r>
        <w:rPr>
          <w:spacing w:val="-5"/>
        </w:rPr>
        <w:t> </w:t>
      </w:r>
      <w:r>
        <w:rPr/>
        <w:t>con</w:t>
      </w:r>
      <w:r>
        <w:rPr>
          <w:spacing w:val="-4"/>
        </w:rPr>
        <w:t> </w:t>
      </w:r>
      <w:r>
        <w:rPr/>
        <w:t>respecto</w:t>
      </w:r>
      <w:r>
        <w:rPr>
          <w:spacing w:val="-3"/>
        </w:rPr>
        <w:t> </w:t>
      </w:r>
      <w:r>
        <w:rPr/>
        <w:t>al 2012.</w:t>
      </w:r>
    </w:p>
    <w:p>
      <w:pPr>
        <w:pStyle w:val="BodyText"/>
      </w:pPr>
    </w:p>
    <w:p>
      <w:pPr>
        <w:pStyle w:val="BodyText"/>
      </w:pPr>
    </w:p>
    <w:p>
      <w:pPr>
        <w:pStyle w:val="BodyText"/>
        <w:spacing w:before="8"/>
        <w:rPr>
          <w:sz w:val="23"/>
        </w:rPr>
      </w:pPr>
    </w:p>
    <w:p>
      <w:pPr>
        <w:pStyle w:val="Heading2"/>
        <w:numPr>
          <w:ilvl w:val="2"/>
          <w:numId w:val="9"/>
        </w:numPr>
        <w:tabs>
          <w:tab w:pos="642" w:val="left" w:leader="none"/>
        </w:tabs>
        <w:spacing w:line="240" w:lineRule="auto" w:before="0" w:after="0"/>
        <w:ind w:left="642" w:right="0" w:hanging="540"/>
        <w:jc w:val="both"/>
        <w:rPr>
          <w:i/>
        </w:rPr>
      </w:pPr>
      <w:r>
        <w:rPr>
          <w:i/>
        </w:rPr>
        <w:t>Consumo</w:t>
      </w:r>
      <w:r>
        <w:rPr>
          <w:i/>
          <w:spacing w:val="-6"/>
        </w:rPr>
        <w:t> </w:t>
      </w:r>
      <w:r>
        <w:rPr>
          <w:i/>
        </w:rPr>
        <w:t>mundial</w:t>
      </w:r>
    </w:p>
    <w:p>
      <w:pPr>
        <w:pStyle w:val="BodyText"/>
        <w:rPr>
          <w:b/>
          <w:i/>
        </w:rPr>
      </w:pPr>
    </w:p>
    <w:p>
      <w:pPr>
        <w:pStyle w:val="BodyText"/>
        <w:rPr>
          <w:b/>
          <w:i/>
        </w:rPr>
      </w:pPr>
    </w:p>
    <w:p>
      <w:pPr>
        <w:pStyle w:val="BodyText"/>
        <w:spacing w:before="3"/>
        <w:rPr>
          <w:b/>
          <w:i/>
          <w:sz w:val="34"/>
        </w:rPr>
      </w:pPr>
    </w:p>
    <w:p>
      <w:pPr>
        <w:pStyle w:val="BodyText"/>
        <w:spacing w:line="360" w:lineRule="auto"/>
        <w:ind w:left="102" w:right="117"/>
        <w:jc w:val="both"/>
      </w:pPr>
      <w:r>
        <w:rPr/>
        <w:t>En</w:t>
      </w:r>
      <w:r>
        <w:rPr>
          <w:spacing w:val="-9"/>
        </w:rPr>
        <w:t> </w:t>
      </w:r>
      <w:r>
        <w:rPr/>
        <w:t>la</w:t>
      </w:r>
      <w:r>
        <w:rPr>
          <w:spacing w:val="-9"/>
        </w:rPr>
        <w:t> </w:t>
      </w:r>
      <w:r>
        <w:rPr/>
        <w:t>última</w:t>
      </w:r>
      <w:r>
        <w:rPr>
          <w:spacing w:val="-10"/>
        </w:rPr>
        <w:t> </w:t>
      </w:r>
      <w:r>
        <w:rPr/>
        <w:t>década</w:t>
      </w:r>
      <w:r>
        <w:rPr>
          <w:spacing w:val="-7"/>
        </w:rPr>
        <w:t> </w:t>
      </w:r>
      <w:r>
        <w:rPr/>
        <w:t>el</w:t>
      </w:r>
      <w:r>
        <w:rPr>
          <w:spacing w:val="-8"/>
        </w:rPr>
        <w:t> </w:t>
      </w:r>
      <w:r>
        <w:rPr/>
        <w:t>crecimiento</w:t>
      </w:r>
      <w:r>
        <w:rPr>
          <w:spacing w:val="-9"/>
        </w:rPr>
        <w:t> </w:t>
      </w:r>
      <w:r>
        <w:rPr/>
        <w:t>del</w:t>
      </w:r>
      <w:r>
        <w:rPr>
          <w:spacing w:val="-8"/>
        </w:rPr>
        <w:t> </w:t>
      </w:r>
      <w:r>
        <w:rPr/>
        <w:t>consumo</w:t>
      </w:r>
      <w:r>
        <w:rPr>
          <w:spacing w:val="-9"/>
        </w:rPr>
        <w:t> </w:t>
      </w:r>
      <w:r>
        <w:rPr/>
        <w:t>mundial</w:t>
      </w:r>
      <w:r>
        <w:rPr>
          <w:spacing w:val="-9"/>
        </w:rPr>
        <w:t> </w:t>
      </w:r>
      <w:r>
        <w:rPr/>
        <w:t>de</w:t>
      </w:r>
      <w:r>
        <w:rPr>
          <w:spacing w:val="-10"/>
        </w:rPr>
        <w:t> </w:t>
      </w:r>
      <w:r>
        <w:rPr/>
        <w:t>lácteos</w:t>
      </w:r>
      <w:r>
        <w:rPr>
          <w:spacing w:val="-5"/>
        </w:rPr>
        <w:t> </w:t>
      </w:r>
      <w:r>
        <w:rPr/>
        <w:t>se</w:t>
      </w:r>
      <w:r>
        <w:rPr>
          <w:spacing w:val="-7"/>
        </w:rPr>
        <w:t> </w:t>
      </w:r>
      <w:r>
        <w:rPr/>
        <w:t>asocio</w:t>
      </w:r>
      <w:r>
        <w:rPr>
          <w:spacing w:val="-9"/>
        </w:rPr>
        <w:t> </w:t>
      </w:r>
      <w:r>
        <w:rPr/>
        <w:t>en</w:t>
      </w:r>
      <w:r>
        <w:rPr>
          <w:spacing w:val="-6"/>
        </w:rPr>
        <w:t> </w:t>
      </w:r>
      <w:r>
        <w:rPr/>
        <w:t>gran</w:t>
      </w:r>
      <w:r>
        <w:rPr>
          <w:spacing w:val="-9"/>
        </w:rPr>
        <w:t> </w:t>
      </w:r>
      <w:r>
        <w:rPr/>
        <w:t>medida al aumento de la población mundial. Aproximadamente el 70% de los aumentos en la demanda se atribuyen a este factor, en tanto que el crecimiento del consumo por habitante explicó el restante 30%. (Secretaria de Economía,</w:t>
      </w:r>
      <w:r>
        <w:rPr>
          <w:spacing w:val="-10"/>
        </w:rPr>
        <w:t> </w:t>
      </w:r>
      <w:r>
        <w:rPr/>
        <w:t>2012).</w:t>
      </w:r>
    </w:p>
    <w:p>
      <w:pPr>
        <w:pStyle w:val="BodyText"/>
      </w:pPr>
    </w:p>
    <w:p>
      <w:pPr>
        <w:pStyle w:val="BodyText"/>
      </w:pPr>
    </w:p>
    <w:p>
      <w:pPr>
        <w:pStyle w:val="BodyText"/>
        <w:spacing w:before="1"/>
        <w:rPr>
          <w:sz w:val="23"/>
        </w:rPr>
      </w:pPr>
    </w:p>
    <w:p>
      <w:pPr>
        <w:pStyle w:val="BodyText"/>
        <w:spacing w:line="360" w:lineRule="auto"/>
        <w:ind w:left="102" w:right="117"/>
        <w:jc w:val="both"/>
      </w:pPr>
      <w:r>
        <w:rPr/>
        <w:t>El consumo mundial de leche y derivados se incrementó principalmente en los países desarrollados en el periodo 2000-2011. Se estima que la población mundial consume anualmente cerca de 500 millones de toneladas equivalentes de leche en diversas presentaciones para alimento humano (Secretaria de Econonomía, 2012). El 85% corresponde a leche de vaca y el resto a otras especies (búfalo 11%, cabra 2% y otras 2%).</w:t>
      </w:r>
    </w:p>
    <w:p>
      <w:pPr>
        <w:pStyle w:val="BodyText"/>
      </w:pPr>
    </w:p>
    <w:p>
      <w:pPr>
        <w:pStyle w:val="BodyText"/>
      </w:pPr>
    </w:p>
    <w:p>
      <w:pPr>
        <w:pStyle w:val="BodyText"/>
        <w:spacing w:before="3"/>
        <w:rPr>
          <w:sz w:val="23"/>
        </w:rPr>
      </w:pPr>
    </w:p>
    <w:p>
      <w:pPr>
        <w:pStyle w:val="BodyText"/>
        <w:spacing w:line="360" w:lineRule="auto"/>
        <w:ind w:left="102" w:right="115"/>
        <w:jc w:val="both"/>
      </w:pPr>
      <w:r>
        <w:rPr/>
        <w:t>En</w:t>
      </w:r>
      <w:r>
        <w:rPr>
          <w:spacing w:val="-14"/>
        </w:rPr>
        <w:t> </w:t>
      </w:r>
      <w:r>
        <w:rPr/>
        <w:t>los</w:t>
      </w:r>
      <w:r>
        <w:rPr>
          <w:spacing w:val="-13"/>
        </w:rPr>
        <w:t> </w:t>
      </w:r>
      <w:r>
        <w:rPr/>
        <w:t>últimos</w:t>
      </w:r>
      <w:r>
        <w:rPr>
          <w:spacing w:val="-13"/>
        </w:rPr>
        <w:t> </w:t>
      </w:r>
      <w:r>
        <w:rPr/>
        <w:t>diez</w:t>
      </w:r>
      <w:r>
        <w:rPr>
          <w:spacing w:val="-13"/>
        </w:rPr>
        <w:t> </w:t>
      </w:r>
      <w:r>
        <w:rPr/>
        <w:t>años,</w:t>
      </w:r>
      <w:r>
        <w:rPr>
          <w:spacing w:val="-11"/>
        </w:rPr>
        <w:t> </w:t>
      </w:r>
      <w:r>
        <w:rPr/>
        <w:t>el</w:t>
      </w:r>
      <w:r>
        <w:rPr>
          <w:spacing w:val="-13"/>
        </w:rPr>
        <w:t> </w:t>
      </w:r>
      <w:r>
        <w:rPr/>
        <w:t>consumo</w:t>
      </w:r>
      <w:r>
        <w:rPr>
          <w:spacing w:val="-13"/>
        </w:rPr>
        <w:t> </w:t>
      </w:r>
      <w:r>
        <w:rPr/>
        <w:t>humano</w:t>
      </w:r>
      <w:r>
        <w:rPr>
          <w:spacing w:val="-12"/>
        </w:rPr>
        <w:t> </w:t>
      </w:r>
      <w:r>
        <w:rPr/>
        <w:t>total</w:t>
      </w:r>
      <w:r>
        <w:rPr>
          <w:spacing w:val="-11"/>
        </w:rPr>
        <w:t> </w:t>
      </w:r>
      <w:r>
        <w:rPr/>
        <w:t>de</w:t>
      </w:r>
      <w:r>
        <w:rPr>
          <w:spacing w:val="-14"/>
        </w:rPr>
        <w:t> </w:t>
      </w:r>
      <w:r>
        <w:rPr/>
        <w:t>leche</w:t>
      </w:r>
      <w:r>
        <w:rPr>
          <w:spacing w:val="-14"/>
        </w:rPr>
        <w:t> </w:t>
      </w:r>
      <w:r>
        <w:rPr/>
        <w:t>ha</w:t>
      </w:r>
      <w:r>
        <w:rPr>
          <w:spacing w:val="-14"/>
        </w:rPr>
        <w:t> </w:t>
      </w:r>
      <w:r>
        <w:rPr/>
        <w:t>crecido</w:t>
      </w:r>
      <w:r>
        <w:rPr>
          <w:spacing w:val="-13"/>
        </w:rPr>
        <w:t> </w:t>
      </w:r>
      <w:r>
        <w:rPr/>
        <w:t>a</w:t>
      </w:r>
      <w:r>
        <w:rPr>
          <w:spacing w:val="-12"/>
        </w:rPr>
        <w:t> </w:t>
      </w:r>
      <w:r>
        <w:rPr/>
        <w:t>una</w:t>
      </w:r>
      <w:r>
        <w:rPr>
          <w:spacing w:val="-12"/>
        </w:rPr>
        <w:t> </w:t>
      </w:r>
      <w:r>
        <w:rPr/>
        <w:t>tasa</w:t>
      </w:r>
      <w:r>
        <w:rPr>
          <w:spacing w:val="-15"/>
        </w:rPr>
        <w:t> </w:t>
      </w:r>
      <w:r>
        <w:rPr/>
        <w:t>media</w:t>
      </w:r>
      <w:r>
        <w:rPr>
          <w:spacing w:val="-12"/>
        </w:rPr>
        <w:t> </w:t>
      </w:r>
      <w:r>
        <w:rPr/>
        <w:t>anual del 1.6% observándose dos comportamientos paralelamente, el de los países desarrollados y el de los países en desarrollo (Tabla 1). Los países desarrollados tienden a una ligera disminución</w:t>
      </w:r>
      <w:r>
        <w:rPr>
          <w:spacing w:val="-5"/>
        </w:rPr>
        <w:t> </w:t>
      </w:r>
      <w:r>
        <w:rPr/>
        <w:t>de</w:t>
      </w:r>
      <w:r>
        <w:rPr>
          <w:spacing w:val="-6"/>
        </w:rPr>
        <w:t> </w:t>
      </w:r>
      <w:r>
        <w:rPr/>
        <w:t>sus</w:t>
      </w:r>
      <w:r>
        <w:rPr>
          <w:spacing w:val="-7"/>
        </w:rPr>
        <w:t> </w:t>
      </w:r>
      <w:r>
        <w:rPr/>
        <w:t>consumos</w:t>
      </w:r>
      <w:r>
        <w:rPr>
          <w:spacing w:val="-5"/>
        </w:rPr>
        <w:t> </w:t>
      </w:r>
      <w:r>
        <w:rPr/>
        <w:t>per-cápita</w:t>
      </w:r>
      <w:r>
        <w:rPr>
          <w:spacing w:val="-6"/>
        </w:rPr>
        <w:t> </w:t>
      </w:r>
      <w:r>
        <w:rPr/>
        <w:t>(Holanda</w:t>
      </w:r>
      <w:r>
        <w:rPr>
          <w:spacing w:val="-6"/>
        </w:rPr>
        <w:t> </w:t>
      </w:r>
      <w:r>
        <w:rPr/>
        <w:t>329</w:t>
      </w:r>
      <w:r>
        <w:rPr>
          <w:spacing w:val="-5"/>
        </w:rPr>
        <w:t> </w:t>
      </w:r>
      <w:r>
        <w:rPr/>
        <w:t>kg,</w:t>
      </w:r>
      <w:r>
        <w:rPr>
          <w:spacing w:val="-5"/>
        </w:rPr>
        <w:t> </w:t>
      </w:r>
      <w:r>
        <w:rPr/>
        <w:t>EUA</w:t>
      </w:r>
      <w:r>
        <w:rPr>
          <w:spacing w:val="-5"/>
        </w:rPr>
        <w:t> </w:t>
      </w:r>
      <w:r>
        <w:rPr/>
        <w:t>254</w:t>
      </w:r>
      <w:r>
        <w:rPr>
          <w:spacing w:val="-5"/>
        </w:rPr>
        <w:t> </w:t>
      </w:r>
      <w:r>
        <w:rPr/>
        <w:t>kg,</w:t>
      </w:r>
      <w:r>
        <w:rPr>
          <w:spacing w:val="-5"/>
        </w:rPr>
        <w:t> </w:t>
      </w:r>
      <w:r>
        <w:rPr/>
        <w:t>Nueva</w:t>
      </w:r>
      <w:r>
        <w:rPr>
          <w:spacing w:val="-6"/>
        </w:rPr>
        <w:t> </w:t>
      </w:r>
      <w:r>
        <w:rPr/>
        <w:t>Zelanda</w:t>
      </w:r>
      <w:r>
        <w:rPr>
          <w:spacing w:val="-6"/>
        </w:rPr>
        <w:t> </w:t>
      </w:r>
      <w:r>
        <w:rPr/>
        <w:t>210 kg). Actualmente consumen en promedio el equivalente a 200 kg de leche por habitante al año. En países en desarrollo el consumo per-cápita tiende a incrementarse por arriba del crecimiento</w:t>
      </w:r>
      <w:r>
        <w:rPr>
          <w:spacing w:val="-6"/>
        </w:rPr>
        <w:t> </w:t>
      </w:r>
      <w:r>
        <w:rPr/>
        <w:t>demográfico.</w:t>
      </w:r>
      <w:r>
        <w:rPr>
          <w:spacing w:val="-6"/>
        </w:rPr>
        <w:t> </w:t>
      </w:r>
      <w:r>
        <w:rPr/>
        <w:t>Hoy</w:t>
      </w:r>
      <w:r>
        <w:rPr>
          <w:spacing w:val="-11"/>
        </w:rPr>
        <w:t> </w:t>
      </w:r>
      <w:r>
        <w:rPr/>
        <w:t>día</w:t>
      </w:r>
      <w:r>
        <w:rPr>
          <w:spacing w:val="-7"/>
        </w:rPr>
        <w:t> </w:t>
      </w:r>
      <w:r>
        <w:rPr/>
        <w:t>está</w:t>
      </w:r>
      <w:r>
        <w:rPr>
          <w:spacing w:val="-6"/>
        </w:rPr>
        <w:t> </w:t>
      </w:r>
      <w:r>
        <w:rPr/>
        <w:t>muy</w:t>
      </w:r>
      <w:r>
        <w:rPr>
          <w:spacing w:val="-11"/>
        </w:rPr>
        <w:t> </w:t>
      </w:r>
      <w:r>
        <w:rPr/>
        <w:t>por</w:t>
      </w:r>
      <w:r>
        <w:rPr>
          <w:spacing w:val="-7"/>
        </w:rPr>
        <w:t> </w:t>
      </w:r>
      <w:r>
        <w:rPr/>
        <w:t>debajo</w:t>
      </w:r>
      <w:r>
        <w:rPr>
          <w:spacing w:val="-6"/>
        </w:rPr>
        <w:t> </w:t>
      </w:r>
      <w:r>
        <w:rPr/>
        <w:t>de</w:t>
      </w:r>
      <w:r>
        <w:rPr>
          <w:spacing w:val="-7"/>
        </w:rPr>
        <w:t> </w:t>
      </w:r>
      <w:r>
        <w:rPr/>
        <w:t>los</w:t>
      </w:r>
      <w:r>
        <w:rPr>
          <w:spacing w:val="-6"/>
        </w:rPr>
        <w:t> </w:t>
      </w:r>
      <w:r>
        <w:rPr/>
        <w:t>188</w:t>
      </w:r>
      <w:r>
        <w:rPr>
          <w:spacing w:val="-6"/>
        </w:rPr>
        <w:t> </w:t>
      </w:r>
      <w:r>
        <w:rPr/>
        <w:t>kg</w:t>
      </w:r>
      <w:r>
        <w:rPr>
          <w:spacing w:val="-9"/>
        </w:rPr>
        <w:t> </w:t>
      </w:r>
      <w:r>
        <w:rPr/>
        <w:t>recomendado</w:t>
      </w:r>
      <w:r>
        <w:rPr>
          <w:spacing w:val="-6"/>
        </w:rPr>
        <w:t> </w:t>
      </w:r>
      <w:r>
        <w:rPr/>
        <w:t>por</w:t>
      </w:r>
      <w:r>
        <w:rPr>
          <w:spacing w:val="-7"/>
        </w:rPr>
        <w:t> </w:t>
      </w:r>
      <w:r>
        <w:rPr/>
        <w:t>FAO (China</w:t>
      </w:r>
      <w:r>
        <w:rPr>
          <w:spacing w:val="23"/>
        </w:rPr>
        <w:t> </w:t>
      </w:r>
      <w:r>
        <w:rPr/>
        <w:t>8</w:t>
      </w:r>
      <w:r>
        <w:rPr>
          <w:spacing w:val="24"/>
        </w:rPr>
        <w:t> </w:t>
      </w:r>
      <w:r>
        <w:rPr/>
        <w:t>kg,</w:t>
      </w:r>
      <w:r>
        <w:rPr>
          <w:spacing w:val="28"/>
        </w:rPr>
        <w:t> </w:t>
      </w:r>
      <w:r>
        <w:rPr/>
        <w:t>Indonesia</w:t>
      </w:r>
      <w:r>
        <w:rPr>
          <w:spacing w:val="26"/>
        </w:rPr>
        <w:t> </w:t>
      </w:r>
      <w:r>
        <w:rPr/>
        <w:t>5</w:t>
      </w:r>
      <w:r>
        <w:rPr>
          <w:spacing w:val="24"/>
        </w:rPr>
        <w:t> </w:t>
      </w:r>
      <w:r>
        <w:rPr/>
        <w:t>kg,</w:t>
      </w:r>
      <w:r>
        <w:rPr>
          <w:spacing w:val="24"/>
        </w:rPr>
        <w:t> </w:t>
      </w:r>
      <w:r>
        <w:rPr/>
        <w:t>Perú</w:t>
      </w:r>
      <w:r>
        <w:rPr>
          <w:spacing w:val="23"/>
        </w:rPr>
        <w:t> </w:t>
      </w:r>
      <w:r>
        <w:rPr/>
        <w:t>55</w:t>
      </w:r>
      <w:r>
        <w:rPr>
          <w:spacing w:val="24"/>
        </w:rPr>
        <w:t> </w:t>
      </w:r>
      <w:r>
        <w:rPr/>
        <w:t>kg,</w:t>
      </w:r>
      <w:r>
        <w:rPr>
          <w:spacing w:val="24"/>
        </w:rPr>
        <w:t> </w:t>
      </w:r>
      <w:r>
        <w:rPr/>
        <w:t>México</w:t>
      </w:r>
      <w:r>
        <w:rPr>
          <w:spacing w:val="23"/>
        </w:rPr>
        <w:t> </w:t>
      </w:r>
      <w:r>
        <w:rPr/>
        <w:t>97</w:t>
      </w:r>
      <w:r>
        <w:rPr>
          <w:spacing w:val="24"/>
        </w:rPr>
        <w:t> </w:t>
      </w:r>
      <w:r>
        <w:rPr/>
        <w:t>kg,</w:t>
      </w:r>
      <w:r>
        <w:rPr>
          <w:spacing w:val="26"/>
        </w:rPr>
        <w:t> </w:t>
      </w:r>
      <w:r>
        <w:rPr/>
        <w:t>Brasil</w:t>
      </w:r>
      <w:r>
        <w:rPr>
          <w:spacing w:val="25"/>
        </w:rPr>
        <w:t> </w:t>
      </w:r>
      <w:r>
        <w:rPr/>
        <w:t>128</w:t>
      </w:r>
      <w:r>
        <w:rPr>
          <w:spacing w:val="24"/>
        </w:rPr>
        <w:t> </w:t>
      </w:r>
      <w:r>
        <w:rPr/>
        <w:t>kg).</w:t>
      </w:r>
      <w:r>
        <w:rPr>
          <w:spacing w:val="25"/>
        </w:rPr>
        <w:t> </w:t>
      </w:r>
      <w:r>
        <w:rPr/>
        <w:t>Actualmente,</w:t>
      </w:r>
      <w:r>
        <w:rPr>
          <w:spacing w:val="26"/>
        </w:rPr>
        <w:t> </w:t>
      </w:r>
      <w:r>
        <w:rPr/>
        <w:t>el</w:t>
      </w:r>
    </w:p>
    <w:p>
      <w:pPr>
        <w:spacing w:after="0" w:line="360" w:lineRule="auto"/>
        <w:jc w:val="both"/>
        <w:sectPr>
          <w:pgSz w:w="12240" w:h="15840"/>
          <w:pgMar w:header="0" w:footer="657" w:top="1360" w:bottom="840" w:left="1600" w:right="1580"/>
        </w:sectPr>
      </w:pPr>
    </w:p>
    <w:p>
      <w:pPr>
        <w:pStyle w:val="BodyText"/>
        <w:spacing w:line="362" w:lineRule="auto" w:before="50"/>
        <w:ind w:left="102" w:right="119"/>
        <w:jc w:val="both"/>
      </w:pPr>
      <w:r>
        <w:rPr/>
        <w:t>promedio de consumo por habitante es de 44 kg, menos de la cuarta parte de la cantidad recomendada.</w:t>
      </w:r>
    </w:p>
    <w:p>
      <w:pPr>
        <w:pStyle w:val="BodyText"/>
      </w:pPr>
    </w:p>
    <w:p>
      <w:pPr>
        <w:pStyle w:val="BodyText"/>
      </w:pPr>
    </w:p>
    <w:p>
      <w:pPr>
        <w:pStyle w:val="BodyText"/>
        <w:rPr>
          <w:sz w:val="23"/>
        </w:rPr>
      </w:pPr>
    </w:p>
    <w:p>
      <w:pPr>
        <w:pStyle w:val="BodyText"/>
        <w:spacing w:line="360" w:lineRule="auto" w:before="1"/>
        <w:ind w:left="102" w:right="120"/>
        <w:jc w:val="both"/>
      </w:pPr>
      <w:r>
        <w:rPr/>
        <w:t>El crecimiento sostenido de la población en la India y China primer y tercer consumidor de leche</w:t>
      </w:r>
      <w:r>
        <w:rPr>
          <w:spacing w:val="-6"/>
        </w:rPr>
        <w:t> </w:t>
      </w:r>
      <w:r>
        <w:rPr/>
        <w:t>en</w:t>
      </w:r>
      <w:r>
        <w:rPr>
          <w:spacing w:val="-2"/>
        </w:rPr>
        <w:t> </w:t>
      </w:r>
      <w:r>
        <w:rPr/>
        <w:t>el</w:t>
      </w:r>
      <w:r>
        <w:rPr>
          <w:spacing w:val="-4"/>
        </w:rPr>
        <w:t> </w:t>
      </w:r>
      <w:r>
        <w:rPr/>
        <w:t>mundo,</w:t>
      </w:r>
      <w:r>
        <w:rPr>
          <w:spacing w:val="-5"/>
        </w:rPr>
        <w:t> </w:t>
      </w:r>
      <w:r>
        <w:rPr/>
        <w:t>implica,</w:t>
      </w:r>
      <w:r>
        <w:rPr>
          <w:spacing w:val="-5"/>
        </w:rPr>
        <w:t> </w:t>
      </w:r>
      <w:r>
        <w:rPr/>
        <w:t>que</w:t>
      </w:r>
      <w:r>
        <w:rPr>
          <w:spacing w:val="-6"/>
        </w:rPr>
        <w:t> </w:t>
      </w:r>
      <w:r>
        <w:rPr/>
        <w:t>para</w:t>
      </w:r>
      <w:r>
        <w:rPr>
          <w:spacing w:val="-7"/>
        </w:rPr>
        <w:t> </w:t>
      </w:r>
      <w:r>
        <w:rPr/>
        <w:t>el</w:t>
      </w:r>
      <w:r>
        <w:rPr>
          <w:spacing w:val="-2"/>
        </w:rPr>
        <w:t> </w:t>
      </w:r>
      <w:r>
        <w:rPr/>
        <w:t>final</w:t>
      </w:r>
      <w:r>
        <w:rPr>
          <w:spacing w:val="-4"/>
        </w:rPr>
        <w:t> </w:t>
      </w:r>
      <w:r>
        <w:rPr/>
        <w:t>de</w:t>
      </w:r>
      <w:r>
        <w:rPr>
          <w:spacing w:val="-6"/>
        </w:rPr>
        <w:t> </w:t>
      </w:r>
      <w:r>
        <w:rPr/>
        <w:t>la</w:t>
      </w:r>
      <w:r>
        <w:rPr>
          <w:spacing w:val="-2"/>
        </w:rPr>
        <w:t> </w:t>
      </w:r>
      <w:r>
        <w:rPr/>
        <w:t>presente</w:t>
      </w:r>
      <w:r>
        <w:rPr>
          <w:spacing w:val="-5"/>
        </w:rPr>
        <w:t> </w:t>
      </w:r>
      <w:r>
        <w:rPr/>
        <w:t>década,</w:t>
      </w:r>
      <w:r>
        <w:rPr>
          <w:spacing w:val="-5"/>
        </w:rPr>
        <w:t> </w:t>
      </w:r>
      <w:r>
        <w:rPr/>
        <w:t>juntos</w:t>
      </w:r>
      <w:r>
        <w:rPr>
          <w:spacing w:val="-5"/>
        </w:rPr>
        <w:t> </w:t>
      </w:r>
      <w:r>
        <w:rPr/>
        <w:t>representarán</w:t>
      </w:r>
      <w:r>
        <w:rPr>
          <w:spacing w:val="-5"/>
        </w:rPr>
        <w:t> </w:t>
      </w:r>
      <w:r>
        <w:rPr/>
        <w:t>más de la tercera parte del consumo global de productos lácteos (Tabla</w:t>
      </w:r>
      <w:r>
        <w:rPr>
          <w:spacing w:val="-9"/>
        </w:rPr>
        <w:t> </w:t>
      </w:r>
      <w:r>
        <w:rPr/>
        <w:t>1).</w:t>
      </w:r>
    </w:p>
    <w:p>
      <w:pPr>
        <w:pStyle w:val="BodyText"/>
      </w:pPr>
    </w:p>
    <w:p>
      <w:pPr>
        <w:pStyle w:val="BodyText"/>
        <w:spacing w:before="200" w:after="30"/>
        <w:ind w:left="171"/>
        <w:jc w:val="both"/>
      </w:pPr>
      <w:r>
        <w:rPr>
          <w:b/>
        </w:rPr>
        <w:t>Tabla 1. </w:t>
      </w:r>
      <w:r>
        <w:rPr/>
        <w:t>Consumo de leche fluida para diferentes países 2008-2013 (miles de toneladas)</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350"/>
        <w:gridCol w:w="1293"/>
        <w:gridCol w:w="1012"/>
        <w:gridCol w:w="1011"/>
        <w:gridCol w:w="905"/>
        <w:gridCol w:w="1141"/>
        <w:gridCol w:w="1130"/>
      </w:tblGrid>
      <w:tr>
        <w:trPr>
          <w:trHeight w:val="346" w:hRule="exact"/>
        </w:trPr>
        <w:tc>
          <w:tcPr>
            <w:tcW w:w="2350" w:type="dxa"/>
            <w:tcBorders>
              <w:left w:val="nil"/>
              <w:right w:val="nil"/>
            </w:tcBorders>
          </w:tcPr>
          <w:p>
            <w:pPr>
              <w:pStyle w:val="TableParagraph"/>
              <w:spacing w:before="18"/>
              <w:ind w:left="69" w:right="581"/>
              <w:jc w:val="left"/>
              <w:rPr>
                <w:sz w:val="24"/>
              </w:rPr>
            </w:pPr>
            <w:r>
              <w:rPr>
                <w:sz w:val="24"/>
              </w:rPr>
              <w:t>País</w:t>
            </w:r>
          </w:p>
        </w:tc>
        <w:tc>
          <w:tcPr>
            <w:tcW w:w="1293" w:type="dxa"/>
            <w:tcBorders>
              <w:left w:val="nil"/>
              <w:right w:val="nil"/>
            </w:tcBorders>
          </w:tcPr>
          <w:p>
            <w:pPr>
              <w:pStyle w:val="TableParagraph"/>
              <w:spacing w:before="18"/>
              <w:ind w:right="174"/>
              <w:rPr>
                <w:sz w:val="24"/>
              </w:rPr>
            </w:pPr>
            <w:r>
              <w:rPr>
                <w:sz w:val="24"/>
              </w:rPr>
              <w:t>2008</w:t>
            </w:r>
          </w:p>
        </w:tc>
        <w:tc>
          <w:tcPr>
            <w:tcW w:w="1012" w:type="dxa"/>
            <w:tcBorders>
              <w:left w:val="nil"/>
              <w:right w:val="nil"/>
            </w:tcBorders>
          </w:tcPr>
          <w:p>
            <w:pPr>
              <w:pStyle w:val="TableParagraph"/>
              <w:spacing w:before="18"/>
              <w:ind w:right="173"/>
              <w:rPr>
                <w:sz w:val="24"/>
              </w:rPr>
            </w:pPr>
            <w:r>
              <w:rPr>
                <w:sz w:val="24"/>
              </w:rPr>
              <w:t>2009</w:t>
            </w:r>
          </w:p>
        </w:tc>
        <w:tc>
          <w:tcPr>
            <w:tcW w:w="1011" w:type="dxa"/>
            <w:tcBorders>
              <w:left w:val="nil"/>
              <w:right w:val="nil"/>
            </w:tcBorders>
          </w:tcPr>
          <w:p>
            <w:pPr>
              <w:pStyle w:val="TableParagraph"/>
              <w:spacing w:before="18"/>
              <w:ind w:right="173"/>
              <w:rPr>
                <w:sz w:val="24"/>
              </w:rPr>
            </w:pPr>
            <w:r>
              <w:rPr>
                <w:sz w:val="24"/>
              </w:rPr>
              <w:t>2010</w:t>
            </w:r>
          </w:p>
        </w:tc>
        <w:tc>
          <w:tcPr>
            <w:tcW w:w="905" w:type="dxa"/>
            <w:tcBorders>
              <w:left w:val="nil"/>
              <w:right w:val="nil"/>
            </w:tcBorders>
          </w:tcPr>
          <w:p>
            <w:pPr>
              <w:pStyle w:val="TableParagraph"/>
              <w:spacing w:before="18"/>
              <w:ind w:right="67"/>
              <w:rPr>
                <w:sz w:val="24"/>
              </w:rPr>
            </w:pPr>
            <w:r>
              <w:rPr>
                <w:sz w:val="24"/>
              </w:rPr>
              <w:t>2011</w:t>
            </w:r>
          </w:p>
        </w:tc>
        <w:tc>
          <w:tcPr>
            <w:tcW w:w="1141" w:type="dxa"/>
            <w:tcBorders>
              <w:left w:val="nil"/>
              <w:right w:val="nil"/>
            </w:tcBorders>
          </w:tcPr>
          <w:p>
            <w:pPr>
              <w:pStyle w:val="TableParagraph"/>
              <w:spacing w:before="18"/>
              <w:ind w:left="69"/>
              <w:jc w:val="left"/>
              <w:rPr>
                <w:sz w:val="24"/>
              </w:rPr>
            </w:pPr>
            <w:r>
              <w:rPr>
                <w:sz w:val="24"/>
              </w:rPr>
              <w:t>2012p/</w:t>
            </w:r>
          </w:p>
        </w:tc>
        <w:tc>
          <w:tcPr>
            <w:tcW w:w="1130" w:type="dxa"/>
            <w:tcBorders>
              <w:left w:val="nil"/>
              <w:right w:val="nil"/>
            </w:tcBorders>
          </w:tcPr>
          <w:p>
            <w:pPr>
              <w:pStyle w:val="TableParagraph"/>
              <w:spacing w:before="18"/>
              <w:ind w:left="69"/>
              <w:jc w:val="left"/>
              <w:rPr>
                <w:sz w:val="24"/>
              </w:rPr>
            </w:pPr>
            <w:r>
              <w:rPr>
                <w:sz w:val="24"/>
              </w:rPr>
              <w:t>2013e/</w:t>
            </w:r>
          </w:p>
        </w:tc>
      </w:tr>
      <w:tr>
        <w:trPr>
          <w:trHeight w:val="641" w:hRule="exact"/>
        </w:trPr>
        <w:tc>
          <w:tcPr>
            <w:tcW w:w="2350" w:type="dxa"/>
            <w:tcBorders>
              <w:left w:val="nil"/>
              <w:bottom w:val="nil"/>
              <w:right w:val="nil"/>
            </w:tcBorders>
          </w:tcPr>
          <w:p>
            <w:pPr>
              <w:pStyle w:val="TableParagraph"/>
              <w:spacing w:before="23"/>
              <w:ind w:left="69" w:right="581"/>
              <w:jc w:val="left"/>
              <w:rPr>
                <w:b/>
                <w:sz w:val="24"/>
              </w:rPr>
            </w:pPr>
            <w:r>
              <w:rPr>
                <w:b/>
                <w:sz w:val="24"/>
              </w:rPr>
              <w:t>Norteamérica</w:t>
            </w:r>
          </w:p>
          <w:p>
            <w:pPr>
              <w:pStyle w:val="TableParagraph"/>
              <w:spacing w:before="19"/>
              <w:ind w:left="69" w:right="581"/>
              <w:jc w:val="left"/>
              <w:rPr>
                <w:sz w:val="24"/>
              </w:rPr>
            </w:pPr>
            <w:r>
              <w:rPr>
                <w:sz w:val="24"/>
              </w:rPr>
              <w:t>Canadá</w:t>
            </w:r>
          </w:p>
        </w:tc>
        <w:tc>
          <w:tcPr>
            <w:tcW w:w="1293" w:type="dxa"/>
            <w:tcBorders>
              <w:left w:val="nil"/>
              <w:bottom w:val="nil"/>
              <w:right w:val="nil"/>
            </w:tcBorders>
          </w:tcPr>
          <w:p>
            <w:pPr>
              <w:pStyle w:val="TableParagraph"/>
              <w:spacing w:before="7"/>
              <w:jc w:val="left"/>
              <w:rPr>
                <w:sz w:val="27"/>
              </w:rPr>
            </w:pPr>
          </w:p>
          <w:p>
            <w:pPr>
              <w:pStyle w:val="TableParagraph"/>
              <w:spacing w:before="1"/>
              <w:ind w:right="174"/>
              <w:rPr>
                <w:sz w:val="24"/>
              </w:rPr>
            </w:pPr>
            <w:r>
              <w:rPr>
                <w:sz w:val="24"/>
              </w:rPr>
              <w:t>3,145</w:t>
            </w:r>
          </w:p>
        </w:tc>
        <w:tc>
          <w:tcPr>
            <w:tcW w:w="1012" w:type="dxa"/>
            <w:tcBorders>
              <w:left w:val="nil"/>
              <w:bottom w:val="nil"/>
              <w:right w:val="nil"/>
            </w:tcBorders>
          </w:tcPr>
          <w:p>
            <w:pPr>
              <w:pStyle w:val="TableParagraph"/>
              <w:spacing w:before="7"/>
              <w:jc w:val="left"/>
              <w:rPr>
                <w:sz w:val="27"/>
              </w:rPr>
            </w:pPr>
          </w:p>
          <w:p>
            <w:pPr>
              <w:pStyle w:val="TableParagraph"/>
              <w:spacing w:before="1"/>
              <w:ind w:right="173"/>
              <w:rPr>
                <w:sz w:val="24"/>
              </w:rPr>
            </w:pPr>
            <w:r>
              <w:rPr>
                <w:sz w:val="24"/>
              </w:rPr>
              <w:t>3,103</w:t>
            </w:r>
          </w:p>
        </w:tc>
        <w:tc>
          <w:tcPr>
            <w:tcW w:w="1011" w:type="dxa"/>
            <w:tcBorders>
              <w:left w:val="nil"/>
              <w:bottom w:val="nil"/>
              <w:right w:val="nil"/>
            </w:tcBorders>
          </w:tcPr>
          <w:p>
            <w:pPr>
              <w:pStyle w:val="TableParagraph"/>
              <w:spacing w:before="7"/>
              <w:jc w:val="left"/>
              <w:rPr>
                <w:sz w:val="27"/>
              </w:rPr>
            </w:pPr>
          </w:p>
          <w:p>
            <w:pPr>
              <w:pStyle w:val="TableParagraph"/>
              <w:spacing w:before="1"/>
              <w:ind w:right="173"/>
              <w:rPr>
                <w:sz w:val="24"/>
              </w:rPr>
            </w:pPr>
            <w:r>
              <w:rPr>
                <w:sz w:val="24"/>
              </w:rPr>
              <w:t>3,184</w:t>
            </w:r>
          </w:p>
        </w:tc>
        <w:tc>
          <w:tcPr>
            <w:tcW w:w="905" w:type="dxa"/>
            <w:tcBorders>
              <w:left w:val="nil"/>
              <w:bottom w:val="nil"/>
              <w:right w:val="nil"/>
            </w:tcBorders>
          </w:tcPr>
          <w:p>
            <w:pPr>
              <w:pStyle w:val="TableParagraph"/>
              <w:spacing w:before="7"/>
              <w:jc w:val="left"/>
              <w:rPr>
                <w:sz w:val="27"/>
              </w:rPr>
            </w:pPr>
          </w:p>
          <w:p>
            <w:pPr>
              <w:pStyle w:val="TableParagraph"/>
              <w:spacing w:before="1"/>
              <w:ind w:right="67"/>
              <w:rPr>
                <w:sz w:val="24"/>
              </w:rPr>
            </w:pPr>
            <w:r>
              <w:rPr>
                <w:sz w:val="24"/>
              </w:rPr>
              <w:t>3,164</w:t>
            </w:r>
          </w:p>
        </w:tc>
        <w:tc>
          <w:tcPr>
            <w:tcW w:w="1141" w:type="dxa"/>
            <w:tcBorders>
              <w:left w:val="nil"/>
              <w:bottom w:val="nil"/>
              <w:right w:val="nil"/>
            </w:tcBorders>
          </w:tcPr>
          <w:p>
            <w:pPr>
              <w:pStyle w:val="TableParagraph"/>
              <w:spacing w:before="7"/>
              <w:jc w:val="left"/>
              <w:rPr>
                <w:sz w:val="27"/>
              </w:rPr>
            </w:pPr>
          </w:p>
          <w:p>
            <w:pPr>
              <w:pStyle w:val="TableParagraph"/>
              <w:spacing w:before="1"/>
              <w:ind w:right="67"/>
              <w:rPr>
                <w:sz w:val="24"/>
              </w:rPr>
            </w:pPr>
            <w:r>
              <w:rPr>
                <w:sz w:val="24"/>
              </w:rPr>
              <w:t>3,200</w:t>
            </w:r>
          </w:p>
        </w:tc>
        <w:tc>
          <w:tcPr>
            <w:tcW w:w="1130" w:type="dxa"/>
            <w:tcBorders>
              <w:left w:val="nil"/>
              <w:bottom w:val="nil"/>
              <w:right w:val="nil"/>
            </w:tcBorders>
          </w:tcPr>
          <w:p>
            <w:pPr>
              <w:pStyle w:val="TableParagraph"/>
              <w:spacing w:before="7"/>
              <w:jc w:val="left"/>
              <w:rPr>
                <w:sz w:val="27"/>
              </w:rPr>
            </w:pPr>
          </w:p>
          <w:p>
            <w:pPr>
              <w:pStyle w:val="TableParagraph"/>
              <w:spacing w:before="1"/>
              <w:ind w:right="71"/>
              <w:rPr>
                <w:sz w:val="24"/>
              </w:rPr>
            </w:pPr>
            <w:r>
              <w:rPr>
                <w:sz w:val="24"/>
              </w:rPr>
              <w:t>3,250</w:t>
            </w:r>
          </w:p>
        </w:tc>
      </w:tr>
      <w:tr>
        <w:trPr>
          <w:trHeight w:val="300"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Estados Unidos</w:t>
            </w:r>
          </w:p>
        </w:tc>
        <w:tc>
          <w:tcPr>
            <w:tcW w:w="1293" w:type="dxa"/>
            <w:tcBorders>
              <w:top w:val="nil"/>
              <w:left w:val="nil"/>
              <w:bottom w:val="nil"/>
              <w:right w:val="nil"/>
            </w:tcBorders>
          </w:tcPr>
          <w:p>
            <w:pPr>
              <w:pStyle w:val="TableParagraph"/>
              <w:spacing w:line="275" w:lineRule="exact"/>
              <w:ind w:right="174"/>
              <w:rPr>
                <w:sz w:val="24"/>
              </w:rPr>
            </w:pPr>
            <w:r>
              <w:rPr>
                <w:sz w:val="24"/>
              </w:rPr>
              <w:t>28,124</w:t>
            </w:r>
          </w:p>
        </w:tc>
        <w:tc>
          <w:tcPr>
            <w:tcW w:w="1012" w:type="dxa"/>
            <w:tcBorders>
              <w:top w:val="nil"/>
              <w:left w:val="nil"/>
              <w:bottom w:val="nil"/>
              <w:right w:val="nil"/>
            </w:tcBorders>
          </w:tcPr>
          <w:p>
            <w:pPr>
              <w:pStyle w:val="TableParagraph"/>
              <w:spacing w:line="275" w:lineRule="exact"/>
              <w:ind w:right="173"/>
              <w:rPr>
                <w:sz w:val="24"/>
              </w:rPr>
            </w:pPr>
            <w:r>
              <w:rPr>
                <w:sz w:val="24"/>
              </w:rPr>
              <w:t>28,550</w:t>
            </w:r>
          </w:p>
        </w:tc>
        <w:tc>
          <w:tcPr>
            <w:tcW w:w="1011" w:type="dxa"/>
            <w:tcBorders>
              <w:top w:val="nil"/>
              <w:left w:val="nil"/>
              <w:bottom w:val="nil"/>
              <w:right w:val="nil"/>
            </w:tcBorders>
          </w:tcPr>
          <w:p>
            <w:pPr>
              <w:pStyle w:val="TableParagraph"/>
              <w:spacing w:line="275" w:lineRule="exact"/>
              <w:ind w:right="173"/>
              <w:rPr>
                <w:sz w:val="24"/>
              </w:rPr>
            </w:pPr>
            <w:r>
              <w:rPr>
                <w:sz w:val="24"/>
              </w:rPr>
              <w:t>28,896</w:t>
            </w:r>
          </w:p>
        </w:tc>
        <w:tc>
          <w:tcPr>
            <w:tcW w:w="905" w:type="dxa"/>
            <w:tcBorders>
              <w:top w:val="nil"/>
              <w:left w:val="nil"/>
              <w:bottom w:val="nil"/>
              <w:right w:val="nil"/>
            </w:tcBorders>
          </w:tcPr>
          <w:p>
            <w:pPr>
              <w:pStyle w:val="TableParagraph"/>
              <w:spacing w:line="275" w:lineRule="exact"/>
              <w:ind w:right="67"/>
              <w:rPr>
                <w:sz w:val="24"/>
              </w:rPr>
            </w:pPr>
            <w:r>
              <w:rPr>
                <w:sz w:val="24"/>
              </w:rPr>
              <w:t>28,261</w:t>
            </w:r>
          </w:p>
        </w:tc>
        <w:tc>
          <w:tcPr>
            <w:tcW w:w="1141" w:type="dxa"/>
            <w:tcBorders>
              <w:top w:val="nil"/>
              <w:left w:val="nil"/>
              <w:bottom w:val="nil"/>
              <w:right w:val="nil"/>
            </w:tcBorders>
          </w:tcPr>
          <w:p>
            <w:pPr>
              <w:pStyle w:val="TableParagraph"/>
              <w:spacing w:line="275" w:lineRule="exact"/>
              <w:ind w:right="67"/>
              <w:rPr>
                <w:sz w:val="24"/>
              </w:rPr>
            </w:pPr>
            <w:r>
              <w:rPr>
                <w:sz w:val="24"/>
              </w:rPr>
              <w:t>28,755</w:t>
            </w:r>
          </w:p>
        </w:tc>
        <w:tc>
          <w:tcPr>
            <w:tcW w:w="1130" w:type="dxa"/>
            <w:tcBorders>
              <w:top w:val="nil"/>
              <w:left w:val="nil"/>
              <w:bottom w:val="nil"/>
              <w:right w:val="nil"/>
            </w:tcBorders>
          </w:tcPr>
          <w:p>
            <w:pPr>
              <w:pStyle w:val="TableParagraph"/>
              <w:spacing w:line="275" w:lineRule="exact"/>
              <w:ind w:right="71"/>
              <w:rPr>
                <w:sz w:val="24"/>
              </w:rPr>
            </w:pPr>
            <w:r>
              <w:rPr>
                <w:sz w:val="24"/>
              </w:rPr>
              <w:t>28,760</w:t>
            </w:r>
          </w:p>
        </w:tc>
      </w:tr>
      <w:tr>
        <w:trPr>
          <w:trHeight w:val="302"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México</w:t>
            </w:r>
          </w:p>
        </w:tc>
        <w:tc>
          <w:tcPr>
            <w:tcW w:w="1293" w:type="dxa"/>
            <w:tcBorders>
              <w:top w:val="nil"/>
              <w:left w:val="nil"/>
              <w:bottom w:val="nil"/>
              <w:right w:val="nil"/>
            </w:tcBorders>
          </w:tcPr>
          <w:p>
            <w:pPr>
              <w:pStyle w:val="TableParagraph"/>
              <w:spacing w:line="275" w:lineRule="exact"/>
              <w:ind w:right="174"/>
              <w:rPr>
                <w:sz w:val="24"/>
              </w:rPr>
            </w:pPr>
            <w:r>
              <w:rPr>
                <w:sz w:val="24"/>
              </w:rPr>
              <w:t>4,263</w:t>
            </w:r>
          </w:p>
        </w:tc>
        <w:tc>
          <w:tcPr>
            <w:tcW w:w="1012" w:type="dxa"/>
            <w:tcBorders>
              <w:top w:val="nil"/>
              <w:left w:val="nil"/>
              <w:bottom w:val="nil"/>
              <w:right w:val="nil"/>
            </w:tcBorders>
          </w:tcPr>
          <w:p>
            <w:pPr>
              <w:pStyle w:val="TableParagraph"/>
              <w:spacing w:line="275" w:lineRule="exact"/>
              <w:ind w:right="173"/>
              <w:rPr>
                <w:sz w:val="24"/>
              </w:rPr>
            </w:pPr>
            <w:r>
              <w:rPr>
                <w:sz w:val="24"/>
              </w:rPr>
              <w:t>5,206</w:t>
            </w:r>
          </w:p>
        </w:tc>
        <w:tc>
          <w:tcPr>
            <w:tcW w:w="1011" w:type="dxa"/>
            <w:tcBorders>
              <w:top w:val="nil"/>
              <w:left w:val="nil"/>
              <w:bottom w:val="nil"/>
              <w:right w:val="nil"/>
            </w:tcBorders>
          </w:tcPr>
          <w:p>
            <w:pPr>
              <w:pStyle w:val="TableParagraph"/>
              <w:spacing w:line="275" w:lineRule="exact"/>
              <w:ind w:right="173"/>
              <w:rPr>
                <w:sz w:val="24"/>
              </w:rPr>
            </w:pPr>
            <w:r>
              <w:rPr>
                <w:sz w:val="24"/>
              </w:rPr>
              <w:t>5,167</w:t>
            </w:r>
          </w:p>
        </w:tc>
        <w:tc>
          <w:tcPr>
            <w:tcW w:w="905" w:type="dxa"/>
            <w:tcBorders>
              <w:top w:val="nil"/>
              <w:left w:val="nil"/>
              <w:bottom w:val="nil"/>
              <w:right w:val="nil"/>
            </w:tcBorders>
          </w:tcPr>
          <w:p>
            <w:pPr>
              <w:pStyle w:val="TableParagraph"/>
              <w:spacing w:line="275" w:lineRule="exact"/>
              <w:ind w:right="67"/>
              <w:rPr>
                <w:sz w:val="24"/>
              </w:rPr>
            </w:pPr>
            <w:r>
              <w:rPr>
                <w:sz w:val="24"/>
              </w:rPr>
              <w:t>4,100</w:t>
            </w:r>
          </w:p>
        </w:tc>
        <w:tc>
          <w:tcPr>
            <w:tcW w:w="1141" w:type="dxa"/>
            <w:tcBorders>
              <w:top w:val="nil"/>
              <w:left w:val="nil"/>
              <w:bottom w:val="nil"/>
              <w:right w:val="nil"/>
            </w:tcBorders>
          </w:tcPr>
          <w:p>
            <w:pPr>
              <w:pStyle w:val="TableParagraph"/>
              <w:spacing w:line="275" w:lineRule="exact"/>
              <w:ind w:right="67"/>
              <w:rPr>
                <w:sz w:val="24"/>
              </w:rPr>
            </w:pPr>
            <w:r>
              <w:rPr>
                <w:sz w:val="24"/>
              </w:rPr>
              <w:t>4,168</w:t>
            </w:r>
          </w:p>
        </w:tc>
        <w:tc>
          <w:tcPr>
            <w:tcW w:w="1130" w:type="dxa"/>
            <w:tcBorders>
              <w:top w:val="nil"/>
              <w:left w:val="nil"/>
              <w:bottom w:val="nil"/>
              <w:right w:val="nil"/>
            </w:tcBorders>
          </w:tcPr>
          <w:p>
            <w:pPr>
              <w:pStyle w:val="TableParagraph"/>
              <w:spacing w:line="275" w:lineRule="exact"/>
              <w:ind w:right="71"/>
              <w:rPr>
                <w:sz w:val="24"/>
              </w:rPr>
            </w:pPr>
            <w:r>
              <w:rPr>
                <w:sz w:val="24"/>
              </w:rPr>
              <w:t>4,171</w:t>
            </w:r>
          </w:p>
        </w:tc>
      </w:tr>
      <w:tr>
        <w:trPr>
          <w:trHeight w:val="898" w:hRule="exact"/>
        </w:trPr>
        <w:tc>
          <w:tcPr>
            <w:tcW w:w="2350" w:type="dxa"/>
            <w:tcBorders>
              <w:top w:val="nil"/>
              <w:left w:val="nil"/>
              <w:bottom w:val="nil"/>
              <w:right w:val="nil"/>
            </w:tcBorders>
          </w:tcPr>
          <w:p>
            <w:pPr>
              <w:pStyle w:val="TableParagraph"/>
              <w:spacing w:line="259" w:lineRule="auto" w:before="1"/>
              <w:ind w:left="69" w:right="581"/>
              <w:jc w:val="left"/>
              <w:rPr>
                <w:sz w:val="24"/>
              </w:rPr>
            </w:pPr>
            <w:r>
              <w:rPr>
                <w:b/>
                <w:sz w:val="24"/>
              </w:rPr>
              <w:t>Subtotal América del Sur </w:t>
            </w:r>
            <w:r>
              <w:rPr>
                <w:sz w:val="24"/>
              </w:rPr>
              <w:t>Argentina</w:t>
            </w:r>
          </w:p>
        </w:tc>
        <w:tc>
          <w:tcPr>
            <w:tcW w:w="1293" w:type="dxa"/>
            <w:tcBorders>
              <w:top w:val="nil"/>
              <w:left w:val="nil"/>
              <w:bottom w:val="nil"/>
              <w:right w:val="nil"/>
            </w:tcBorders>
          </w:tcPr>
          <w:p>
            <w:pPr>
              <w:pStyle w:val="TableParagraph"/>
              <w:spacing w:before="1"/>
              <w:ind w:left="435" w:right="156"/>
              <w:jc w:val="center"/>
              <w:rPr>
                <w:b/>
                <w:sz w:val="24"/>
              </w:rPr>
            </w:pPr>
            <w:r>
              <w:rPr>
                <w:b/>
                <w:sz w:val="24"/>
              </w:rPr>
              <w:t>35,532</w:t>
            </w:r>
          </w:p>
          <w:p>
            <w:pPr>
              <w:pStyle w:val="TableParagraph"/>
              <w:spacing w:before="8"/>
              <w:jc w:val="left"/>
              <w:rPr>
                <w:sz w:val="27"/>
              </w:rPr>
            </w:pPr>
          </w:p>
          <w:p>
            <w:pPr>
              <w:pStyle w:val="TableParagraph"/>
              <w:ind w:left="435" w:right="36"/>
              <w:jc w:val="center"/>
              <w:rPr>
                <w:sz w:val="24"/>
              </w:rPr>
            </w:pPr>
            <w:r>
              <w:rPr>
                <w:sz w:val="24"/>
              </w:rPr>
              <w:t>1,975</w:t>
            </w:r>
          </w:p>
        </w:tc>
        <w:tc>
          <w:tcPr>
            <w:tcW w:w="1012" w:type="dxa"/>
            <w:tcBorders>
              <w:top w:val="nil"/>
              <w:left w:val="nil"/>
              <w:bottom w:val="nil"/>
              <w:right w:val="nil"/>
            </w:tcBorders>
          </w:tcPr>
          <w:p>
            <w:pPr>
              <w:pStyle w:val="TableParagraph"/>
              <w:spacing w:before="1"/>
              <w:ind w:left="156" w:right="155"/>
              <w:jc w:val="center"/>
              <w:rPr>
                <w:b/>
                <w:sz w:val="24"/>
              </w:rPr>
            </w:pPr>
            <w:r>
              <w:rPr>
                <w:b/>
                <w:sz w:val="24"/>
              </w:rPr>
              <w:t>36,859</w:t>
            </w:r>
          </w:p>
          <w:p>
            <w:pPr>
              <w:pStyle w:val="TableParagraph"/>
              <w:spacing w:before="8"/>
              <w:jc w:val="left"/>
              <w:rPr>
                <w:sz w:val="27"/>
              </w:rPr>
            </w:pPr>
          </w:p>
          <w:p>
            <w:pPr>
              <w:pStyle w:val="TableParagraph"/>
              <w:ind w:left="156" w:right="36"/>
              <w:jc w:val="center"/>
              <w:rPr>
                <w:sz w:val="24"/>
              </w:rPr>
            </w:pPr>
            <w:r>
              <w:rPr>
                <w:sz w:val="24"/>
              </w:rPr>
              <w:t>2,100</w:t>
            </w:r>
          </w:p>
        </w:tc>
        <w:tc>
          <w:tcPr>
            <w:tcW w:w="1011" w:type="dxa"/>
            <w:tcBorders>
              <w:top w:val="nil"/>
              <w:left w:val="nil"/>
              <w:bottom w:val="nil"/>
              <w:right w:val="nil"/>
            </w:tcBorders>
          </w:tcPr>
          <w:p>
            <w:pPr>
              <w:pStyle w:val="TableParagraph"/>
              <w:spacing w:before="1"/>
              <w:ind w:left="155" w:right="155"/>
              <w:jc w:val="center"/>
              <w:rPr>
                <w:b/>
                <w:sz w:val="24"/>
              </w:rPr>
            </w:pPr>
            <w:r>
              <w:rPr>
                <w:b/>
                <w:sz w:val="24"/>
              </w:rPr>
              <w:t>37,247</w:t>
            </w:r>
          </w:p>
          <w:p>
            <w:pPr>
              <w:pStyle w:val="TableParagraph"/>
              <w:spacing w:before="8"/>
              <w:jc w:val="left"/>
              <w:rPr>
                <w:sz w:val="27"/>
              </w:rPr>
            </w:pPr>
          </w:p>
          <w:p>
            <w:pPr>
              <w:pStyle w:val="TableParagraph"/>
              <w:ind w:left="155" w:right="35"/>
              <w:jc w:val="center"/>
              <w:rPr>
                <w:sz w:val="24"/>
              </w:rPr>
            </w:pPr>
            <w:r>
              <w:rPr>
                <w:sz w:val="24"/>
              </w:rPr>
              <w:t>2,130</w:t>
            </w:r>
          </w:p>
        </w:tc>
        <w:tc>
          <w:tcPr>
            <w:tcW w:w="905" w:type="dxa"/>
            <w:tcBorders>
              <w:top w:val="nil"/>
              <w:left w:val="nil"/>
              <w:bottom w:val="nil"/>
              <w:right w:val="nil"/>
            </w:tcBorders>
          </w:tcPr>
          <w:p>
            <w:pPr>
              <w:pStyle w:val="TableParagraph"/>
              <w:spacing w:before="1"/>
              <w:ind w:left="154" w:right="49"/>
              <w:jc w:val="center"/>
              <w:rPr>
                <w:b/>
                <w:sz w:val="24"/>
              </w:rPr>
            </w:pPr>
            <w:r>
              <w:rPr>
                <w:b/>
                <w:sz w:val="24"/>
              </w:rPr>
              <w:t>35,525</w:t>
            </w:r>
          </w:p>
          <w:p>
            <w:pPr>
              <w:pStyle w:val="TableParagraph"/>
              <w:spacing w:before="8"/>
              <w:jc w:val="left"/>
              <w:rPr>
                <w:sz w:val="27"/>
              </w:rPr>
            </w:pPr>
          </w:p>
          <w:p>
            <w:pPr>
              <w:pStyle w:val="TableParagraph"/>
              <w:ind w:left="274" w:right="49"/>
              <w:jc w:val="center"/>
              <w:rPr>
                <w:sz w:val="24"/>
              </w:rPr>
            </w:pPr>
            <w:r>
              <w:rPr>
                <w:sz w:val="24"/>
              </w:rPr>
              <w:t>2,093</w:t>
            </w:r>
          </w:p>
        </w:tc>
        <w:tc>
          <w:tcPr>
            <w:tcW w:w="1141" w:type="dxa"/>
            <w:tcBorders>
              <w:top w:val="nil"/>
              <w:left w:val="nil"/>
              <w:bottom w:val="nil"/>
              <w:right w:val="nil"/>
            </w:tcBorders>
          </w:tcPr>
          <w:p>
            <w:pPr>
              <w:pStyle w:val="TableParagraph"/>
              <w:spacing w:before="1"/>
              <w:ind w:left="390" w:right="50"/>
              <w:jc w:val="center"/>
              <w:rPr>
                <w:b/>
                <w:sz w:val="24"/>
              </w:rPr>
            </w:pPr>
            <w:r>
              <w:rPr>
                <w:b/>
                <w:sz w:val="24"/>
              </w:rPr>
              <w:t>36,123</w:t>
            </w:r>
          </w:p>
          <w:p>
            <w:pPr>
              <w:pStyle w:val="TableParagraph"/>
              <w:spacing w:before="8"/>
              <w:jc w:val="left"/>
              <w:rPr>
                <w:sz w:val="27"/>
              </w:rPr>
            </w:pPr>
          </w:p>
          <w:p>
            <w:pPr>
              <w:pStyle w:val="TableParagraph"/>
              <w:ind w:left="510" w:right="50"/>
              <w:jc w:val="center"/>
              <w:rPr>
                <w:sz w:val="24"/>
              </w:rPr>
            </w:pPr>
            <w:r>
              <w:rPr>
                <w:sz w:val="24"/>
              </w:rPr>
              <w:t>2,157</w:t>
            </w:r>
          </w:p>
        </w:tc>
        <w:tc>
          <w:tcPr>
            <w:tcW w:w="1130" w:type="dxa"/>
            <w:tcBorders>
              <w:top w:val="nil"/>
              <w:left w:val="nil"/>
              <w:bottom w:val="nil"/>
              <w:right w:val="nil"/>
            </w:tcBorders>
          </w:tcPr>
          <w:p>
            <w:pPr>
              <w:pStyle w:val="TableParagraph"/>
              <w:spacing w:before="1"/>
              <w:ind w:left="378" w:right="52"/>
              <w:jc w:val="center"/>
              <w:rPr>
                <w:b/>
                <w:sz w:val="24"/>
              </w:rPr>
            </w:pPr>
            <w:r>
              <w:rPr>
                <w:b/>
                <w:sz w:val="24"/>
              </w:rPr>
              <w:t>36,181</w:t>
            </w:r>
          </w:p>
          <w:p>
            <w:pPr>
              <w:pStyle w:val="TableParagraph"/>
              <w:spacing w:before="8"/>
              <w:jc w:val="left"/>
              <w:rPr>
                <w:sz w:val="27"/>
              </w:rPr>
            </w:pPr>
          </w:p>
          <w:p>
            <w:pPr>
              <w:pStyle w:val="TableParagraph"/>
              <w:ind w:left="498" w:right="52"/>
              <w:jc w:val="center"/>
              <w:rPr>
                <w:sz w:val="24"/>
              </w:rPr>
            </w:pPr>
            <w:r>
              <w:rPr>
                <w:sz w:val="24"/>
              </w:rPr>
              <w:t>2,232</w:t>
            </w:r>
          </w:p>
        </w:tc>
      </w:tr>
      <w:tr>
        <w:trPr>
          <w:trHeight w:val="302"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Brasil</w:t>
            </w:r>
          </w:p>
        </w:tc>
        <w:tc>
          <w:tcPr>
            <w:tcW w:w="1293" w:type="dxa"/>
            <w:tcBorders>
              <w:top w:val="nil"/>
              <w:left w:val="nil"/>
              <w:bottom w:val="nil"/>
              <w:right w:val="nil"/>
            </w:tcBorders>
          </w:tcPr>
          <w:p>
            <w:pPr>
              <w:pStyle w:val="TableParagraph"/>
              <w:spacing w:line="275" w:lineRule="exact"/>
              <w:ind w:right="174"/>
              <w:rPr>
                <w:sz w:val="24"/>
              </w:rPr>
            </w:pPr>
            <w:r>
              <w:rPr>
                <w:sz w:val="24"/>
              </w:rPr>
              <w:t>10,684</w:t>
            </w:r>
          </w:p>
        </w:tc>
        <w:tc>
          <w:tcPr>
            <w:tcW w:w="1012" w:type="dxa"/>
            <w:tcBorders>
              <w:top w:val="nil"/>
              <w:left w:val="nil"/>
              <w:bottom w:val="nil"/>
              <w:right w:val="nil"/>
            </w:tcBorders>
          </w:tcPr>
          <w:p>
            <w:pPr>
              <w:pStyle w:val="TableParagraph"/>
              <w:spacing w:line="275" w:lineRule="exact"/>
              <w:ind w:right="173"/>
              <w:rPr>
                <w:sz w:val="24"/>
              </w:rPr>
            </w:pPr>
            <w:r>
              <w:rPr>
                <w:sz w:val="24"/>
              </w:rPr>
              <w:t>10,895</w:t>
            </w:r>
          </w:p>
        </w:tc>
        <w:tc>
          <w:tcPr>
            <w:tcW w:w="1011" w:type="dxa"/>
            <w:tcBorders>
              <w:top w:val="nil"/>
              <w:left w:val="nil"/>
              <w:bottom w:val="nil"/>
              <w:right w:val="nil"/>
            </w:tcBorders>
          </w:tcPr>
          <w:p>
            <w:pPr>
              <w:pStyle w:val="TableParagraph"/>
              <w:spacing w:line="275" w:lineRule="exact"/>
              <w:ind w:right="173"/>
              <w:rPr>
                <w:sz w:val="24"/>
              </w:rPr>
            </w:pPr>
            <w:r>
              <w:rPr>
                <w:sz w:val="24"/>
              </w:rPr>
              <w:t>11,278</w:t>
            </w:r>
          </w:p>
        </w:tc>
        <w:tc>
          <w:tcPr>
            <w:tcW w:w="905" w:type="dxa"/>
            <w:tcBorders>
              <w:top w:val="nil"/>
              <w:left w:val="nil"/>
              <w:bottom w:val="nil"/>
              <w:right w:val="nil"/>
            </w:tcBorders>
          </w:tcPr>
          <w:p>
            <w:pPr>
              <w:pStyle w:val="TableParagraph"/>
              <w:spacing w:line="275" w:lineRule="exact"/>
              <w:ind w:right="67"/>
              <w:rPr>
                <w:sz w:val="24"/>
              </w:rPr>
            </w:pPr>
            <w:r>
              <w:rPr>
                <w:sz w:val="24"/>
              </w:rPr>
              <w:t>11,429</w:t>
            </w:r>
          </w:p>
        </w:tc>
        <w:tc>
          <w:tcPr>
            <w:tcW w:w="1141" w:type="dxa"/>
            <w:tcBorders>
              <w:top w:val="nil"/>
              <w:left w:val="nil"/>
              <w:bottom w:val="nil"/>
              <w:right w:val="nil"/>
            </w:tcBorders>
          </w:tcPr>
          <w:p>
            <w:pPr>
              <w:pStyle w:val="TableParagraph"/>
              <w:spacing w:line="275" w:lineRule="exact"/>
              <w:ind w:right="67"/>
              <w:rPr>
                <w:sz w:val="24"/>
              </w:rPr>
            </w:pPr>
            <w:r>
              <w:rPr>
                <w:sz w:val="24"/>
              </w:rPr>
              <w:t>11,715</w:t>
            </w:r>
          </w:p>
        </w:tc>
        <w:tc>
          <w:tcPr>
            <w:tcW w:w="1130" w:type="dxa"/>
            <w:tcBorders>
              <w:top w:val="nil"/>
              <w:left w:val="nil"/>
              <w:bottom w:val="nil"/>
              <w:right w:val="nil"/>
            </w:tcBorders>
          </w:tcPr>
          <w:p>
            <w:pPr>
              <w:pStyle w:val="TableParagraph"/>
              <w:spacing w:line="275" w:lineRule="exact"/>
              <w:ind w:right="71"/>
              <w:rPr>
                <w:sz w:val="24"/>
              </w:rPr>
            </w:pPr>
            <w:r>
              <w:rPr>
                <w:sz w:val="24"/>
              </w:rPr>
              <w:t>12,000</w:t>
            </w:r>
          </w:p>
        </w:tc>
      </w:tr>
      <w:tr>
        <w:trPr>
          <w:trHeight w:val="300" w:hRule="exact"/>
        </w:trPr>
        <w:tc>
          <w:tcPr>
            <w:tcW w:w="2350" w:type="dxa"/>
            <w:tcBorders>
              <w:top w:val="nil"/>
              <w:left w:val="nil"/>
              <w:bottom w:val="nil"/>
              <w:right w:val="nil"/>
            </w:tcBorders>
          </w:tcPr>
          <w:p>
            <w:pPr>
              <w:pStyle w:val="TableParagraph"/>
              <w:spacing w:before="1"/>
              <w:ind w:left="69" w:right="581"/>
              <w:jc w:val="left"/>
              <w:rPr>
                <w:b/>
                <w:sz w:val="24"/>
              </w:rPr>
            </w:pPr>
            <w:r>
              <w:rPr>
                <w:b/>
                <w:sz w:val="24"/>
              </w:rPr>
              <w:t>Subtotal</w:t>
            </w:r>
          </w:p>
        </w:tc>
        <w:tc>
          <w:tcPr>
            <w:tcW w:w="1293" w:type="dxa"/>
            <w:tcBorders>
              <w:top w:val="nil"/>
              <w:left w:val="nil"/>
              <w:bottom w:val="nil"/>
              <w:right w:val="nil"/>
            </w:tcBorders>
          </w:tcPr>
          <w:p>
            <w:pPr>
              <w:pStyle w:val="TableParagraph"/>
              <w:spacing w:before="1"/>
              <w:ind w:right="174"/>
              <w:rPr>
                <w:b/>
                <w:sz w:val="24"/>
              </w:rPr>
            </w:pPr>
            <w:r>
              <w:rPr>
                <w:b/>
                <w:sz w:val="24"/>
              </w:rPr>
              <w:t>12,659</w:t>
            </w:r>
          </w:p>
        </w:tc>
        <w:tc>
          <w:tcPr>
            <w:tcW w:w="1012" w:type="dxa"/>
            <w:tcBorders>
              <w:top w:val="nil"/>
              <w:left w:val="nil"/>
              <w:bottom w:val="nil"/>
              <w:right w:val="nil"/>
            </w:tcBorders>
          </w:tcPr>
          <w:p>
            <w:pPr>
              <w:pStyle w:val="TableParagraph"/>
              <w:spacing w:before="1"/>
              <w:ind w:right="173"/>
              <w:rPr>
                <w:b/>
                <w:sz w:val="24"/>
              </w:rPr>
            </w:pPr>
            <w:r>
              <w:rPr>
                <w:b/>
                <w:sz w:val="24"/>
              </w:rPr>
              <w:t>12,995</w:t>
            </w:r>
          </w:p>
        </w:tc>
        <w:tc>
          <w:tcPr>
            <w:tcW w:w="1011" w:type="dxa"/>
            <w:tcBorders>
              <w:top w:val="nil"/>
              <w:left w:val="nil"/>
              <w:bottom w:val="nil"/>
              <w:right w:val="nil"/>
            </w:tcBorders>
          </w:tcPr>
          <w:p>
            <w:pPr>
              <w:pStyle w:val="TableParagraph"/>
              <w:spacing w:before="1"/>
              <w:ind w:right="173"/>
              <w:rPr>
                <w:b/>
                <w:sz w:val="24"/>
              </w:rPr>
            </w:pPr>
            <w:r>
              <w:rPr>
                <w:b/>
                <w:sz w:val="24"/>
              </w:rPr>
              <w:t>13,408</w:t>
            </w:r>
          </w:p>
        </w:tc>
        <w:tc>
          <w:tcPr>
            <w:tcW w:w="905" w:type="dxa"/>
            <w:tcBorders>
              <w:top w:val="nil"/>
              <w:left w:val="nil"/>
              <w:bottom w:val="nil"/>
              <w:right w:val="nil"/>
            </w:tcBorders>
          </w:tcPr>
          <w:p>
            <w:pPr>
              <w:pStyle w:val="TableParagraph"/>
              <w:spacing w:before="1"/>
              <w:ind w:right="67"/>
              <w:rPr>
                <w:b/>
                <w:sz w:val="24"/>
              </w:rPr>
            </w:pPr>
            <w:r>
              <w:rPr>
                <w:b/>
                <w:sz w:val="24"/>
              </w:rPr>
              <w:t>13,522</w:t>
            </w:r>
          </w:p>
        </w:tc>
        <w:tc>
          <w:tcPr>
            <w:tcW w:w="1141" w:type="dxa"/>
            <w:tcBorders>
              <w:top w:val="nil"/>
              <w:left w:val="nil"/>
              <w:bottom w:val="nil"/>
              <w:right w:val="nil"/>
            </w:tcBorders>
          </w:tcPr>
          <w:p>
            <w:pPr>
              <w:pStyle w:val="TableParagraph"/>
              <w:spacing w:before="1"/>
              <w:ind w:right="68"/>
              <w:rPr>
                <w:b/>
                <w:sz w:val="24"/>
              </w:rPr>
            </w:pPr>
            <w:r>
              <w:rPr>
                <w:b/>
                <w:sz w:val="24"/>
              </w:rPr>
              <w:t>13,872</w:t>
            </w:r>
          </w:p>
        </w:tc>
        <w:tc>
          <w:tcPr>
            <w:tcW w:w="1130" w:type="dxa"/>
            <w:tcBorders>
              <w:top w:val="nil"/>
              <w:left w:val="nil"/>
              <w:bottom w:val="nil"/>
              <w:right w:val="nil"/>
            </w:tcBorders>
          </w:tcPr>
          <w:p>
            <w:pPr>
              <w:pStyle w:val="TableParagraph"/>
              <w:spacing w:before="1"/>
              <w:ind w:right="71"/>
              <w:rPr>
                <w:b/>
                <w:sz w:val="24"/>
              </w:rPr>
            </w:pPr>
            <w:r>
              <w:rPr>
                <w:b/>
                <w:sz w:val="24"/>
              </w:rPr>
              <w:t>14,232</w:t>
            </w:r>
          </w:p>
        </w:tc>
      </w:tr>
      <w:tr>
        <w:trPr>
          <w:trHeight w:val="300" w:hRule="exact"/>
        </w:trPr>
        <w:tc>
          <w:tcPr>
            <w:tcW w:w="2350" w:type="dxa"/>
            <w:tcBorders>
              <w:top w:val="nil"/>
              <w:left w:val="nil"/>
              <w:bottom w:val="nil"/>
              <w:right w:val="nil"/>
            </w:tcBorders>
          </w:tcPr>
          <w:p>
            <w:pPr>
              <w:pStyle w:val="TableParagraph"/>
              <w:spacing w:line="273" w:lineRule="exact"/>
              <w:ind w:left="69"/>
              <w:jc w:val="left"/>
              <w:rPr>
                <w:sz w:val="24"/>
              </w:rPr>
            </w:pPr>
            <w:r>
              <w:rPr>
                <w:sz w:val="24"/>
              </w:rPr>
              <w:t>Unión Europea 1/p</w:t>
            </w:r>
          </w:p>
        </w:tc>
        <w:tc>
          <w:tcPr>
            <w:tcW w:w="1293" w:type="dxa"/>
            <w:tcBorders>
              <w:top w:val="nil"/>
              <w:left w:val="nil"/>
              <w:bottom w:val="nil"/>
              <w:right w:val="nil"/>
            </w:tcBorders>
          </w:tcPr>
          <w:p>
            <w:pPr>
              <w:pStyle w:val="TableParagraph"/>
              <w:spacing w:line="273" w:lineRule="exact"/>
              <w:ind w:right="174"/>
              <w:rPr>
                <w:sz w:val="24"/>
              </w:rPr>
            </w:pPr>
            <w:r>
              <w:rPr>
                <w:sz w:val="24"/>
              </w:rPr>
              <w:t>33,744</w:t>
            </w:r>
          </w:p>
        </w:tc>
        <w:tc>
          <w:tcPr>
            <w:tcW w:w="1012" w:type="dxa"/>
            <w:tcBorders>
              <w:top w:val="nil"/>
              <w:left w:val="nil"/>
              <w:bottom w:val="nil"/>
              <w:right w:val="nil"/>
            </w:tcBorders>
          </w:tcPr>
          <w:p>
            <w:pPr>
              <w:pStyle w:val="TableParagraph"/>
              <w:spacing w:line="273" w:lineRule="exact"/>
              <w:ind w:right="173"/>
              <w:rPr>
                <w:sz w:val="24"/>
              </w:rPr>
            </w:pPr>
            <w:r>
              <w:rPr>
                <w:sz w:val="24"/>
              </w:rPr>
              <w:t>33,700</w:t>
            </w:r>
          </w:p>
        </w:tc>
        <w:tc>
          <w:tcPr>
            <w:tcW w:w="1011" w:type="dxa"/>
            <w:tcBorders>
              <w:top w:val="nil"/>
              <w:left w:val="nil"/>
              <w:bottom w:val="nil"/>
              <w:right w:val="nil"/>
            </w:tcBorders>
          </w:tcPr>
          <w:p>
            <w:pPr>
              <w:pStyle w:val="TableParagraph"/>
              <w:spacing w:line="273" w:lineRule="exact"/>
              <w:ind w:right="173"/>
              <w:rPr>
                <w:sz w:val="24"/>
              </w:rPr>
            </w:pPr>
            <w:r>
              <w:rPr>
                <w:sz w:val="24"/>
              </w:rPr>
              <w:t>33,738</w:t>
            </w:r>
          </w:p>
        </w:tc>
        <w:tc>
          <w:tcPr>
            <w:tcW w:w="905" w:type="dxa"/>
            <w:tcBorders>
              <w:top w:val="nil"/>
              <w:left w:val="nil"/>
              <w:bottom w:val="nil"/>
              <w:right w:val="nil"/>
            </w:tcBorders>
          </w:tcPr>
          <w:p>
            <w:pPr>
              <w:pStyle w:val="TableParagraph"/>
              <w:spacing w:line="273" w:lineRule="exact"/>
              <w:ind w:right="67"/>
              <w:rPr>
                <w:sz w:val="24"/>
              </w:rPr>
            </w:pPr>
            <w:r>
              <w:rPr>
                <w:sz w:val="24"/>
              </w:rPr>
              <w:t>33,870</w:t>
            </w:r>
          </w:p>
        </w:tc>
        <w:tc>
          <w:tcPr>
            <w:tcW w:w="1141" w:type="dxa"/>
            <w:tcBorders>
              <w:top w:val="nil"/>
              <w:left w:val="nil"/>
              <w:bottom w:val="nil"/>
              <w:right w:val="nil"/>
            </w:tcBorders>
          </w:tcPr>
          <w:p>
            <w:pPr>
              <w:pStyle w:val="TableParagraph"/>
              <w:spacing w:line="273" w:lineRule="exact"/>
              <w:ind w:right="67"/>
              <w:rPr>
                <w:sz w:val="24"/>
              </w:rPr>
            </w:pPr>
            <w:r>
              <w:rPr>
                <w:sz w:val="24"/>
              </w:rPr>
              <w:t>33,950</w:t>
            </w:r>
          </w:p>
        </w:tc>
        <w:tc>
          <w:tcPr>
            <w:tcW w:w="1130" w:type="dxa"/>
            <w:tcBorders>
              <w:top w:val="nil"/>
              <w:left w:val="nil"/>
              <w:bottom w:val="nil"/>
              <w:right w:val="nil"/>
            </w:tcBorders>
          </w:tcPr>
          <w:p>
            <w:pPr>
              <w:pStyle w:val="TableParagraph"/>
              <w:spacing w:line="273" w:lineRule="exact"/>
              <w:ind w:right="71"/>
              <w:rPr>
                <w:sz w:val="24"/>
              </w:rPr>
            </w:pPr>
            <w:r>
              <w:rPr>
                <w:sz w:val="24"/>
              </w:rPr>
              <w:t>33,950</w:t>
            </w:r>
          </w:p>
        </w:tc>
      </w:tr>
      <w:tr>
        <w:trPr>
          <w:trHeight w:val="598" w:hRule="exact"/>
        </w:trPr>
        <w:tc>
          <w:tcPr>
            <w:tcW w:w="2350" w:type="dxa"/>
            <w:tcBorders>
              <w:top w:val="nil"/>
              <w:left w:val="nil"/>
              <w:bottom w:val="nil"/>
              <w:right w:val="nil"/>
            </w:tcBorders>
          </w:tcPr>
          <w:p>
            <w:pPr>
              <w:pStyle w:val="TableParagraph"/>
              <w:spacing w:before="1"/>
              <w:ind w:left="69" w:right="581"/>
              <w:jc w:val="left"/>
              <w:rPr>
                <w:b/>
                <w:sz w:val="24"/>
              </w:rPr>
            </w:pPr>
            <w:r>
              <w:rPr>
                <w:b/>
                <w:sz w:val="24"/>
              </w:rPr>
              <w:t>Europa del Este</w:t>
            </w:r>
          </w:p>
          <w:p>
            <w:pPr>
              <w:pStyle w:val="TableParagraph"/>
              <w:spacing w:before="19"/>
              <w:ind w:left="69" w:right="581"/>
              <w:jc w:val="left"/>
              <w:rPr>
                <w:sz w:val="24"/>
              </w:rPr>
            </w:pPr>
            <w:r>
              <w:rPr>
                <w:sz w:val="24"/>
              </w:rPr>
              <w:t>Rusia</w:t>
            </w:r>
          </w:p>
        </w:tc>
        <w:tc>
          <w:tcPr>
            <w:tcW w:w="1293" w:type="dxa"/>
            <w:tcBorders>
              <w:top w:val="nil"/>
              <w:left w:val="nil"/>
              <w:bottom w:val="nil"/>
              <w:right w:val="nil"/>
            </w:tcBorders>
          </w:tcPr>
          <w:p>
            <w:pPr>
              <w:pStyle w:val="TableParagraph"/>
              <w:spacing w:before="9"/>
              <w:jc w:val="left"/>
              <w:rPr>
                <w:sz w:val="25"/>
              </w:rPr>
            </w:pPr>
          </w:p>
          <w:p>
            <w:pPr>
              <w:pStyle w:val="TableParagraph"/>
              <w:ind w:right="174"/>
              <w:rPr>
                <w:sz w:val="24"/>
              </w:rPr>
            </w:pPr>
            <w:r>
              <w:rPr>
                <w:sz w:val="24"/>
              </w:rPr>
              <w:t>12,100</w:t>
            </w:r>
          </w:p>
        </w:tc>
        <w:tc>
          <w:tcPr>
            <w:tcW w:w="1012" w:type="dxa"/>
            <w:tcBorders>
              <w:top w:val="nil"/>
              <w:left w:val="nil"/>
              <w:bottom w:val="nil"/>
              <w:right w:val="nil"/>
            </w:tcBorders>
          </w:tcPr>
          <w:p>
            <w:pPr>
              <w:pStyle w:val="TableParagraph"/>
              <w:spacing w:before="9"/>
              <w:jc w:val="left"/>
              <w:rPr>
                <w:sz w:val="25"/>
              </w:rPr>
            </w:pPr>
          </w:p>
          <w:p>
            <w:pPr>
              <w:pStyle w:val="TableParagraph"/>
              <w:ind w:right="173"/>
              <w:rPr>
                <w:sz w:val="24"/>
              </w:rPr>
            </w:pPr>
            <w:r>
              <w:rPr>
                <w:sz w:val="24"/>
              </w:rPr>
              <w:t>12,114</w:t>
            </w:r>
          </w:p>
        </w:tc>
        <w:tc>
          <w:tcPr>
            <w:tcW w:w="1011" w:type="dxa"/>
            <w:tcBorders>
              <w:top w:val="nil"/>
              <w:left w:val="nil"/>
              <w:bottom w:val="nil"/>
              <w:right w:val="nil"/>
            </w:tcBorders>
          </w:tcPr>
          <w:p>
            <w:pPr>
              <w:pStyle w:val="TableParagraph"/>
              <w:spacing w:before="9"/>
              <w:jc w:val="left"/>
              <w:rPr>
                <w:sz w:val="25"/>
              </w:rPr>
            </w:pPr>
          </w:p>
          <w:p>
            <w:pPr>
              <w:pStyle w:val="TableParagraph"/>
              <w:ind w:right="173"/>
              <w:rPr>
                <w:sz w:val="24"/>
              </w:rPr>
            </w:pPr>
            <w:r>
              <w:rPr>
                <w:sz w:val="24"/>
              </w:rPr>
              <w:t>11,775</w:t>
            </w:r>
          </w:p>
        </w:tc>
        <w:tc>
          <w:tcPr>
            <w:tcW w:w="905" w:type="dxa"/>
            <w:tcBorders>
              <w:top w:val="nil"/>
              <w:left w:val="nil"/>
              <w:bottom w:val="nil"/>
              <w:right w:val="nil"/>
            </w:tcBorders>
          </w:tcPr>
          <w:p>
            <w:pPr>
              <w:pStyle w:val="TableParagraph"/>
              <w:spacing w:before="9"/>
              <w:jc w:val="left"/>
              <w:rPr>
                <w:sz w:val="25"/>
              </w:rPr>
            </w:pPr>
          </w:p>
          <w:p>
            <w:pPr>
              <w:pStyle w:val="TableParagraph"/>
              <w:ind w:right="67"/>
              <w:rPr>
                <w:sz w:val="24"/>
              </w:rPr>
            </w:pPr>
            <w:r>
              <w:rPr>
                <w:sz w:val="24"/>
              </w:rPr>
              <w:t>11,700</w:t>
            </w:r>
          </w:p>
        </w:tc>
        <w:tc>
          <w:tcPr>
            <w:tcW w:w="1141" w:type="dxa"/>
            <w:tcBorders>
              <w:top w:val="nil"/>
              <w:left w:val="nil"/>
              <w:bottom w:val="nil"/>
              <w:right w:val="nil"/>
            </w:tcBorders>
          </w:tcPr>
          <w:p>
            <w:pPr>
              <w:pStyle w:val="TableParagraph"/>
              <w:spacing w:before="9"/>
              <w:jc w:val="left"/>
              <w:rPr>
                <w:sz w:val="25"/>
              </w:rPr>
            </w:pPr>
          </w:p>
          <w:p>
            <w:pPr>
              <w:pStyle w:val="TableParagraph"/>
              <w:ind w:right="67"/>
              <w:rPr>
                <w:sz w:val="24"/>
              </w:rPr>
            </w:pPr>
            <w:r>
              <w:rPr>
                <w:sz w:val="24"/>
              </w:rPr>
              <w:t>11,205</w:t>
            </w:r>
          </w:p>
        </w:tc>
        <w:tc>
          <w:tcPr>
            <w:tcW w:w="1130" w:type="dxa"/>
            <w:tcBorders>
              <w:top w:val="nil"/>
              <w:left w:val="nil"/>
              <w:bottom w:val="nil"/>
              <w:right w:val="nil"/>
            </w:tcBorders>
          </w:tcPr>
          <w:p>
            <w:pPr>
              <w:pStyle w:val="TableParagraph"/>
              <w:spacing w:before="9"/>
              <w:jc w:val="left"/>
              <w:rPr>
                <w:sz w:val="25"/>
              </w:rPr>
            </w:pPr>
          </w:p>
          <w:p>
            <w:pPr>
              <w:pStyle w:val="TableParagraph"/>
              <w:ind w:right="71"/>
              <w:rPr>
                <w:sz w:val="24"/>
              </w:rPr>
            </w:pPr>
            <w:r>
              <w:rPr>
                <w:sz w:val="24"/>
              </w:rPr>
              <w:t>11,210</w:t>
            </w:r>
          </w:p>
        </w:tc>
      </w:tr>
      <w:tr>
        <w:trPr>
          <w:trHeight w:val="302"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Ucrania</w:t>
            </w:r>
          </w:p>
        </w:tc>
        <w:tc>
          <w:tcPr>
            <w:tcW w:w="1293" w:type="dxa"/>
            <w:tcBorders>
              <w:top w:val="nil"/>
              <w:left w:val="nil"/>
              <w:bottom w:val="nil"/>
              <w:right w:val="nil"/>
            </w:tcBorders>
          </w:tcPr>
          <w:p>
            <w:pPr>
              <w:pStyle w:val="TableParagraph"/>
              <w:spacing w:line="275" w:lineRule="exact"/>
              <w:ind w:right="174"/>
              <w:rPr>
                <w:sz w:val="24"/>
              </w:rPr>
            </w:pPr>
            <w:r>
              <w:rPr>
                <w:sz w:val="24"/>
              </w:rPr>
              <w:t>3,520</w:t>
            </w:r>
          </w:p>
        </w:tc>
        <w:tc>
          <w:tcPr>
            <w:tcW w:w="1012" w:type="dxa"/>
            <w:tcBorders>
              <w:top w:val="nil"/>
              <w:left w:val="nil"/>
              <w:bottom w:val="nil"/>
              <w:right w:val="nil"/>
            </w:tcBorders>
          </w:tcPr>
          <w:p>
            <w:pPr>
              <w:pStyle w:val="TableParagraph"/>
              <w:spacing w:line="275" w:lineRule="exact"/>
              <w:ind w:right="173"/>
              <w:rPr>
                <w:sz w:val="24"/>
              </w:rPr>
            </w:pPr>
            <w:r>
              <w:rPr>
                <w:sz w:val="24"/>
              </w:rPr>
              <w:t>3,483</w:t>
            </w:r>
          </w:p>
        </w:tc>
        <w:tc>
          <w:tcPr>
            <w:tcW w:w="1011" w:type="dxa"/>
            <w:tcBorders>
              <w:top w:val="nil"/>
              <w:left w:val="nil"/>
              <w:bottom w:val="nil"/>
              <w:right w:val="nil"/>
            </w:tcBorders>
          </w:tcPr>
          <w:p>
            <w:pPr>
              <w:pStyle w:val="TableParagraph"/>
              <w:spacing w:line="275" w:lineRule="exact"/>
              <w:ind w:right="173"/>
              <w:rPr>
                <w:sz w:val="24"/>
              </w:rPr>
            </w:pPr>
            <w:r>
              <w:rPr>
                <w:sz w:val="24"/>
              </w:rPr>
              <w:t>5,342</w:t>
            </w:r>
          </w:p>
        </w:tc>
        <w:tc>
          <w:tcPr>
            <w:tcW w:w="905" w:type="dxa"/>
            <w:tcBorders>
              <w:top w:val="nil"/>
              <w:left w:val="nil"/>
              <w:bottom w:val="nil"/>
              <w:right w:val="nil"/>
            </w:tcBorders>
          </w:tcPr>
          <w:p>
            <w:pPr>
              <w:pStyle w:val="TableParagraph"/>
              <w:spacing w:line="275" w:lineRule="exact"/>
              <w:ind w:right="67"/>
              <w:rPr>
                <w:sz w:val="24"/>
              </w:rPr>
            </w:pPr>
            <w:r>
              <w:rPr>
                <w:sz w:val="24"/>
              </w:rPr>
              <w:t>5,442</w:t>
            </w:r>
          </w:p>
        </w:tc>
        <w:tc>
          <w:tcPr>
            <w:tcW w:w="1141" w:type="dxa"/>
            <w:tcBorders>
              <w:top w:val="nil"/>
              <w:left w:val="nil"/>
              <w:bottom w:val="nil"/>
              <w:right w:val="nil"/>
            </w:tcBorders>
          </w:tcPr>
          <w:p>
            <w:pPr>
              <w:pStyle w:val="TableParagraph"/>
              <w:spacing w:line="275" w:lineRule="exact"/>
              <w:ind w:right="67"/>
              <w:rPr>
                <w:sz w:val="24"/>
              </w:rPr>
            </w:pPr>
            <w:r>
              <w:rPr>
                <w:sz w:val="24"/>
              </w:rPr>
              <w:t>5,345</w:t>
            </w:r>
          </w:p>
        </w:tc>
        <w:tc>
          <w:tcPr>
            <w:tcW w:w="1130" w:type="dxa"/>
            <w:tcBorders>
              <w:top w:val="nil"/>
              <w:left w:val="nil"/>
              <w:bottom w:val="nil"/>
              <w:right w:val="nil"/>
            </w:tcBorders>
          </w:tcPr>
          <w:p>
            <w:pPr>
              <w:pStyle w:val="TableParagraph"/>
              <w:spacing w:line="275" w:lineRule="exact"/>
              <w:ind w:right="71"/>
              <w:rPr>
                <w:sz w:val="24"/>
              </w:rPr>
            </w:pPr>
            <w:r>
              <w:rPr>
                <w:sz w:val="24"/>
              </w:rPr>
              <w:t>5,487</w:t>
            </w:r>
          </w:p>
        </w:tc>
      </w:tr>
      <w:tr>
        <w:trPr>
          <w:trHeight w:val="898" w:hRule="exact"/>
        </w:trPr>
        <w:tc>
          <w:tcPr>
            <w:tcW w:w="2350" w:type="dxa"/>
            <w:tcBorders>
              <w:top w:val="nil"/>
              <w:left w:val="nil"/>
              <w:bottom w:val="nil"/>
              <w:right w:val="nil"/>
            </w:tcBorders>
          </w:tcPr>
          <w:p>
            <w:pPr>
              <w:pStyle w:val="TableParagraph"/>
              <w:spacing w:line="259" w:lineRule="auto" w:before="1"/>
              <w:ind w:left="69" w:right="1393"/>
              <w:jc w:val="left"/>
              <w:rPr>
                <w:sz w:val="24"/>
              </w:rPr>
            </w:pPr>
            <w:r>
              <w:rPr>
                <w:b/>
                <w:sz w:val="24"/>
              </w:rPr>
              <w:t>Subtotal Asia </w:t>
            </w:r>
            <w:r>
              <w:rPr>
                <w:sz w:val="24"/>
              </w:rPr>
              <w:t>China</w:t>
            </w:r>
          </w:p>
        </w:tc>
        <w:tc>
          <w:tcPr>
            <w:tcW w:w="1293" w:type="dxa"/>
            <w:tcBorders>
              <w:top w:val="nil"/>
              <w:left w:val="nil"/>
              <w:bottom w:val="nil"/>
              <w:right w:val="nil"/>
            </w:tcBorders>
          </w:tcPr>
          <w:p>
            <w:pPr>
              <w:pStyle w:val="TableParagraph"/>
              <w:spacing w:before="1"/>
              <w:ind w:left="456"/>
              <w:jc w:val="left"/>
              <w:rPr>
                <w:b/>
                <w:sz w:val="24"/>
              </w:rPr>
            </w:pPr>
            <w:r>
              <w:rPr>
                <w:b/>
                <w:sz w:val="24"/>
              </w:rPr>
              <w:t>15,620</w:t>
            </w:r>
          </w:p>
          <w:p>
            <w:pPr>
              <w:pStyle w:val="TableParagraph"/>
              <w:spacing w:before="8"/>
              <w:jc w:val="left"/>
              <w:rPr>
                <w:sz w:val="27"/>
              </w:rPr>
            </w:pPr>
          </w:p>
          <w:p>
            <w:pPr>
              <w:pStyle w:val="TableParagraph"/>
              <w:ind w:left="456"/>
              <w:jc w:val="left"/>
              <w:rPr>
                <w:sz w:val="24"/>
              </w:rPr>
            </w:pPr>
            <w:r>
              <w:rPr>
                <w:sz w:val="24"/>
              </w:rPr>
              <w:t>14,581</w:t>
            </w:r>
          </w:p>
        </w:tc>
        <w:tc>
          <w:tcPr>
            <w:tcW w:w="1012" w:type="dxa"/>
            <w:tcBorders>
              <w:top w:val="nil"/>
              <w:left w:val="nil"/>
              <w:bottom w:val="nil"/>
              <w:right w:val="nil"/>
            </w:tcBorders>
          </w:tcPr>
          <w:p>
            <w:pPr>
              <w:pStyle w:val="TableParagraph"/>
              <w:spacing w:before="1"/>
              <w:ind w:left="176"/>
              <w:jc w:val="left"/>
              <w:rPr>
                <w:b/>
                <w:sz w:val="24"/>
              </w:rPr>
            </w:pPr>
            <w:r>
              <w:rPr>
                <w:b/>
                <w:sz w:val="24"/>
              </w:rPr>
              <w:t>15,597</w:t>
            </w:r>
          </w:p>
          <w:p>
            <w:pPr>
              <w:pStyle w:val="TableParagraph"/>
              <w:spacing w:before="8"/>
              <w:jc w:val="left"/>
              <w:rPr>
                <w:sz w:val="27"/>
              </w:rPr>
            </w:pPr>
          </w:p>
          <w:p>
            <w:pPr>
              <w:pStyle w:val="TableParagraph"/>
              <w:ind w:left="176"/>
              <w:jc w:val="left"/>
              <w:rPr>
                <w:sz w:val="24"/>
              </w:rPr>
            </w:pPr>
            <w:r>
              <w:rPr>
                <w:sz w:val="24"/>
              </w:rPr>
              <w:t>11,791</w:t>
            </w:r>
          </w:p>
        </w:tc>
        <w:tc>
          <w:tcPr>
            <w:tcW w:w="1011" w:type="dxa"/>
            <w:tcBorders>
              <w:top w:val="nil"/>
              <w:left w:val="nil"/>
              <w:bottom w:val="nil"/>
              <w:right w:val="nil"/>
            </w:tcBorders>
          </w:tcPr>
          <w:p>
            <w:pPr>
              <w:pStyle w:val="TableParagraph"/>
              <w:spacing w:before="1"/>
              <w:ind w:left="175"/>
              <w:jc w:val="left"/>
              <w:rPr>
                <w:b/>
                <w:sz w:val="24"/>
              </w:rPr>
            </w:pPr>
            <w:r>
              <w:rPr>
                <w:b/>
                <w:sz w:val="24"/>
              </w:rPr>
              <w:t>17,117</w:t>
            </w:r>
          </w:p>
          <w:p>
            <w:pPr>
              <w:pStyle w:val="TableParagraph"/>
              <w:spacing w:before="8"/>
              <w:jc w:val="left"/>
              <w:rPr>
                <w:sz w:val="27"/>
              </w:rPr>
            </w:pPr>
          </w:p>
          <w:p>
            <w:pPr>
              <w:pStyle w:val="TableParagraph"/>
              <w:ind w:left="175"/>
              <w:jc w:val="left"/>
              <w:rPr>
                <w:sz w:val="24"/>
              </w:rPr>
            </w:pPr>
            <w:r>
              <w:rPr>
                <w:sz w:val="24"/>
              </w:rPr>
              <w:t>12,060</w:t>
            </w:r>
          </w:p>
        </w:tc>
        <w:tc>
          <w:tcPr>
            <w:tcW w:w="905" w:type="dxa"/>
            <w:tcBorders>
              <w:top w:val="nil"/>
              <w:left w:val="nil"/>
              <w:bottom w:val="nil"/>
              <w:right w:val="nil"/>
            </w:tcBorders>
          </w:tcPr>
          <w:p>
            <w:pPr>
              <w:pStyle w:val="TableParagraph"/>
              <w:spacing w:before="1"/>
              <w:ind w:left="175"/>
              <w:jc w:val="left"/>
              <w:rPr>
                <w:b/>
                <w:sz w:val="24"/>
              </w:rPr>
            </w:pPr>
            <w:r>
              <w:rPr>
                <w:b/>
                <w:sz w:val="24"/>
              </w:rPr>
              <w:t>17,142</w:t>
            </w:r>
          </w:p>
          <w:p>
            <w:pPr>
              <w:pStyle w:val="TableParagraph"/>
              <w:spacing w:before="8"/>
              <w:jc w:val="left"/>
              <w:rPr>
                <w:sz w:val="27"/>
              </w:rPr>
            </w:pPr>
          </w:p>
          <w:p>
            <w:pPr>
              <w:pStyle w:val="TableParagraph"/>
              <w:ind w:left="175"/>
              <w:jc w:val="left"/>
              <w:rPr>
                <w:sz w:val="24"/>
              </w:rPr>
            </w:pPr>
            <w:r>
              <w:rPr>
                <w:sz w:val="24"/>
              </w:rPr>
              <w:t>12,600</w:t>
            </w:r>
          </w:p>
        </w:tc>
        <w:tc>
          <w:tcPr>
            <w:tcW w:w="1141" w:type="dxa"/>
            <w:tcBorders>
              <w:top w:val="nil"/>
              <w:left w:val="nil"/>
              <w:bottom w:val="nil"/>
              <w:right w:val="nil"/>
            </w:tcBorders>
          </w:tcPr>
          <w:p>
            <w:pPr>
              <w:pStyle w:val="TableParagraph"/>
              <w:spacing w:before="1"/>
              <w:ind w:left="410"/>
              <w:jc w:val="left"/>
              <w:rPr>
                <w:b/>
                <w:sz w:val="24"/>
              </w:rPr>
            </w:pPr>
            <w:r>
              <w:rPr>
                <w:b/>
                <w:sz w:val="24"/>
              </w:rPr>
              <w:t>16,550</w:t>
            </w:r>
          </w:p>
          <w:p>
            <w:pPr>
              <w:pStyle w:val="TableParagraph"/>
              <w:spacing w:before="8"/>
              <w:jc w:val="left"/>
              <w:rPr>
                <w:sz w:val="27"/>
              </w:rPr>
            </w:pPr>
          </w:p>
          <w:p>
            <w:pPr>
              <w:pStyle w:val="TableParagraph"/>
              <w:ind w:left="410"/>
              <w:jc w:val="left"/>
              <w:rPr>
                <w:sz w:val="24"/>
              </w:rPr>
            </w:pPr>
            <w:r>
              <w:rPr>
                <w:sz w:val="24"/>
              </w:rPr>
              <w:t>13,460</w:t>
            </w:r>
          </w:p>
        </w:tc>
        <w:tc>
          <w:tcPr>
            <w:tcW w:w="1130" w:type="dxa"/>
            <w:tcBorders>
              <w:top w:val="nil"/>
              <w:left w:val="nil"/>
              <w:bottom w:val="nil"/>
              <w:right w:val="nil"/>
            </w:tcBorders>
          </w:tcPr>
          <w:p>
            <w:pPr>
              <w:pStyle w:val="TableParagraph"/>
              <w:spacing w:before="1"/>
              <w:ind w:left="398"/>
              <w:jc w:val="left"/>
              <w:rPr>
                <w:b/>
                <w:sz w:val="24"/>
              </w:rPr>
            </w:pPr>
            <w:r>
              <w:rPr>
                <w:b/>
                <w:sz w:val="24"/>
              </w:rPr>
              <w:t>16,697</w:t>
            </w:r>
          </w:p>
          <w:p>
            <w:pPr>
              <w:pStyle w:val="TableParagraph"/>
              <w:spacing w:before="8"/>
              <w:jc w:val="left"/>
              <w:rPr>
                <w:sz w:val="27"/>
              </w:rPr>
            </w:pPr>
          </w:p>
          <w:p>
            <w:pPr>
              <w:pStyle w:val="TableParagraph"/>
              <w:ind w:left="398"/>
              <w:jc w:val="left"/>
              <w:rPr>
                <w:sz w:val="24"/>
              </w:rPr>
            </w:pPr>
            <w:r>
              <w:rPr>
                <w:sz w:val="24"/>
              </w:rPr>
              <w:t>14,350</w:t>
            </w:r>
          </w:p>
        </w:tc>
      </w:tr>
      <w:tr>
        <w:trPr>
          <w:trHeight w:val="300"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India</w:t>
            </w:r>
          </w:p>
        </w:tc>
        <w:tc>
          <w:tcPr>
            <w:tcW w:w="1293" w:type="dxa"/>
            <w:tcBorders>
              <w:top w:val="nil"/>
              <w:left w:val="nil"/>
              <w:bottom w:val="nil"/>
              <w:right w:val="nil"/>
            </w:tcBorders>
          </w:tcPr>
          <w:p>
            <w:pPr>
              <w:pStyle w:val="TableParagraph"/>
              <w:spacing w:line="275" w:lineRule="exact"/>
              <w:ind w:right="174"/>
              <w:rPr>
                <w:sz w:val="24"/>
              </w:rPr>
            </w:pPr>
            <w:r>
              <w:rPr>
                <w:sz w:val="24"/>
              </w:rPr>
              <w:t>44,520</w:t>
            </w:r>
          </w:p>
        </w:tc>
        <w:tc>
          <w:tcPr>
            <w:tcW w:w="1012" w:type="dxa"/>
            <w:tcBorders>
              <w:top w:val="nil"/>
              <w:left w:val="nil"/>
              <w:bottom w:val="nil"/>
              <w:right w:val="nil"/>
            </w:tcBorders>
          </w:tcPr>
          <w:p>
            <w:pPr>
              <w:pStyle w:val="TableParagraph"/>
              <w:spacing w:line="275" w:lineRule="exact"/>
              <w:ind w:right="173"/>
              <w:rPr>
                <w:sz w:val="24"/>
              </w:rPr>
            </w:pPr>
            <w:r>
              <w:rPr>
                <w:sz w:val="24"/>
              </w:rPr>
              <w:t>48,160</w:t>
            </w:r>
          </w:p>
        </w:tc>
        <w:tc>
          <w:tcPr>
            <w:tcW w:w="1011" w:type="dxa"/>
            <w:tcBorders>
              <w:top w:val="nil"/>
              <w:left w:val="nil"/>
              <w:bottom w:val="nil"/>
              <w:right w:val="nil"/>
            </w:tcBorders>
          </w:tcPr>
          <w:p>
            <w:pPr>
              <w:pStyle w:val="TableParagraph"/>
              <w:spacing w:line="275" w:lineRule="exact"/>
              <w:ind w:right="173"/>
              <w:rPr>
                <w:sz w:val="24"/>
              </w:rPr>
            </w:pPr>
            <w:r>
              <w:rPr>
                <w:sz w:val="24"/>
              </w:rPr>
              <w:t>49,140</w:t>
            </w:r>
          </w:p>
        </w:tc>
        <w:tc>
          <w:tcPr>
            <w:tcW w:w="905" w:type="dxa"/>
            <w:tcBorders>
              <w:top w:val="nil"/>
              <w:left w:val="nil"/>
              <w:bottom w:val="nil"/>
              <w:right w:val="nil"/>
            </w:tcBorders>
          </w:tcPr>
          <w:p>
            <w:pPr>
              <w:pStyle w:val="TableParagraph"/>
              <w:spacing w:line="275" w:lineRule="exact"/>
              <w:ind w:right="67"/>
              <w:rPr>
                <w:sz w:val="24"/>
              </w:rPr>
            </w:pPr>
            <w:r>
              <w:rPr>
                <w:sz w:val="24"/>
              </w:rPr>
              <w:t>51,660</w:t>
            </w:r>
          </w:p>
        </w:tc>
        <w:tc>
          <w:tcPr>
            <w:tcW w:w="1141" w:type="dxa"/>
            <w:tcBorders>
              <w:top w:val="nil"/>
              <w:left w:val="nil"/>
              <w:bottom w:val="nil"/>
              <w:right w:val="nil"/>
            </w:tcBorders>
          </w:tcPr>
          <w:p>
            <w:pPr>
              <w:pStyle w:val="TableParagraph"/>
              <w:spacing w:line="275" w:lineRule="exact"/>
              <w:ind w:right="67"/>
              <w:rPr>
                <w:sz w:val="24"/>
              </w:rPr>
            </w:pPr>
            <w:r>
              <w:rPr>
                <w:sz w:val="24"/>
              </w:rPr>
              <w:t>52,000</w:t>
            </w:r>
          </w:p>
        </w:tc>
        <w:tc>
          <w:tcPr>
            <w:tcW w:w="1130" w:type="dxa"/>
            <w:tcBorders>
              <w:top w:val="nil"/>
              <w:left w:val="nil"/>
              <w:bottom w:val="nil"/>
              <w:right w:val="nil"/>
            </w:tcBorders>
          </w:tcPr>
          <w:p>
            <w:pPr>
              <w:pStyle w:val="TableParagraph"/>
              <w:spacing w:line="275" w:lineRule="exact"/>
              <w:ind w:right="71"/>
              <w:rPr>
                <w:sz w:val="24"/>
              </w:rPr>
            </w:pPr>
            <w:r>
              <w:rPr>
                <w:sz w:val="24"/>
              </w:rPr>
              <w:t>54,400</w:t>
            </w:r>
          </w:p>
        </w:tc>
      </w:tr>
      <w:tr>
        <w:trPr>
          <w:trHeight w:val="302"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Japón</w:t>
            </w:r>
          </w:p>
        </w:tc>
        <w:tc>
          <w:tcPr>
            <w:tcW w:w="1293" w:type="dxa"/>
            <w:tcBorders>
              <w:top w:val="nil"/>
              <w:left w:val="nil"/>
              <w:bottom w:val="nil"/>
              <w:right w:val="nil"/>
            </w:tcBorders>
          </w:tcPr>
          <w:p>
            <w:pPr>
              <w:pStyle w:val="TableParagraph"/>
              <w:spacing w:line="275" w:lineRule="exact"/>
              <w:ind w:right="174"/>
              <w:rPr>
                <w:sz w:val="24"/>
              </w:rPr>
            </w:pPr>
            <w:r>
              <w:rPr>
                <w:sz w:val="24"/>
              </w:rPr>
              <w:t>4,442</w:t>
            </w:r>
          </w:p>
        </w:tc>
        <w:tc>
          <w:tcPr>
            <w:tcW w:w="1012" w:type="dxa"/>
            <w:tcBorders>
              <w:top w:val="nil"/>
              <w:left w:val="nil"/>
              <w:bottom w:val="nil"/>
              <w:right w:val="nil"/>
            </w:tcBorders>
          </w:tcPr>
          <w:p>
            <w:pPr>
              <w:pStyle w:val="TableParagraph"/>
              <w:spacing w:line="275" w:lineRule="exact"/>
              <w:ind w:right="173"/>
              <w:rPr>
                <w:sz w:val="24"/>
              </w:rPr>
            </w:pPr>
            <w:r>
              <w:rPr>
                <w:sz w:val="24"/>
              </w:rPr>
              <w:t>4,264</w:t>
            </w:r>
          </w:p>
        </w:tc>
        <w:tc>
          <w:tcPr>
            <w:tcW w:w="1011" w:type="dxa"/>
            <w:tcBorders>
              <w:top w:val="nil"/>
              <w:left w:val="nil"/>
              <w:bottom w:val="nil"/>
              <w:right w:val="nil"/>
            </w:tcBorders>
          </w:tcPr>
          <w:p>
            <w:pPr>
              <w:pStyle w:val="TableParagraph"/>
              <w:spacing w:line="275" w:lineRule="exact"/>
              <w:ind w:right="173"/>
              <w:rPr>
                <w:sz w:val="24"/>
              </w:rPr>
            </w:pPr>
            <w:r>
              <w:rPr>
                <w:sz w:val="24"/>
              </w:rPr>
              <w:t>4,150</w:t>
            </w:r>
          </w:p>
        </w:tc>
        <w:tc>
          <w:tcPr>
            <w:tcW w:w="905" w:type="dxa"/>
            <w:tcBorders>
              <w:top w:val="nil"/>
              <w:left w:val="nil"/>
              <w:bottom w:val="nil"/>
              <w:right w:val="nil"/>
            </w:tcBorders>
          </w:tcPr>
          <w:p>
            <w:pPr>
              <w:pStyle w:val="TableParagraph"/>
              <w:spacing w:line="275" w:lineRule="exact"/>
              <w:ind w:right="67"/>
              <w:rPr>
                <w:sz w:val="24"/>
              </w:rPr>
            </w:pPr>
            <w:r>
              <w:rPr>
                <w:sz w:val="24"/>
              </w:rPr>
              <w:t>4,058</w:t>
            </w:r>
          </w:p>
        </w:tc>
        <w:tc>
          <w:tcPr>
            <w:tcW w:w="1141" w:type="dxa"/>
            <w:tcBorders>
              <w:top w:val="nil"/>
              <w:left w:val="nil"/>
              <w:bottom w:val="nil"/>
              <w:right w:val="nil"/>
            </w:tcBorders>
          </w:tcPr>
          <w:p>
            <w:pPr>
              <w:pStyle w:val="TableParagraph"/>
              <w:spacing w:line="275" w:lineRule="exact"/>
              <w:ind w:right="67"/>
              <w:rPr>
                <w:sz w:val="24"/>
              </w:rPr>
            </w:pPr>
            <w:r>
              <w:rPr>
                <w:sz w:val="24"/>
              </w:rPr>
              <w:t>4,010</w:t>
            </w:r>
          </w:p>
        </w:tc>
        <w:tc>
          <w:tcPr>
            <w:tcW w:w="1130" w:type="dxa"/>
            <w:tcBorders>
              <w:top w:val="nil"/>
              <w:left w:val="nil"/>
              <w:bottom w:val="nil"/>
              <w:right w:val="nil"/>
            </w:tcBorders>
          </w:tcPr>
          <w:p>
            <w:pPr>
              <w:pStyle w:val="TableParagraph"/>
              <w:spacing w:line="275" w:lineRule="exact"/>
              <w:ind w:right="71"/>
              <w:rPr>
                <w:sz w:val="24"/>
              </w:rPr>
            </w:pPr>
            <w:r>
              <w:rPr>
                <w:sz w:val="24"/>
              </w:rPr>
              <w:t>3,970</w:t>
            </w:r>
          </w:p>
        </w:tc>
      </w:tr>
      <w:tr>
        <w:trPr>
          <w:trHeight w:val="898" w:hRule="exact"/>
        </w:trPr>
        <w:tc>
          <w:tcPr>
            <w:tcW w:w="2350" w:type="dxa"/>
            <w:tcBorders>
              <w:top w:val="nil"/>
              <w:left w:val="nil"/>
              <w:bottom w:val="nil"/>
              <w:right w:val="nil"/>
            </w:tcBorders>
          </w:tcPr>
          <w:p>
            <w:pPr>
              <w:pStyle w:val="TableParagraph"/>
              <w:spacing w:line="259" w:lineRule="auto" w:before="1"/>
              <w:ind w:left="69" w:right="1399"/>
              <w:jc w:val="both"/>
              <w:rPr>
                <w:sz w:val="24"/>
              </w:rPr>
            </w:pPr>
            <w:r>
              <w:rPr>
                <w:b/>
                <w:sz w:val="24"/>
              </w:rPr>
              <w:t>Subtotal Oceanía </w:t>
            </w:r>
            <w:r>
              <w:rPr>
                <w:sz w:val="24"/>
              </w:rPr>
              <w:t>Australia</w:t>
            </w:r>
          </w:p>
        </w:tc>
        <w:tc>
          <w:tcPr>
            <w:tcW w:w="1293" w:type="dxa"/>
            <w:tcBorders>
              <w:top w:val="nil"/>
              <w:left w:val="nil"/>
              <w:bottom w:val="nil"/>
              <w:right w:val="nil"/>
            </w:tcBorders>
          </w:tcPr>
          <w:p>
            <w:pPr>
              <w:pStyle w:val="TableParagraph"/>
              <w:spacing w:before="1"/>
              <w:ind w:left="435" w:right="156"/>
              <w:jc w:val="center"/>
              <w:rPr>
                <w:b/>
                <w:sz w:val="24"/>
              </w:rPr>
            </w:pPr>
            <w:r>
              <w:rPr>
                <w:b/>
                <w:sz w:val="24"/>
              </w:rPr>
              <w:t>63,543</w:t>
            </w:r>
          </w:p>
          <w:p>
            <w:pPr>
              <w:pStyle w:val="TableParagraph"/>
              <w:spacing w:before="8"/>
              <w:jc w:val="left"/>
              <w:rPr>
                <w:sz w:val="27"/>
              </w:rPr>
            </w:pPr>
          </w:p>
          <w:p>
            <w:pPr>
              <w:pStyle w:val="TableParagraph"/>
              <w:ind w:left="435" w:right="36"/>
              <w:jc w:val="center"/>
              <w:rPr>
                <w:sz w:val="24"/>
              </w:rPr>
            </w:pPr>
            <w:r>
              <w:rPr>
                <w:sz w:val="24"/>
              </w:rPr>
              <w:t>2,205</w:t>
            </w:r>
          </w:p>
        </w:tc>
        <w:tc>
          <w:tcPr>
            <w:tcW w:w="1012" w:type="dxa"/>
            <w:tcBorders>
              <w:top w:val="nil"/>
              <w:left w:val="nil"/>
              <w:bottom w:val="nil"/>
              <w:right w:val="nil"/>
            </w:tcBorders>
          </w:tcPr>
          <w:p>
            <w:pPr>
              <w:pStyle w:val="TableParagraph"/>
              <w:spacing w:before="1"/>
              <w:ind w:left="156" w:right="155"/>
              <w:jc w:val="center"/>
              <w:rPr>
                <w:b/>
                <w:sz w:val="24"/>
              </w:rPr>
            </w:pPr>
            <w:r>
              <w:rPr>
                <w:b/>
                <w:sz w:val="24"/>
              </w:rPr>
              <w:t>64,215</w:t>
            </w:r>
          </w:p>
          <w:p>
            <w:pPr>
              <w:pStyle w:val="TableParagraph"/>
              <w:spacing w:before="8"/>
              <w:jc w:val="left"/>
              <w:rPr>
                <w:sz w:val="27"/>
              </w:rPr>
            </w:pPr>
          </w:p>
          <w:p>
            <w:pPr>
              <w:pStyle w:val="TableParagraph"/>
              <w:ind w:left="156" w:right="36"/>
              <w:jc w:val="center"/>
              <w:rPr>
                <w:sz w:val="24"/>
              </w:rPr>
            </w:pPr>
            <w:r>
              <w:rPr>
                <w:sz w:val="24"/>
              </w:rPr>
              <w:t>2,272</w:t>
            </w:r>
          </w:p>
        </w:tc>
        <w:tc>
          <w:tcPr>
            <w:tcW w:w="1011" w:type="dxa"/>
            <w:tcBorders>
              <w:top w:val="nil"/>
              <w:left w:val="nil"/>
              <w:bottom w:val="nil"/>
              <w:right w:val="nil"/>
            </w:tcBorders>
          </w:tcPr>
          <w:p>
            <w:pPr>
              <w:pStyle w:val="TableParagraph"/>
              <w:spacing w:before="1"/>
              <w:ind w:left="155" w:right="155"/>
              <w:jc w:val="center"/>
              <w:rPr>
                <w:b/>
                <w:sz w:val="24"/>
              </w:rPr>
            </w:pPr>
            <w:r>
              <w:rPr>
                <w:b/>
                <w:sz w:val="24"/>
              </w:rPr>
              <w:t>65,350</w:t>
            </w:r>
          </w:p>
          <w:p>
            <w:pPr>
              <w:pStyle w:val="TableParagraph"/>
              <w:spacing w:before="8"/>
              <w:jc w:val="left"/>
              <w:rPr>
                <w:sz w:val="27"/>
              </w:rPr>
            </w:pPr>
          </w:p>
          <w:p>
            <w:pPr>
              <w:pStyle w:val="TableParagraph"/>
              <w:ind w:left="155" w:right="35"/>
              <w:jc w:val="center"/>
              <w:rPr>
                <w:sz w:val="24"/>
              </w:rPr>
            </w:pPr>
            <w:r>
              <w:rPr>
                <w:sz w:val="24"/>
              </w:rPr>
              <w:t>2,284</w:t>
            </w:r>
          </w:p>
        </w:tc>
        <w:tc>
          <w:tcPr>
            <w:tcW w:w="905" w:type="dxa"/>
            <w:tcBorders>
              <w:top w:val="nil"/>
              <w:left w:val="nil"/>
              <w:bottom w:val="nil"/>
              <w:right w:val="nil"/>
            </w:tcBorders>
          </w:tcPr>
          <w:p>
            <w:pPr>
              <w:pStyle w:val="TableParagraph"/>
              <w:spacing w:before="1"/>
              <w:ind w:left="154" w:right="49"/>
              <w:jc w:val="center"/>
              <w:rPr>
                <w:b/>
                <w:sz w:val="24"/>
              </w:rPr>
            </w:pPr>
            <w:r>
              <w:rPr>
                <w:b/>
                <w:sz w:val="24"/>
              </w:rPr>
              <w:t>68,318</w:t>
            </w:r>
          </w:p>
          <w:p>
            <w:pPr>
              <w:pStyle w:val="TableParagraph"/>
              <w:spacing w:before="8"/>
              <w:jc w:val="left"/>
              <w:rPr>
                <w:sz w:val="27"/>
              </w:rPr>
            </w:pPr>
          </w:p>
          <w:p>
            <w:pPr>
              <w:pStyle w:val="TableParagraph"/>
              <w:ind w:left="274" w:right="49"/>
              <w:jc w:val="center"/>
              <w:rPr>
                <w:sz w:val="24"/>
              </w:rPr>
            </w:pPr>
            <w:r>
              <w:rPr>
                <w:sz w:val="24"/>
              </w:rPr>
              <w:t>2,418</w:t>
            </w:r>
          </w:p>
        </w:tc>
        <w:tc>
          <w:tcPr>
            <w:tcW w:w="1141" w:type="dxa"/>
            <w:tcBorders>
              <w:top w:val="nil"/>
              <w:left w:val="nil"/>
              <w:bottom w:val="nil"/>
              <w:right w:val="nil"/>
            </w:tcBorders>
          </w:tcPr>
          <w:p>
            <w:pPr>
              <w:pStyle w:val="TableParagraph"/>
              <w:spacing w:before="1"/>
              <w:ind w:left="390" w:right="50"/>
              <w:jc w:val="center"/>
              <w:rPr>
                <w:b/>
                <w:sz w:val="24"/>
              </w:rPr>
            </w:pPr>
            <w:r>
              <w:rPr>
                <w:b/>
                <w:sz w:val="24"/>
              </w:rPr>
              <w:t>69,470</w:t>
            </w:r>
          </w:p>
          <w:p>
            <w:pPr>
              <w:pStyle w:val="TableParagraph"/>
              <w:spacing w:before="8"/>
              <w:jc w:val="left"/>
              <w:rPr>
                <w:sz w:val="27"/>
              </w:rPr>
            </w:pPr>
          </w:p>
          <w:p>
            <w:pPr>
              <w:pStyle w:val="TableParagraph"/>
              <w:ind w:left="510" w:right="50"/>
              <w:jc w:val="center"/>
              <w:rPr>
                <w:sz w:val="24"/>
              </w:rPr>
            </w:pPr>
            <w:r>
              <w:rPr>
                <w:sz w:val="24"/>
              </w:rPr>
              <w:t>2,454</w:t>
            </w:r>
          </w:p>
        </w:tc>
        <w:tc>
          <w:tcPr>
            <w:tcW w:w="1130" w:type="dxa"/>
            <w:tcBorders>
              <w:top w:val="nil"/>
              <w:left w:val="nil"/>
              <w:bottom w:val="nil"/>
              <w:right w:val="nil"/>
            </w:tcBorders>
          </w:tcPr>
          <w:p>
            <w:pPr>
              <w:pStyle w:val="TableParagraph"/>
              <w:spacing w:before="1"/>
              <w:ind w:left="378" w:right="52"/>
              <w:jc w:val="center"/>
              <w:rPr>
                <w:b/>
                <w:sz w:val="24"/>
              </w:rPr>
            </w:pPr>
            <w:r>
              <w:rPr>
                <w:b/>
                <w:sz w:val="24"/>
              </w:rPr>
              <w:t>72,720</w:t>
            </w:r>
          </w:p>
          <w:p>
            <w:pPr>
              <w:pStyle w:val="TableParagraph"/>
              <w:spacing w:before="8"/>
              <w:jc w:val="left"/>
              <w:rPr>
                <w:sz w:val="27"/>
              </w:rPr>
            </w:pPr>
          </w:p>
          <w:p>
            <w:pPr>
              <w:pStyle w:val="TableParagraph"/>
              <w:ind w:left="498" w:right="52"/>
              <w:jc w:val="center"/>
              <w:rPr>
                <w:sz w:val="24"/>
              </w:rPr>
            </w:pPr>
            <w:r>
              <w:rPr>
                <w:sz w:val="24"/>
              </w:rPr>
              <w:t>2,490</w:t>
            </w:r>
          </w:p>
        </w:tc>
      </w:tr>
      <w:tr>
        <w:trPr>
          <w:trHeight w:val="303" w:hRule="exact"/>
        </w:trPr>
        <w:tc>
          <w:tcPr>
            <w:tcW w:w="2350" w:type="dxa"/>
            <w:tcBorders>
              <w:top w:val="nil"/>
              <w:left w:val="nil"/>
              <w:bottom w:val="nil"/>
              <w:right w:val="nil"/>
            </w:tcBorders>
          </w:tcPr>
          <w:p>
            <w:pPr>
              <w:pStyle w:val="TableParagraph"/>
              <w:spacing w:line="275" w:lineRule="exact"/>
              <w:ind w:left="69" w:right="581"/>
              <w:jc w:val="left"/>
              <w:rPr>
                <w:sz w:val="24"/>
              </w:rPr>
            </w:pPr>
            <w:r>
              <w:rPr>
                <w:sz w:val="24"/>
              </w:rPr>
              <w:t>Nueva Zelanda</w:t>
            </w:r>
          </w:p>
        </w:tc>
        <w:tc>
          <w:tcPr>
            <w:tcW w:w="1293" w:type="dxa"/>
            <w:tcBorders>
              <w:top w:val="nil"/>
              <w:left w:val="nil"/>
              <w:bottom w:val="nil"/>
              <w:right w:val="nil"/>
            </w:tcBorders>
          </w:tcPr>
          <w:p>
            <w:pPr>
              <w:pStyle w:val="TableParagraph"/>
              <w:spacing w:line="275" w:lineRule="exact"/>
              <w:ind w:right="174"/>
              <w:rPr>
                <w:sz w:val="24"/>
              </w:rPr>
            </w:pPr>
            <w:r>
              <w:rPr>
                <w:sz w:val="24"/>
              </w:rPr>
              <w:t>345</w:t>
            </w:r>
          </w:p>
        </w:tc>
        <w:tc>
          <w:tcPr>
            <w:tcW w:w="1012" w:type="dxa"/>
            <w:tcBorders>
              <w:top w:val="nil"/>
              <w:left w:val="nil"/>
              <w:bottom w:val="nil"/>
              <w:right w:val="nil"/>
            </w:tcBorders>
          </w:tcPr>
          <w:p>
            <w:pPr>
              <w:pStyle w:val="TableParagraph"/>
              <w:spacing w:line="275" w:lineRule="exact"/>
              <w:ind w:right="173"/>
              <w:rPr>
                <w:sz w:val="24"/>
              </w:rPr>
            </w:pPr>
            <w:r>
              <w:rPr>
                <w:sz w:val="24"/>
              </w:rPr>
              <w:t>300</w:t>
            </w:r>
          </w:p>
        </w:tc>
        <w:tc>
          <w:tcPr>
            <w:tcW w:w="1011" w:type="dxa"/>
            <w:tcBorders>
              <w:top w:val="nil"/>
              <w:left w:val="nil"/>
              <w:bottom w:val="nil"/>
              <w:right w:val="nil"/>
            </w:tcBorders>
          </w:tcPr>
          <w:p>
            <w:pPr>
              <w:pStyle w:val="TableParagraph"/>
              <w:spacing w:line="275" w:lineRule="exact"/>
              <w:ind w:right="173"/>
              <w:rPr>
                <w:sz w:val="24"/>
              </w:rPr>
            </w:pPr>
            <w:r>
              <w:rPr>
                <w:sz w:val="24"/>
              </w:rPr>
              <w:t>300</w:t>
            </w:r>
          </w:p>
        </w:tc>
        <w:tc>
          <w:tcPr>
            <w:tcW w:w="905" w:type="dxa"/>
            <w:tcBorders>
              <w:top w:val="nil"/>
              <w:left w:val="nil"/>
              <w:bottom w:val="nil"/>
              <w:right w:val="nil"/>
            </w:tcBorders>
          </w:tcPr>
          <w:p>
            <w:pPr>
              <w:pStyle w:val="TableParagraph"/>
              <w:spacing w:line="275" w:lineRule="exact"/>
              <w:ind w:right="67"/>
              <w:rPr>
                <w:sz w:val="24"/>
              </w:rPr>
            </w:pPr>
            <w:r>
              <w:rPr>
                <w:sz w:val="24"/>
              </w:rPr>
              <w:t>300</w:t>
            </w:r>
          </w:p>
        </w:tc>
        <w:tc>
          <w:tcPr>
            <w:tcW w:w="1141" w:type="dxa"/>
            <w:tcBorders>
              <w:top w:val="nil"/>
              <w:left w:val="nil"/>
              <w:bottom w:val="nil"/>
              <w:right w:val="nil"/>
            </w:tcBorders>
          </w:tcPr>
          <w:p>
            <w:pPr>
              <w:pStyle w:val="TableParagraph"/>
              <w:spacing w:line="275" w:lineRule="exact"/>
              <w:ind w:right="67"/>
              <w:rPr>
                <w:sz w:val="24"/>
              </w:rPr>
            </w:pPr>
            <w:r>
              <w:rPr>
                <w:sz w:val="24"/>
              </w:rPr>
              <w:t>300</w:t>
            </w:r>
          </w:p>
        </w:tc>
        <w:tc>
          <w:tcPr>
            <w:tcW w:w="1130" w:type="dxa"/>
            <w:tcBorders>
              <w:top w:val="nil"/>
              <w:left w:val="nil"/>
              <w:bottom w:val="nil"/>
              <w:right w:val="nil"/>
            </w:tcBorders>
          </w:tcPr>
          <w:p>
            <w:pPr>
              <w:pStyle w:val="TableParagraph"/>
              <w:spacing w:line="275" w:lineRule="exact"/>
              <w:ind w:right="71"/>
              <w:rPr>
                <w:sz w:val="24"/>
              </w:rPr>
            </w:pPr>
            <w:r>
              <w:rPr>
                <w:sz w:val="24"/>
              </w:rPr>
              <w:t>300</w:t>
            </w:r>
          </w:p>
        </w:tc>
      </w:tr>
      <w:tr>
        <w:trPr>
          <w:trHeight w:val="302" w:hRule="exact"/>
        </w:trPr>
        <w:tc>
          <w:tcPr>
            <w:tcW w:w="2350" w:type="dxa"/>
            <w:tcBorders>
              <w:top w:val="nil"/>
              <w:left w:val="nil"/>
              <w:right w:val="nil"/>
            </w:tcBorders>
          </w:tcPr>
          <w:p>
            <w:pPr>
              <w:pStyle w:val="TableParagraph"/>
              <w:spacing w:before="1"/>
              <w:ind w:left="69" w:right="581"/>
              <w:jc w:val="left"/>
              <w:rPr>
                <w:b/>
                <w:sz w:val="24"/>
              </w:rPr>
            </w:pPr>
            <w:r>
              <w:rPr>
                <w:b/>
                <w:sz w:val="24"/>
              </w:rPr>
              <w:t>Subtotal</w:t>
            </w:r>
          </w:p>
        </w:tc>
        <w:tc>
          <w:tcPr>
            <w:tcW w:w="1293" w:type="dxa"/>
            <w:tcBorders>
              <w:top w:val="nil"/>
              <w:left w:val="nil"/>
              <w:right w:val="nil"/>
            </w:tcBorders>
          </w:tcPr>
          <w:p>
            <w:pPr>
              <w:pStyle w:val="TableParagraph"/>
              <w:spacing w:before="1"/>
              <w:ind w:right="174"/>
              <w:rPr>
                <w:b/>
                <w:sz w:val="24"/>
              </w:rPr>
            </w:pPr>
            <w:r>
              <w:rPr>
                <w:b/>
                <w:sz w:val="24"/>
              </w:rPr>
              <w:t>2,550</w:t>
            </w:r>
          </w:p>
        </w:tc>
        <w:tc>
          <w:tcPr>
            <w:tcW w:w="1012" w:type="dxa"/>
            <w:tcBorders>
              <w:top w:val="nil"/>
              <w:left w:val="nil"/>
              <w:right w:val="nil"/>
            </w:tcBorders>
          </w:tcPr>
          <w:p>
            <w:pPr>
              <w:pStyle w:val="TableParagraph"/>
              <w:spacing w:before="1"/>
              <w:ind w:right="173"/>
              <w:rPr>
                <w:b/>
                <w:sz w:val="24"/>
              </w:rPr>
            </w:pPr>
            <w:r>
              <w:rPr>
                <w:b/>
                <w:sz w:val="24"/>
              </w:rPr>
              <w:t>2,572</w:t>
            </w:r>
          </w:p>
        </w:tc>
        <w:tc>
          <w:tcPr>
            <w:tcW w:w="1011" w:type="dxa"/>
            <w:tcBorders>
              <w:top w:val="nil"/>
              <w:left w:val="nil"/>
              <w:right w:val="nil"/>
            </w:tcBorders>
          </w:tcPr>
          <w:p>
            <w:pPr>
              <w:pStyle w:val="TableParagraph"/>
              <w:spacing w:before="1"/>
              <w:ind w:right="173"/>
              <w:rPr>
                <w:b/>
                <w:sz w:val="24"/>
              </w:rPr>
            </w:pPr>
            <w:r>
              <w:rPr>
                <w:b/>
                <w:sz w:val="24"/>
              </w:rPr>
              <w:t>2,584</w:t>
            </w:r>
          </w:p>
        </w:tc>
        <w:tc>
          <w:tcPr>
            <w:tcW w:w="905" w:type="dxa"/>
            <w:tcBorders>
              <w:top w:val="nil"/>
              <w:left w:val="nil"/>
              <w:right w:val="nil"/>
            </w:tcBorders>
          </w:tcPr>
          <w:p>
            <w:pPr>
              <w:pStyle w:val="TableParagraph"/>
              <w:spacing w:before="1"/>
              <w:ind w:right="67"/>
              <w:rPr>
                <w:b/>
                <w:sz w:val="24"/>
              </w:rPr>
            </w:pPr>
            <w:r>
              <w:rPr>
                <w:b/>
                <w:sz w:val="24"/>
              </w:rPr>
              <w:t>2,718</w:t>
            </w:r>
          </w:p>
        </w:tc>
        <w:tc>
          <w:tcPr>
            <w:tcW w:w="1141" w:type="dxa"/>
            <w:tcBorders>
              <w:top w:val="nil"/>
              <w:left w:val="nil"/>
              <w:right w:val="nil"/>
            </w:tcBorders>
          </w:tcPr>
          <w:p>
            <w:pPr>
              <w:pStyle w:val="TableParagraph"/>
              <w:spacing w:before="1"/>
              <w:ind w:right="68"/>
              <w:rPr>
                <w:b/>
                <w:sz w:val="24"/>
              </w:rPr>
            </w:pPr>
            <w:r>
              <w:rPr>
                <w:b/>
                <w:sz w:val="24"/>
              </w:rPr>
              <w:t>2,754</w:t>
            </w:r>
          </w:p>
        </w:tc>
        <w:tc>
          <w:tcPr>
            <w:tcW w:w="1130" w:type="dxa"/>
            <w:tcBorders>
              <w:top w:val="nil"/>
              <w:left w:val="nil"/>
              <w:right w:val="nil"/>
            </w:tcBorders>
          </w:tcPr>
          <w:p>
            <w:pPr>
              <w:pStyle w:val="TableParagraph"/>
              <w:spacing w:before="1"/>
              <w:ind w:right="71"/>
              <w:rPr>
                <w:b/>
                <w:sz w:val="24"/>
              </w:rPr>
            </w:pPr>
            <w:r>
              <w:rPr>
                <w:b/>
                <w:sz w:val="24"/>
              </w:rPr>
              <w:t>2,790</w:t>
            </w:r>
          </w:p>
        </w:tc>
      </w:tr>
    </w:tbl>
    <w:p>
      <w:pPr>
        <w:spacing w:line="203" w:lineRule="exact" w:before="0"/>
        <w:ind w:left="171" w:right="0" w:firstLine="0"/>
        <w:jc w:val="left"/>
        <w:rPr>
          <w:sz w:val="20"/>
        </w:rPr>
      </w:pPr>
      <w:r>
        <w:rPr>
          <w:sz w:val="20"/>
        </w:rPr>
        <w:t>Fuente: Elaboración propia con datos de SIAP. Boletín de leche enero-marzo, 2013b.</w:t>
      </w:r>
    </w:p>
    <w:p>
      <w:pPr>
        <w:spacing w:line="229" w:lineRule="exact" w:before="0"/>
        <w:ind w:left="171" w:right="0" w:firstLine="0"/>
        <w:jc w:val="left"/>
        <w:rPr>
          <w:sz w:val="20"/>
        </w:rPr>
      </w:pPr>
      <w:r>
        <w:rPr>
          <w:sz w:val="20"/>
        </w:rPr>
        <w:t>p/, Datos preliminares: e/, Datos estimados.</w:t>
      </w:r>
    </w:p>
    <w:p>
      <w:pPr>
        <w:spacing w:after="0" w:line="229" w:lineRule="exact"/>
        <w:jc w:val="left"/>
        <w:rPr>
          <w:sz w:val="20"/>
        </w:rPr>
        <w:sectPr>
          <w:pgSz w:w="12240" w:h="15840"/>
          <w:pgMar w:header="0" w:footer="657" w:top="1360" w:bottom="840" w:left="1600" w:right="1580"/>
        </w:sectPr>
      </w:pPr>
    </w:p>
    <w:p>
      <w:pPr>
        <w:pStyle w:val="Heading2"/>
        <w:numPr>
          <w:ilvl w:val="2"/>
          <w:numId w:val="9"/>
        </w:numPr>
        <w:tabs>
          <w:tab w:pos="662" w:val="left" w:leader="none"/>
        </w:tabs>
        <w:spacing w:line="240" w:lineRule="auto" w:before="55" w:after="0"/>
        <w:ind w:left="662" w:right="0" w:hanging="540"/>
        <w:jc w:val="both"/>
        <w:rPr>
          <w:i/>
        </w:rPr>
      </w:pPr>
      <w:r>
        <w:rPr>
          <w:i/>
        </w:rPr>
        <w:t>Importaciones</w:t>
      </w:r>
    </w:p>
    <w:p>
      <w:pPr>
        <w:pStyle w:val="BodyText"/>
        <w:rPr>
          <w:b/>
          <w:i/>
        </w:rPr>
      </w:pPr>
    </w:p>
    <w:p>
      <w:pPr>
        <w:pStyle w:val="BodyText"/>
        <w:spacing w:before="7"/>
        <w:rPr>
          <w:b/>
          <w:i/>
          <w:sz w:val="23"/>
        </w:rPr>
      </w:pPr>
    </w:p>
    <w:p>
      <w:pPr>
        <w:pStyle w:val="BodyText"/>
        <w:ind w:left="122"/>
        <w:jc w:val="both"/>
      </w:pPr>
      <w:r>
        <w:rPr/>
        <w:t>Las importaciones a nivel mundial tienen particularidades que surgen de cuatro aspectos:</w:t>
      </w:r>
    </w:p>
    <w:p>
      <w:pPr>
        <w:pStyle w:val="BodyText"/>
      </w:pPr>
    </w:p>
    <w:p>
      <w:pPr>
        <w:pStyle w:val="BodyText"/>
      </w:pPr>
    </w:p>
    <w:p>
      <w:pPr>
        <w:pStyle w:val="ListParagraph"/>
        <w:numPr>
          <w:ilvl w:val="3"/>
          <w:numId w:val="9"/>
        </w:numPr>
        <w:tabs>
          <w:tab w:pos="842" w:val="left" w:leader="none"/>
        </w:tabs>
        <w:spacing w:line="240" w:lineRule="auto" w:before="0" w:after="0"/>
        <w:ind w:left="842" w:right="0" w:hanging="360"/>
        <w:jc w:val="left"/>
        <w:rPr>
          <w:sz w:val="24"/>
        </w:rPr>
      </w:pPr>
      <w:r>
        <w:rPr>
          <w:sz w:val="24"/>
        </w:rPr>
        <w:t>La división entre países con problemas de fiebre aftosa y aquellos que no la</w:t>
      </w:r>
      <w:r>
        <w:rPr>
          <w:spacing w:val="-15"/>
          <w:sz w:val="24"/>
        </w:rPr>
        <w:t> </w:t>
      </w:r>
      <w:r>
        <w:rPr>
          <w:sz w:val="24"/>
        </w:rPr>
        <w:t>tienen;</w:t>
      </w:r>
    </w:p>
    <w:p>
      <w:pPr>
        <w:pStyle w:val="ListParagraph"/>
        <w:numPr>
          <w:ilvl w:val="3"/>
          <w:numId w:val="9"/>
        </w:numPr>
        <w:tabs>
          <w:tab w:pos="842" w:val="left" w:leader="none"/>
        </w:tabs>
        <w:spacing w:line="240" w:lineRule="auto" w:before="139" w:after="0"/>
        <w:ind w:left="842" w:right="0" w:hanging="360"/>
        <w:jc w:val="left"/>
        <w:rPr>
          <w:sz w:val="24"/>
        </w:rPr>
      </w:pPr>
      <w:r>
        <w:rPr>
          <w:sz w:val="24"/>
        </w:rPr>
        <w:t>La creciente variedad de productos que se</w:t>
      </w:r>
      <w:r>
        <w:rPr>
          <w:spacing w:val="-11"/>
          <w:sz w:val="24"/>
        </w:rPr>
        <w:t> </w:t>
      </w:r>
      <w:r>
        <w:rPr>
          <w:sz w:val="24"/>
        </w:rPr>
        <w:t>comercializan;</w:t>
      </w:r>
    </w:p>
    <w:p>
      <w:pPr>
        <w:pStyle w:val="ListParagraph"/>
        <w:numPr>
          <w:ilvl w:val="3"/>
          <w:numId w:val="9"/>
        </w:numPr>
        <w:tabs>
          <w:tab w:pos="842" w:val="left" w:leader="none"/>
        </w:tabs>
        <w:spacing w:line="240" w:lineRule="auto" w:before="137" w:after="0"/>
        <w:ind w:left="842" w:right="0" w:hanging="360"/>
        <w:jc w:val="left"/>
        <w:rPr>
          <w:sz w:val="24"/>
        </w:rPr>
      </w:pPr>
      <w:r>
        <w:rPr>
          <w:sz w:val="24"/>
        </w:rPr>
        <w:t>La participación de grandes corporaciones;</w:t>
      </w:r>
      <w:r>
        <w:rPr>
          <w:spacing w:val="-6"/>
          <w:sz w:val="24"/>
        </w:rPr>
        <w:t> </w:t>
      </w:r>
      <w:r>
        <w:rPr>
          <w:sz w:val="24"/>
        </w:rPr>
        <w:t>y</w:t>
      </w:r>
    </w:p>
    <w:p>
      <w:pPr>
        <w:pStyle w:val="ListParagraph"/>
        <w:numPr>
          <w:ilvl w:val="3"/>
          <w:numId w:val="9"/>
        </w:numPr>
        <w:tabs>
          <w:tab w:pos="842" w:val="left" w:leader="none"/>
        </w:tabs>
        <w:spacing w:line="240" w:lineRule="auto" w:before="139" w:after="0"/>
        <w:ind w:left="842" w:right="0" w:hanging="360"/>
        <w:jc w:val="left"/>
        <w:rPr>
          <w:sz w:val="24"/>
        </w:rPr>
      </w:pPr>
      <w:r>
        <w:rPr>
          <w:sz w:val="24"/>
        </w:rPr>
        <w:t>Las distorsiones que existen en los</w:t>
      </w:r>
      <w:r>
        <w:rPr>
          <w:spacing w:val="-5"/>
          <w:sz w:val="24"/>
        </w:rPr>
        <w:t> </w:t>
      </w:r>
      <w:r>
        <w:rPr>
          <w:sz w:val="24"/>
        </w:rPr>
        <w:t>mercados.</w:t>
      </w:r>
    </w:p>
    <w:p>
      <w:pPr>
        <w:pStyle w:val="BodyText"/>
      </w:pPr>
    </w:p>
    <w:p>
      <w:pPr>
        <w:pStyle w:val="BodyText"/>
      </w:pPr>
    </w:p>
    <w:p>
      <w:pPr>
        <w:pStyle w:val="BodyText"/>
        <w:spacing w:line="360" w:lineRule="auto" w:before="200"/>
        <w:ind w:left="122" w:right="115"/>
        <w:jc w:val="both"/>
      </w:pPr>
      <w:r>
        <w:rPr/>
        <w:t>En los países de América Latina existe una marcada tendencia al aumento de las importaciones</w:t>
      </w:r>
      <w:r>
        <w:rPr>
          <w:spacing w:val="-8"/>
        </w:rPr>
        <w:t> </w:t>
      </w:r>
      <w:r>
        <w:rPr/>
        <w:t>de</w:t>
      </w:r>
      <w:r>
        <w:rPr>
          <w:spacing w:val="-8"/>
        </w:rPr>
        <w:t> </w:t>
      </w:r>
      <w:r>
        <w:rPr/>
        <w:t>productos</w:t>
      </w:r>
      <w:r>
        <w:rPr>
          <w:spacing w:val="-7"/>
        </w:rPr>
        <w:t> </w:t>
      </w:r>
      <w:r>
        <w:rPr/>
        <w:t>lácteos.</w:t>
      </w:r>
      <w:r>
        <w:rPr>
          <w:spacing w:val="-8"/>
        </w:rPr>
        <w:t> </w:t>
      </w:r>
      <w:r>
        <w:rPr/>
        <w:t>México,</w:t>
      </w:r>
      <w:r>
        <w:rPr>
          <w:spacing w:val="-8"/>
        </w:rPr>
        <w:t> </w:t>
      </w:r>
      <w:r>
        <w:rPr/>
        <w:t>Brasil,</w:t>
      </w:r>
      <w:r>
        <w:rPr>
          <w:spacing w:val="-7"/>
        </w:rPr>
        <w:t> </w:t>
      </w:r>
      <w:r>
        <w:rPr/>
        <w:t>Venezuela</w:t>
      </w:r>
      <w:r>
        <w:rPr>
          <w:spacing w:val="-5"/>
        </w:rPr>
        <w:t> </w:t>
      </w:r>
      <w:r>
        <w:rPr/>
        <w:t>y</w:t>
      </w:r>
      <w:r>
        <w:rPr>
          <w:spacing w:val="-14"/>
        </w:rPr>
        <w:t> </w:t>
      </w:r>
      <w:r>
        <w:rPr/>
        <w:t>países</w:t>
      </w:r>
      <w:r>
        <w:rPr>
          <w:spacing w:val="-5"/>
        </w:rPr>
        <w:t> </w:t>
      </w:r>
      <w:r>
        <w:rPr/>
        <w:t>Latinos</w:t>
      </w:r>
      <w:r>
        <w:rPr>
          <w:spacing w:val="-6"/>
        </w:rPr>
        <w:t> </w:t>
      </w:r>
      <w:r>
        <w:rPr/>
        <w:t>contabilizan más del 90 por ciento del déficit comercial de lácteos (Figura 2), en tanto que Argentina y Uruguay tienen el mayor superávit. Por su parte, EUA resulta un importador neto de productos lácteos, sus exportaciones (altamente subsidiadas) son especialmente insumos lácteos como leche en polvo, y sus importaciones son quesos de alto valor agregado (Secretaria de Economía,</w:t>
      </w:r>
      <w:r>
        <w:rPr>
          <w:spacing w:val="-6"/>
        </w:rPr>
        <w:t> </w:t>
      </w:r>
      <w:r>
        <w:rPr/>
        <w:t>2012).</w:t>
      </w:r>
    </w:p>
    <w:p>
      <w:pPr>
        <w:pStyle w:val="BodyText"/>
        <w:rPr>
          <w:sz w:val="20"/>
        </w:rPr>
      </w:pPr>
    </w:p>
    <w:p>
      <w:pPr>
        <w:pStyle w:val="BodyText"/>
        <w:rPr>
          <w:sz w:val="22"/>
        </w:rPr>
      </w:pPr>
    </w:p>
    <w:p>
      <w:pPr>
        <w:spacing w:before="0"/>
        <w:ind w:left="974" w:right="504" w:firstLine="0"/>
        <w:jc w:val="left"/>
        <w:rPr>
          <w:sz w:val="20"/>
        </w:rPr>
      </w:pPr>
      <w:r>
        <w:rPr/>
        <w:pict>
          <v:group style="position:absolute;margin-left:125.75pt;margin-top:16.815939pt;width:360.5pt;height:194.8pt;mso-position-horizontal-relative:page;mso-position-vertical-relative:paragraph;z-index:1312;mso-wrap-distance-left:0;mso-wrap-distance-right:0" coordorigin="2515,336" coordsize="7210,3896">
            <v:shape style="position:absolute;left:3163;top:560;width:6185;height:2765" type="#_x0000_t75" stroked="false">
              <v:imagedata r:id="rId34" o:title=""/>
            </v:shape>
            <v:shape style="position:absolute;left:3943;top:3889;width:106;height:108" type="#_x0000_t75" stroked="false">
              <v:imagedata r:id="rId35" o:title=""/>
            </v:shape>
            <v:shape style="position:absolute;left:6533;top:3889;width:106;height:108" type="#_x0000_t75" stroked="false">
              <v:imagedata r:id="rId36" o:title=""/>
            </v:shape>
            <v:rect style="position:absolute;left:2520;top:341;width:7200;height:3886" filled="false" stroked="true" strokeweight=".48pt" strokecolor="#000000"/>
            <v:shape style="position:absolute;left:2839;top:719;width:202;height:2669" type="#_x0000_t202" filled="false" stroked="false">
              <v:textbox inset="0,0,0,0">
                <w:txbxContent>
                  <w:p>
                    <w:pPr>
                      <w:spacing w:line="186" w:lineRule="exact" w:before="0"/>
                      <w:ind w:left="0" w:right="-18" w:firstLine="0"/>
                      <w:jc w:val="left"/>
                      <w:rPr>
                        <w:rFonts w:ascii="Cambria"/>
                        <w:sz w:val="18"/>
                      </w:rPr>
                    </w:pPr>
                    <w:r>
                      <w:rPr>
                        <w:rFonts w:ascii="Cambria"/>
                        <w:color w:val="585858"/>
                        <w:sz w:val="18"/>
                      </w:rPr>
                      <w:t>40</w:t>
                    </w:r>
                  </w:p>
                  <w:p>
                    <w:pPr>
                      <w:spacing w:before="100"/>
                      <w:ind w:left="0" w:right="-18" w:firstLine="0"/>
                      <w:jc w:val="left"/>
                      <w:rPr>
                        <w:rFonts w:ascii="Cambria"/>
                        <w:sz w:val="18"/>
                      </w:rPr>
                    </w:pPr>
                    <w:r>
                      <w:rPr>
                        <w:rFonts w:ascii="Cambria"/>
                        <w:color w:val="585858"/>
                        <w:sz w:val="18"/>
                      </w:rPr>
                      <w:t>35</w:t>
                    </w:r>
                  </w:p>
                  <w:p>
                    <w:pPr>
                      <w:spacing w:before="100"/>
                      <w:ind w:left="0" w:right="-18" w:firstLine="0"/>
                      <w:jc w:val="left"/>
                      <w:rPr>
                        <w:rFonts w:ascii="Cambria"/>
                        <w:sz w:val="18"/>
                      </w:rPr>
                    </w:pPr>
                    <w:r>
                      <w:rPr>
                        <w:rFonts w:ascii="Cambria"/>
                        <w:color w:val="585858"/>
                        <w:sz w:val="18"/>
                      </w:rPr>
                      <w:t>30</w:t>
                    </w:r>
                  </w:p>
                  <w:p>
                    <w:pPr>
                      <w:spacing w:before="100"/>
                      <w:ind w:left="0" w:right="-18" w:firstLine="0"/>
                      <w:jc w:val="left"/>
                      <w:rPr>
                        <w:rFonts w:ascii="Cambria"/>
                        <w:sz w:val="18"/>
                      </w:rPr>
                    </w:pPr>
                    <w:r>
                      <w:rPr>
                        <w:rFonts w:ascii="Cambria"/>
                        <w:color w:val="585858"/>
                        <w:sz w:val="18"/>
                      </w:rPr>
                      <w:t>25</w:t>
                    </w:r>
                  </w:p>
                  <w:p>
                    <w:pPr>
                      <w:spacing w:before="100"/>
                      <w:ind w:left="0" w:right="-18" w:firstLine="0"/>
                      <w:jc w:val="left"/>
                      <w:rPr>
                        <w:rFonts w:ascii="Cambria"/>
                        <w:sz w:val="18"/>
                      </w:rPr>
                    </w:pPr>
                    <w:r>
                      <w:rPr>
                        <w:rFonts w:ascii="Cambria"/>
                        <w:color w:val="585858"/>
                        <w:sz w:val="18"/>
                      </w:rPr>
                      <w:t>20</w:t>
                    </w:r>
                  </w:p>
                  <w:p>
                    <w:pPr>
                      <w:spacing w:before="100"/>
                      <w:ind w:left="0" w:right="-18" w:firstLine="0"/>
                      <w:jc w:val="left"/>
                      <w:rPr>
                        <w:rFonts w:ascii="Cambria"/>
                        <w:sz w:val="18"/>
                      </w:rPr>
                    </w:pPr>
                    <w:r>
                      <w:rPr>
                        <w:rFonts w:ascii="Cambria"/>
                        <w:color w:val="585858"/>
                        <w:sz w:val="18"/>
                      </w:rPr>
                      <w:t>15</w:t>
                    </w:r>
                  </w:p>
                  <w:p>
                    <w:pPr>
                      <w:spacing w:before="100"/>
                      <w:ind w:left="0" w:right="-18" w:firstLine="0"/>
                      <w:jc w:val="left"/>
                      <w:rPr>
                        <w:rFonts w:ascii="Cambria"/>
                        <w:sz w:val="18"/>
                      </w:rPr>
                    </w:pPr>
                    <w:r>
                      <w:rPr>
                        <w:rFonts w:ascii="Cambria"/>
                        <w:color w:val="585858"/>
                        <w:sz w:val="18"/>
                      </w:rPr>
                      <w:t>10</w:t>
                    </w:r>
                  </w:p>
                  <w:p>
                    <w:pPr>
                      <w:spacing w:before="100"/>
                      <w:ind w:left="99" w:right="0" w:firstLine="0"/>
                      <w:jc w:val="left"/>
                      <w:rPr>
                        <w:rFonts w:ascii="Cambria"/>
                        <w:sz w:val="18"/>
                      </w:rPr>
                    </w:pPr>
                    <w:r>
                      <w:rPr>
                        <w:rFonts w:ascii="Cambria"/>
                        <w:color w:val="585858"/>
                        <w:sz w:val="18"/>
                      </w:rPr>
                      <w:t>5</w:t>
                    </w:r>
                  </w:p>
                  <w:p>
                    <w:pPr>
                      <w:spacing w:line="205" w:lineRule="exact" w:before="100"/>
                      <w:ind w:left="99" w:right="0" w:firstLine="0"/>
                      <w:jc w:val="left"/>
                      <w:rPr>
                        <w:rFonts w:ascii="Cambria"/>
                        <w:sz w:val="18"/>
                      </w:rPr>
                    </w:pPr>
                    <w:r>
                      <w:rPr>
                        <w:rFonts w:ascii="Cambria"/>
                        <w:color w:val="585858"/>
                        <w:sz w:val="18"/>
                      </w:rPr>
                      <w:t>0</w:t>
                    </w:r>
                  </w:p>
                </w:txbxContent>
              </v:textbox>
              <w10:wrap type="none"/>
            </v:shape>
            <v:shape style="position:absolute;left:3450;top:3428;width:5436;height:180" type="#_x0000_t202" filled="false" stroked="false">
              <v:textbox inset="0,0,0,0">
                <w:txbxContent>
                  <w:p>
                    <w:pPr>
                      <w:tabs>
                        <w:tab w:pos="918" w:val="left" w:leader="none"/>
                        <w:tab w:pos="1845" w:val="left" w:leader="none"/>
                        <w:tab w:pos="2782" w:val="left" w:leader="none"/>
                        <w:tab w:pos="3842" w:val="left" w:leader="none"/>
                        <w:tab w:pos="4744" w:val="left" w:leader="none"/>
                      </w:tabs>
                      <w:spacing w:line="180" w:lineRule="exact" w:before="0"/>
                      <w:ind w:left="0" w:right="0" w:firstLine="0"/>
                      <w:jc w:val="left"/>
                      <w:rPr>
                        <w:rFonts w:ascii="Cambria" w:hAnsi="Cambria"/>
                        <w:sz w:val="18"/>
                      </w:rPr>
                    </w:pPr>
                    <w:r>
                      <w:rPr>
                        <w:rFonts w:ascii="Cambria" w:hAnsi="Cambria"/>
                        <w:color w:val="585858"/>
                        <w:sz w:val="18"/>
                      </w:rPr>
                      <w:t>China</w:t>
                      <w:tab/>
                      <w:t>Argelia</w:t>
                      <w:tab/>
                      <w:t>Holanda</w:t>
                      <w:tab/>
                      <w:t>Indonesia</w:t>
                      <w:tab/>
                      <w:t>México</w:t>
                      <w:tab/>
                      <w:t>Singapur</w:t>
                    </w:r>
                  </w:p>
                </w:txbxContent>
              </v:textbox>
              <w10:wrap type="none"/>
            </v:shape>
            <v:shape style="position:absolute;left:4084;top:3856;width:2120;height:180" type="#_x0000_t202" filled="false" stroked="false">
              <v:textbox inset="0,0,0,0">
                <w:txbxContent>
                  <w:p>
                    <w:pPr>
                      <w:spacing w:line="180" w:lineRule="exact" w:before="0"/>
                      <w:ind w:left="0" w:right="-11" w:firstLine="0"/>
                      <w:jc w:val="left"/>
                      <w:rPr>
                        <w:rFonts w:ascii="Cambria"/>
                        <w:sz w:val="18"/>
                      </w:rPr>
                    </w:pPr>
                    <w:r>
                      <w:rPr>
                        <w:rFonts w:ascii="Cambria"/>
                        <w:color w:val="585858"/>
                        <w:sz w:val="18"/>
                      </w:rPr>
                      <w:t>Leche descremada en</w:t>
                    </w:r>
                    <w:r>
                      <w:rPr>
                        <w:rFonts w:ascii="Cambria"/>
                        <w:color w:val="585858"/>
                        <w:spacing w:val="-10"/>
                        <w:sz w:val="18"/>
                      </w:rPr>
                      <w:t> </w:t>
                    </w:r>
                    <w:r>
                      <w:rPr>
                        <w:rFonts w:ascii="Cambria"/>
                        <w:color w:val="585858"/>
                        <w:sz w:val="18"/>
                      </w:rPr>
                      <w:t>polvo</w:t>
                    </w:r>
                  </w:p>
                </w:txbxContent>
              </v:textbox>
              <w10:wrap type="none"/>
            </v:shape>
            <v:shape style="position:absolute;left:6674;top:3856;width:1688;height:180" type="#_x0000_t202" filled="false" stroked="false">
              <v:textbox inset="0,0,0,0">
                <w:txbxContent>
                  <w:p>
                    <w:pPr>
                      <w:spacing w:line="180" w:lineRule="exact" w:before="0"/>
                      <w:ind w:left="0" w:right="-15" w:firstLine="0"/>
                      <w:jc w:val="left"/>
                      <w:rPr>
                        <w:rFonts w:ascii="Cambria"/>
                        <w:sz w:val="18"/>
                      </w:rPr>
                    </w:pPr>
                    <w:r>
                      <w:rPr>
                        <w:rFonts w:ascii="Cambria"/>
                        <w:color w:val="585858"/>
                        <w:sz w:val="18"/>
                      </w:rPr>
                      <w:t>Leche entera en</w:t>
                    </w:r>
                    <w:r>
                      <w:rPr>
                        <w:rFonts w:ascii="Cambria"/>
                        <w:color w:val="585858"/>
                        <w:spacing w:val="-6"/>
                        <w:sz w:val="18"/>
                      </w:rPr>
                      <w:t> </w:t>
                    </w:r>
                    <w:r>
                      <w:rPr>
                        <w:rFonts w:ascii="Cambria"/>
                        <w:color w:val="585858"/>
                        <w:sz w:val="18"/>
                      </w:rPr>
                      <w:t>polvo</w:t>
                    </w:r>
                  </w:p>
                </w:txbxContent>
              </v:textbox>
              <w10:wrap type="none"/>
            </v:shape>
            <w10:wrap type="topAndBottom"/>
          </v:group>
        </w:pict>
      </w:r>
      <w:r>
        <w:rPr>
          <w:sz w:val="20"/>
        </w:rPr>
        <w:t>Miles de toneladas</w:t>
      </w:r>
    </w:p>
    <w:p>
      <w:pPr>
        <w:pStyle w:val="BodyText"/>
        <w:spacing w:before="5"/>
        <w:rPr>
          <w:sz w:val="20"/>
        </w:rPr>
      </w:pPr>
    </w:p>
    <w:p>
      <w:pPr>
        <w:spacing w:before="74"/>
        <w:ind w:left="2306" w:right="504" w:firstLine="0"/>
        <w:jc w:val="left"/>
        <w:rPr>
          <w:sz w:val="20"/>
        </w:rPr>
      </w:pPr>
      <w:r>
        <w:rPr>
          <w:sz w:val="20"/>
        </w:rPr>
        <w:t>Fuente: Elaboración propia con datos de la Secretaria de Economía, 2102</w:t>
      </w:r>
    </w:p>
    <w:p>
      <w:pPr>
        <w:pStyle w:val="BodyText"/>
        <w:rPr>
          <w:sz w:val="20"/>
        </w:rPr>
      </w:pPr>
    </w:p>
    <w:p>
      <w:pPr>
        <w:pStyle w:val="BodyText"/>
        <w:spacing w:before="8"/>
        <w:rPr>
          <w:sz w:val="21"/>
        </w:rPr>
      </w:pPr>
      <w:r>
        <w:rPr/>
        <w:pict>
          <v:line style="position:absolute;mso-position-horizontal-relative:page;mso-position-vertical-relative:paragraph;z-index:1336;mso-wrap-distance-left:0;mso-wrap-distance-right:0" from="85.019997pt,15.45789pt" to="526.669997pt,15.45789pt" stroked="true" strokeweight="2.04pt" strokecolor="#000000">
            <w10:wrap type="topAndBottom"/>
          </v:line>
        </w:pict>
      </w:r>
    </w:p>
    <w:p>
      <w:pPr>
        <w:pStyle w:val="BodyText"/>
        <w:spacing w:before="27"/>
        <w:ind w:left="122" w:right="504"/>
      </w:pPr>
      <w:r>
        <w:rPr>
          <w:b/>
        </w:rPr>
        <w:t>Figura 2. </w:t>
      </w:r>
      <w:r>
        <w:rPr/>
        <w:t>Principales países importadores de leche descremada y entera en polvo 2010.</w:t>
      </w:r>
    </w:p>
    <w:p>
      <w:pPr>
        <w:spacing w:after="0"/>
        <w:sectPr>
          <w:pgSz w:w="12240" w:h="15840"/>
          <w:pgMar w:header="0" w:footer="657" w:top="1360" w:bottom="840" w:left="1580" w:right="1580"/>
        </w:sectPr>
      </w:pPr>
    </w:p>
    <w:p>
      <w:pPr>
        <w:pStyle w:val="Heading2"/>
        <w:numPr>
          <w:ilvl w:val="2"/>
          <w:numId w:val="9"/>
        </w:numPr>
        <w:tabs>
          <w:tab w:pos="642" w:val="left" w:leader="none"/>
        </w:tabs>
        <w:spacing w:line="240" w:lineRule="auto" w:before="55" w:after="0"/>
        <w:ind w:left="642" w:right="0" w:hanging="540"/>
        <w:jc w:val="both"/>
        <w:rPr>
          <w:i/>
        </w:rPr>
      </w:pPr>
      <w:r>
        <w:rPr>
          <w:i/>
        </w:rPr>
        <w:t>Exportaciones</w:t>
      </w:r>
    </w:p>
    <w:p>
      <w:pPr>
        <w:pStyle w:val="BodyText"/>
        <w:rPr>
          <w:b/>
          <w:i/>
        </w:rPr>
      </w:pPr>
    </w:p>
    <w:p>
      <w:pPr>
        <w:pStyle w:val="BodyText"/>
        <w:rPr>
          <w:b/>
          <w:i/>
        </w:rPr>
      </w:pPr>
    </w:p>
    <w:p>
      <w:pPr>
        <w:pStyle w:val="BodyText"/>
        <w:spacing w:before="5"/>
        <w:rPr>
          <w:b/>
          <w:i/>
          <w:sz w:val="34"/>
        </w:rPr>
      </w:pPr>
    </w:p>
    <w:p>
      <w:pPr>
        <w:pStyle w:val="BodyText"/>
        <w:spacing w:line="360" w:lineRule="auto"/>
        <w:ind w:left="102" w:right="117"/>
        <w:jc w:val="both"/>
      </w:pPr>
      <w:r>
        <w:rPr/>
        <w:t>Las exportaciones de leche y sus derivados a nivel mundial recaen en tres regiones (UE, Oceanía y EUA) responsables del 70% de las exportaciones mundiales. </w:t>
      </w:r>
      <w:r>
        <w:rPr>
          <w:spacing w:val="-3"/>
        </w:rPr>
        <w:t>La </w:t>
      </w:r>
      <w:r>
        <w:rPr/>
        <w:t>UE ocupa el primer sitio como exportadora de quesos, leche entera en polvo y descremada, y el segundo como exportador de mantequilla, después de Nueva Zelanda. La política de precios es el eje central para los programas de fomento lechero y establece un precio mínimo obligatorio de garantía. Además hay medidas de control de la producción para reducir los excedentes. La UE</w:t>
      </w:r>
      <w:r>
        <w:rPr>
          <w:spacing w:val="-5"/>
        </w:rPr>
        <w:t> </w:t>
      </w:r>
      <w:r>
        <w:rPr/>
        <w:t>apoya</w:t>
      </w:r>
      <w:r>
        <w:rPr>
          <w:spacing w:val="-3"/>
        </w:rPr>
        <w:t> </w:t>
      </w:r>
      <w:r>
        <w:rPr/>
        <w:t>la</w:t>
      </w:r>
      <w:r>
        <w:rPr>
          <w:spacing w:val="-4"/>
        </w:rPr>
        <w:t> </w:t>
      </w:r>
      <w:r>
        <w:rPr/>
        <w:t>producción</w:t>
      </w:r>
      <w:r>
        <w:rPr>
          <w:spacing w:val="-3"/>
        </w:rPr>
        <w:t> </w:t>
      </w:r>
      <w:r>
        <w:rPr/>
        <w:t>lechera</w:t>
      </w:r>
      <w:r>
        <w:rPr>
          <w:spacing w:val="-5"/>
        </w:rPr>
        <w:t> </w:t>
      </w:r>
      <w:r>
        <w:rPr/>
        <w:t>con</w:t>
      </w:r>
      <w:r>
        <w:rPr>
          <w:spacing w:val="-2"/>
        </w:rPr>
        <w:t> </w:t>
      </w:r>
      <w:r>
        <w:rPr/>
        <w:t>mecanismos</w:t>
      </w:r>
      <w:r>
        <w:rPr>
          <w:spacing w:val="-4"/>
        </w:rPr>
        <w:t> </w:t>
      </w:r>
      <w:r>
        <w:rPr/>
        <w:t>de</w:t>
      </w:r>
      <w:r>
        <w:rPr>
          <w:spacing w:val="-5"/>
        </w:rPr>
        <w:t> </w:t>
      </w:r>
      <w:r>
        <w:rPr/>
        <w:t>soporte</w:t>
      </w:r>
      <w:r>
        <w:rPr>
          <w:spacing w:val="-2"/>
        </w:rPr>
        <w:t> </w:t>
      </w:r>
      <w:r>
        <w:rPr/>
        <w:t>al</w:t>
      </w:r>
      <w:r>
        <w:rPr>
          <w:spacing w:val="-3"/>
        </w:rPr>
        <w:t> </w:t>
      </w:r>
      <w:r>
        <w:rPr/>
        <w:t>precio</w:t>
      </w:r>
      <w:r>
        <w:rPr>
          <w:spacing w:val="-3"/>
        </w:rPr>
        <w:t> </w:t>
      </w:r>
      <w:r>
        <w:rPr/>
        <w:t>de</w:t>
      </w:r>
      <w:r>
        <w:rPr>
          <w:spacing w:val="-5"/>
        </w:rPr>
        <w:t> </w:t>
      </w:r>
      <w:r>
        <w:rPr/>
        <w:t>mercado,</w:t>
      </w:r>
      <w:r>
        <w:rPr>
          <w:spacing w:val="-1"/>
        </w:rPr>
        <w:t> </w:t>
      </w:r>
      <w:r>
        <w:rPr/>
        <w:t>aranceles y subsidios a la</w:t>
      </w:r>
      <w:r>
        <w:rPr>
          <w:spacing w:val="-5"/>
        </w:rPr>
        <w:t> </w:t>
      </w:r>
      <w:r>
        <w:rPr/>
        <w:t>exportación.</w:t>
      </w:r>
    </w:p>
    <w:p>
      <w:pPr>
        <w:pStyle w:val="BodyText"/>
      </w:pPr>
    </w:p>
    <w:p>
      <w:pPr>
        <w:pStyle w:val="BodyText"/>
      </w:pPr>
    </w:p>
    <w:p>
      <w:pPr>
        <w:pStyle w:val="BodyText"/>
        <w:spacing w:before="3"/>
        <w:rPr>
          <w:sz w:val="23"/>
        </w:rPr>
      </w:pPr>
    </w:p>
    <w:p>
      <w:pPr>
        <w:pStyle w:val="BodyText"/>
        <w:spacing w:line="360" w:lineRule="auto"/>
        <w:ind w:left="102" w:right="117"/>
        <w:jc w:val="both"/>
      </w:pPr>
      <w:r>
        <w:rPr/>
        <w:t>Oceanía (Nueva Zelanda y Australia) ocupa el segundo y tercer lugar de las exportaciones mundiales</w:t>
      </w:r>
      <w:r>
        <w:rPr>
          <w:spacing w:val="-5"/>
        </w:rPr>
        <w:t> </w:t>
      </w:r>
      <w:r>
        <w:rPr/>
        <w:t>de</w:t>
      </w:r>
      <w:r>
        <w:rPr>
          <w:spacing w:val="-6"/>
        </w:rPr>
        <w:t> </w:t>
      </w:r>
      <w:r>
        <w:rPr/>
        <w:t>lácteos:</w:t>
      </w:r>
      <w:r>
        <w:rPr>
          <w:spacing w:val="-5"/>
        </w:rPr>
        <w:t> </w:t>
      </w:r>
      <w:r>
        <w:rPr/>
        <w:t>Nueva</w:t>
      </w:r>
      <w:r>
        <w:rPr>
          <w:spacing w:val="-3"/>
        </w:rPr>
        <w:t> </w:t>
      </w:r>
      <w:r>
        <w:rPr/>
        <w:t>Zelanda</w:t>
      </w:r>
      <w:r>
        <w:rPr>
          <w:spacing w:val="-6"/>
        </w:rPr>
        <w:t> </w:t>
      </w:r>
      <w:r>
        <w:rPr/>
        <w:t>22%</w:t>
      </w:r>
      <w:r>
        <w:rPr>
          <w:spacing w:val="-1"/>
        </w:rPr>
        <w:t> </w:t>
      </w:r>
      <w:r>
        <w:rPr/>
        <w:t>y</w:t>
      </w:r>
      <w:r>
        <w:rPr>
          <w:spacing w:val="-9"/>
        </w:rPr>
        <w:t> </w:t>
      </w:r>
      <w:r>
        <w:rPr/>
        <w:t>Australia</w:t>
      </w:r>
      <w:r>
        <w:rPr>
          <w:spacing w:val="-6"/>
        </w:rPr>
        <w:t> </w:t>
      </w:r>
      <w:r>
        <w:rPr/>
        <w:t>13%.</w:t>
      </w:r>
      <w:r>
        <w:rPr>
          <w:spacing w:val="-5"/>
        </w:rPr>
        <w:t> </w:t>
      </w:r>
      <w:r>
        <w:rPr/>
        <w:t>Oceanía</w:t>
      </w:r>
      <w:r>
        <w:rPr>
          <w:spacing w:val="-6"/>
        </w:rPr>
        <w:t> </w:t>
      </w:r>
      <w:r>
        <w:rPr/>
        <w:t>no</w:t>
      </w:r>
      <w:r>
        <w:rPr>
          <w:spacing w:val="-5"/>
        </w:rPr>
        <w:t> </w:t>
      </w:r>
      <w:r>
        <w:rPr/>
        <w:t>está</w:t>
      </w:r>
      <w:r>
        <w:rPr>
          <w:spacing w:val="-5"/>
        </w:rPr>
        <w:t> </w:t>
      </w:r>
      <w:r>
        <w:rPr/>
        <w:t>en</w:t>
      </w:r>
      <w:r>
        <w:rPr>
          <w:spacing w:val="-5"/>
        </w:rPr>
        <w:t> </w:t>
      </w:r>
      <w:r>
        <w:rPr/>
        <w:t>los</w:t>
      </w:r>
      <w:r>
        <w:rPr>
          <w:spacing w:val="-4"/>
        </w:rPr>
        <w:t> </w:t>
      </w:r>
      <w:r>
        <w:rPr/>
        <w:t>primeros lugares</w:t>
      </w:r>
      <w:r>
        <w:rPr>
          <w:spacing w:val="-14"/>
        </w:rPr>
        <w:t> </w:t>
      </w:r>
      <w:r>
        <w:rPr/>
        <w:t>en</w:t>
      </w:r>
      <w:r>
        <w:rPr>
          <w:spacing w:val="-14"/>
        </w:rPr>
        <w:t> </w:t>
      </w:r>
      <w:r>
        <w:rPr/>
        <w:t>volumen</w:t>
      </w:r>
      <w:r>
        <w:rPr>
          <w:spacing w:val="-14"/>
        </w:rPr>
        <w:t> </w:t>
      </w:r>
      <w:r>
        <w:rPr/>
        <w:t>de</w:t>
      </w:r>
      <w:r>
        <w:rPr>
          <w:spacing w:val="-15"/>
        </w:rPr>
        <w:t> </w:t>
      </w:r>
      <w:r>
        <w:rPr/>
        <w:t>leche</w:t>
      </w:r>
      <w:r>
        <w:rPr>
          <w:spacing w:val="-15"/>
        </w:rPr>
        <w:t> </w:t>
      </w:r>
      <w:r>
        <w:rPr/>
        <w:t>producida,</w:t>
      </w:r>
      <w:r>
        <w:rPr>
          <w:spacing w:val="-15"/>
        </w:rPr>
        <w:t> </w:t>
      </w:r>
      <w:r>
        <w:rPr/>
        <w:t>pero</w:t>
      </w:r>
      <w:r>
        <w:rPr>
          <w:spacing w:val="-15"/>
        </w:rPr>
        <w:t> </w:t>
      </w:r>
      <w:r>
        <w:rPr/>
        <w:t>su</w:t>
      </w:r>
      <w:r>
        <w:rPr>
          <w:spacing w:val="-14"/>
        </w:rPr>
        <w:t> </w:t>
      </w:r>
      <w:r>
        <w:rPr/>
        <w:t>impacto</w:t>
      </w:r>
      <w:r>
        <w:rPr>
          <w:spacing w:val="-14"/>
        </w:rPr>
        <w:t> </w:t>
      </w:r>
      <w:r>
        <w:rPr/>
        <w:t>en</w:t>
      </w:r>
      <w:r>
        <w:rPr>
          <w:spacing w:val="-14"/>
        </w:rPr>
        <w:t> </w:t>
      </w:r>
      <w:r>
        <w:rPr/>
        <w:t>el</w:t>
      </w:r>
      <w:r>
        <w:rPr>
          <w:spacing w:val="-14"/>
        </w:rPr>
        <w:t> </w:t>
      </w:r>
      <w:r>
        <w:rPr/>
        <w:t>ámbito</w:t>
      </w:r>
      <w:r>
        <w:rPr>
          <w:spacing w:val="-14"/>
        </w:rPr>
        <w:t> </w:t>
      </w:r>
      <w:r>
        <w:rPr/>
        <w:t>mundial</w:t>
      </w:r>
      <w:r>
        <w:rPr>
          <w:spacing w:val="-16"/>
        </w:rPr>
        <w:t> </w:t>
      </w:r>
      <w:r>
        <w:rPr/>
        <w:t>es</w:t>
      </w:r>
      <w:r>
        <w:rPr>
          <w:spacing w:val="-14"/>
        </w:rPr>
        <w:t> </w:t>
      </w:r>
      <w:r>
        <w:rPr/>
        <w:t>significativo por sus altos niveles de exportación. Nueva Zelanda exporta poco más de 70% de su producción lechera y Australia poco más de 50%, siendo los países que exportan más en relación con su producción</w:t>
      </w:r>
      <w:r>
        <w:rPr>
          <w:spacing w:val="-9"/>
        </w:rPr>
        <w:t> </w:t>
      </w:r>
      <w:r>
        <w:rPr/>
        <w:t>interna.</w:t>
      </w:r>
    </w:p>
    <w:p>
      <w:pPr>
        <w:pStyle w:val="BodyText"/>
      </w:pPr>
    </w:p>
    <w:p>
      <w:pPr>
        <w:pStyle w:val="BodyText"/>
      </w:pPr>
    </w:p>
    <w:p>
      <w:pPr>
        <w:pStyle w:val="BodyText"/>
        <w:spacing w:before="1"/>
        <w:rPr>
          <w:sz w:val="23"/>
        </w:rPr>
      </w:pPr>
    </w:p>
    <w:p>
      <w:pPr>
        <w:pStyle w:val="BodyText"/>
        <w:spacing w:line="360" w:lineRule="auto"/>
        <w:ind w:left="102" w:right="117"/>
        <w:jc w:val="both"/>
      </w:pPr>
      <w:r>
        <w:rPr/>
        <w:t>En Australia y Nueva Zelanda el sector lechero tiene poca intervención gubernamental. Su competitividad</w:t>
      </w:r>
      <w:r>
        <w:rPr>
          <w:spacing w:val="-10"/>
        </w:rPr>
        <w:t> </w:t>
      </w:r>
      <w:r>
        <w:rPr/>
        <w:t>en</w:t>
      </w:r>
      <w:r>
        <w:rPr>
          <w:spacing w:val="-10"/>
        </w:rPr>
        <w:t> </w:t>
      </w:r>
      <w:r>
        <w:rPr/>
        <w:t>el</w:t>
      </w:r>
      <w:r>
        <w:rPr>
          <w:spacing w:val="-9"/>
        </w:rPr>
        <w:t> </w:t>
      </w:r>
      <w:r>
        <w:rPr/>
        <w:t>mercado</w:t>
      </w:r>
      <w:r>
        <w:rPr>
          <w:spacing w:val="-10"/>
        </w:rPr>
        <w:t> </w:t>
      </w:r>
      <w:r>
        <w:rPr/>
        <w:t>internacional</w:t>
      </w:r>
      <w:r>
        <w:rPr>
          <w:spacing w:val="-10"/>
        </w:rPr>
        <w:t> </w:t>
      </w:r>
      <w:r>
        <w:rPr/>
        <w:t>se</w:t>
      </w:r>
      <w:r>
        <w:rPr>
          <w:spacing w:val="-10"/>
        </w:rPr>
        <w:t> </w:t>
      </w:r>
      <w:r>
        <w:rPr/>
        <w:t>explica</w:t>
      </w:r>
      <w:r>
        <w:rPr>
          <w:spacing w:val="-11"/>
        </w:rPr>
        <w:t> </w:t>
      </w:r>
      <w:r>
        <w:rPr/>
        <w:t>principalmente</w:t>
      </w:r>
      <w:r>
        <w:rPr>
          <w:spacing w:val="-11"/>
        </w:rPr>
        <w:t> </w:t>
      </w:r>
      <w:r>
        <w:rPr/>
        <w:t>porque</w:t>
      </w:r>
      <w:r>
        <w:rPr>
          <w:spacing w:val="-11"/>
        </w:rPr>
        <w:t> </w:t>
      </w:r>
      <w:r>
        <w:rPr/>
        <w:t>sus</w:t>
      </w:r>
      <w:r>
        <w:rPr>
          <w:spacing w:val="-9"/>
        </w:rPr>
        <w:t> </w:t>
      </w:r>
      <w:r>
        <w:rPr/>
        <w:t>sistemas</w:t>
      </w:r>
      <w:r>
        <w:rPr>
          <w:spacing w:val="-9"/>
        </w:rPr>
        <w:t> </w:t>
      </w:r>
      <w:r>
        <w:rPr/>
        <w:t>de producción</w:t>
      </w:r>
      <w:r>
        <w:rPr>
          <w:spacing w:val="-8"/>
        </w:rPr>
        <w:t> </w:t>
      </w:r>
      <w:r>
        <w:rPr/>
        <w:t>están</w:t>
      </w:r>
      <w:r>
        <w:rPr>
          <w:spacing w:val="-11"/>
        </w:rPr>
        <w:t> </w:t>
      </w:r>
      <w:r>
        <w:rPr/>
        <w:t>basados</w:t>
      </w:r>
      <w:r>
        <w:rPr>
          <w:spacing w:val="-9"/>
        </w:rPr>
        <w:t> </w:t>
      </w:r>
      <w:r>
        <w:rPr/>
        <w:t>en</w:t>
      </w:r>
      <w:r>
        <w:rPr>
          <w:spacing w:val="-11"/>
        </w:rPr>
        <w:t> </w:t>
      </w:r>
      <w:r>
        <w:rPr/>
        <w:t>el</w:t>
      </w:r>
      <w:r>
        <w:rPr>
          <w:spacing w:val="-11"/>
        </w:rPr>
        <w:t> </w:t>
      </w:r>
      <w:r>
        <w:rPr/>
        <w:t>pastoreo,</w:t>
      </w:r>
      <w:r>
        <w:rPr>
          <w:spacing w:val="-9"/>
        </w:rPr>
        <w:t> </w:t>
      </w:r>
      <w:r>
        <w:rPr/>
        <w:t>lo</w:t>
      </w:r>
      <w:r>
        <w:rPr>
          <w:spacing w:val="-11"/>
        </w:rPr>
        <w:t> </w:t>
      </w:r>
      <w:r>
        <w:rPr/>
        <w:t>que</w:t>
      </w:r>
      <w:r>
        <w:rPr>
          <w:spacing w:val="-12"/>
        </w:rPr>
        <w:t> </w:t>
      </w:r>
      <w:r>
        <w:rPr/>
        <w:t>les</w:t>
      </w:r>
      <w:r>
        <w:rPr>
          <w:spacing w:val="-8"/>
        </w:rPr>
        <w:t> </w:t>
      </w:r>
      <w:r>
        <w:rPr/>
        <w:t>permite</w:t>
      </w:r>
      <w:r>
        <w:rPr>
          <w:spacing w:val="-11"/>
        </w:rPr>
        <w:t> </w:t>
      </w:r>
      <w:r>
        <w:rPr/>
        <w:t>producir</w:t>
      </w:r>
      <w:r>
        <w:rPr>
          <w:spacing w:val="-12"/>
        </w:rPr>
        <w:t> </w:t>
      </w:r>
      <w:r>
        <w:rPr/>
        <w:t>con</w:t>
      </w:r>
      <w:r>
        <w:rPr>
          <w:spacing w:val="-9"/>
        </w:rPr>
        <w:t> </w:t>
      </w:r>
      <w:r>
        <w:rPr/>
        <w:t>los</w:t>
      </w:r>
      <w:r>
        <w:rPr>
          <w:spacing w:val="-8"/>
        </w:rPr>
        <w:t> </w:t>
      </w:r>
      <w:r>
        <w:rPr/>
        <w:t>costos</w:t>
      </w:r>
      <w:r>
        <w:rPr>
          <w:spacing w:val="-10"/>
        </w:rPr>
        <w:t> </w:t>
      </w:r>
      <w:r>
        <w:rPr/>
        <w:t>más</w:t>
      </w:r>
      <w:r>
        <w:rPr>
          <w:spacing w:val="-11"/>
        </w:rPr>
        <w:t> </w:t>
      </w:r>
      <w:r>
        <w:rPr/>
        <w:t>bajos del mundo (Secretaría de Economía,</w:t>
      </w:r>
      <w:r>
        <w:rPr>
          <w:spacing w:val="-8"/>
        </w:rPr>
        <w:t> </w:t>
      </w:r>
      <w:r>
        <w:rPr/>
        <w:t>2012).</w:t>
      </w:r>
    </w:p>
    <w:p>
      <w:pPr>
        <w:pStyle w:val="BodyText"/>
      </w:pPr>
    </w:p>
    <w:p>
      <w:pPr>
        <w:pStyle w:val="BodyText"/>
      </w:pPr>
    </w:p>
    <w:p>
      <w:pPr>
        <w:pStyle w:val="BodyText"/>
        <w:spacing w:before="1"/>
        <w:rPr>
          <w:sz w:val="23"/>
        </w:rPr>
      </w:pPr>
    </w:p>
    <w:p>
      <w:pPr>
        <w:pStyle w:val="BodyText"/>
        <w:spacing w:line="360" w:lineRule="auto"/>
        <w:ind w:left="102" w:right="123"/>
        <w:jc w:val="both"/>
      </w:pPr>
      <w:r>
        <w:rPr/>
        <w:t>Estados Unidos de América es el cuarto exportador de lácteos en el mundo, aunque fue el primero respecto a su participación en el valor de las importaciones mundiales. El sector lácteo de EUA se orienta más hacia el consumo interno que a la exportación (SIAP, 2013b).</w:t>
      </w:r>
    </w:p>
    <w:p>
      <w:pPr>
        <w:spacing w:after="0" w:line="360" w:lineRule="auto"/>
        <w:jc w:val="both"/>
        <w:sectPr>
          <w:pgSz w:w="12240" w:h="15840"/>
          <w:pgMar w:header="0" w:footer="657" w:top="1360" w:bottom="840" w:left="1600" w:right="1580"/>
        </w:sectPr>
      </w:pPr>
    </w:p>
    <w:p>
      <w:pPr>
        <w:spacing w:before="63"/>
        <w:ind w:left="1013" w:right="8" w:firstLine="0"/>
        <w:jc w:val="left"/>
        <w:rPr>
          <w:sz w:val="20"/>
        </w:rPr>
      </w:pPr>
      <w:r>
        <w:rPr/>
        <w:pict>
          <v:group style="position:absolute;margin-left:125.75pt;margin-top:19.555958pt;width:360.5pt;height:216.5pt;mso-position-horizontal-relative:page;mso-position-vertical-relative:paragraph;z-index:1504;mso-wrap-distance-left:0;mso-wrap-distance-right:0" coordorigin="2515,391" coordsize="7210,4330">
            <v:shape style="position:absolute;left:3314;top:617;width:6082;height:2986" type="#_x0000_t75" stroked="false">
              <v:imagedata r:id="rId37" o:title=""/>
            </v:shape>
            <v:shape style="position:absolute;left:3768;top:4380;width:108;height:106" type="#_x0000_t75" stroked="false">
              <v:imagedata r:id="rId38" o:title=""/>
            </v:shape>
            <v:shape style="position:absolute;left:6298;top:4380;width:108;height:106" type="#_x0000_t75" stroked="false">
              <v:imagedata r:id="rId39" o:title=""/>
            </v:shape>
            <v:line style="position:absolute" from="8448,4385" to="8448,4481" stroked="true" strokeweight="4.8pt" strokecolor="#9bba58"/>
            <v:rect style="position:absolute;left:2520;top:396;width:7200;height:4320" filled="false" stroked="true" strokeweight=".48pt" strokecolor="#000000"/>
            <v:shape style="position:absolute;left:2792;top:735;width:400;height:2930" type="#_x0000_t202" filled="false" stroked="false">
              <v:textbox inset="0,0,0,0">
                <w:txbxContent>
                  <w:p>
                    <w:pPr>
                      <w:spacing w:line="186" w:lineRule="exact" w:before="0"/>
                      <w:ind w:left="0" w:right="0" w:firstLine="0"/>
                      <w:jc w:val="center"/>
                      <w:rPr>
                        <w:rFonts w:ascii="Cambria"/>
                        <w:sz w:val="18"/>
                      </w:rPr>
                    </w:pPr>
                    <w:r>
                      <w:rPr>
                        <w:rFonts w:ascii="Cambria"/>
                        <w:color w:val="585858"/>
                        <w:sz w:val="18"/>
                      </w:rPr>
                      <w:t>1400</w:t>
                    </w:r>
                  </w:p>
                  <w:p>
                    <w:pPr>
                      <w:spacing w:line="240" w:lineRule="auto" w:before="9"/>
                      <w:rPr>
                        <w:sz w:val="15"/>
                      </w:rPr>
                    </w:pPr>
                  </w:p>
                  <w:p>
                    <w:pPr>
                      <w:spacing w:before="0"/>
                      <w:ind w:left="0" w:right="0" w:firstLine="0"/>
                      <w:jc w:val="center"/>
                      <w:rPr>
                        <w:rFonts w:ascii="Cambria"/>
                        <w:sz w:val="18"/>
                      </w:rPr>
                    </w:pPr>
                    <w:r>
                      <w:rPr>
                        <w:rFonts w:ascii="Cambria"/>
                        <w:color w:val="585858"/>
                        <w:sz w:val="18"/>
                      </w:rPr>
                      <w:t>1200</w:t>
                    </w:r>
                  </w:p>
                  <w:p>
                    <w:pPr>
                      <w:spacing w:line="240" w:lineRule="auto" w:before="9"/>
                      <w:rPr>
                        <w:sz w:val="15"/>
                      </w:rPr>
                    </w:pPr>
                  </w:p>
                  <w:p>
                    <w:pPr>
                      <w:spacing w:before="0"/>
                      <w:ind w:left="0" w:right="0" w:firstLine="0"/>
                      <w:jc w:val="center"/>
                      <w:rPr>
                        <w:rFonts w:ascii="Cambria"/>
                        <w:sz w:val="18"/>
                      </w:rPr>
                    </w:pPr>
                    <w:r>
                      <w:rPr>
                        <w:rFonts w:ascii="Cambria"/>
                        <w:color w:val="585858"/>
                        <w:sz w:val="18"/>
                      </w:rPr>
                      <w:t>1000</w:t>
                    </w:r>
                  </w:p>
                  <w:p>
                    <w:pPr>
                      <w:spacing w:line="240" w:lineRule="auto" w:before="9"/>
                      <w:rPr>
                        <w:sz w:val="15"/>
                      </w:rPr>
                    </w:pPr>
                  </w:p>
                  <w:p>
                    <w:pPr>
                      <w:spacing w:before="0"/>
                      <w:ind w:left="99" w:right="0" w:firstLine="0"/>
                      <w:jc w:val="center"/>
                      <w:rPr>
                        <w:rFonts w:ascii="Cambria"/>
                        <w:sz w:val="18"/>
                      </w:rPr>
                    </w:pPr>
                    <w:r>
                      <w:rPr>
                        <w:rFonts w:ascii="Cambria"/>
                        <w:color w:val="585858"/>
                        <w:sz w:val="18"/>
                      </w:rPr>
                      <w:t>800</w:t>
                    </w:r>
                  </w:p>
                  <w:p>
                    <w:pPr>
                      <w:spacing w:line="240" w:lineRule="auto" w:before="9"/>
                      <w:rPr>
                        <w:sz w:val="15"/>
                      </w:rPr>
                    </w:pPr>
                  </w:p>
                  <w:p>
                    <w:pPr>
                      <w:spacing w:before="0"/>
                      <w:ind w:left="99" w:right="0" w:firstLine="0"/>
                      <w:jc w:val="center"/>
                      <w:rPr>
                        <w:rFonts w:ascii="Cambria"/>
                        <w:sz w:val="18"/>
                      </w:rPr>
                    </w:pPr>
                    <w:r>
                      <w:rPr>
                        <w:rFonts w:ascii="Cambria"/>
                        <w:color w:val="585858"/>
                        <w:sz w:val="18"/>
                      </w:rPr>
                      <w:t>600</w:t>
                    </w:r>
                  </w:p>
                  <w:p>
                    <w:pPr>
                      <w:spacing w:line="240" w:lineRule="auto" w:before="9"/>
                      <w:rPr>
                        <w:sz w:val="15"/>
                      </w:rPr>
                    </w:pPr>
                  </w:p>
                  <w:p>
                    <w:pPr>
                      <w:spacing w:before="0"/>
                      <w:ind w:left="99" w:right="0" w:firstLine="0"/>
                      <w:jc w:val="center"/>
                      <w:rPr>
                        <w:rFonts w:ascii="Cambria"/>
                        <w:sz w:val="18"/>
                      </w:rPr>
                    </w:pPr>
                    <w:r>
                      <w:rPr>
                        <w:rFonts w:ascii="Cambria"/>
                        <w:color w:val="585858"/>
                        <w:sz w:val="18"/>
                      </w:rPr>
                      <w:t>400</w:t>
                    </w:r>
                  </w:p>
                  <w:p>
                    <w:pPr>
                      <w:spacing w:line="240" w:lineRule="auto" w:before="9"/>
                      <w:rPr>
                        <w:sz w:val="15"/>
                      </w:rPr>
                    </w:pPr>
                  </w:p>
                  <w:p>
                    <w:pPr>
                      <w:spacing w:before="0"/>
                      <w:ind w:left="99" w:right="0" w:firstLine="0"/>
                      <w:jc w:val="center"/>
                      <w:rPr>
                        <w:rFonts w:ascii="Cambria"/>
                        <w:sz w:val="18"/>
                      </w:rPr>
                    </w:pPr>
                    <w:r>
                      <w:rPr>
                        <w:rFonts w:ascii="Cambria"/>
                        <w:color w:val="585858"/>
                        <w:sz w:val="18"/>
                      </w:rPr>
                      <w:t>200</w:t>
                    </w:r>
                  </w:p>
                  <w:p>
                    <w:pPr>
                      <w:spacing w:line="240" w:lineRule="auto" w:before="9"/>
                      <w:rPr>
                        <w:sz w:val="15"/>
                      </w:rPr>
                    </w:pPr>
                  </w:p>
                  <w:p>
                    <w:pPr>
                      <w:spacing w:line="205" w:lineRule="exact" w:before="0"/>
                      <w:ind w:left="0" w:right="0" w:firstLine="0"/>
                      <w:jc w:val="right"/>
                      <w:rPr>
                        <w:rFonts w:ascii="Cambria"/>
                        <w:sz w:val="18"/>
                      </w:rPr>
                    </w:pPr>
                    <w:r>
                      <w:rPr>
                        <w:rFonts w:ascii="Cambria"/>
                        <w:color w:val="585858"/>
                        <w:sz w:val="18"/>
                      </w:rPr>
                      <w:t>0</w:t>
                    </w:r>
                  </w:p>
                </w:txbxContent>
              </v:textbox>
              <w10:wrap type="none"/>
            </v:shape>
            <v:shape style="position:absolute;left:3554;top:3705;width:1609;height:180" type="#_x0000_t202" filled="false" stroked="false">
              <v:textbox inset="0,0,0,0">
                <w:txbxContent>
                  <w:p>
                    <w:pPr>
                      <w:tabs>
                        <w:tab w:pos="847" w:val="left" w:leader="none"/>
                      </w:tabs>
                      <w:spacing w:line="180" w:lineRule="exact" w:before="0"/>
                      <w:ind w:left="0" w:right="0" w:firstLine="0"/>
                      <w:jc w:val="left"/>
                      <w:rPr>
                        <w:rFonts w:ascii="Cambria" w:hAnsi="Cambria"/>
                        <w:sz w:val="18"/>
                      </w:rPr>
                    </w:pPr>
                    <w:r>
                      <w:rPr>
                        <w:rFonts w:ascii="Cambria" w:hAnsi="Cambria"/>
                        <w:color w:val="585858"/>
                        <w:sz w:val="18"/>
                      </w:rPr>
                      <w:t>Canadá</w:t>
                      <w:tab/>
                    </w:r>
                    <w:r>
                      <w:rPr>
                        <w:rFonts w:ascii="Cambria" w:hAnsi="Cambria"/>
                        <w:color w:val="585858"/>
                        <w:spacing w:val="-1"/>
                        <w:sz w:val="18"/>
                      </w:rPr>
                      <w:t>Argentina</w:t>
                    </w:r>
                  </w:p>
                </w:txbxContent>
              </v:textbox>
              <w10:wrap type="none"/>
            </v:shape>
            <v:shape style="position:absolute;left:5658;top:3705;width:223;height:180" type="#_x0000_t202" filled="false" stroked="false">
              <v:textbox inset="0,0,0,0">
                <w:txbxContent>
                  <w:p>
                    <w:pPr>
                      <w:spacing w:line="180" w:lineRule="exact" w:before="0"/>
                      <w:ind w:left="0" w:right="-18" w:firstLine="0"/>
                      <w:jc w:val="left"/>
                      <w:rPr>
                        <w:rFonts w:ascii="Cambria"/>
                        <w:sz w:val="18"/>
                      </w:rPr>
                    </w:pPr>
                    <w:r>
                      <w:rPr>
                        <w:rFonts w:ascii="Cambria"/>
                        <w:color w:val="585858"/>
                        <w:sz w:val="18"/>
                      </w:rPr>
                      <w:t>UE</w:t>
                    </w:r>
                  </w:p>
                </w:txbxContent>
              </v:textbox>
              <w10:wrap type="none"/>
            </v:shape>
            <v:shape style="position:absolute;left:6403;top:3705;width:2546;height:391" type="#_x0000_t202" filled="false" stroked="false">
              <v:textbox inset="0,0,0,0">
                <w:txbxContent>
                  <w:p>
                    <w:pPr>
                      <w:tabs>
                        <w:tab w:pos="946" w:val="left" w:leader="none"/>
                        <w:tab w:pos="1998" w:val="left" w:leader="none"/>
                      </w:tabs>
                      <w:spacing w:line="186" w:lineRule="exact" w:before="0"/>
                      <w:ind w:left="0" w:right="57" w:firstLine="0"/>
                      <w:jc w:val="right"/>
                      <w:rPr>
                        <w:rFonts w:ascii="Cambria"/>
                        <w:sz w:val="18"/>
                      </w:rPr>
                    </w:pPr>
                    <w:r>
                      <w:rPr>
                        <w:rFonts w:ascii="Cambria"/>
                        <w:color w:val="585858"/>
                        <w:sz w:val="18"/>
                      </w:rPr>
                      <w:t>Filipinas</w:t>
                      <w:tab/>
                      <w:t>Australia</w:t>
                      <w:tab/>
                    </w:r>
                    <w:r>
                      <w:rPr>
                        <w:rFonts w:ascii="Cambria"/>
                        <w:color w:val="585858"/>
                        <w:spacing w:val="-1"/>
                        <w:sz w:val="18"/>
                      </w:rPr>
                      <w:t>Nueva</w:t>
                    </w:r>
                  </w:p>
                  <w:p>
                    <w:pPr>
                      <w:spacing w:line="205" w:lineRule="exact" w:before="0"/>
                      <w:ind w:left="0" w:right="0" w:firstLine="0"/>
                      <w:jc w:val="right"/>
                      <w:rPr>
                        <w:rFonts w:ascii="Cambria"/>
                        <w:sz w:val="18"/>
                      </w:rPr>
                    </w:pPr>
                    <w:r>
                      <w:rPr>
                        <w:rFonts w:ascii="Cambria"/>
                        <w:color w:val="585858"/>
                        <w:sz w:val="18"/>
                      </w:rPr>
                      <w:t>Zelanda</w:t>
                    </w:r>
                  </w:p>
                </w:txbxContent>
              </v:textbox>
              <w10:wrap type="none"/>
            </v:shape>
            <v:shape style="position:absolute;left:3910;top:4345;width:2120;height:180" type="#_x0000_t202" filled="false" stroked="false">
              <v:textbox inset="0,0,0,0">
                <w:txbxContent>
                  <w:p>
                    <w:pPr>
                      <w:spacing w:line="180" w:lineRule="exact" w:before="0"/>
                      <w:ind w:left="0" w:right="-11" w:firstLine="0"/>
                      <w:jc w:val="left"/>
                      <w:rPr>
                        <w:rFonts w:ascii="Cambria"/>
                        <w:sz w:val="18"/>
                      </w:rPr>
                    </w:pPr>
                    <w:r>
                      <w:rPr>
                        <w:rFonts w:ascii="Cambria"/>
                        <w:color w:val="585858"/>
                        <w:sz w:val="18"/>
                      </w:rPr>
                      <w:t>Leche descremada en</w:t>
                    </w:r>
                    <w:r>
                      <w:rPr>
                        <w:rFonts w:ascii="Cambria"/>
                        <w:color w:val="585858"/>
                        <w:spacing w:val="-10"/>
                        <w:sz w:val="18"/>
                      </w:rPr>
                      <w:t> </w:t>
                    </w:r>
                    <w:r>
                      <w:rPr>
                        <w:rFonts w:ascii="Cambria"/>
                        <w:color w:val="585858"/>
                        <w:sz w:val="18"/>
                      </w:rPr>
                      <w:t>polvo</w:t>
                    </w:r>
                  </w:p>
                </w:txbxContent>
              </v:textbox>
              <w10:wrap type="none"/>
            </v:shape>
            <v:shape style="position:absolute;left:6440;top:4345;width:1688;height:180" type="#_x0000_t202" filled="false" stroked="false">
              <v:textbox inset="0,0,0,0">
                <w:txbxContent>
                  <w:p>
                    <w:pPr>
                      <w:spacing w:line="180" w:lineRule="exact" w:before="0"/>
                      <w:ind w:left="0" w:right="-15" w:firstLine="0"/>
                      <w:jc w:val="left"/>
                      <w:rPr>
                        <w:rFonts w:ascii="Cambria"/>
                        <w:sz w:val="18"/>
                      </w:rPr>
                    </w:pPr>
                    <w:r>
                      <w:rPr>
                        <w:rFonts w:ascii="Cambria"/>
                        <w:color w:val="585858"/>
                        <w:sz w:val="18"/>
                      </w:rPr>
                      <w:t>Leche entera en</w:t>
                    </w:r>
                    <w:r>
                      <w:rPr>
                        <w:rFonts w:ascii="Cambria"/>
                        <w:color w:val="585858"/>
                        <w:spacing w:val="-6"/>
                        <w:sz w:val="18"/>
                      </w:rPr>
                      <w:t> </w:t>
                    </w:r>
                    <w:r>
                      <w:rPr>
                        <w:rFonts w:ascii="Cambria"/>
                        <w:color w:val="585858"/>
                        <w:sz w:val="18"/>
                      </w:rPr>
                      <w:t>polvo</w:t>
                    </w:r>
                  </w:p>
                </w:txbxContent>
              </v:textbox>
              <w10:wrap type="none"/>
            </v:shape>
            <w10:wrap type="topAndBottom"/>
          </v:group>
        </w:pict>
      </w:r>
      <w:r>
        <w:rPr>
          <w:sz w:val="20"/>
        </w:rPr>
        <w:t>Miles de toneladas</w:t>
      </w:r>
    </w:p>
    <w:p>
      <w:pPr>
        <w:pStyle w:val="BodyText"/>
        <w:spacing w:before="4"/>
        <w:rPr>
          <w:sz w:val="19"/>
        </w:rPr>
      </w:pPr>
    </w:p>
    <w:p>
      <w:pPr>
        <w:spacing w:before="73"/>
        <w:ind w:left="2345" w:right="8" w:firstLine="0"/>
        <w:jc w:val="left"/>
        <w:rPr>
          <w:sz w:val="20"/>
        </w:rPr>
      </w:pPr>
      <w:r>
        <w:rPr>
          <w:sz w:val="20"/>
        </w:rPr>
        <w:t>Fuente: Elaboración propia con datos de la Secretaria de Economía, 2012</w:t>
      </w:r>
    </w:p>
    <w:p>
      <w:pPr>
        <w:pStyle w:val="BodyText"/>
        <w:rPr>
          <w:sz w:val="20"/>
        </w:rPr>
      </w:pPr>
    </w:p>
    <w:p>
      <w:pPr>
        <w:pStyle w:val="BodyText"/>
        <w:spacing w:before="8"/>
        <w:rPr>
          <w:sz w:val="19"/>
        </w:rPr>
      </w:pPr>
      <w:r>
        <w:rPr/>
        <w:pict>
          <v:line style="position:absolute;mso-position-horizontal-relative:page;mso-position-vertical-relative:paragraph;z-index:1528;mso-wrap-distance-left:0;mso-wrap-distance-right:0" from="84.18pt,14.307897pt" to="525.830pt,14.307897pt" stroked="true" strokeweight="2.04pt" strokecolor="#000000">
            <w10:wrap type="topAndBottom"/>
          </v:line>
        </w:pict>
      </w:r>
    </w:p>
    <w:p>
      <w:pPr>
        <w:pStyle w:val="BodyText"/>
        <w:spacing w:before="48"/>
        <w:ind w:left="142"/>
        <w:jc w:val="both"/>
      </w:pPr>
      <w:r>
        <w:rPr>
          <w:b/>
        </w:rPr>
        <w:t>Figura 3. </w:t>
      </w:r>
      <w:r>
        <w:rPr/>
        <w:t>Principales países exportadores de leche descremada y entera en polvo 2013.</w:t>
      </w:r>
    </w:p>
    <w:p>
      <w:pPr>
        <w:pStyle w:val="BodyText"/>
      </w:pPr>
    </w:p>
    <w:p>
      <w:pPr>
        <w:pStyle w:val="BodyText"/>
      </w:pPr>
    </w:p>
    <w:p>
      <w:pPr>
        <w:pStyle w:val="BodyText"/>
        <w:spacing w:before="3"/>
        <w:rPr>
          <w:sz w:val="35"/>
        </w:rPr>
      </w:pPr>
    </w:p>
    <w:p>
      <w:pPr>
        <w:pStyle w:val="Heading1"/>
        <w:spacing w:before="0"/>
        <w:ind w:left="142"/>
      </w:pPr>
      <w:r>
        <w:rPr/>
        <w:t>2.2 Contexto nacional del sistema lechero mexicano</w:t>
      </w:r>
    </w:p>
    <w:p>
      <w:pPr>
        <w:pStyle w:val="BodyText"/>
        <w:rPr>
          <w:b/>
        </w:rPr>
      </w:pPr>
    </w:p>
    <w:p>
      <w:pPr>
        <w:pStyle w:val="BodyText"/>
        <w:rPr>
          <w:b/>
        </w:rPr>
      </w:pPr>
    </w:p>
    <w:p>
      <w:pPr>
        <w:pStyle w:val="BodyText"/>
        <w:spacing w:before="5"/>
        <w:rPr>
          <w:b/>
          <w:sz w:val="34"/>
        </w:rPr>
      </w:pPr>
    </w:p>
    <w:p>
      <w:pPr>
        <w:pStyle w:val="BodyText"/>
        <w:spacing w:line="360" w:lineRule="auto"/>
        <w:ind w:left="142" w:right="115"/>
        <w:jc w:val="both"/>
      </w:pPr>
      <w:r>
        <w:rPr/>
        <w:t>El</w:t>
      </w:r>
      <w:r>
        <w:rPr>
          <w:spacing w:val="-4"/>
        </w:rPr>
        <w:t> </w:t>
      </w:r>
      <w:r>
        <w:rPr/>
        <w:t>sector</w:t>
      </w:r>
      <w:r>
        <w:rPr>
          <w:spacing w:val="-4"/>
        </w:rPr>
        <w:t> </w:t>
      </w:r>
      <w:r>
        <w:rPr/>
        <w:t>de</w:t>
      </w:r>
      <w:r>
        <w:rPr>
          <w:spacing w:val="-3"/>
        </w:rPr>
        <w:t> </w:t>
      </w:r>
      <w:r>
        <w:rPr/>
        <w:t>lácteos</w:t>
      </w:r>
      <w:r>
        <w:rPr>
          <w:spacing w:val="-2"/>
        </w:rPr>
        <w:t> </w:t>
      </w:r>
      <w:r>
        <w:rPr/>
        <w:t>es</w:t>
      </w:r>
      <w:r>
        <w:rPr>
          <w:spacing w:val="-4"/>
        </w:rPr>
        <w:t> </w:t>
      </w:r>
      <w:r>
        <w:rPr/>
        <w:t>uno</w:t>
      </w:r>
      <w:r>
        <w:rPr>
          <w:spacing w:val="-4"/>
        </w:rPr>
        <w:t> </w:t>
      </w:r>
      <w:r>
        <w:rPr/>
        <w:t>de</w:t>
      </w:r>
      <w:r>
        <w:rPr>
          <w:spacing w:val="-5"/>
        </w:rPr>
        <w:t> </w:t>
      </w:r>
      <w:r>
        <w:rPr/>
        <w:t>los</w:t>
      </w:r>
      <w:r>
        <w:rPr>
          <w:spacing w:val="-3"/>
        </w:rPr>
        <w:t> </w:t>
      </w:r>
      <w:r>
        <w:rPr/>
        <w:t>más</w:t>
      </w:r>
      <w:r>
        <w:rPr>
          <w:spacing w:val="-4"/>
        </w:rPr>
        <w:t> </w:t>
      </w:r>
      <w:r>
        <w:rPr/>
        <w:t>complejos</w:t>
      </w:r>
      <w:r>
        <w:rPr>
          <w:spacing w:val="-2"/>
        </w:rPr>
        <w:t> </w:t>
      </w:r>
      <w:r>
        <w:rPr/>
        <w:t>en</w:t>
      </w:r>
      <w:r>
        <w:rPr>
          <w:spacing w:val="-4"/>
        </w:rPr>
        <w:t> </w:t>
      </w:r>
      <w:r>
        <w:rPr/>
        <w:t>la</w:t>
      </w:r>
      <w:r>
        <w:rPr>
          <w:spacing w:val="-4"/>
        </w:rPr>
        <w:t> </w:t>
      </w:r>
      <w:r>
        <w:rPr/>
        <w:t>cadena</w:t>
      </w:r>
      <w:r>
        <w:rPr>
          <w:spacing w:val="-5"/>
        </w:rPr>
        <w:t> </w:t>
      </w:r>
      <w:r>
        <w:rPr/>
        <w:t>de</w:t>
      </w:r>
      <w:r>
        <w:rPr>
          <w:spacing w:val="-5"/>
        </w:rPr>
        <w:t> </w:t>
      </w:r>
      <w:r>
        <w:rPr/>
        <w:t>producción</w:t>
      </w:r>
      <w:r>
        <w:rPr>
          <w:spacing w:val="-4"/>
        </w:rPr>
        <w:t> </w:t>
      </w:r>
      <w:r>
        <w:rPr/>
        <w:t>pecuaria.</w:t>
      </w:r>
      <w:r>
        <w:rPr>
          <w:spacing w:val="-4"/>
        </w:rPr>
        <w:t> </w:t>
      </w:r>
      <w:r>
        <w:rPr/>
        <w:t>Tiene un ciclo de producción largo e interactúa activamente con el sector bovino de carne y con el mercado</w:t>
      </w:r>
      <w:r>
        <w:rPr>
          <w:spacing w:val="-7"/>
        </w:rPr>
        <w:t> </w:t>
      </w:r>
      <w:r>
        <w:rPr/>
        <w:t>de</w:t>
      </w:r>
      <w:r>
        <w:rPr>
          <w:spacing w:val="-8"/>
        </w:rPr>
        <w:t> </w:t>
      </w:r>
      <w:r>
        <w:rPr/>
        <w:t>forrajes.</w:t>
      </w:r>
      <w:r>
        <w:rPr>
          <w:spacing w:val="-7"/>
        </w:rPr>
        <w:t> </w:t>
      </w:r>
      <w:r>
        <w:rPr/>
        <w:t>Así</w:t>
      </w:r>
      <w:r>
        <w:rPr>
          <w:spacing w:val="-6"/>
        </w:rPr>
        <w:t> </w:t>
      </w:r>
      <w:r>
        <w:rPr/>
        <w:t>mismo,</w:t>
      </w:r>
      <w:r>
        <w:rPr>
          <w:spacing w:val="-7"/>
        </w:rPr>
        <w:t> </w:t>
      </w:r>
      <w:r>
        <w:rPr/>
        <w:t>un</w:t>
      </w:r>
      <w:r>
        <w:rPr>
          <w:spacing w:val="-7"/>
        </w:rPr>
        <w:t> </w:t>
      </w:r>
      <w:r>
        <w:rPr/>
        <w:t>importante</w:t>
      </w:r>
      <w:r>
        <w:rPr>
          <w:spacing w:val="-8"/>
        </w:rPr>
        <w:t> </w:t>
      </w:r>
      <w:r>
        <w:rPr/>
        <w:t>número</w:t>
      </w:r>
      <w:r>
        <w:rPr>
          <w:spacing w:val="-7"/>
        </w:rPr>
        <w:t> </w:t>
      </w:r>
      <w:r>
        <w:rPr/>
        <w:t>de</w:t>
      </w:r>
      <w:r>
        <w:rPr>
          <w:spacing w:val="-8"/>
        </w:rPr>
        <w:t> </w:t>
      </w:r>
      <w:r>
        <w:rPr/>
        <w:t>productores</w:t>
      </w:r>
      <w:r>
        <w:rPr>
          <w:spacing w:val="-4"/>
        </w:rPr>
        <w:t> </w:t>
      </w:r>
      <w:r>
        <w:rPr/>
        <w:t>en</w:t>
      </w:r>
      <w:r>
        <w:rPr>
          <w:spacing w:val="-7"/>
        </w:rPr>
        <w:t> </w:t>
      </w:r>
      <w:r>
        <w:rPr/>
        <w:t>México</w:t>
      </w:r>
      <w:r>
        <w:rPr>
          <w:spacing w:val="-8"/>
        </w:rPr>
        <w:t> </w:t>
      </w:r>
      <w:r>
        <w:rPr/>
        <w:t>participan en la cadena bajo una dualidad en la producción, tanto de carne como de leche</w:t>
      </w:r>
      <w:r>
        <w:rPr>
          <w:spacing w:val="-14"/>
        </w:rPr>
        <w:t> </w:t>
      </w:r>
      <w:r>
        <w:rPr/>
        <w:t>(SAGARPA, 2011a).</w:t>
      </w:r>
    </w:p>
    <w:p>
      <w:pPr>
        <w:pStyle w:val="BodyText"/>
      </w:pPr>
    </w:p>
    <w:p>
      <w:pPr>
        <w:pStyle w:val="BodyText"/>
      </w:pPr>
    </w:p>
    <w:p>
      <w:pPr>
        <w:pStyle w:val="BodyText"/>
        <w:spacing w:before="1"/>
        <w:rPr>
          <w:sz w:val="23"/>
        </w:rPr>
      </w:pPr>
    </w:p>
    <w:p>
      <w:pPr>
        <w:pStyle w:val="BodyText"/>
        <w:spacing w:line="360" w:lineRule="auto"/>
        <w:ind w:left="142" w:right="118"/>
        <w:jc w:val="both"/>
      </w:pPr>
      <w:r>
        <w:rPr/>
        <w:t>En</w:t>
      </w:r>
      <w:r>
        <w:rPr>
          <w:spacing w:val="-16"/>
        </w:rPr>
        <w:t> </w:t>
      </w:r>
      <w:r>
        <w:rPr/>
        <w:t>2011</w:t>
      </w:r>
      <w:r>
        <w:rPr>
          <w:spacing w:val="-16"/>
        </w:rPr>
        <w:t> </w:t>
      </w:r>
      <w:r>
        <w:rPr/>
        <w:t>se</w:t>
      </w:r>
      <w:r>
        <w:rPr>
          <w:spacing w:val="-17"/>
        </w:rPr>
        <w:t> </w:t>
      </w:r>
      <w:r>
        <w:rPr/>
        <w:t>estima</w:t>
      </w:r>
      <w:r>
        <w:rPr>
          <w:spacing w:val="-16"/>
        </w:rPr>
        <w:t> </w:t>
      </w:r>
      <w:r>
        <w:rPr/>
        <w:t>que</w:t>
      </w:r>
      <w:r>
        <w:rPr>
          <w:spacing w:val="-14"/>
        </w:rPr>
        <w:t> </w:t>
      </w:r>
      <w:r>
        <w:rPr/>
        <w:t>cerca</w:t>
      </w:r>
      <w:r>
        <w:rPr>
          <w:spacing w:val="-17"/>
        </w:rPr>
        <w:t> </w:t>
      </w:r>
      <w:r>
        <w:rPr/>
        <w:t>de</w:t>
      </w:r>
      <w:r>
        <w:rPr>
          <w:spacing w:val="-17"/>
        </w:rPr>
        <w:t> </w:t>
      </w:r>
      <w:r>
        <w:rPr/>
        <w:t>6.7</w:t>
      </w:r>
      <w:r>
        <w:rPr>
          <w:spacing w:val="-16"/>
        </w:rPr>
        <w:t> </w:t>
      </w:r>
      <w:r>
        <w:rPr/>
        <w:t>millones</w:t>
      </w:r>
      <w:r>
        <w:rPr>
          <w:spacing w:val="-16"/>
        </w:rPr>
        <w:t> </w:t>
      </w:r>
      <w:r>
        <w:rPr/>
        <w:t>de</w:t>
      </w:r>
      <w:r>
        <w:rPr>
          <w:spacing w:val="-15"/>
        </w:rPr>
        <w:t> </w:t>
      </w:r>
      <w:r>
        <w:rPr/>
        <w:t>vacas</w:t>
      </w:r>
      <w:r>
        <w:rPr>
          <w:spacing w:val="-16"/>
        </w:rPr>
        <w:t> </w:t>
      </w:r>
      <w:r>
        <w:rPr/>
        <w:t>lecheras</w:t>
      </w:r>
      <w:r>
        <w:rPr>
          <w:spacing w:val="-16"/>
        </w:rPr>
        <w:t> </w:t>
      </w:r>
      <w:r>
        <w:rPr/>
        <w:t>fueron</w:t>
      </w:r>
      <w:r>
        <w:rPr>
          <w:spacing w:val="-17"/>
        </w:rPr>
        <w:t> </w:t>
      </w:r>
      <w:r>
        <w:rPr/>
        <w:t>ordeñadas</w:t>
      </w:r>
      <w:r>
        <w:rPr>
          <w:spacing w:val="-16"/>
        </w:rPr>
        <w:t> </w:t>
      </w:r>
      <w:r>
        <w:rPr/>
        <w:t>bajo</w:t>
      </w:r>
      <w:r>
        <w:rPr>
          <w:spacing w:val="-15"/>
        </w:rPr>
        <w:t> </w:t>
      </w:r>
      <w:r>
        <w:rPr/>
        <w:t>distintos tipos de tecnificación. Para 2010-2020, se espera una recomposición del hato lechero nacional, se estima un incremento en el hato tecnificado y una disminución </w:t>
      </w:r>
      <w:r>
        <w:rPr>
          <w:spacing w:val="2"/>
        </w:rPr>
        <w:t>en </w:t>
      </w:r>
      <w:r>
        <w:rPr/>
        <w:t>el de doble propósito (Tabla</w:t>
      </w:r>
      <w:r>
        <w:rPr>
          <w:spacing w:val="-6"/>
        </w:rPr>
        <w:t> </w:t>
      </w:r>
      <w:r>
        <w:rPr/>
        <w:t>2).</w:t>
      </w:r>
    </w:p>
    <w:p>
      <w:pPr>
        <w:spacing w:after="0" w:line="360" w:lineRule="auto"/>
        <w:jc w:val="both"/>
        <w:sectPr>
          <w:pgSz w:w="12240" w:h="15840"/>
          <w:pgMar w:header="0" w:footer="657" w:top="1020" w:bottom="840" w:left="1560" w:right="1580"/>
        </w:sectPr>
      </w:pPr>
    </w:p>
    <w:p>
      <w:pPr>
        <w:pStyle w:val="BodyText"/>
        <w:spacing w:line="360" w:lineRule="auto" w:before="50"/>
        <w:ind w:left="102" w:right="115"/>
        <w:jc w:val="both"/>
      </w:pPr>
      <w:r>
        <w:rPr/>
        <w:t>A pesar de la disminución del hato se espera un incremento en la producción de leche fluida derivado de un aumento en la tecnificación. En 2012 la producción fue de 10.9 mil millones de</w:t>
      </w:r>
      <w:r>
        <w:rPr>
          <w:spacing w:val="-9"/>
        </w:rPr>
        <w:t> </w:t>
      </w:r>
      <w:r>
        <w:rPr/>
        <w:t>litros</w:t>
      </w:r>
      <w:r>
        <w:rPr>
          <w:spacing w:val="-8"/>
        </w:rPr>
        <w:t> </w:t>
      </w:r>
      <w:r>
        <w:rPr/>
        <w:t>(mml)</w:t>
      </w:r>
      <w:r>
        <w:rPr>
          <w:spacing w:val="-8"/>
        </w:rPr>
        <w:t> </w:t>
      </w:r>
      <w:r>
        <w:rPr/>
        <w:t>de</w:t>
      </w:r>
      <w:r>
        <w:rPr>
          <w:spacing w:val="-9"/>
        </w:rPr>
        <w:t> </w:t>
      </w:r>
      <w:r>
        <w:rPr/>
        <w:t>leche</w:t>
      </w:r>
      <w:r>
        <w:rPr>
          <w:spacing w:val="-6"/>
        </w:rPr>
        <w:t> </w:t>
      </w:r>
      <w:r>
        <w:rPr/>
        <w:t>fluida</w:t>
      </w:r>
      <w:r>
        <w:rPr>
          <w:spacing w:val="-6"/>
        </w:rPr>
        <w:t> </w:t>
      </w:r>
      <w:r>
        <w:rPr/>
        <w:t>y</w:t>
      </w:r>
      <w:r>
        <w:rPr>
          <w:spacing w:val="-10"/>
        </w:rPr>
        <w:t> </w:t>
      </w:r>
      <w:r>
        <w:rPr/>
        <w:t>en</w:t>
      </w:r>
      <w:r>
        <w:rPr>
          <w:spacing w:val="-8"/>
        </w:rPr>
        <w:t> </w:t>
      </w:r>
      <w:r>
        <w:rPr/>
        <w:t>2020</w:t>
      </w:r>
      <w:r>
        <w:rPr>
          <w:spacing w:val="-6"/>
        </w:rPr>
        <w:t> </w:t>
      </w:r>
      <w:r>
        <w:rPr/>
        <w:t>se</w:t>
      </w:r>
      <w:r>
        <w:rPr>
          <w:spacing w:val="-9"/>
        </w:rPr>
        <w:t> </w:t>
      </w:r>
      <w:r>
        <w:rPr/>
        <w:t>pronostica</w:t>
      </w:r>
      <w:r>
        <w:rPr>
          <w:spacing w:val="-9"/>
        </w:rPr>
        <w:t> </w:t>
      </w:r>
      <w:r>
        <w:rPr/>
        <w:t>una</w:t>
      </w:r>
      <w:r>
        <w:rPr>
          <w:spacing w:val="-9"/>
        </w:rPr>
        <w:t> </w:t>
      </w:r>
      <w:r>
        <w:rPr/>
        <w:t>producción</w:t>
      </w:r>
      <w:r>
        <w:rPr>
          <w:spacing w:val="-6"/>
        </w:rPr>
        <w:t> </w:t>
      </w:r>
      <w:r>
        <w:rPr/>
        <w:t>de</w:t>
      </w:r>
      <w:r>
        <w:rPr>
          <w:spacing w:val="-9"/>
        </w:rPr>
        <w:t> </w:t>
      </w:r>
      <w:r>
        <w:rPr/>
        <w:t>12.5</w:t>
      </w:r>
      <w:r>
        <w:rPr>
          <w:spacing w:val="-8"/>
        </w:rPr>
        <w:t> </w:t>
      </w:r>
      <w:r>
        <w:rPr/>
        <w:t>mml.</w:t>
      </w:r>
      <w:r>
        <w:rPr>
          <w:spacing w:val="-7"/>
        </w:rPr>
        <w:t> </w:t>
      </w:r>
      <w:r>
        <w:rPr/>
        <w:t>Durante este</w:t>
      </w:r>
      <w:r>
        <w:rPr>
          <w:spacing w:val="-6"/>
        </w:rPr>
        <w:t> </w:t>
      </w:r>
      <w:r>
        <w:rPr/>
        <w:t>periodo,</w:t>
      </w:r>
      <w:r>
        <w:rPr>
          <w:spacing w:val="-6"/>
        </w:rPr>
        <w:t> </w:t>
      </w:r>
      <w:r>
        <w:rPr/>
        <w:t>se</w:t>
      </w:r>
      <w:r>
        <w:rPr>
          <w:spacing w:val="-5"/>
        </w:rPr>
        <w:t> </w:t>
      </w:r>
      <w:r>
        <w:rPr/>
        <w:t>estima</w:t>
      </w:r>
      <w:r>
        <w:rPr>
          <w:spacing w:val="-7"/>
        </w:rPr>
        <w:t> </w:t>
      </w:r>
      <w:r>
        <w:rPr/>
        <w:t>un</w:t>
      </w:r>
      <w:r>
        <w:rPr>
          <w:spacing w:val="-6"/>
        </w:rPr>
        <w:t> </w:t>
      </w:r>
      <w:r>
        <w:rPr/>
        <w:t>consumo</w:t>
      </w:r>
      <w:r>
        <w:rPr>
          <w:spacing w:val="-4"/>
        </w:rPr>
        <w:t> </w:t>
      </w:r>
      <w:r>
        <w:rPr/>
        <w:t>y</w:t>
      </w:r>
      <w:r>
        <w:rPr>
          <w:spacing w:val="-11"/>
        </w:rPr>
        <w:t> </w:t>
      </w:r>
      <w:r>
        <w:rPr/>
        <w:t>uso</w:t>
      </w:r>
      <w:r>
        <w:rPr>
          <w:spacing w:val="-6"/>
        </w:rPr>
        <w:t> </w:t>
      </w:r>
      <w:r>
        <w:rPr/>
        <w:t>industrial</w:t>
      </w:r>
      <w:r>
        <w:rPr>
          <w:spacing w:val="-4"/>
        </w:rPr>
        <w:t> </w:t>
      </w:r>
      <w:r>
        <w:rPr/>
        <w:t>de</w:t>
      </w:r>
      <w:r>
        <w:rPr>
          <w:spacing w:val="-7"/>
        </w:rPr>
        <w:t> </w:t>
      </w:r>
      <w:r>
        <w:rPr/>
        <w:t>4.4</w:t>
      </w:r>
      <w:r>
        <w:rPr>
          <w:spacing w:val="-4"/>
        </w:rPr>
        <w:t> </w:t>
      </w:r>
      <w:r>
        <w:rPr/>
        <w:t>y</w:t>
      </w:r>
      <w:r>
        <w:rPr>
          <w:spacing w:val="-11"/>
        </w:rPr>
        <w:t> </w:t>
      </w:r>
      <w:r>
        <w:rPr/>
        <w:t>6.6</w:t>
      </w:r>
      <w:r>
        <w:rPr>
          <w:spacing w:val="-6"/>
        </w:rPr>
        <w:t> </w:t>
      </w:r>
      <w:r>
        <w:rPr/>
        <w:t>mml</w:t>
      </w:r>
      <w:r>
        <w:rPr>
          <w:spacing w:val="-5"/>
        </w:rPr>
        <w:t> </w:t>
      </w:r>
      <w:r>
        <w:rPr/>
        <w:t>en</w:t>
      </w:r>
      <w:r>
        <w:rPr>
          <w:spacing w:val="-6"/>
        </w:rPr>
        <w:t> </w:t>
      </w:r>
      <w:r>
        <w:rPr/>
        <w:t>2011</w:t>
      </w:r>
      <w:r>
        <w:rPr>
          <w:spacing w:val="-4"/>
        </w:rPr>
        <w:t> </w:t>
      </w:r>
      <w:r>
        <w:rPr/>
        <w:t>y</w:t>
      </w:r>
      <w:r>
        <w:rPr>
          <w:spacing w:val="-11"/>
        </w:rPr>
        <w:t> </w:t>
      </w:r>
      <w:r>
        <w:rPr/>
        <w:t>para</w:t>
      </w:r>
      <w:r>
        <w:rPr>
          <w:spacing w:val="-7"/>
        </w:rPr>
        <w:t> </w:t>
      </w:r>
      <w:r>
        <w:rPr/>
        <w:t>2020</w:t>
      </w:r>
      <w:r>
        <w:rPr>
          <w:spacing w:val="-6"/>
        </w:rPr>
        <w:t> </w:t>
      </w:r>
      <w:r>
        <w:rPr/>
        <w:t>de</w:t>
      </w:r>
    </w:p>
    <w:p>
      <w:pPr>
        <w:pStyle w:val="BodyText"/>
        <w:spacing w:before="4"/>
        <w:ind w:left="102"/>
        <w:jc w:val="both"/>
      </w:pPr>
      <w:r>
        <w:rPr/>
        <w:t>4.8 y 7.7 mml respectivamente.</w:t>
      </w:r>
    </w:p>
    <w:p>
      <w:pPr>
        <w:pStyle w:val="BodyText"/>
      </w:pPr>
    </w:p>
    <w:p>
      <w:pPr>
        <w:pStyle w:val="BodyText"/>
      </w:pPr>
    </w:p>
    <w:p>
      <w:pPr>
        <w:pStyle w:val="BodyText"/>
        <w:spacing w:before="9"/>
        <w:rPr>
          <w:sz w:val="34"/>
        </w:rPr>
      </w:pPr>
    </w:p>
    <w:p>
      <w:pPr>
        <w:pStyle w:val="BodyText"/>
        <w:spacing w:line="360" w:lineRule="auto" w:before="1"/>
        <w:ind w:left="102" w:right="113"/>
        <w:jc w:val="both"/>
      </w:pPr>
      <w:r>
        <w:rPr/>
        <w:t>Con</w:t>
      </w:r>
      <w:r>
        <w:rPr>
          <w:spacing w:val="-5"/>
        </w:rPr>
        <w:t> </w:t>
      </w:r>
      <w:r>
        <w:rPr/>
        <w:t>relación</w:t>
      </w:r>
      <w:r>
        <w:rPr>
          <w:spacing w:val="-4"/>
        </w:rPr>
        <w:t> </w:t>
      </w:r>
      <w:r>
        <w:rPr/>
        <w:t>al</w:t>
      </w:r>
      <w:r>
        <w:rPr>
          <w:spacing w:val="-4"/>
        </w:rPr>
        <w:t> </w:t>
      </w:r>
      <w:r>
        <w:rPr/>
        <w:t>consumo</w:t>
      </w:r>
      <w:r>
        <w:rPr>
          <w:spacing w:val="-5"/>
        </w:rPr>
        <w:t> </w:t>
      </w:r>
      <w:r>
        <w:rPr/>
        <w:t>de</w:t>
      </w:r>
      <w:r>
        <w:rPr>
          <w:spacing w:val="-5"/>
        </w:rPr>
        <w:t> </w:t>
      </w:r>
      <w:r>
        <w:rPr/>
        <w:t>subproductos,</w:t>
      </w:r>
      <w:r>
        <w:rPr>
          <w:spacing w:val="-4"/>
        </w:rPr>
        <w:t> </w:t>
      </w:r>
      <w:r>
        <w:rPr/>
        <w:t>se</w:t>
      </w:r>
      <w:r>
        <w:rPr>
          <w:spacing w:val="-6"/>
        </w:rPr>
        <w:t> </w:t>
      </w:r>
      <w:r>
        <w:rPr/>
        <w:t>espera</w:t>
      </w:r>
      <w:r>
        <w:rPr>
          <w:spacing w:val="-6"/>
        </w:rPr>
        <w:t> </w:t>
      </w:r>
      <w:r>
        <w:rPr/>
        <w:t>un</w:t>
      </w:r>
      <w:r>
        <w:rPr>
          <w:spacing w:val="-5"/>
        </w:rPr>
        <w:t> </w:t>
      </w:r>
      <w:r>
        <w:rPr/>
        <w:t>incremento</w:t>
      </w:r>
      <w:r>
        <w:rPr>
          <w:spacing w:val="-5"/>
        </w:rPr>
        <w:t> </w:t>
      </w:r>
      <w:r>
        <w:rPr/>
        <w:t>durante</w:t>
      </w:r>
      <w:r>
        <w:rPr>
          <w:spacing w:val="-2"/>
        </w:rPr>
        <w:t> </w:t>
      </w:r>
      <w:r>
        <w:rPr/>
        <w:t>el</w:t>
      </w:r>
      <w:r>
        <w:rPr>
          <w:spacing w:val="-4"/>
        </w:rPr>
        <w:t> </w:t>
      </w:r>
      <w:r>
        <w:rPr/>
        <w:t>periodo</w:t>
      </w:r>
      <w:r>
        <w:rPr>
          <w:spacing w:val="-4"/>
        </w:rPr>
        <w:t> </w:t>
      </w:r>
      <w:r>
        <w:rPr/>
        <w:t>2011- 2020. Para el caso del queso que pase de 247 mil toneladas a 283 mil; la leche en polvo descremada de 247 a 283 mil toneladas, y en la mantequilla de 175 a 208 mil toneladas. El mismo comportamiento se espera para las importaciones de leche descremada en polvo y mantequilla;</w:t>
      </w:r>
      <w:r>
        <w:rPr>
          <w:spacing w:val="-6"/>
        </w:rPr>
        <w:t> </w:t>
      </w:r>
      <w:r>
        <w:rPr/>
        <w:t>en</w:t>
      </w:r>
      <w:r>
        <w:rPr>
          <w:spacing w:val="-6"/>
        </w:rPr>
        <w:t> </w:t>
      </w:r>
      <w:r>
        <w:rPr/>
        <w:t>cuanto</w:t>
      </w:r>
      <w:r>
        <w:rPr>
          <w:spacing w:val="-6"/>
        </w:rPr>
        <w:t> </w:t>
      </w:r>
      <w:r>
        <w:rPr/>
        <w:t>a</w:t>
      </w:r>
      <w:r>
        <w:rPr>
          <w:spacing w:val="-7"/>
        </w:rPr>
        <w:t> </w:t>
      </w:r>
      <w:r>
        <w:rPr/>
        <w:t>la</w:t>
      </w:r>
      <w:r>
        <w:rPr>
          <w:spacing w:val="-7"/>
        </w:rPr>
        <w:t> </w:t>
      </w:r>
      <w:r>
        <w:rPr/>
        <w:t>primera,</w:t>
      </w:r>
      <w:r>
        <w:rPr>
          <w:spacing w:val="-6"/>
        </w:rPr>
        <w:t> </w:t>
      </w:r>
      <w:r>
        <w:rPr/>
        <w:t>que</w:t>
      </w:r>
      <w:r>
        <w:rPr>
          <w:spacing w:val="-7"/>
        </w:rPr>
        <w:t> </w:t>
      </w:r>
      <w:r>
        <w:rPr/>
        <w:t>éstas</w:t>
      </w:r>
      <w:r>
        <w:rPr>
          <w:spacing w:val="-6"/>
        </w:rPr>
        <w:t> </w:t>
      </w:r>
      <w:r>
        <w:rPr/>
        <w:t>se</w:t>
      </w:r>
      <w:r>
        <w:rPr>
          <w:spacing w:val="-7"/>
        </w:rPr>
        <w:t> </w:t>
      </w:r>
      <w:r>
        <w:rPr/>
        <w:t>mantengan</w:t>
      </w:r>
      <w:r>
        <w:rPr>
          <w:spacing w:val="-6"/>
        </w:rPr>
        <w:t> </w:t>
      </w:r>
      <w:r>
        <w:rPr/>
        <w:t>en</w:t>
      </w:r>
      <w:r>
        <w:rPr>
          <w:spacing w:val="-6"/>
        </w:rPr>
        <w:t> </w:t>
      </w:r>
      <w:r>
        <w:rPr/>
        <w:t>un</w:t>
      </w:r>
      <w:r>
        <w:rPr>
          <w:spacing w:val="-6"/>
        </w:rPr>
        <w:t> </w:t>
      </w:r>
      <w:r>
        <w:rPr/>
        <w:t>nivel</w:t>
      </w:r>
      <w:r>
        <w:rPr>
          <w:spacing w:val="-6"/>
        </w:rPr>
        <w:t> </w:t>
      </w:r>
      <w:r>
        <w:rPr/>
        <w:t>anual</w:t>
      </w:r>
      <w:r>
        <w:rPr>
          <w:spacing w:val="-6"/>
        </w:rPr>
        <w:t> </w:t>
      </w:r>
      <w:r>
        <w:rPr/>
        <w:t>de</w:t>
      </w:r>
      <w:r>
        <w:rPr>
          <w:spacing w:val="-7"/>
        </w:rPr>
        <w:t> </w:t>
      </w:r>
      <w:r>
        <w:rPr/>
        <w:t>165</w:t>
      </w:r>
      <w:r>
        <w:rPr>
          <w:spacing w:val="-6"/>
        </w:rPr>
        <w:t> </w:t>
      </w:r>
      <w:r>
        <w:rPr/>
        <w:t>mil</w:t>
      </w:r>
      <w:r>
        <w:rPr>
          <w:spacing w:val="-6"/>
        </w:rPr>
        <w:t> </w:t>
      </w:r>
      <w:r>
        <w:rPr/>
        <w:t>tm; y que las de mantequilla tienda su nivel a 48 mil toneladas (SAGARPA,</w:t>
      </w:r>
      <w:r>
        <w:rPr>
          <w:spacing w:val="-7"/>
        </w:rPr>
        <w:t> </w:t>
      </w:r>
      <w:r>
        <w:rPr/>
        <w:t>2011b).</w:t>
      </w:r>
    </w:p>
    <w:p>
      <w:pPr>
        <w:pStyle w:val="BodyText"/>
      </w:pPr>
    </w:p>
    <w:p>
      <w:pPr>
        <w:pStyle w:val="BodyText"/>
      </w:pPr>
    </w:p>
    <w:p>
      <w:pPr>
        <w:pStyle w:val="BodyText"/>
        <w:spacing w:before="3"/>
        <w:rPr>
          <w:sz w:val="23"/>
        </w:rPr>
      </w:pPr>
    </w:p>
    <w:p>
      <w:pPr>
        <w:pStyle w:val="BodyText"/>
        <w:spacing w:line="360" w:lineRule="auto"/>
        <w:ind w:left="102" w:right="118"/>
        <w:jc w:val="both"/>
      </w:pPr>
      <w:r>
        <w:rPr/>
        <w:t>El consumo de leche en México está ligado al ingreso real, precios y las preferencias de los consumidores.</w:t>
      </w:r>
      <w:r>
        <w:rPr>
          <w:spacing w:val="-6"/>
        </w:rPr>
        <w:t> </w:t>
      </w:r>
      <w:r>
        <w:rPr/>
        <w:t>Un</w:t>
      </w:r>
      <w:r>
        <w:rPr>
          <w:spacing w:val="-7"/>
        </w:rPr>
        <w:t> </w:t>
      </w:r>
      <w:r>
        <w:rPr/>
        <w:t>poco</w:t>
      </w:r>
      <w:r>
        <w:rPr>
          <w:spacing w:val="-6"/>
        </w:rPr>
        <w:t> </w:t>
      </w:r>
      <w:r>
        <w:rPr/>
        <w:t>más</w:t>
      </w:r>
      <w:r>
        <w:rPr>
          <w:spacing w:val="-7"/>
        </w:rPr>
        <w:t> </w:t>
      </w:r>
      <w:r>
        <w:rPr/>
        <w:t>del</w:t>
      </w:r>
      <w:r>
        <w:rPr>
          <w:spacing w:val="-6"/>
        </w:rPr>
        <w:t> </w:t>
      </w:r>
      <w:r>
        <w:rPr/>
        <w:t>40%</w:t>
      </w:r>
      <w:r>
        <w:rPr>
          <w:spacing w:val="-7"/>
        </w:rPr>
        <w:t> </w:t>
      </w:r>
      <w:r>
        <w:rPr/>
        <w:t>del</w:t>
      </w:r>
      <w:r>
        <w:rPr>
          <w:spacing w:val="-6"/>
        </w:rPr>
        <w:t> </w:t>
      </w:r>
      <w:r>
        <w:rPr/>
        <w:t>consumo</w:t>
      </w:r>
      <w:r>
        <w:rPr>
          <w:spacing w:val="-6"/>
        </w:rPr>
        <w:t> </w:t>
      </w:r>
      <w:r>
        <w:rPr/>
        <w:t>total</w:t>
      </w:r>
      <w:r>
        <w:rPr>
          <w:spacing w:val="-6"/>
        </w:rPr>
        <w:t> </w:t>
      </w:r>
      <w:r>
        <w:rPr/>
        <w:t>es</w:t>
      </w:r>
      <w:r>
        <w:rPr>
          <w:spacing w:val="-6"/>
        </w:rPr>
        <w:t> </w:t>
      </w:r>
      <w:r>
        <w:rPr/>
        <w:t>en</w:t>
      </w:r>
      <w:r>
        <w:rPr>
          <w:spacing w:val="-6"/>
        </w:rPr>
        <w:t> </w:t>
      </w:r>
      <w:r>
        <w:rPr/>
        <w:t>forma</w:t>
      </w:r>
      <w:r>
        <w:rPr>
          <w:spacing w:val="-7"/>
        </w:rPr>
        <w:t> </w:t>
      </w:r>
      <w:r>
        <w:rPr/>
        <w:t>de</w:t>
      </w:r>
      <w:r>
        <w:rPr>
          <w:spacing w:val="-7"/>
        </w:rPr>
        <w:t> </w:t>
      </w:r>
      <w:r>
        <w:rPr/>
        <w:t>leche</w:t>
      </w:r>
      <w:r>
        <w:rPr>
          <w:spacing w:val="-7"/>
        </w:rPr>
        <w:t> </w:t>
      </w:r>
      <w:r>
        <w:rPr/>
        <w:t>fluida</w:t>
      </w:r>
      <w:r>
        <w:rPr>
          <w:spacing w:val="-4"/>
        </w:rPr>
        <w:t> </w:t>
      </w:r>
      <w:r>
        <w:rPr/>
        <w:t>y</w:t>
      </w:r>
      <w:r>
        <w:rPr>
          <w:spacing w:val="-11"/>
        </w:rPr>
        <w:t> </w:t>
      </w:r>
      <w:r>
        <w:rPr/>
        <w:t>el</w:t>
      </w:r>
      <w:r>
        <w:rPr>
          <w:spacing w:val="-6"/>
        </w:rPr>
        <w:t> </w:t>
      </w:r>
      <w:r>
        <w:rPr/>
        <w:t>resto se utiliza en productos manufacturados (SAGARPA, 2011a). La demanda por este producto mantiene una tendencia a la alza de manera progresiva. Se estima que el consumo pasará</w:t>
      </w:r>
      <w:r>
        <w:rPr>
          <w:spacing w:val="13"/>
        </w:rPr>
        <w:t> </w:t>
      </w:r>
      <w:r>
        <w:rPr/>
        <w:t>de</w:t>
      </w:r>
    </w:p>
    <w:p>
      <w:pPr>
        <w:pStyle w:val="BodyText"/>
        <w:spacing w:before="4"/>
        <w:ind w:left="102"/>
        <w:jc w:val="both"/>
      </w:pPr>
      <w:r>
        <w:rPr/>
        <w:t>10.5 mil millones de litros en 2009 a 12.6 en 2020  (Tabla 2).</w:t>
      </w:r>
    </w:p>
    <w:p>
      <w:pPr>
        <w:spacing w:after="0"/>
        <w:jc w:val="both"/>
        <w:sectPr>
          <w:pgSz w:w="12240" w:h="15840"/>
          <w:pgMar w:header="0" w:footer="657" w:top="1360" w:bottom="840" w:left="1600" w:right="1580"/>
        </w:sectPr>
      </w:pP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6"/>
        <w:gridCol w:w="500"/>
        <w:gridCol w:w="615"/>
        <w:gridCol w:w="593"/>
        <w:gridCol w:w="644"/>
        <w:gridCol w:w="628"/>
        <w:gridCol w:w="630"/>
        <w:gridCol w:w="628"/>
        <w:gridCol w:w="642"/>
        <w:gridCol w:w="631"/>
        <w:gridCol w:w="623"/>
        <w:gridCol w:w="596"/>
        <w:gridCol w:w="551"/>
      </w:tblGrid>
      <w:tr>
        <w:trPr>
          <w:trHeight w:val="394" w:hRule="exact"/>
        </w:trPr>
        <w:tc>
          <w:tcPr>
            <w:tcW w:w="8877" w:type="dxa"/>
            <w:gridSpan w:val="13"/>
          </w:tcPr>
          <w:p>
            <w:pPr>
              <w:pStyle w:val="TableParagraph"/>
              <w:spacing w:before="69"/>
              <w:ind w:left="69"/>
              <w:jc w:val="left"/>
              <w:rPr>
                <w:sz w:val="24"/>
              </w:rPr>
            </w:pPr>
            <w:r>
              <w:rPr>
                <w:b/>
                <w:sz w:val="24"/>
              </w:rPr>
              <w:t>Tabla 2</w:t>
            </w:r>
            <w:r>
              <w:rPr>
                <w:sz w:val="24"/>
              </w:rPr>
              <w:t>. Lácteos oferta y demanda en México</w:t>
            </w:r>
          </w:p>
        </w:tc>
      </w:tr>
      <w:tr>
        <w:trPr>
          <w:trHeight w:val="528" w:hRule="exact"/>
        </w:trPr>
        <w:tc>
          <w:tcPr>
            <w:tcW w:w="1596"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left="69" w:right="252"/>
              <w:jc w:val="left"/>
              <w:rPr>
                <w:sz w:val="14"/>
              </w:rPr>
            </w:pPr>
            <w:r>
              <w:rPr>
                <w:sz w:val="14"/>
              </w:rPr>
              <w:t>Años</w:t>
            </w:r>
          </w:p>
        </w:tc>
        <w:tc>
          <w:tcPr>
            <w:tcW w:w="500"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15"/>
              <w:rPr>
                <w:sz w:val="14"/>
              </w:rPr>
            </w:pPr>
            <w:r>
              <w:rPr>
                <w:w w:val="95"/>
                <w:sz w:val="14"/>
              </w:rPr>
              <w:t>2009</w:t>
            </w:r>
          </w:p>
        </w:tc>
        <w:tc>
          <w:tcPr>
            <w:tcW w:w="615"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15"/>
              <w:rPr>
                <w:sz w:val="14"/>
              </w:rPr>
            </w:pPr>
            <w:r>
              <w:rPr>
                <w:w w:val="95"/>
                <w:sz w:val="14"/>
              </w:rPr>
              <w:t>2010</w:t>
            </w:r>
          </w:p>
        </w:tc>
        <w:tc>
          <w:tcPr>
            <w:tcW w:w="593"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95"/>
              <w:rPr>
                <w:sz w:val="14"/>
              </w:rPr>
            </w:pPr>
            <w:r>
              <w:rPr>
                <w:w w:val="95"/>
                <w:sz w:val="14"/>
              </w:rPr>
              <w:t>2011</w:t>
            </w:r>
          </w:p>
        </w:tc>
        <w:tc>
          <w:tcPr>
            <w:tcW w:w="644"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19"/>
              <w:rPr>
                <w:sz w:val="14"/>
              </w:rPr>
            </w:pPr>
            <w:r>
              <w:rPr>
                <w:w w:val="95"/>
                <w:sz w:val="14"/>
              </w:rPr>
              <w:t>2012</w:t>
            </w:r>
          </w:p>
        </w:tc>
        <w:tc>
          <w:tcPr>
            <w:tcW w:w="628"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25"/>
              <w:rPr>
                <w:sz w:val="14"/>
              </w:rPr>
            </w:pPr>
            <w:r>
              <w:rPr>
                <w:w w:val="95"/>
                <w:sz w:val="14"/>
              </w:rPr>
              <w:t>2013</w:t>
            </w:r>
          </w:p>
        </w:tc>
        <w:tc>
          <w:tcPr>
            <w:tcW w:w="630"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21"/>
              <w:rPr>
                <w:sz w:val="14"/>
              </w:rPr>
            </w:pPr>
            <w:r>
              <w:rPr>
                <w:w w:val="95"/>
                <w:sz w:val="14"/>
              </w:rPr>
              <w:t>2014</w:t>
            </w:r>
          </w:p>
        </w:tc>
        <w:tc>
          <w:tcPr>
            <w:tcW w:w="628"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22"/>
              <w:rPr>
                <w:sz w:val="14"/>
              </w:rPr>
            </w:pPr>
            <w:r>
              <w:rPr>
                <w:w w:val="95"/>
                <w:sz w:val="14"/>
              </w:rPr>
              <w:t>2015</w:t>
            </w:r>
          </w:p>
        </w:tc>
        <w:tc>
          <w:tcPr>
            <w:tcW w:w="642"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26"/>
              <w:rPr>
                <w:sz w:val="14"/>
              </w:rPr>
            </w:pPr>
            <w:r>
              <w:rPr>
                <w:w w:val="95"/>
                <w:sz w:val="14"/>
              </w:rPr>
              <w:t>2016</w:t>
            </w:r>
          </w:p>
        </w:tc>
        <w:tc>
          <w:tcPr>
            <w:tcW w:w="631"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21"/>
              <w:rPr>
                <w:sz w:val="14"/>
              </w:rPr>
            </w:pPr>
            <w:r>
              <w:rPr>
                <w:w w:val="95"/>
                <w:sz w:val="14"/>
              </w:rPr>
              <w:t>2017</w:t>
            </w:r>
          </w:p>
        </w:tc>
        <w:tc>
          <w:tcPr>
            <w:tcW w:w="623"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119"/>
              <w:rPr>
                <w:sz w:val="14"/>
              </w:rPr>
            </w:pPr>
            <w:r>
              <w:rPr>
                <w:w w:val="95"/>
                <w:sz w:val="14"/>
              </w:rPr>
              <w:t>2018</w:t>
            </w:r>
          </w:p>
        </w:tc>
        <w:tc>
          <w:tcPr>
            <w:tcW w:w="596"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95"/>
              <w:rPr>
                <w:sz w:val="14"/>
              </w:rPr>
            </w:pPr>
            <w:r>
              <w:rPr>
                <w:w w:val="95"/>
                <w:sz w:val="14"/>
              </w:rPr>
              <w:t>2019</w:t>
            </w:r>
          </w:p>
        </w:tc>
        <w:tc>
          <w:tcPr>
            <w:tcW w:w="551" w:type="dxa"/>
            <w:tcBorders>
              <w:top w:val="single" w:sz="17" w:space="0" w:color="000000"/>
              <w:bottom w:val="single" w:sz="17" w:space="0" w:color="000000"/>
            </w:tcBorders>
          </w:tcPr>
          <w:p>
            <w:pPr>
              <w:pStyle w:val="TableParagraph"/>
              <w:spacing w:before="7"/>
              <w:jc w:val="left"/>
              <w:rPr>
                <w:sz w:val="13"/>
              </w:rPr>
            </w:pPr>
          </w:p>
          <w:p>
            <w:pPr>
              <w:pStyle w:val="TableParagraph"/>
              <w:spacing w:before="1"/>
              <w:ind w:right="72"/>
              <w:rPr>
                <w:sz w:val="14"/>
              </w:rPr>
            </w:pPr>
            <w:r>
              <w:rPr>
                <w:w w:val="95"/>
                <w:sz w:val="14"/>
              </w:rPr>
              <w:t>2020</w:t>
            </w:r>
          </w:p>
        </w:tc>
      </w:tr>
      <w:tr>
        <w:trPr>
          <w:trHeight w:val="381" w:hRule="exact"/>
        </w:trPr>
        <w:tc>
          <w:tcPr>
            <w:tcW w:w="8877" w:type="dxa"/>
            <w:gridSpan w:val="13"/>
          </w:tcPr>
          <w:p>
            <w:pPr>
              <w:pStyle w:val="TableParagraph"/>
              <w:spacing w:before="1"/>
              <w:jc w:val="left"/>
              <w:rPr>
                <w:sz w:val="15"/>
              </w:rPr>
            </w:pPr>
          </w:p>
          <w:p>
            <w:pPr>
              <w:pStyle w:val="TableParagraph"/>
              <w:tabs>
                <w:tab w:pos="3863" w:val="left" w:leader="none"/>
              </w:tabs>
              <w:ind w:left="69"/>
              <w:jc w:val="left"/>
              <w:rPr>
                <w:sz w:val="14"/>
              </w:rPr>
            </w:pPr>
            <w:r>
              <w:rPr>
                <w:sz w:val="14"/>
              </w:rPr>
              <w:t>Hato</w:t>
            </w:r>
            <w:r>
              <w:rPr>
                <w:spacing w:val="-1"/>
                <w:sz w:val="14"/>
              </w:rPr>
              <w:t> </w:t>
            </w:r>
            <w:r>
              <w:rPr>
                <w:sz w:val="14"/>
              </w:rPr>
              <w:t>lechero</w:t>
              <w:tab/>
              <w:t>(Miles de</w:t>
            </w:r>
            <w:r>
              <w:rPr>
                <w:spacing w:val="-9"/>
                <w:sz w:val="14"/>
              </w:rPr>
              <w:t> </w:t>
            </w:r>
            <w:r>
              <w:rPr>
                <w:sz w:val="14"/>
              </w:rPr>
              <w:t>cabezas)</w:t>
            </w:r>
          </w:p>
        </w:tc>
      </w:tr>
      <w:tr>
        <w:trPr>
          <w:trHeight w:val="188" w:hRule="exact"/>
        </w:trPr>
        <w:tc>
          <w:tcPr>
            <w:tcW w:w="2095" w:type="dxa"/>
            <w:gridSpan w:val="2"/>
          </w:tcPr>
          <w:p>
            <w:pPr>
              <w:pStyle w:val="TableParagraph"/>
              <w:spacing w:before="30"/>
              <w:ind w:right="113"/>
              <w:rPr>
                <w:sz w:val="14"/>
              </w:rPr>
            </w:pPr>
            <w:r>
              <w:rPr>
                <w:w w:val="95"/>
                <w:sz w:val="14"/>
              </w:rPr>
              <w:t>6,890</w:t>
            </w:r>
          </w:p>
        </w:tc>
        <w:tc>
          <w:tcPr>
            <w:tcW w:w="615" w:type="dxa"/>
          </w:tcPr>
          <w:p>
            <w:pPr>
              <w:pStyle w:val="TableParagraph"/>
              <w:spacing w:before="30"/>
              <w:ind w:right="113"/>
              <w:rPr>
                <w:sz w:val="14"/>
              </w:rPr>
            </w:pPr>
            <w:r>
              <w:rPr>
                <w:w w:val="95"/>
                <w:sz w:val="14"/>
              </w:rPr>
              <w:t>6,834</w:t>
            </w:r>
          </w:p>
        </w:tc>
        <w:tc>
          <w:tcPr>
            <w:tcW w:w="593" w:type="dxa"/>
          </w:tcPr>
          <w:p>
            <w:pPr>
              <w:pStyle w:val="TableParagraph"/>
              <w:spacing w:before="30"/>
              <w:ind w:right="91"/>
              <w:rPr>
                <w:sz w:val="14"/>
              </w:rPr>
            </w:pPr>
            <w:r>
              <w:rPr>
                <w:w w:val="95"/>
                <w:sz w:val="14"/>
              </w:rPr>
              <w:t>6,740</w:t>
            </w:r>
          </w:p>
        </w:tc>
        <w:tc>
          <w:tcPr>
            <w:tcW w:w="644" w:type="dxa"/>
          </w:tcPr>
          <w:p>
            <w:pPr>
              <w:pStyle w:val="TableParagraph"/>
              <w:spacing w:before="30"/>
              <w:ind w:right="116"/>
              <w:rPr>
                <w:sz w:val="14"/>
              </w:rPr>
            </w:pPr>
            <w:r>
              <w:rPr>
                <w:w w:val="95"/>
                <w:sz w:val="14"/>
              </w:rPr>
              <w:t>6,714</w:t>
            </w:r>
          </w:p>
        </w:tc>
        <w:tc>
          <w:tcPr>
            <w:tcW w:w="628" w:type="dxa"/>
          </w:tcPr>
          <w:p>
            <w:pPr>
              <w:pStyle w:val="TableParagraph"/>
              <w:spacing w:before="30"/>
              <w:ind w:right="123"/>
              <w:rPr>
                <w:sz w:val="14"/>
              </w:rPr>
            </w:pPr>
            <w:r>
              <w:rPr>
                <w:w w:val="95"/>
                <w:sz w:val="14"/>
              </w:rPr>
              <w:t>6,292</w:t>
            </w:r>
          </w:p>
        </w:tc>
        <w:tc>
          <w:tcPr>
            <w:tcW w:w="630" w:type="dxa"/>
          </w:tcPr>
          <w:p>
            <w:pPr>
              <w:pStyle w:val="TableParagraph"/>
              <w:spacing w:before="30"/>
              <w:ind w:right="119"/>
              <w:rPr>
                <w:sz w:val="14"/>
              </w:rPr>
            </w:pPr>
            <w:r>
              <w:rPr>
                <w:w w:val="95"/>
                <w:sz w:val="14"/>
              </w:rPr>
              <w:t>6,673</w:t>
            </w:r>
          </w:p>
        </w:tc>
        <w:tc>
          <w:tcPr>
            <w:tcW w:w="628" w:type="dxa"/>
          </w:tcPr>
          <w:p>
            <w:pPr>
              <w:pStyle w:val="TableParagraph"/>
              <w:spacing w:before="30"/>
              <w:ind w:right="120"/>
              <w:rPr>
                <w:sz w:val="14"/>
              </w:rPr>
            </w:pPr>
            <w:r>
              <w:rPr>
                <w:w w:val="95"/>
                <w:sz w:val="14"/>
              </w:rPr>
              <w:t>6,660</w:t>
            </w:r>
          </w:p>
        </w:tc>
        <w:tc>
          <w:tcPr>
            <w:tcW w:w="642" w:type="dxa"/>
          </w:tcPr>
          <w:p>
            <w:pPr>
              <w:pStyle w:val="TableParagraph"/>
              <w:spacing w:before="30"/>
              <w:ind w:right="124"/>
              <w:rPr>
                <w:sz w:val="14"/>
              </w:rPr>
            </w:pPr>
            <w:r>
              <w:rPr>
                <w:w w:val="95"/>
                <w:sz w:val="14"/>
              </w:rPr>
              <w:t>6,651</w:t>
            </w:r>
          </w:p>
        </w:tc>
        <w:tc>
          <w:tcPr>
            <w:tcW w:w="631" w:type="dxa"/>
          </w:tcPr>
          <w:p>
            <w:pPr>
              <w:pStyle w:val="TableParagraph"/>
              <w:spacing w:before="30"/>
              <w:ind w:right="119"/>
              <w:rPr>
                <w:sz w:val="14"/>
              </w:rPr>
            </w:pPr>
            <w:r>
              <w:rPr>
                <w:w w:val="95"/>
                <w:sz w:val="14"/>
              </w:rPr>
              <w:t>6,633</w:t>
            </w:r>
          </w:p>
        </w:tc>
        <w:tc>
          <w:tcPr>
            <w:tcW w:w="623" w:type="dxa"/>
          </w:tcPr>
          <w:p>
            <w:pPr>
              <w:pStyle w:val="TableParagraph"/>
              <w:spacing w:before="30"/>
              <w:ind w:right="115"/>
              <w:rPr>
                <w:sz w:val="14"/>
              </w:rPr>
            </w:pPr>
            <w:r>
              <w:rPr>
                <w:w w:val="95"/>
                <w:sz w:val="14"/>
              </w:rPr>
              <w:t>6,622</w:t>
            </w:r>
          </w:p>
        </w:tc>
        <w:tc>
          <w:tcPr>
            <w:tcW w:w="596" w:type="dxa"/>
          </w:tcPr>
          <w:p>
            <w:pPr>
              <w:pStyle w:val="TableParagraph"/>
              <w:spacing w:before="30"/>
              <w:ind w:right="92"/>
              <w:rPr>
                <w:sz w:val="14"/>
              </w:rPr>
            </w:pPr>
            <w:r>
              <w:rPr>
                <w:w w:val="95"/>
                <w:sz w:val="14"/>
              </w:rPr>
              <w:t>6,625</w:t>
            </w:r>
          </w:p>
        </w:tc>
        <w:tc>
          <w:tcPr>
            <w:tcW w:w="551" w:type="dxa"/>
          </w:tcPr>
          <w:p>
            <w:pPr>
              <w:pStyle w:val="TableParagraph"/>
              <w:spacing w:before="30"/>
              <w:ind w:right="70"/>
              <w:rPr>
                <w:sz w:val="14"/>
              </w:rPr>
            </w:pPr>
            <w:r>
              <w:rPr>
                <w:w w:val="95"/>
                <w:sz w:val="14"/>
              </w:rPr>
              <w:t>6,614</w:t>
            </w:r>
          </w:p>
        </w:tc>
      </w:tr>
      <w:tr>
        <w:trPr>
          <w:trHeight w:val="364" w:hRule="exact"/>
        </w:trPr>
        <w:tc>
          <w:tcPr>
            <w:tcW w:w="8877" w:type="dxa"/>
            <w:gridSpan w:val="13"/>
          </w:tcPr>
          <w:p>
            <w:pPr>
              <w:pStyle w:val="TableParagraph"/>
              <w:spacing w:before="7"/>
              <w:jc w:val="left"/>
              <w:rPr>
                <w:sz w:val="13"/>
              </w:rPr>
            </w:pPr>
          </w:p>
          <w:p>
            <w:pPr>
              <w:pStyle w:val="TableParagraph"/>
              <w:ind w:left="3767" w:right="3773"/>
              <w:jc w:val="center"/>
              <w:rPr>
                <w:sz w:val="14"/>
              </w:rPr>
            </w:pPr>
            <w:r>
              <w:rPr>
                <w:sz w:val="14"/>
              </w:rPr>
              <w:t>(Millones de</w:t>
            </w:r>
            <w:r>
              <w:rPr>
                <w:spacing w:val="-10"/>
                <w:sz w:val="14"/>
              </w:rPr>
              <w:t> </w:t>
            </w:r>
            <w:r>
              <w:rPr>
                <w:sz w:val="14"/>
              </w:rPr>
              <w:t>litros)</w:t>
            </w:r>
          </w:p>
        </w:tc>
      </w:tr>
      <w:tr>
        <w:trPr>
          <w:trHeight w:val="437" w:hRule="exact"/>
        </w:trPr>
        <w:tc>
          <w:tcPr>
            <w:tcW w:w="1596" w:type="dxa"/>
          </w:tcPr>
          <w:p>
            <w:pPr>
              <w:pStyle w:val="TableParagraph"/>
              <w:spacing w:before="30"/>
              <w:ind w:left="69" w:right="252"/>
              <w:jc w:val="left"/>
              <w:rPr>
                <w:sz w:val="14"/>
              </w:rPr>
            </w:pPr>
            <w:r>
              <w:rPr>
                <w:sz w:val="14"/>
              </w:rPr>
              <w:t>Producción leche fluida</w:t>
            </w:r>
          </w:p>
        </w:tc>
        <w:tc>
          <w:tcPr>
            <w:tcW w:w="500" w:type="dxa"/>
          </w:tcPr>
          <w:p>
            <w:pPr>
              <w:pStyle w:val="TableParagraph"/>
              <w:spacing w:before="7"/>
              <w:jc w:val="left"/>
              <w:rPr>
                <w:sz w:val="16"/>
              </w:rPr>
            </w:pPr>
          </w:p>
          <w:p>
            <w:pPr>
              <w:pStyle w:val="TableParagraph"/>
              <w:ind w:right="113"/>
              <w:rPr>
                <w:sz w:val="14"/>
              </w:rPr>
            </w:pPr>
            <w:r>
              <w:rPr>
                <w:w w:val="95"/>
                <w:sz w:val="14"/>
              </w:rPr>
              <w:t>10,549</w:t>
            </w:r>
          </w:p>
        </w:tc>
        <w:tc>
          <w:tcPr>
            <w:tcW w:w="615" w:type="dxa"/>
          </w:tcPr>
          <w:p>
            <w:pPr>
              <w:pStyle w:val="TableParagraph"/>
              <w:spacing w:before="7"/>
              <w:jc w:val="left"/>
              <w:rPr>
                <w:sz w:val="16"/>
              </w:rPr>
            </w:pPr>
          </w:p>
          <w:p>
            <w:pPr>
              <w:pStyle w:val="TableParagraph"/>
              <w:ind w:right="113"/>
              <w:rPr>
                <w:sz w:val="14"/>
              </w:rPr>
            </w:pPr>
            <w:r>
              <w:rPr>
                <w:w w:val="95"/>
                <w:sz w:val="14"/>
              </w:rPr>
              <w:t>10,874</w:t>
            </w:r>
          </w:p>
        </w:tc>
        <w:tc>
          <w:tcPr>
            <w:tcW w:w="593" w:type="dxa"/>
          </w:tcPr>
          <w:p>
            <w:pPr>
              <w:pStyle w:val="TableParagraph"/>
              <w:spacing w:before="7"/>
              <w:jc w:val="left"/>
              <w:rPr>
                <w:sz w:val="16"/>
              </w:rPr>
            </w:pPr>
          </w:p>
          <w:p>
            <w:pPr>
              <w:pStyle w:val="TableParagraph"/>
              <w:ind w:right="91"/>
              <w:rPr>
                <w:sz w:val="14"/>
              </w:rPr>
            </w:pPr>
            <w:r>
              <w:rPr>
                <w:w w:val="95"/>
                <w:sz w:val="14"/>
              </w:rPr>
              <w:t>11,031</w:t>
            </w:r>
          </w:p>
        </w:tc>
        <w:tc>
          <w:tcPr>
            <w:tcW w:w="644" w:type="dxa"/>
          </w:tcPr>
          <w:p>
            <w:pPr>
              <w:pStyle w:val="TableParagraph"/>
              <w:spacing w:before="7"/>
              <w:jc w:val="left"/>
              <w:rPr>
                <w:sz w:val="16"/>
              </w:rPr>
            </w:pPr>
          </w:p>
          <w:p>
            <w:pPr>
              <w:pStyle w:val="TableParagraph"/>
              <w:ind w:right="164"/>
              <w:rPr>
                <w:sz w:val="14"/>
              </w:rPr>
            </w:pPr>
            <w:r>
              <w:rPr>
                <w:w w:val="95"/>
                <w:sz w:val="14"/>
              </w:rPr>
              <w:t>11,367</w:t>
            </w:r>
          </w:p>
        </w:tc>
        <w:tc>
          <w:tcPr>
            <w:tcW w:w="628" w:type="dxa"/>
          </w:tcPr>
          <w:p>
            <w:pPr>
              <w:pStyle w:val="TableParagraph"/>
              <w:spacing w:before="7"/>
              <w:jc w:val="left"/>
              <w:rPr>
                <w:sz w:val="16"/>
              </w:rPr>
            </w:pPr>
          </w:p>
          <w:p>
            <w:pPr>
              <w:pStyle w:val="TableParagraph"/>
              <w:ind w:right="124"/>
              <w:rPr>
                <w:sz w:val="14"/>
              </w:rPr>
            </w:pPr>
            <w:r>
              <w:rPr>
                <w:w w:val="95"/>
                <w:sz w:val="14"/>
              </w:rPr>
              <w:t>11,620</w:t>
            </w:r>
          </w:p>
        </w:tc>
        <w:tc>
          <w:tcPr>
            <w:tcW w:w="630" w:type="dxa"/>
          </w:tcPr>
          <w:p>
            <w:pPr>
              <w:pStyle w:val="TableParagraph"/>
              <w:spacing w:before="7"/>
              <w:jc w:val="left"/>
              <w:rPr>
                <w:sz w:val="16"/>
              </w:rPr>
            </w:pPr>
          </w:p>
          <w:p>
            <w:pPr>
              <w:pStyle w:val="TableParagraph"/>
              <w:ind w:right="119"/>
              <w:rPr>
                <w:sz w:val="14"/>
              </w:rPr>
            </w:pPr>
            <w:r>
              <w:rPr>
                <w:w w:val="95"/>
                <w:sz w:val="14"/>
              </w:rPr>
              <w:t>11,801</w:t>
            </w:r>
          </w:p>
        </w:tc>
        <w:tc>
          <w:tcPr>
            <w:tcW w:w="628" w:type="dxa"/>
          </w:tcPr>
          <w:p>
            <w:pPr>
              <w:pStyle w:val="TableParagraph"/>
              <w:spacing w:before="7"/>
              <w:jc w:val="left"/>
              <w:rPr>
                <w:sz w:val="16"/>
              </w:rPr>
            </w:pPr>
          </w:p>
          <w:p>
            <w:pPr>
              <w:pStyle w:val="TableParagraph"/>
              <w:ind w:right="120"/>
              <w:rPr>
                <w:sz w:val="14"/>
              </w:rPr>
            </w:pPr>
            <w:r>
              <w:rPr>
                <w:w w:val="95"/>
                <w:sz w:val="14"/>
              </w:rPr>
              <w:t>11,951</w:t>
            </w:r>
          </w:p>
        </w:tc>
        <w:tc>
          <w:tcPr>
            <w:tcW w:w="642" w:type="dxa"/>
          </w:tcPr>
          <w:p>
            <w:pPr>
              <w:pStyle w:val="TableParagraph"/>
              <w:spacing w:before="7"/>
              <w:jc w:val="left"/>
              <w:rPr>
                <w:sz w:val="16"/>
              </w:rPr>
            </w:pPr>
          </w:p>
          <w:p>
            <w:pPr>
              <w:pStyle w:val="TableParagraph"/>
              <w:ind w:right="125"/>
              <w:rPr>
                <w:sz w:val="14"/>
              </w:rPr>
            </w:pPr>
            <w:r>
              <w:rPr>
                <w:w w:val="95"/>
                <w:sz w:val="14"/>
              </w:rPr>
              <w:t>12,085</w:t>
            </w:r>
          </w:p>
        </w:tc>
        <w:tc>
          <w:tcPr>
            <w:tcW w:w="631" w:type="dxa"/>
          </w:tcPr>
          <w:p>
            <w:pPr>
              <w:pStyle w:val="TableParagraph"/>
              <w:spacing w:before="7"/>
              <w:jc w:val="left"/>
              <w:rPr>
                <w:sz w:val="16"/>
              </w:rPr>
            </w:pPr>
          </w:p>
          <w:p>
            <w:pPr>
              <w:pStyle w:val="TableParagraph"/>
              <w:ind w:right="119"/>
              <w:rPr>
                <w:sz w:val="14"/>
              </w:rPr>
            </w:pPr>
            <w:r>
              <w:rPr>
                <w:w w:val="95"/>
                <w:sz w:val="14"/>
              </w:rPr>
              <w:t>12,185</w:t>
            </w:r>
          </w:p>
        </w:tc>
        <w:tc>
          <w:tcPr>
            <w:tcW w:w="623" w:type="dxa"/>
          </w:tcPr>
          <w:p>
            <w:pPr>
              <w:pStyle w:val="TableParagraph"/>
              <w:spacing w:before="7"/>
              <w:jc w:val="left"/>
              <w:rPr>
                <w:sz w:val="16"/>
              </w:rPr>
            </w:pPr>
          </w:p>
          <w:p>
            <w:pPr>
              <w:pStyle w:val="TableParagraph"/>
              <w:ind w:right="115"/>
              <w:rPr>
                <w:sz w:val="14"/>
              </w:rPr>
            </w:pPr>
            <w:r>
              <w:rPr>
                <w:w w:val="95"/>
                <w:sz w:val="14"/>
              </w:rPr>
              <w:t>12,294</w:t>
            </w:r>
          </w:p>
        </w:tc>
        <w:tc>
          <w:tcPr>
            <w:tcW w:w="596" w:type="dxa"/>
          </w:tcPr>
          <w:p>
            <w:pPr>
              <w:pStyle w:val="TableParagraph"/>
              <w:spacing w:before="7"/>
              <w:jc w:val="left"/>
              <w:rPr>
                <w:sz w:val="16"/>
              </w:rPr>
            </w:pPr>
          </w:p>
          <w:p>
            <w:pPr>
              <w:pStyle w:val="TableParagraph"/>
              <w:ind w:right="92"/>
              <w:rPr>
                <w:sz w:val="14"/>
              </w:rPr>
            </w:pPr>
            <w:r>
              <w:rPr>
                <w:w w:val="95"/>
                <w:sz w:val="14"/>
              </w:rPr>
              <w:t>12,453</w:t>
            </w:r>
          </w:p>
        </w:tc>
        <w:tc>
          <w:tcPr>
            <w:tcW w:w="551" w:type="dxa"/>
          </w:tcPr>
          <w:p>
            <w:pPr>
              <w:pStyle w:val="TableParagraph"/>
              <w:spacing w:before="7"/>
              <w:jc w:val="left"/>
              <w:rPr>
                <w:sz w:val="16"/>
              </w:rPr>
            </w:pPr>
          </w:p>
          <w:p>
            <w:pPr>
              <w:pStyle w:val="TableParagraph"/>
              <w:ind w:right="71"/>
              <w:rPr>
                <w:sz w:val="14"/>
              </w:rPr>
            </w:pPr>
            <w:r>
              <w:rPr>
                <w:w w:val="95"/>
                <w:sz w:val="14"/>
              </w:rPr>
              <w:t>12,591</w:t>
            </w:r>
          </w:p>
        </w:tc>
      </w:tr>
      <w:tr>
        <w:trPr>
          <w:trHeight w:val="316" w:hRule="exact"/>
        </w:trPr>
        <w:tc>
          <w:tcPr>
            <w:tcW w:w="1596" w:type="dxa"/>
          </w:tcPr>
          <w:p>
            <w:pPr>
              <w:pStyle w:val="TableParagraph"/>
              <w:spacing w:before="69"/>
              <w:ind w:left="69" w:right="252"/>
              <w:jc w:val="left"/>
              <w:rPr>
                <w:sz w:val="14"/>
              </w:rPr>
            </w:pPr>
            <w:r>
              <w:rPr>
                <w:sz w:val="14"/>
              </w:rPr>
              <w:t>Leche fluida</w:t>
            </w:r>
          </w:p>
        </w:tc>
        <w:tc>
          <w:tcPr>
            <w:tcW w:w="500" w:type="dxa"/>
          </w:tcPr>
          <w:p>
            <w:pPr/>
          </w:p>
        </w:tc>
        <w:tc>
          <w:tcPr>
            <w:tcW w:w="615" w:type="dxa"/>
          </w:tcPr>
          <w:p>
            <w:pPr/>
          </w:p>
        </w:tc>
        <w:tc>
          <w:tcPr>
            <w:tcW w:w="593" w:type="dxa"/>
          </w:tcPr>
          <w:p>
            <w:pPr/>
          </w:p>
        </w:tc>
        <w:tc>
          <w:tcPr>
            <w:tcW w:w="644" w:type="dxa"/>
          </w:tcPr>
          <w:p>
            <w:pPr/>
          </w:p>
        </w:tc>
        <w:tc>
          <w:tcPr>
            <w:tcW w:w="628" w:type="dxa"/>
          </w:tcPr>
          <w:p>
            <w:pPr/>
          </w:p>
        </w:tc>
        <w:tc>
          <w:tcPr>
            <w:tcW w:w="630" w:type="dxa"/>
          </w:tcPr>
          <w:p>
            <w:pPr/>
          </w:p>
        </w:tc>
        <w:tc>
          <w:tcPr>
            <w:tcW w:w="628" w:type="dxa"/>
          </w:tcPr>
          <w:p>
            <w:pPr/>
          </w:p>
        </w:tc>
        <w:tc>
          <w:tcPr>
            <w:tcW w:w="642" w:type="dxa"/>
          </w:tcPr>
          <w:p>
            <w:pPr/>
          </w:p>
        </w:tc>
        <w:tc>
          <w:tcPr>
            <w:tcW w:w="631" w:type="dxa"/>
          </w:tcPr>
          <w:p>
            <w:pPr/>
          </w:p>
        </w:tc>
        <w:tc>
          <w:tcPr>
            <w:tcW w:w="623" w:type="dxa"/>
          </w:tcPr>
          <w:p>
            <w:pPr/>
          </w:p>
        </w:tc>
        <w:tc>
          <w:tcPr>
            <w:tcW w:w="596" w:type="dxa"/>
          </w:tcPr>
          <w:p>
            <w:pPr/>
          </w:p>
        </w:tc>
        <w:tc>
          <w:tcPr>
            <w:tcW w:w="551" w:type="dxa"/>
          </w:tcPr>
          <w:p>
            <w:pPr/>
          </w:p>
        </w:tc>
      </w:tr>
      <w:tr>
        <w:trPr>
          <w:trHeight w:val="316" w:hRule="exact"/>
        </w:trPr>
        <w:tc>
          <w:tcPr>
            <w:tcW w:w="1596" w:type="dxa"/>
          </w:tcPr>
          <w:p>
            <w:pPr>
              <w:pStyle w:val="TableParagraph"/>
              <w:spacing w:before="70"/>
              <w:ind w:left="69" w:right="252"/>
              <w:jc w:val="left"/>
              <w:rPr>
                <w:sz w:val="14"/>
              </w:rPr>
            </w:pPr>
            <w:r>
              <w:rPr>
                <w:sz w:val="14"/>
              </w:rPr>
              <w:t>Producción</w:t>
            </w:r>
          </w:p>
        </w:tc>
        <w:tc>
          <w:tcPr>
            <w:tcW w:w="500" w:type="dxa"/>
          </w:tcPr>
          <w:p>
            <w:pPr>
              <w:pStyle w:val="TableParagraph"/>
              <w:spacing w:before="70"/>
              <w:ind w:right="113"/>
              <w:rPr>
                <w:sz w:val="14"/>
              </w:rPr>
            </w:pPr>
            <w:r>
              <w:rPr>
                <w:w w:val="95"/>
                <w:sz w:val="14"/>
              </w:rPr>
              <w:t>10,549</w:t>
            </w:r>
          </w:p>
        </w:tc>
        <w:tc>
          <w:tcPr>
            <w:tcW w:w="615" w:type="dxa"/>
          </w:tcPr>
          <w:p>
            <w:pPr>
              <w:pStyle w:val="TableParagraph"/>
              <w:spacing w:before="70"/>
              <w:ind w:right="113"/>
              <w:rPr>
                <w:sz w:val="14"/>
              </w:rPr>
            </w:pPr>
            <w:r>
              <w:rPr>
                <w:w w:val="95"/>
                <w:sz w:val="14"/>
              </w:rPr>
              <w:t>10,874</w:t>
            </w:r>
          </w:p>
        </w:tc>
        <w:tc>
          <w:tcPr>
            <w:tcW w:w="593" w:type="dxa"/>
          </w:tcPr>
          <w:p>
            <w:pPr>
              <w:pStyle w:val="TableParagraph"/>
              <w:spacing w:before="70"/>
              <w:ind w:right="91"/>
              <w:rPr>
                <w:sz w:val="14"/>
              </w:rPr>
            </w:pPr>
            <w:r>
              <w:rPr>
                <w:w w:val="95"/>
                <w:sz w:val="14"/>
              </w:rPr>
              <w:t>11,031</w:t>
            </w:r>
          </w:p>
        </w:tc>
        <w:tc>
          <w:tcPr>
            <w:tcW w:w="644" w:type="dxa"/>
          </w:tcPr>
          <w:p>
            <w:pPr>
              <w:pStyle w:val="TableParagraph"/>
              <w:spacing w:before="70"/>
              <w:ind w:right="116"/>
              <w:rPr>
                <w:sz w:val="14"/>
              </w:rPr>
            </w:pPr>
            <w:r>
              <w:rPr>
                <w:w w:val="95"/>
                <w:sz w:val="14"/>
              </w:rPr>
              <w:t>11,367</w:t>
            </w:r>
          </w:p>
        </w:tc>
        <w:tc>
          <w:tcPr>
            <w:tcW w:w="628" w:type="dxa"/>
          </w:tcPr>
          <w:p>
            <w:pPr>
              <w:pStyle w:val="TableParagraph"/>
              <w:spacing w:before="70"/>
              <w:ind w:right="123"/>
              <w:rPr>
                <w:sz w:val="14"/>
              </w:rPr>
            </w:pPr>
            <w:r>
              <w:rPr>
                <w:w w:val="95"/>
                <w:sz w:val="14"/>
              </w:rPr>
              <w:t>11,620</w:t>
            </w:r>
          </w:p>
        </w:tc>
        <w:tc>
          <w:tcPr>
            <w:tcW w:w="630" w:type="dxa"/>
          </w:tcPr>
          <w:p>
            <w:pPr>
              <w:pStyle w:val="TableParagraph"/>
              <w:spacing w:before="70"/>
              <w:ind w:right="119"/>
              <w:rPr>
                <w:sz w:val="14"/>
              </w:rPr>
            </w:pPr>
            <w:r>
              <w:rPr>
                <w:w w:val="95"/>
                <w:sz w:val="14"/>
              </w:rPr>
              <w:t>11,801</w:t>
            </w:r>
          </w:p>
        </w:tc>
        <w:tc>
          <w:tcPr>
            <w:tcW w:w="628" w:type="dxa"/>
          </w:tcPr>
          <w:p>
            <w:pPr>
              <w:pStyle w:val="TableParagraph"/>
              <w:spacing w:before="70"/>
              <w:ind w:right="120"/>
              <w:rPr>
                <w:sz w:val="14"/>
              </w:rPr>
            </w:pPr>
            <w:r>
              <w:rPr>
                <w:w w:val="95"/>
                <w:sz w:val="14"/>
              </w:rPr>
              <w:t>11,951</w:t>
            </w:r>
          </w:p>
        </w:tc>
        <w:tc>
          <w:tcPr>
            <w:tcW w:w="642" w:type="dxa"/>
          </w:tcPr>
          <w:p>
            <w:pPr>
              <w:pStyle w:val="TableParagraph"/>
              <w:spacing w:before="70"/>
              <w:ind w:right="133"/>
              <w:rPr>
                <w:sz w:val="14"/>
              </w:rPr>
            </w:pPr>
            <w:r>
              <w:rPr>
                <w:w w:val="95"/>
                <w:sz w:val="14"/>
              </w:rPr>
              <w:t>12,085</w:t>
            </w:r>
          </w:p>
        </w:tc>
        <w:tc>
          <w:tcPr>
            <w:tcW w:w="631" w:type="dxa"/>
          </w:tcPr>
          <w:p>
            <w:pPr>
              <w:pStyle w:val="TableParagraph"/>
              <w:spacing w:before="70"/>
              <w:ind w:right="119"/>
              <w:rPr>
                <w:sz w:val="14"/>
              </w:rPr>
            </w:pPr>
            <w:r>
              <w:rPr>
                <w:w w:val="95"/>
                <w:sz w:val="14"/>
              </w:rPr>
              <w:t>12,185</w:t>
            </w:r>
          </w:p>
        </w:tc>
        <w:tc>
          <w:tcPr>
            <w:tcW w:w="623" w:type="dxa"/>
          </w:tcPr>
          <w:p>
            <w:pPr>
              <w:pStyle w:val="TableParagraph"/>
              <w:spacing w:before="70"/>
              <w:ind w:right="116"/>
              <w:rPr>
                <w:sz w:val="14"/>
              </w:rPr>
            </w:pPr>
            <w:r>
              <w:rPr>
                <w:w w:val="95"/>
                <w:sz w:val="14"/>
              </w:rPr>
              <w:t>12,294</w:t>
            </w:r>
          </w:p>
        </w:tc>
        <w:tc>
          <w:tcPr>
            <w:tcW w:w="596" w:type="dxa"/>
          </w:tcPr>
          <w:p>
            <w:pPr>
              <w:pStyle w:val="TableParagraph"/>
              <w:spacing w:before="70"/>
              <w:ind w:right="92"/>
              <w:rPr>
                <w:sz w:val="14"/>
              </w:rPr>
            </w:pPr>
            <w:r>
              <w:rPr>
                <w:w w:val="95"/>
                <w:sz w:val="14"/>
              </w:rPr>
              <w:t>12,453</w:t>
            </w:r>
          </w:p>
        </w:tc>
        <w:tc>
          <w:tcPr>
            <w:tcW w:w="551" w:type="dxa"/>
          </w:tcPr>
          <w:p>
            <w:pPr>
              <w:pStyle w:val="TableParagraph"/>
              <w:spacing w:before="70"/>
              <w:ind w:right="70"/>
              <w:rPr>
                <w:sz w:val="14"/>
              </w:rPr>
            </w:pPr>
            <w:r>
              <w:rPr>
                <w:w w:val="95"/>
                <w:sz w:val="14"/>
              </w:rPr>
              <w:t>12,591</w:t>
            </w:r>
          </w:p>
        </w:tc>
      </w:tr>
      <w:tr>
        <w:trPr>
          <w:trHeight w:val="314" w:hRule="exact"/>
        </w:trPr>
        <w:tc>
          <w:tcPr>
            <w:tcW w:w="1596" w:type="dxa"/>
          </w:tcPr>
          <w:p>
            <w:pPr>
              <w:pStyle w:val="TableParagraph"/>
              <w:spacing w:before="69"/>
              <w:ind w:left="69" w:right="252"/>
              <w:jc w:val="left"/>
              <w:rPr>
                <w:sz w:val="14"/>
              </w:rPr>
            </w:pPr>
            <w:r>
              <w:rPr>
                <w:sz w:val="14"/>
              </w:rPr>
              <w:t>Importaciones</w:t>
            </w:r>
          </w:p>
        </w:tc>
        <w:tc>
          <w:tcPr>
            <w:tcW w:w="500" w:type="dxa"/>
          </w:tcPr>
          <w:p>
            <w:pPr>
              <w:pStyle w:val="TableParagraph"/>
              <w:spacing w:before="69"/>
              <w:ind w:right="113"/>
              <w:rPr>
                <w:sz w:val="14"/>
              </w:rPr>
            </w:pPr>
            <w:r>
              <w:rPr>
                <w:w w:val="95"/>
                <w:sz w:val="14"/>
              </w:rPr>
              <w:t>43.5</w:t>
            </w:r>
          </w:p>
        </w:tc>
        <w:tc>
          <w:tcPr>
            <w:tcW w:w="615" w:type="dxa"/>
          </w:tcPr>
          <w:p>
            <w:pPr>
              <w:pStyle w:val="TableParagraph"/>
              <w:spacing w:before="69"/>
              <w:ind w:right="113"/>
              <w:rPr>
                <w:sz w:val="14"/>
              </w:rPr>
            </w:pPr>
            <w:r>
              <w:rPr>
                <w:w w:val="95"/>
                <w:sz w:val="14"/>
              </w:rPr>
              <w:t>39.9</w:t>
            </w:r>
          </w:p>
        </w:tc>
        <w:tc>
          <w:tcPr>
            <w:tcW w:w="593" w:type="dxa"/>
          </w:tcPr>
          <w:p>
            <w:pPr>
              <w:pStyle w:val="TableParagraph"/>
              <w:spacing w:before="69"/>
              <w:ind w:right="91"/>
              <w:rPr>
                <w:sz w:val="14"/>
              </w:rPr>
            </w:pPr>
            <w:r>
              <w:rPr>
                <w:w w:val="95"/>
                <w:sz w:val="14"/>
              </w:rPr>
              <w:t>39.9</w:t>
            </w:r>
          </w:p>
        </w:tc>
        <w:tc>
          <w:tcPr>
            <w:tcW w:w="644" w:type="dxa"/>
          </w:tcPr>
          <w:p>
            <w:pPr>
              <w:pStyle w:val="TableParagraph"/>
              <w:spacing w:before="69"/>
              <w:ind w:right="116"/>
              <w:rPr>
                <w:sz w:val="14"/>
              </w:rPr>
            </w:pPr>
            <w:r>
              <w:rPr>
                <w:w w:val="95"/>
                <w:sz w:val="14"/>
              </w:rPr>
              <w:t>39.9</w:t>
            </w:r>
          </w:p>
        </w:tc>
        <w:tc>
          <w:tcPr>
            <w:tcW w:w="628" w:type="dxa"/>
          </w:tcPr>
          <w:p>
            <w:pPr>
              <w:pStyle w:val="TableParagraph"/>
              <w:spacing w:before="69"/>
              <w:ind w:right="123"/>
              <w:rPr>
                <w:sz w:val="14"/>
              </w:rPr>
            </w:pPr>
            <w:r>
              <w:rPr>
                <w:w w:val="95"/>
                <w:sz w:val="14"/>
              </w:rPr>
              <w:t>39.9</w:t>
            </w:r>
          </w:p>
        </w:tc>
        <w:tc>
          <w:tcPr>
            <w:tcW w:w="630" w:type="dxa"/>
          </w:tcPr>
          <w:p>
            <w:pPr>
              <w:pStyle w:val="TableParagraph"/>
              <w:spacing w:before="69"/>
              <w:ind w:right="119"/>
              <w:rPr>
                <w:sz w:val="14"/>
              </w:rPr>
            </w:pPr>
            <w:r>
              <w:rPr>
                <w:w w:val="95"/>
                <w:sz w:val="14"/>
              </w:rPr>
              <w:t>39.9</w:t>
            </w:r>
          </w:p>
        </w:tc>
        <w:tc>
          <w:tcPr>
            <w:tcW w:w="628" w:type="dxa"/>
          </w:tcPr>
          <w:p>
            <w:pPr>
              <w:pStyle w:val="TableParagraph"/>
              <w:spacing w:before="69"/>
              <w:ind w:right="120"/>
              <w:rPr>
                <w:sz w:val="14"/>
              </w:rPr>
            </w:pPr>
            <w:r>
              <w:rPr>
                <w:w w:val="95"/>
                <w:sz w:val="14"/>
              </w:rPr>
              <w:t>39.9</w:t>
            </w:r>
          </w:p>
        </w:tc>
        <w:tc>
          <w:tcPr>
            <w:tcW w:w="642" w:type="dxa"/>
          </w:tcPr>
          <w:p>
            <w:pPr>
              <w:pStyle w:val="TableParagraph"/>
              <w:spacing w:before="69"/>
              <w:ind w:right="133"/>
              <w:rPr>
                <w:sz w:val="14"/>
              </w:rPr>
            </w:pPr>
            <w:r>
              <w:rPr>
                <w:w w:val="95"/>
                <w:sz w:val="14"/>
              </w:rPr>
              <w:t>39.9</w:t>
            </w:r>
          </w:p>
        </w:tc>
        <w:tc>
          <w:tcPr>
            <w:tcW w:w="631" w:type="dxa"/>
          </w:tcPr>
          <w:p>
            <w:pPr>
              <w:pStyle w:val="TableParagraph"/>
              <w:spacing w:before="69"/>
              <w:ind w:right="119"/>
              <w:rPr>
                <w:sz w:val="14"/>
              </w:rPr>
            </w:pPr>
            <w:r>
              <w:rPr>
                <w:w w:val="95"/>
                <w:sz w:val="14"/>
              </w:rPr>
              <w:t>39.9</w:t>
            </w:r>
          </w:p>
        </w:tc>
        <w:tc>
          <w:tcPr>
            <w:tcW w:w="623" w:type="dxa"/>
          </w:tcPr>
          <w:p>
            <w:pPr>
              <w:pStyle w:val="TableParagraph"/>
              <w:spacing w:before="69"/>
              <w:ind w:right="115"/>
              <w:rPr>
                <w:sz w:val="14"/>
              </w:rPr>
            </w:pPr>
            <w:r>
              <w:rPr>
                <w:w w:val="95"/>
                <w:sz w:val="14"/>
              </w:rPr>
              <w:t>39.9</w:t>
            </w:r>
          </w:p>
        </w:tc>
        <w:tc>
          <w:tcPr>
            <w:tcW w:w="596" w:type="dxa"/>
          </w:tcPr>
          <w:p>
            <w:pPr>
              <w:pStyle w:val="TableParagraph"/>
              <w:spacing w:before="69"/>
              <w:ind w:right="92"/>
              <w:rPr>
                <w:sz w:val="14"/>
              </w:rPr>
            </w:pPr>
            <w:r>
              <w:rPr>
                <w:w w:val="95"/>
                <w:sz w:val="14"/>
              </w:rPr>
              <w:t>39.9</w:t>
            </w:r>
          </w:p>
        </w:tc>
        <w:tc>
          <w:tcPr>
            <w:tcW w:w="551" w:type="dxa"/>
          </w:tcPr>
          <w:p>
            <w:pPr>
              <w:pStyle w:val="TableParagraph"/>
              <w:spacing w:before="69"/>
              <w:ind w:right="70"/>
              <w:rPr>
                <w:sz w:val="14"/>
              </w:rPr>
            </w:pPr>
            <w:r>
              <w:rPr>
                <w:w w:val="95"/>
                <w:sz w:val="14"/>
              </w:rPr>
              <w:t>39.9</w:t>
            </w:r>
          </w:p>
        </w:tc>
      </w:tr>
      <w:tr>
        <w:trPr>
          <w:trHeight w:val="315" w:hRule="exact"/>
        </w:trPr>
        <w:tc>
          <w:tcPr>
            <w:tcW w:w="1596" w:type="dxa"/>
          </w:tcPr>
          <w:p>
            <w:pPr>
              <w:pStyle w:val="TableParagraph"/>
              <w:spacing w:before="69"/>
              <w:ind w:left="69" w:right="252"/>
              <w:jc w:val="left"/>
              <w:rPr>
                <w:sz w:val="14"/>
              </w:rPr>
            </w:pPr>
            <w:r>
              <w:rPr>
                <w:sz w:val="14"/>
              </w:rPr>
              <w:t>Oferta total</w:t>
            </w:r>
          </w:p>
        </w:tc>
        <w:tc>
          <w:tcPr>
            <w:tcW w:w="500" w:type="dxa"/>
          </w:tcPr>
          <w:p>
            <w:pPr>
              <w:pStyle w:val="TableParagraph"/>
              <w:spacing w:before="69"/>
              <w:ind w:right="113"/>
              <w:rPr>
                <w:sz w:val="14"/>
              </w:rPr>
            </w:pPr>
            <w:r>
              <w:rPr>
                <w:w w:val="95"/>
                <w:sz w:val="14"/>
              </w:rPr>
              <w:t>10,593</w:t>
            </w:r>
          </w:p>
        </w:tc>
        <w:tc>
          <w:tcPr>
            <w:tcW w:w="615" w:type="dxa"/>
          </w:tcPr>
          <w:p>
            <w:pPr>
              <w:pStyle w:val="TableParagraph"/>
              <w:spacing w:before="69"/>
              <w:ind w:right="113"/>
              <w:rPr>
                <w:sz w:val="14"/>
              </w:rPr>
            </w:pPr>
            <w:r>
              <w:rPr>
                <w:w w:val="95"/>
                <w:sz w:val="14"/>
              </w:rPr>
              <w:t>10,914</w:t>
            </w:r>
          </w:p>
        </w:tc>
        <w:tc>
          <w:tcPr>
            <w:tcW w:w="593" w:type="dxa"/>
          </w:tcPr>
          <w:p>
            <w:pPr>
              <w:pStyle w:val="TableParagraph"/>
              <w:spacing w:before="69"/>
              <w:ind w:right="91"/>
              <w:rPr>
                <w:sz w:val="14"/>
              </w:rPr>
            </w:pPr>
            <w:r>
              <w:rPr>
                <w:w w:val="95"/>
                <w:sz w:val="14"/>
              </w:rPr>
              <w:t>11,071</w:t>
            </w:r>
          </w:p>
        </w:tc>
        <w:tc>
          <w:tcPr>
            <w:tcW w:w="644" w:type="dxa"/>
          </w:tcPr>
          <w:p>
            <w:pPr>
              <w:pStyle w:val="TableParagraph"/>
              <w:spacing w:before="69"/>
              <w:ind w:right="116"/>
              <w:rPr>
                <w:sz w:val="14"/>
              </w:rPr>
            </w:pPr>
            <w:r>
              <w:rPr>
                <w:w w:val="95"/>
                <w:sz w:val="14"/>
              </w:rPr>
              <w:t>11,407</w:t>
            </w:r>
          </w:p>
        </w:tc>
        <w:tc>
          <w:tcPr>
            <w:tcW w:w="628" w:type="dxa"/>
          </w:tcPr>
          <w:p>
            <w:pPr>
              <w:pStyle w:val="TableParagraph"/>
              <w:spacing w:before="69"/>
              <w:ind w:right="123"/>
              <w:rPr>
                <w:sz w:val="14"/>
              </w:rPr>
            </w:pPr>
            <w:r>
              <w:rPr>
                <w:w w:val="95"/>
                <w:sz w:val="14"/>
              </w:rPr>
              <w:t>11,660</w:t>
            </w:r>
          </w:p>
        </w:tc>
        <w:tc>
          <w:tcPr>
            <w:tcW w:w="630" w:type="dxa"/>
          </w:tcPr>
          <w:p>
            <w:pPr>
              <w:pStyle w:val="TableParagraph"/>
              <w:spacing w:before="69"/>
              <w:ind w:right="119"/>
              <w:rPr>
                <w:sz w:val="14"/>
              </w:rPr>
            </w:pPr>
            <w:r>
              <w:rPr>
                <w:w w:val="95"/>
                <w:sz w:val="14"/>
              </w:rPr>
              <w:t>11,841</w:t>
            </w:r>
          </w:p>
        </w:tc>
        <w:tc>
          <w:tcPr>
            <w:tcW w:w="628" w:type="dxa"/>
          </w:tcPr>
          <w:p>
            <w:pPr>
              <w:pStyle w:val="TableParagraph"/>
              <w:spacing w:before="69"/>
              <w:ind w:right="120"/>
              <w:rPr>
                <w:sz w:val="14"/>
              </w:rPr>
            </w:pPr>
            <w:r>
              <w:rPr>
                <w:w w:val="95"/>
                <w:sz w:val="14"/>
              </w:rPr>
              <w:t>11,991</w:t>
            </w:r>
          </w:p>
        </w:tc>
        <w:tc>
          <w:tcPr>
            <w:tcW w:w="642" w:type="dxa"/>
          </w:tcPr>
          <w:p>
            <w:pPr>
              <w:pStyle w:val="TableParagraph"/>
              <w:spacing w:before="69"/>
              <w:ind w:right="133"/>
              <w:rPr>
                <w:sz w:val="14"/>
              </w:rPr>
            </w:pPr>
            <w:r>
              <w:rPr>
                <w:w w:val="95"/>
                <w:sz w:val="14"/>
              </w:rPr>
              <w:t>12,125</w:t>
            </w:r>
          </w:p>
        </w:tc>
        <w:tc>
          <w:tcPr>
            <w:tcW w:w="631" w:type="dxa"/>
          </w:tcPr>
          <w:p>
            <w:pPr>
              <w:pStyle w:val="TableParagraph"/>
              <w:spacing w:before="69"/>
              <w:ind w:right="119"/>
              <w:rPr>
                <w:sz w:val="14"/>
              </w:rPr>
            </w:pPr>
            <w:r>
              <w:rPr>
                <w:w w:val="95"/>
                <w:sz w:val="14"/>
              </w:rPr>
              <w:t>12,225</w:t>
            </w:r>
          </w:p>
        </w:tc>
        <w:tc>
          <w:tcPr>
            <w:tcW w:w="623" w:type="dxa"/>
          </w:tcPr>
          <w:p>
            <w:pPr>
              <w:pStyle w:val="TableParagraph"/>
              <w:spacing w:before="69"/>
              <w:ind w:right="116"/>
              <w:rPr>
                <w:sz w:val="14"/>
              </w:rPr>
            </w:pPr>
            <w:r>
              <w:rPr>
                <w:w w:val="95"/>
                <w:sz w:val="14"/>
              </w:rPr>
              <w:t>12,334</w:t>
            </w:r>
          </w:p>
        </w:tc>
        <w:tc>
          <w:tcPr>
            <w:tcW w:w="596" w:type="dxa"/>
          </w:tcPr>
          <w:p>
            <w:pPr>
              <w:pStyle w:val="TableParagraph"/>
              <w:spacing w:before="69"/>
              <w:ind w:right="92"/>
              <w:rPr>
                <w:sz w:val="14"/>
              </w:rPr>
            </w:pPr>
            <w:r>
              <w:rPr>
                <w:w w:val="95"/>
                <w:sz w:val="14"/>
              </w:rPr>
              <w:t>12,493</w:t>
            </w:r>
          </w:p>
        </w:tc>
        <w:tc>
          <w:tcPr>
            <w:tcW w:w="551" w:type="dxa"/>
          </w:tcPr>
          <w:p>
            <w:pPr>
              <w:pStyle w:val="TableParagraph"/>
              <w:spacing w:before="69"/>
              <w:ind w:right="70"/>
              <w:rPr>
                <w:sz w:val="14"/>
              </w:rPr>
            </w:pPr>
            <w:r>
              <w:rPr>
                <w:w w:val="95"/>
                <w:sz w:val="14"/>
              </w:rPr>
              <w:t>12,631</w:t>
            </w:r>
          </w:p>
        </w:tc>
      </w:tr>
      <w:tr>
        <w:trPr>
          <w:trHeight w:val="316" w:hRule="exact"/>
        </w:trPr>
        <w:tc>
          <w:tcPr>
            <w:tcW w:w="1596" w:type="dxa"/>
          </w:tcPr>
          <w:p>
            <w:pPr>
              <w:pStyle w:val="TableParagraph"/>
              <w:spacing w:before="69"/>
              <w:ind w:left="69" w:right="252"/>
              <w:jc w:val="left"/>
              <w:rPr>
                <w:sz w:val="14"/>
              </w:rPr>
            </w:pPr>
            <w:r>
              <w:rPr>
                <w:sz w:val="14"/>
              </w:rPr>
              <w:t>Exportaciones</w:t>
            </w:r>
          </w:p>
        </w:tc>
        <w:tc>
          <w:tcPr>
            <w:tcW w:w="500" w:type="dxa"/>
          </w:tcPr>
          <w:p>
            <w:pPr>
              <w:pStyle w:val="TableParagraph"/>
              <w:spacing w:before="69"/>
              <w:ind w:right="113"/>
              <w:rPr>
                <w:sz w:val="14"/>
              </w:rPr>
            </w:pPr>
            <w:r>
              <w:rPr>
                <w:w w:val="99"/>
                <w:sz w:val="14"/>
              </w:rPr>
              <w:t>0</w:t>
            </w:r>
          </w:p>
        </w:tc>
        <w:tc>
          <w:tcPr>
            <w:tcW w:w="615" w:type="dxa"/>
          </w:tcPr>
          <w:p>
            <w:pPr>
              <w:pStyle w:val="TableParagraph"/>
              <w:spacing w:before="69"/>
              <w:ind w:right="113"/>
              <w:rPr>
                <w:sz w:val="14"/>
              </w:rPr>
            </w:pPr>
            <w:r>
              <w:rPr>
                <w:w w:val="99"/>
                <w:sz w:val="14"/>
              </w:rPr>
              <w:t>0</w:t>
            </w:r>
          </w:p>
        </w:tc>
        <w:tc>
          <w:tcPr>
            <w:tcW w:w="593" w:type="dxa"/>
          </w:tcPr>
          <w:p>
            <w:pPr>
              <w:pStyle w:val="TableParagraph"/>
              <w:spacing w:before="69"/>
              <w:ind w:right="91"/>
              <w:rPr>
                <w:sz w:val="14"/>
              </w:rPr>
            </w:pPr>
            <w:r>
              <w:rPr>
                <w:w w:val="99"/>
                <w:sz w:val="14"/>
              </w:rPr>
              <w:t>0</w:t>
            </w:r>
          </w:p>
        </w:tc>
        <w:tc>
          <w:tcPr>
            <w:tcW w:w="644" w:type="dxa"/>
          </w:tcPr>
          <w:p>
            <w:pPr>
              <w:pStyle w:val="TableParagraph"/>
              <w:spacing w:before="69"/>
              <w:ind w:right="116"/>
              <w:rPr>
                <w:sz w:val="14"/>
              </w:rPr>
            </w:pPr>
            <w:r>
              <w:rPr>
                <w:w w:val="99"/>
                <w:sz w:val="14"/>
              </w:rPr>
              <w:t>0</w:t>
            </w:r>
          </w:p>
        </w:tc>
        <w:tc>
          <w:tcPr>
            <w:tcW w:w="628" w:type="dxa"/>
          </w:tcPr>
          <w:p>
            <w:pPr>
              <w:pStyle w:val="TableParagraph"/>
              <w:spacing w:before="69"/>
              <w:ind w:right="123"/>
              <w:rPr>
                <w:sz w:val="14"/>
              </w:rPr>
            </w:pPr>
            <w:r>
              <w:rPr>
                <w:w w:val="99"/>
                <w:sz w:val="14"/>
              </w:rPr>
              <w:t>0</w:t>
            </w:r>
          </w:p>
        </w:tc>
        <w:tc>
          <w:tcPr>
            <w:tcW w:w="630" w:type="dxa"/>
          </w:tcPr>
          <w:p>
            <w:pPr>
              <w:pStyle w:val="TableParagraph"/>
              <w:spacing w:before="69"/>
              <w:ind w:right="119"/>
              <w:rPr>
                <w:sz w:val="14"/>
              </w:rPr>
            </w:pPr>
            <w:r>
              <w:rPr>
                <w:w w:val="99"/>
                <w:sz w:val="14"/>
              </w:rPr>
              <w:t>0</w:t>
            </w:r>
          </w:p>
        </w:tc>
        <w:tc>
          <w:tcPr>
            <w:tcW w:w="628" w:type="dxa"/>
          </w:tcPr>
          <w:p>
            <w:pPr>
              <w:pStyle w:val="TableParagraph"/>
              <w:spacing w:before="69"/>
              <w:ind w:right="120"/>
              <w:rPr>
                <w:sz w:val="14"/>
              </w:rPr>
            </w:pPr>
            <w:r>
              <w:rPr>
                <w:w w:val="99"/>
                <w:sz w:val="14"/>
              </w:rPr>
              <w:t>0</w:t>
            </w:r>
          </w:p>
        </w:tc>
        <w:tc>
          <w:tcPr>
            <w:tcW w:w="642" w:type="dxa"/>
          </w:tcPr>
          <w:p>
            <w:pPr>
              <w:pStyle w:val="TableParagraph"/>
              <w:spacing w:before="69"/>
              <w:ind w:right="133"/>
              <w:rPr>
                <w:sz w:val="14"/>
              </w:rPr>
            </w:pPr>
            <w:r>
              <w:rPr>
                <w:w w:val="99"/>
                <w:sz w:val="14"/>
              </w:rPr>
              <w:t>0</w:t>
            </w:r>
          </w:p>
        </w:tc>
        <w:tc>
          <w:tcPr>
            <w:tcW w:w="631" w:type="dxa"/>
          </w:tcPr>
          <w:p>
            <w:pPr>
              <w:pStyle w:val="TableParagraph"/>
              <w:spacing w:before="69"/>
              <w:ind w:right="119"/>
              <w:rPr>
                <w:sz w:val="14"/>
              </w:rPr>
            </w:pPr>
            <w:r>
              <w:rPr>
                <w:w w:val="99"/>
                <w:sz w:val="14"/>
              </w:rPr>
              <w:t>0</w:t>
            </w:r>
          </w:p>
        </w:tc>
        <w:tc>
          <w:tcPr>
            <w:tcW w:w="623" w:type="dxa"/>
          </w:tcPr>
          <w:p>
            <w:pPr>
              <w:pStyle w:val="TableParagraph"/>
              <w:spacing w:before="69"/>
              <w:ind w:right="115"/>
              <w:rPr>
                <w:sz w:val="14"/>
              </w:rPr>
            </w:pPr>
            <w:r>
              <w:rPr>
                <w:w w:val="99"/>
                <w:sz w:val="14"/>
              </w:rPr>
              <w:t>0</w:t>
            </w:r>
          </w:p>
        </w:tc>
        <w:tc>
          <w:tcPr>
            <w:tcW w:w="596" w:type="dxa"/>
          </w:tcPr>
          <w:p>
            <w:pPr>
              <w:pStyle w:val="TableParagraph"/>
              <w:spacing w:before="69"/>
              <w:ind w:right="92"/>
              <w:rPr>
                <w:sz w:val="14"/>
              </w:rPr>
            </w:pPr>
            <w:r>
              <w:rPr>
                <w:w w:val="99"/>
                <w:sz w:val="14"/>
              </w:rPr>
              <w:t>0</w:t>
            </w:r>
          </w:p>
        </w:tc>
        <w:tc>
          <w:tcPr>
            <w:tcW w:w="551" w:type="dxa"/>
          </w:tcPr>
          <w:p>
            <w:pPr>
              <w:pStyle w:val="TableParagraph"/>
              <w:spacing w:before="69"/>
              <w:ind w:right="71"/>
              <w:rPr>
                <w:sz w:val="14"/>
              </w:rPr>
            </w:pPr>
            <w:r>
              <w:rPr>
                <w:w w:val="99"/>
                <w:sz w:val="14"/>
              </w:rPr>
              <w:t>0</w:t>
            </w:r>
          </w:p>
        </w:tc>
      </w:tr>
      <w:tr>
        <w:trPr>
          <w:trHeight w:val="316" w:hRule="exact"/>
        </w:trPr>
        <w:tc>
          <w:tcPr>
            <w:tcW w:w="1596" w:type="dxa"/>
          </w:tcPr>
          <w:p>
            <w:pPr>
              <w:pStyle w:val="TableParagraph"/>
              <w:spacing w:before="70"/>
              <w:ind w:left="69" w:right="252"/>
              <w:jc w:val="left"/>
              <w:rPr>
                <w:sz w:val="14"/>
              </w:rPr>
            </w:pPr>
            <w:r>
              <w:rPr>
                <w:sz w:val="14"/>
              </w:rPr>
              <w:t>Consumo</w:t>
            </w:r>
          </w:p>
        </w:tc>
        <w:tc>
          <w:tcPr>
            <w:tcW w:w="500" w:type="dxa"/>
          </w:tcPr>
          <w:p>
            <w:pPr>
              <w:pStyle w:val="TableParagraph"/>
              <w:spacing w:before="70"/>
              <w:ind w:right="113"/>
              <w:rPr>
                <w:sz w:val="14"/>
              </w:rPr>
            </w:pPr>
            <w:r>
              <w:rPr>
                <w:w w:val="95"/>
                <w:sz w:val="14"/>
              </w:rPr>
              <w:t>4,295</w:t>
            </w:r>
          </w:p>
        </w:tc>
        <w:tc>
          <w:tcPr>
            <w:tcW w:w="615" w:type="dxa"/>
          </w:tcPr>
          <w:p>
            <w:pPr>
              <w:pStyle w:val="TableParagraph"/>
              <w:spacing w:before="70"/>
              <w:ind w:right="113"/>
              <w:rPr>
                <w:sz w:val="14"/>
              </w:rPr>
            </w:pPr>
            <w:r>
              <w:rPr>
                <w:w w:val="95"/>
                <w:sz w:val="14"/>
              </w:rPr>
              <w:t>4,363</w:t>
            </w:r>
          </w:p>
        </w:tc>
        <w:tc>
          <w:tcPr>
            <w:tcW w:w="593" w:type="dxa"/>
          </w:tcPr>
          <w:p>
            <w:pPr>
              <w:pStyle w:val="TableParagraph"/>
              <w:spacing w:before="70"/>
              <w:ind w:right="91"/>
              <w:rPr>
                <w:sz w:val="14"/>
              </w:rPr>
            </w:pPr>
            <w:r>
              <w:rPr>
                <w:w w:val="95"/>
                <w:sz w:val="14"/>
              </w:rPr>
              <w:t>4,441</w:t>
            </w:r>
          </w:p>
        </w:tc>
        <w:tc>
          <w:tcPr>
            <w:tcW w:w="644" w:type="dxa"/>
          </w:tcPr>
          <w:p>
            <w:pPr>
              <w:pStyle w:val="TableParagraph"/>
              <w:spacing w:before="70"/>
              <w:ind w:right="116"/>
              <w:rPr>
                <w:sz w:val="14"/>
              </w:rPr>
            </w:pPr>
            <w:r>
              <w:rPr>
                <w:w w:val="95"/>
                <w:sz w:val="14"/>
              </w:rPr>
              <w:t>4,491</w:t>
            </w:r>
          </w:p>
        </w:tc>
        <w:tc>
          <w:tcPr>
            <w:tcW w:w="628" w:type="dxa"/>
          </w:tcPr>
          <w:p>
            <w:pPr>
              <w:pStyle w:val="TableParagraph"/>
              <w:spacing w:before="70"/>
              <w:ind w:right="123"/>
              <w:rPr>
                <w:sz w:val="14"/>
              </w:rPr>
            </w:pPr>
            <w:r>
              <w:rPr>
                <w:w w:val="95"/>
                <w:sz w:val="14"/>
              </w:rPr>
              <w:t>4,544</w:t>
            </w:r>
          </w:p>
        </w:tc>
        <w:tc>
          <w:tcPr>
            <w:tcW w:w="630" w:type="dxa"/>
          </w:tcPr>
          <w:p>
            <w:pPr>
              <w:pStyle w:val="TableParagraph"/>
              <w:spacing w:before="70"/>
              <w:ind w:right="119"/>
              <w:rPr>
                <w:sz w:val="14"/>
              </w:rPr>
            </w:pPr>
            <w:r>
              <w:rPr>
                <w:w w:val="95"/>
                <w:sz w:val="14"/>
              </w:rPr>
              <w:t>4,592</w:t>
            </w:r>
          </w:p>
        </w:tc>
        <w:tc>
          <w:tcPr>
            <w:tcW w:w="628" w:type="dxa"/>
          </w:tcPr>
          <w:p>
            <w:pPr>
              <w:pStyle w:val="TableParagraph"/>
              <w:spacing w:before="70"/>
              <w:ind w:right="120"/>
              <w:rPr>
                <w:sz w:val="14"/>
              </w:rPr>
            </w:pPr>
            <w:r>
              <w:rPr>
                <w:w w:val="95"/>
                <w:sz w:val="14"/>
              </w:rPr>
              <w:t>4,639</w:t>
            </w:r>
          </w:p>
        </w:tc>
        <w:tc>
          <w:tcPr>
            <w:tcW w:w="642" w:type="dxa"/>
          </w:tcPr>
          <w:p>
            <w:pPr>
              <w:pStyle w:val="TableParagraph"/>
              <w:spacing w:before="70"/>
              <w:ind w:right="133"/>
              <w:rPr>
                <w:sz w:val="14"/>
              </w:rPr>
            </w:pPr>
            <w:r>
              <w:rPr>
                <w:w w:val="95"/>
                <w:sz w:val="14"/>
              </w:rPr>
              <w:t>4,683</w:t>
            </w:r>
          </w:p>
        </w:tc>
        <w:tc>
          <w:tcPr>
            <w:tcW w:w="631" w:type="dxa"/>
          </w:tcPr>
          <w:p>
            <w:pPr>
              <w:pStyle w:val="TableParagraph"/>
              <w:spacing w:before="70"/>
              <w:ind w:right="119"/>
              <w:rPr>
                <w:sz w:val="14"/>
              </w:rPr>
            </w:pPr>
            <w:r>
              <w:rPr>
                <w:w w:val="95"/>
                <w:sz w:val="14"/>
              </w:rPr>
              <w:t>4,724</w:t>
            </w:r>
          </w:p>
        </w:tc>
        <w:tc>
          <w:tcPr>
            <w:tcW w:w="623" w:type="dxa"/>
          </w:tcPr>
          <w:p>
            <w:pPr>
              <w:pStyle w:val="TableParagraph"/>
              <w:spacing w:before="70"/>
              <w:ind w:right="115"/>
              <w:rPr>
                <w:sz w:val="14"/>
              </w:rPr>
            </w:pPr>
            <w:r>
              <w:rPr>
                <w:w w:val="95"/>
                <w:sz w:val="14"/>
              </w:rPr>
              <w:t>4,760</w:t>
            </w:r>
          </w:p>
        </w:tc>
        <w:tc>
          <w:tcPr>
            <w:tcW w:w="596" w:type="dxa"/>
          </w:tcPr>
          <w:p>
            <w:pPr>
              <w:pStyle w:val="TableParagraph"/>
              <w:spacing w:before="70"/>
              <w:ind w:right="92"/>
              <w:rPr>
                <w:sz w:val="14"/>
              </w:rPr>
            </w:pPr>
            <w:r>
              <w:rPr>
                <w:w w:val="95"/>
                <w:sz w:val="14"/>
              </w:rPr>
              <w:t>4,791</w:t>
            </w:r>
          </w:p>
        </w:tc>
        <w:tc>
          <w:tcPr>
            <w:tcW w:w="551" w:type="dxa"/>
          </w:tcPr>
          <w:p>
            <w:pPr>
              <w:pStyle w:val="TableParagraph"/>
              <w:spacing w:before="70"/>
              <w:ind w:right="70"/>
              <w:rPr>
                <w:sz w:val="14"/>
              </w:rPr>
            </w:pPr>
            <w:r>
              <w:rPr>
                <w:w w:val="95"/>
                <w:sz w:val="14"/>
              </w:rPr>
              <w:t>4,842</w:t>
            </w:r>
          </w:p>
        </w:tc>
      </w:tr>
      <w:tr>
        <w:trPr>
          <w:trHeight w:val="314" w:hRule="exact"/>
        </w:trPr>
        <w:tc>
          <w:tcPr>
            <w:tcW w:w="1596" w:type="dxa"/>
          </w:tcPr>
          <w:p>
            <w:pPr>
              <w:pStyle w:val="TableParagraph"/>
              <w:spacing w:before="69"/>
              <w:ind w:left="69" w:right="252"/>
              <w:jc w:val="left"/>
              <w:rPr>
                <w:sz w:val="14"/>
              </w:rPr>
            </w:pPr>
            <w:r>
              <w:rPr>
                <w:sz w:val="14"/>
              </w:rPr>
              <w:t>Uso industrial</w:t>
            </w:r>
          </w:p>
        </w:tc>
        <w:tc>
          <w:tcPr>
            <w:tcW w:w="500" w:type="dxa"/>
          </w:tcPr>
          <w:p>
            <w:pPr>
              <w:pStyle w:val="TableParagraph"/>
              <w:spacing w:before="69"/>
              <w:ind w:right="113"/>
              <w:rPr>
                <w:sz w:val="14"/>
              </w:rPr>
            </w:pPr>
            <w:r>
              <w:rPr>
                <w:w w:val="95"/>
                <w:sz w:val="14"/>
              </w:rPr>
              <w:t>6,298</w:t>
            </w:r>
          </w:p>
        </w:tc>
        <w:tc>
          <w:tcPr>
            <w:tcW w:w="615" w:type="dxa"/>
          </w:tcPr>
          <w:p>
            <w:pPr>
              <w:pStyle w:val="TableParagraph"/>
              <w:spacing w:before="69"/>
              <w:ind w:right="113"/>
              <w:rPr>
                <w:sz w:val="14"/>
              </w:rPr>
            </w:pPr>
            <w:r>
              <w:rPr>
                <w:w w:val="95"/>
                <w:sz w:val="14"/>
              </w:rPr>
              <w:t>6,551</w:t>
            </w:r>
          </w:p>
        </w:tc>
        <w:tc>
          <w:tcPr>
            <w:tcW w:w="593" w:type="dxa"/>
          </w:tcPr>
          <w:p>
            <w:pPr>
              <w:pStyle w:val="TableParagraph"/>
              <w:spacing w:before="69"/>
              <w:ind w:right="91"/>
              <w:rPr>
                <w:sz w:val="14"/>
              </w:rPr>
            </w:pPr>
            <w:r>
              <w:rPr>
                <w:w w:val="95"/>
                <w:sz w:val="14"/>
              </w:rPr>
              <w:t>6,630</w:t>
            </w:r>
          </w:p>
        </w:tc>
        <w:tc>
          <w:tcPr>
            <w:tcW w:w="644" w:type="dxa"/>
          </w:tcPr>
          <w:p>
            <w:pPr>
              <w:pStyle w:val="TableParagraph"/>
              <w:spacing w:before="69"/>
              <w:ind w:right="116"/>
              <w:rPr>
                <w:sz w:val="14"/>
              </w:rPr>
            </w:pPr>
            <w:r>
              <w:rPr>
                <w:w w:val="95"/>
                <w:sz w:val="14"/>
              </w:rPr>
              <w:t>6,916</w:t>
            </w:r>
          </w:p>
        </w:tc>
        <w:tc>
          <w:tcPr>
            <w:tcW w:w="628" w:type="dxa"/>
          </w:tcPr>
          <w:p>
            <w:pPr>
              <w:pStyle w:val="TableParagraph"/>
              <w:spacing w:before="69"/>
              <w:ind w:right="123"/>
              <w:rPr>
                <w:sz w:val="14"/>
              </w:rPr>
            </w:pPr>
            <w:r>
              <w:rPr>
                <w:w w:val="95"/>
                <w:sz w:val="14"/>
              </w:rPr>
              <w:t>7,116</w:t>
            </w:r>
          </w:p>
        </w:tc>
        <w:tc>
          <w:tcPr>
            <w:tcW w:w="630" w:type="dxa"/>
          </w:tcPr>
          <w:p>
            <w:pPr>
              <w:pStyle w:val="TableParagraph"/>
              <w:spacing w:before="69"/>
              <w:ind w:right="119"/>
              <w:rPr>
                <w:sz w:val="14"/>
              </w:rPr>
            </w:pPr>
            <w:r>
              <w:rPr>
                <w:w w:val="95"/>
                <w:sz w:val="14"/>
              </w:rPr>
              <w:t>7,249</w:t>
            </w:r>
          </w:p>
        </w:tc>
        <w:tc>
          <w:tcPr>
            <w:tcW w:w="628" w:type="dxa"/>
          </w:tcPr>
          <w:p>
            <w:pPr>
              <w:pStyle w:val="TableParagraph"/>
              <w:spacing w:before="69"/>
              <w:ind w:right="120"/>
              <w:rPr>
                <w:sz w:val="14"/>
              </w:rPr>
            </w:pPr>
            <w:r>
              <w:rPr>
                <w:w w:val="95"/>
                <w:sz w:val="14"/>
              </w:rPr>
              <w:t>7,352</w:t>
            </w:r>
          </w:p>
        </w:tc>
        <w:tc>
          <w:tcPr>
            <w:tcW w:w="642" w:type="dxa"/>
          </w:tcPr>
          <w:p>
            <w:pPr>
              <w:pStyle w:val="TableParagraph"/>
              <w:spacing w:before="69"/>
              <w:ind w:right="133"/>
              <w:rPr>
                <w:sz w:val="14"/>
              </w:rPr>
            </w:pPr>
            <w:r>
              <w:rPr>
                <w:w w:val="95"/>
                <w:sz w:val="14"/>
              </w:rPr>
              <w:t>7,442</w:t>
            </w:r>
          </w:p>
        </w:tc>
        <w:tc>
          <w:tcPr>
            <w:tcW w:w="631" w:type="dxa"/>
          </w:tcPr>
          <w:p>
            <w:pPr>
              <w:pStyle w:val="TableParagraph"/>
              <w:spacing w:before="69"/>
              <w:ind w:right="119"/>
              <w:rPr>
                <w:sz w:val="14"/>
              </w:rPr>
            </w:pPr>
            <w:r>
              <w:rPr>
                <w:w w:val="95"/>
                <w:sz w:val="14"/>
              </w:rPr>
              <w:t>7,501</w:t>
            </w:r>
          </w:p>
        </w:tc>
        <w:tc>
          <w:tcPr>
            <w:tcW w:w="623" w:type="dxa"/>
          </w:tcPr>
          <w:p>
            <w:pPr>
              <w:pStyle w:val="TableParagraph"/>
              <w:spacing w:before="69"/>
              <w:ind w:right="115"/>
              <w:rPr>
                <w:sz w:val="14"/>
              </w:rPr>
            </w:pPr>
            <w:r>
              <w:rPr>
                <w:w w:val="95"/>
                <w:sz w:val="14"/>
              </w:rPr>
              <w:t>7,574</w:t>
            </w:r>
          </w:p>
        </w:tc>
        <w:tc>
          <w:tcPr>
            <w:tcW w:w="596" w:type="dxa"/>
          </w:tcPr>
          <w:p>
            <w:pPr>
              <w:pStyle w:val="TableParagraph"/>
              <w:spacing w:before="69"/>
              <w:ind w:right="92"/>
              <w:rPr>
                <w:sz w:val="14"/>
              </w:rPr>
            </w:pPr>
            <w:r>
              <w:rPr>
                <w:w w:val="95"/>
                <w:sz w:val="14"/>
              </w:rPr>
              <w:t>7,702</w:t>
            </w:r>
          </w:p>
        </w:tc>
        <w:tc>
          <w:tcPr>
            <w:tcW w:w="551" w:type="dxa"/>
          </w:tcPr>
          <w:p>
            <w:pPr>
              <w:pStyle w:val="TableParagraph"/>
              <w:spacing w:before="69"/>
              <w:ind w:right="70"/>
              <w:rPr>
                <w:sz w:val="14"/>
              </w:rPr>
            </w:pPr>
            <w:r>
              <w:rPr>
                <w:w w:val="95"/>
                <w:sz w:val="14"/>
              </w:rPr>
              <w:t>7,789</w:t>
            </w:r>
          </w:p>
        </w:tc>
      </w:tr>
      <w:tr>
        <w:trPr>
          <w:trHeight w:val="227" w:hRule="exact"/>
        </w:trPr>
        <w:tc>
          <w:tcPr>
            <w:tcW w:w="1596" w:type="dxa"/>
          </w:tcPr>
          <w:p>
            <w:pPr>
              <w:pStyle w:val="TableParagraph"/>
              <w:spacing w:before="69"/>
              <w:ind w:left="69" w:right="252"/>
              <w:jc w:val="left"/>
              <w:rPr>
                <w:sz w:val="14"/>
              </w:rPr>
            </w:pPr>
            <w:r>
              <w:rPr>
                <w:sz w:val="14"/>
              </w:rPr>
              <w:t>Demanda total</w:t>
            </w:r>
          </w:p>
        </w:tc>
        <w:tc>
          <w:tcPr>
            <w:tcW w:w="500" w:type="dxa"/>
          </w:tcPr>
          <w:p>
            <w:pPr>
              <w:pStyle w:val="TableParagraph"/>
              <w:spacing w:before="69"/>
              <w:ind w:right="113"/>
              <w:rPr>
                <w:sz w:val="14"/>
              </w:rPr>
            </w:pPr>
            <w:r>
              <w:rPr>
                <w:w w:val="95"/>
                <w:sz w:val="14"/>
              </w:rPr>
              <w:t>10,593</w:t>
            </w:r>
          </w:p>
        </w:tc>
        <w:tc>
          <w:tcPr>
            <w:tcW w:w="615" w:type="dxa"/>
          </w:tcPr>
          <w:p>
            <w:pPr>
              <w:pStyle w:val="TableParagraph"/>
              <w:spacing w:before="69"/>
              <w:ind w:right="113"/>
              <w:rPr>
                <w:sz w:val="14"/>
              </w:rPr>
            </w:pPr>
            <w:r>
              <w:rPr>
                <w:w w:val="95"/>
                <w:sz w:val="14"/>
              </w:rPr>
              <w:t>10,914</w:t>
            </w:r>
          </w:p>
        </w:tc>
        <w:tc>
          <w:tcPr>
            <w:tcW w:w="593" w:type="dxa"/>
          </w:tcPr>
          <w:p>
            <w:pPr>
              <w:pStyle w:val="TableParagraph"/>
              <w:spacing w:before="69"/>
              <w:ind w:right="91"/>
              <w:rPr>
                <w:sz w:val="14"/>
              </w:rPr>
            </w:pPr>
            <w:r>
              <w:rPr>
                <w:w w:val="95"/>
                <w:sz w:val="14"/>
              </w:rPr>
              <w:t>11,071</w:t>
            </w:r>
          </w:p>
        </w:tc>
        <w:tc>
          <w:tcPr>
            <w:tcW w:w="644" w:type="dxa"/>
          </w:tcPr>
          <w:p>
            <w:pPr>
              <w:pStyle w:val="TableParagraph"/>
              <w:spacing w:before="69"/>
              <w:ind w:right="116"/>
              <w:rPr>
                <w:sz w:val="14"/>
              </w:rPr>
            </w:pPr>
            <w:r>
              <w:rPr>
                <w:w w:val="95"/>
                <w:sz w:val="14"/>
              </w:rPr>
              <w:t>11,407</w:t>
            </w:r>
          </w:p>
        </w:tc>
        <w:tc>
          <w:tcPr>
            <w:tcW w:w="628" w:type="dxa"/>
          </w:tcPr>
          <w:p>
            <w:pPr>
              <w:pStyle w:val="TableParagraph"/>
              <w:spacing w:before="69"/>
              <w:ind w:right="123"/>
              <w:rPr>
                <w:sz w:val="14"/>
              </w:rPr>
            </w:pPr>
            <w:r>
              <w:rPr>
                <w:w w:val="95"/>
                <w:sz w:val="14"/>
              </w:rPr>
              <w:t>11,660</w:t>
            </w:r>
          </w:p>
        </w:tc>
        <w:tc>
          <w:tcPr>
            <w:tcW w:w="630" w:type="dxa"/>
          </w:tcPr>
          <w:p>
            <w:pPr>
              <w:pStyle w:val="TableParagraph"/>
              <w:spacing w:before="69"/>
              <w:ind w:right="119"/>
              <w:rPr>
                <w:sz w:val="14"/>
              </w:rPr>
            </w:pPr>
            <w:r>
              <w:rPr>
                <w:w w:val="95"/>
                <w:sz w:val="14"/>
              </w:rPr>
              <w:t>11,841</w:t>
            </w:r>
          </w:p>
        </w:tc>
        <w:tc>
          <w:tcPr>
            <w:tcW w:w="628" w:type="dxa"/>
          </w:tcPr>
          <w:p>
            <w:pPr>
              <w:pStyle w:val="TableParagraph"/>
              <w:spacing w:before="69"/>
              <w:ind w:right="120"/>
              <w:rPr>
                <w:sz w:val="14"/>
              </w:rPr>
            </w:pPr>
            <w:r>
              <w:rPr>
                <w:w w:val="95"/>
                <w:sz w:val="14"/>
              </w:rPr>
              <w:t>11,991</w:t>
            </w:r>
          </w:p>
        </w:tc>
        <w:tc>
          <w:tcPr>
            <w:tcW w:w="642" w:type="dxa"/>
          </w:tcPr>
          <w:p>
            <w:pPr>
              <w:pStyle w:val="TableParagraph"/>
              <w:spacing w:before="69"/>
              <w:ind w:right="133"/>
              <w:rPr>
                <w:sz w:val="14"/>
              </w:rPr>
            </w:pPr>
            <w:r>
              <w:rPr>
                <w:w w:val="95"/>
                <w:sz w:val="14"/>
              </w:rPr>
              <w:t>12,125</w:t>
            </w:r>
          </w:p>
        </w:tc>
        <w:tc>
          <w:tcPr>
            <w:tcW w:w="631" w:type="dxa"/>
          </w:tcPr>
          <w:p>
            <w:pPr>
              <w:pStyle w:val="TableParagraph"/>
              <w:spacing w:before="69"/>
              <w:ind w:right="119"/>
              <w:rPr>
                <w:sz w:val="14"/>
              </w:rPr>
            </w:pPr>
            <w:r>
              <w:rPr>
                <w:w w:val="95"/>
                <w:sz w:val="14"/>
              </w:rPr>
              <w:t>12,225</w:t>
            </w:r>
          </w:p>
        </w:tc>
        <w:tc>
          <w:tcPr>
            <w:tcW w:w="623" w:type="dxa"/>
          </w:tcPr>
          <w:p>
            <w:pPr>
              <w:pStyle w:val="TableParagraph"/>
              <w:spacing w:before="69"/>
              <w:ind w:right="116"/>
              <w:rPr>
                <w:sz w:val="14"/>
              </w:rPr>
            </w:pPr>
            <w:r>
              <w:rPr>
                <w:w w:val="95"/>
                <w:sz w:val="14"/>
              </w:rPr>
              <w:t>12,334</w:t>
            </w:r>
          </w:p>
        </w:tc>
        <w:tc>
          <w:tcPr>
            <w:tcW w:w="596" w:type="dxa"/>
          </w:tcPr>
          <w:p>
            <w:pPr>
              <w:pStyle w:val="TableParagraph"/>
              <w:spacing w:before="69"/>
              <w:ind w:right="92"/>
              <w:rPr>
                <w:sz w:val="14"/>
              </w:rPr>
            </w:pPr>
            <w:r>
              <w:rPr>
                <w:w w:val="95"/>
                <w:sz w:val="14"/>
              </w:rPr>
              <w:t>12,493</w:t>
            </w:r>
          </w:p>
        </w:tc>
        <w:tc>
          <w:tcPr>
            <w:tcW w:w="551" w:type="dxa"/>
          </w:tcPr>
          <w:p>
            <w:pPr>
              <w:pStyle w:val="TableParagraph"/>
              <w:spacing w:before="69"/>
              <w:ind w:right="70"/>
              <w:rPr>
                <w:sz w:val="14"/>
              </w:rPr>
            </w:pPr>
            <w:r>
              <w:rPr>
                <w:w w:val="95"/>
                <w:sz w:val="14"/>
              </w:rPr>
              <w:t>12,631</w:t>
            </w:r>
          </w:p>
        </w:tc>
      </w:tr>
      <w:tr>
        <w:trPr>
          <w:trHeight w:val="403" w:hRule="exact"/>
        </w:trPr>
        <w:tc>
          <w:tcPr>
            <w:tcW w:w="8877" w:type="dxa"/>
            <w:gridSpan w:val="13"/>
          </w:tcPr>
          <w:p>
            <w:pPr>
              <w:pStyle w:val="TableParagraph"/>
              <w:spacing w:before="7"/>
              <w:jc w:val="left"/>
              <w:rPr>
                <w:sz w:val="13"/>
              </w:rPr>
            </w:pPr>
          </w:p>
          <w:p>
            <w:pPr>
              <w:pStyle w:val="TableParagraph"/>
              <w:ind w:left="3767" w:right="3771"/>
              <w:jc w:val="center"/>
              <w:rPr>
                <w:sz w:val="14"/>
              </w:rPr>
            </w:pPr>
            <w:r>
              <w:rPr>
                <w:sz w:val="14"/>
              </w:rPr>
              <w:t>(Litros per</w:t>
            </w:r>
            <w:r>
              <w:rPr>
                <w:spacing w:val="-10"/>
                <w:sz w:val="14"/>
              </w:rPr>
              <w:t> </w:t>
            </w:r>
            <w:r>
              <w:rPr>
                <w:sz w:val="14"/>
              </w:rPr>
              <w:t>cápita)</w:t>
            </w:r>
          </w:p>
        </w:tc>
      </w:tr>
      <w:tr>
        <w:trPr>
          <w:trHeight w:val="228" w:hRule="exact"/>
        </w:trPr>
        <w:tc>
          <w:tcPr>
            <w:tcW w:w="1596" w:type="dxa"/>
          </w:tcPr>
          <w:p>
            <w:pPr>
              <w:pStyle w:val="TableParagraph"/>
              <w:spacing w:before="70"/>
              <w:ind w:left="69" w:right="252"/>
              <w:jc w:val="left"/>
              <w:rPr>
                <w:sz w:val="14"/>
              </w:rPr>
            </w:pPr>
            <w:r>
              <w:rPr>
                <w:sz w:val="14"/>
              </w:rPr>
              <w:t>Consumo per cápita</w:t>
            </w:r>
          </w:p>
        </w:tc>
        <w:tc>
          <w:tcPr>
            <w:tcW w:w="500" w:type="dxa"/>
          </w:tcPr>
          <w:p>
            <w:pPr>
              <w:pStyle w:val="TableParagraph"/>
              <w:spacing w:before="70"/>
              <w:ind w:right="113"/>
              <w:rPr>
                <w:sz w:val="14"/>
              </w:rPr>
            </w:pPr>
            <w:r>
              <w:rPr>
                <w:w w:val="95"/>
                <w:sz w:val="14"/>
              </w:rPr>
              <w:t>38.8</w:t>
            </w:r>
          </w:p>
        </w:tc>
        <w:tc>
          <w:tcPr>
            <w:tcW w:w="615" w:type="dxa"/>
          </w:tcPr>
          <w:p>
            <w:pPr>
              <w:pStyle w:val="TableParagraph"/>
              <w:spacing w:before="70"/>
              <w:ind w:right="113"/>
              <w:rPr>
                <w:sz w:val="14"/>
              </w:rPr>
            </w:pPr>
            <w:r>
              <w:rPr>
                <w:w w:val="95"/>
                <w:sz w:val="14"/>
              </w:rPr>
              <w:t>38.8</w:t>
            </w:r>
          </w:p>
        </w:tc>
        <w:tc>
          <w:tcPr>
            <w:tcW w:w="593" w:type="dxa"/>
          </w:tcPr>
          <w:p>
            <w:pPr>
              <w:pStyle w:val="TableParagraph"/>
              <w:spacing w:before="70"/>
              <w:ind w:right="91"/>
              <w:rPr>
                <w:sz w:val="14"/>
              </w:rPr>
            </w:pPr>
            <w:r>
              <w:rPr>
                <w:w w:val="95"/>
                <w:sz w:val="14"/>
              </w:rPr>
              <w:t>39.0</w:t>
            </w:r>
          </w:p>
        </w:tc>
        <w:tc>
          <w:tcPr>
            <w:tcW w:w="644" w:type="dxa"/>
          </w:tcPr>
          <w:p>
            <w:pPr>
              <w:pStyle w:val="TableParagraph"/>
              <w:spacing w:before="70"/>
              <w:ind w:left="163"/>
              <w:jc w:val="left"/>
              <w:rPr>
                <w:sz w:val="14"/>
              </w:rPr>
            </w:pPr>
            <w:r>
              <w:rPr>
                <w:sz w:val="14"/>
              </w:rPr>
              <w:t>38.9</w:t>
            </w:r>
          </w:p>
        </w:tc>
        <w:tc>
          <w:tcPr>
            <w:tcW w:w="628" w:type="dxa"/>
          </w:tcPr>
          <w:p>
            <w:pPr>
              <w:pStyle w:val="TableParagraph"/>
              <w:spacing w:before="70"/>
              <w:ind w:right="123"/>
              <w:rPr>
                <w:sz w:val="14"/>
              </w:rPr>
            </w:pPr>
            <w:r>
              <w:rPr>
                <w:w w:val="95"/>
                <w:sz w:val="14"/>
              </w:rPr>
              <w:t>38.8</w:t>
            </w:r>
          </w:p>
        </w:tc>
        <w:tc>
          <w:tcPr>
            <w:tcW w:w="630" w:type="dxa"/>
          </w:tcPr>
          <w:p>
            <w:pPr>
              <w:pStyle w:val="TableParagraph"/>
              <w:spacing w:before="70"/>
              <w:ind w:right="119"/>
              <w:rPr>
                <w:sz w:val="14"/>
              </w:rPr>
            </w:pPr>
            <w:r>
              <w:rPr>
                <w:w w:val="95"/>
                <w:sz w:val="14"/>
              </w:rPr>
              <w:t>38.7</w:t>
            </w:r>
          </w:p>
        </w:tc>
        <w:tc>
          <w:tcPr>
            <w:tcW w:w="628" w:type="dxa"/>
          </w:tcPr>
          <w:p>
            <w:pPr>
              <w:pStyle w:val="TableParagraph"/>
              <w:spacing w:before="70"/>
              <w:ind w:right="120"/>
              <w:rPr>
                <w:sz w:val="14"/>
              </w:rPr>
            </w:pPr>
            <w:r>
              <w:rPr>
                <w:w w:val="95"/>
                <w:sz w:val="14"/>
              </w:rPr>
              <w:t>38.7</w:t>
            </w:r>
          </w:p>
        </w:tc>
        <w:tc>
          <w:tcPr>
            <w:tcW w:w="642" w:type="dxa"/>
          </w:tcPr>
          <w:p>
            <w:pPr>
              <w:pStyle w:val="TableParagraph"/>
              <w:spacing w:before="70"/>
              <w:ind w:right="124"/>
              <w:rPr>
                <w:sz w:val="14"/>
              </w:rPr>
            </w:pPr>
            <w:r>
              <w:rPr>
                <w:w w:val="95"/>
                <w:sz w:val="14"/>
              </w:rPr>
              <w:t>38.6</w:t>
            </w:r>
          </w:p>
        </w:tc>
        <w:tc>
          <w:tcPr>
            <w:tcW w:w="631" w:type="dxa"/>
          </w:tcPr>
          <w:p>
            <w:pPr>
              <w:pStyle w:val="TableParagraph"/>
              <w:spacing w:before="70"/>
              <w:ind w:right="119"/>
              <w:rPr>
                <w:sz w:val="14"/>
              </w:rPr>
            </w:pPr>
            <w:r>
              <w:rPr>
                <w:w w:val="95"/>
                <w:sz w:val="14"/>
              </w:rPr>
              <w:t>38.5</w:t>
            </w:r>
          </w:p>
        </w:tc>
        <w:tc>
          <w:tcPr>
            <w:tcW w:w="623" w:type="dxa"/>
          </w:tcPr>
          <w:p>
            <w:pPr>
              <w:pStyle w:val="TableParagraph"/>
              <w:spacing w:before="70"/>
              <w:ind w:right="115"/>
              <w:rPr>
                <w:sz w:val="14"/>
              </w:rPr>
            </w:pPr>
            <w:r>
              <w:rPr>
                <w:w w:val="95"/>
                <w:sz w:val="14"/>
              </w:rPr>
              <w:t>38.3</w:t>
            </w:r>
          </w:p>
        </w:tc>
        <w:tc>
          <w:tcPr>
            <w:tcW w:w="596" w:type="dxa"/>
          </w:tcPr>
          <w:p>
            <w:pPr>
              <w:pStyle w:val="TableParagraph"/>
              <w:spacing w:before="70"/>
              <w:ind w:right="92"/>
              <w:rPr>
                <w:sz w:val="14"/>
              </w:rPr>
            </w:pPr>
            <w:r>
              <w:rPr>
                <w:w w:val="95"/>
                <w:sz w:val="14"/>
              </w:rPr>
              <w:t>38.2</w:t>
            </w:r>
          </w:p>
        </w:tc>
        <w:tc>
          <w:tcPr>
            <w:tcW w:w="551" w:type="dxa"/>
          </w:tcPr>
          <w:p>
            <w:pPr>
              <w:pStyle w:val="TableParagraph"/>
              <w:spacing w:before="70"/>
              <w:ind w:right="70"/>
              <w:rPr>
                <w:sz w:val="14"/>
              </w:rPr>
            </w:pPr>
            <w:r>
              <w:rPr>
                <w:w w:val="95"/>
                <w:sz w:val="14"/>
              </w:rPr>
              <w:t>38.2</w:t>
            </w:r>
          </w:p>
        </w:tc>
      </w:tr>
      <w:tr>
        <w:trPr>
          <w:trHeight w:val="364" w:hRule="exact"/>
        </w:trPr>
        <w:tc>
          <w:tcPr>
            <w:tcW w:w="8877" w:type="dxa"/>
            <w:gridSpan w:val="13"/>
          </w:tcPr>
          <w:p>
            <w:pPr>
              <w:pStyle w:val="TableParagraph"/>
              <w:tabs>
                <w:tab w:pos="3584" w:val="left" w:leader="none"/>
              </w:tabs>
              <w:spacing w:before="79"/>
              <w:ind w:left="69"/>
              <w:jc w:val="left"/>
              <w:rPr>
                <w:sz w:val="14"/>
              </w:rPr>
            </w:pPr>
            <w:r>
              <w:rPr>
                <w:sz w:val="14"/>
              </w:rPr>
              <w:t>Leche en</w:t>
            </w:r>
            <w:r>
              <w:rPr>
                <w:spacing w:val="-6"/>
                <w:sz w:val="14"/>
              </w:rPr>
              <w:t> </w:t>
            </w:r>
            <w:r>
              <w:rPr>
                <w:sz w:val="14"/>
              </w:rPr>
              <w:t>polvo</w:t>
            </w:r>
            <w:r>
              <w:rPr>
                <w:spacing w:val="-3"/>
                <w:sz w:val="14"/>
              </w:rPr>
              <w:t> </w:t>
            </w:r>
            <w:r>
              <w:rPr>
                <w:sz w:val="14"/>
              </w:rPr>
              <w:t>descremada</w:t>
              <w:tab/>
              <w:t>(Miles de toneladas</w:t>
            </w:r>
            <w:r>
              <w:rPr>
                <w:spacing w:val="-16"/>
                <w:sz w:val="14"/>
              </w:rPr>
              <w:t> </w:t>
            </w:r>
            <w:r>
              <w:rPr>
                <w:sz w:val="14"/>
              </w:rPr>
              <w:t>métricas)</w:t>
            </w:r>
          </w:p>
        </w:tc>
      </w:tr>
      <w:tr>
        <w:trPr>
          <w:trHeight w:val="353" w:hRule="exact"/>
        </w:trPr>
        <w:tc>
          <w:tcPr>
            <w:tcW w:w="1596" w:type="dxa"/>
          </w:tcPr>
          <w:p>
            <w:pPr>
              <w:pStyle w:val="TableParagraph"/>
              <w:spacing w:before="107"/>
              <w:ind w:left="69" w:right="252"/>
              <w:jc w:val="left"/>
              <w:rPr>
                <w:sz w:val="14"/>
              </w:rPr>
            </w:pPr>
            <w:r>
              <w:rPr>
                <w:sz w:val="14"/>
              </w:rPr>
              <w:t>Producción</w:t>
            </w:r>
          </w:p>
        </w:tc>
        <w:tc>
          <w:tcPr>
            <w:tcW w:w="500" w:type="dxa"/>
          </w:tcPr>
          <w:p>
            <w:pPr>
              <w:pStyle w:val="TableParagraph"/>
              <w:spacing w:before="107"/>
              <w:ind w:right="115"/>
              <w:rPr>
                <w:sz w:val="14"/>
              </w:rPr>
            </w:pPr>
            <w:r>
              <w:rPr>
                <w:w w:val="95"/>
                <w:sz w:val="14"/>
              </w:rPr>
              <w:t>279</w:t>
            </w:r>
          </w:p>
        </w:tc>
        <w:tc>
          <w:tcPr>
            <w:tcW w:w="615" w:type="dxa"/>
          </w:tcPr>
          <w:p>
            <w:pPr>
              <w:pStyle w:val="TableParagraph"/>
              <w:spacing w:before="107"/>
              <w:ind w:right="115"/>
              <w:rPr>
                <w:sz w:val="14"/>
              </w:rPr>
            </w:pPr>
            <w:r>
              <w:rPr>
                <w:w w:val="95"/>
                <w:sz w:val="14"/>
              </w:rPr>
              <w:t>290</w:t>
            </w:r>
          </w:p>
        </w:tc>
        <w:tc>
          <w:tcPr>
            <w:tcW w:w="593" w:type="dxa"/>
          </w:tcPr>
          <w:p>
            <w:pPr>
              <w:pStyle w:val="TableParagraph"/>
              <w:spacing w:before="107"/>
              <w:ind w:right="95"/>
              <w:rPr>
                <w:sz w:val="14"/>
              </w:rPr>
            </w:pPr>
            <w:r>
              <w:rPr>
                <w:w w:val="95"/>
                <w:sz w:val="14"/>
              </w:rPr>
              <w:t>279</w:t>
            </w:r>
          </w:p>
        </w:tc>
        <w:tc>
          <w:tcPr>
            <w:tcW w:w="644" w:type="dxa"/>
          </w:tcPr>
          <w:p>
            <w:pPr>
              <w:pStyle w:val="TableParagraph"/>
              <w:spacing w:before="107"/>
              <w:ind w:right="119"/>
              <w:rPr>
                <w:sz w:val="14"/>
              </w:rPr>
            </w:pPr>
            <w:r>
              <w:rPr>
                <w:w w:val="95"/>
                <w:sz w:val="14"/>
              </w:rPr>
              <w:t>295</w:t>
            </w:r>
          </w:p>
        </w:tc>
        <w:tc>
          <w:tcPr>
            <w:tcW w:w="628" w:type="dxa"/>
          </w:tcPr>
          <w:p>
            <w:pPr>
              <w:pStyle w:val="TableParagraph"/>
              <w:spacing w:before="107"/>
              <w:ind w:right="125"/>
              <w:rPr>
                <w:sz w:val="14"/>
              </w:rPr>
            </w:pPr>
            <w:r>
              <w:rPr>
                <w:w w:val="95"/>
                <w:sz w:val="14"/>
              </w:rPr>
              <w:t>305</w:t>
            </w:r>
          </w:p>
        </w:tc>
        <w:tc>
          <w:tcPr>
            <w:tcW w:w="630" w:type="dxa"/>
          </w:tcPr>
          <w:p>
            <w:pPr>
              <w:pStyle w:val="TableParagraph"/>
              <w:spacing w:before="107"/>
              <w:ind w:right="121"/>
              <w:rPr>
                <w:sz w:val="14"/>
              </w:rPr>
            </w:pPr>
            <w:r>
              <w:rPr>
                <w:w w:val="95"/>
                <w:sz w:val="14"/>
              </w:rPr>
              <w:t>311</w:t>
            </w:r>
          </w:p>
        </w:tc>
        <w:tc>
          <w:tcPr>
            <w:tcW w:w="628" w:type="dxa"/>
          </w:tcPr>
          <w:p>
            <w:pPr>
              <w:pStyle w:val="TableParagraph"/>
              <w:spacing w:before="107"/>
              <w:ind w:right="122"/>
              <w:rPr>
                <w:sz w:val="14"/>
              </w:rPr>
            </w:pPr>
            <w:r>
              <w:rPr>
                <w:w w:val="95"/>
                <w:sz w:val="14"/>
              </w:rPr>
              <w:t>314</w:t>
            </w:r>
          </w:p>
        </w:tc>
        <w:tc>
          <w:tcPr>
            <w:tcW w:w="642" w:type="dxa"/>
          </w:tcPr>
          <w:p>
            <w:pPr>
              <w:pStyle w:val="TableParagraph"/>
              <w:spacing w:before="107"/>
              <w:ind w:right="137"/>
              <w:rPr>
                <w:sz w:val="14"/>
              </w:rPr>
            </w:pPr>
            <w:r>
              <w:rPr>
                <w:w w:val="95"/>
                <w:sz w:val="14"/>
              </w:rPr>
              <w:t>317</w:t>
            </w:r>
          </w:p>
        </w:tc>
        <w:tc>
          <w:tcPr>
            <w:tcW w:w="631" w:type="dxa"/>
          </w:tcPr>
          <w:p>
            <w:pPr>
              <w:pStyle w:val="TableParagraph"/>
              <w:spacing w:before="107"/>
              <w:ind w:right="149"/>
              <w:rPr>
                <w:sz w:val="14"/>
              </w:rPr>
            </w:pPr>
            <w:r>
              <w:rPr>
                <w:w w:val="95"/>
                <w:sz w:val="14"/>
              </w:rPr>
              <w:t>316</w:t>
            </w:r>
          </w:p>
        </w:tc>
        <w:tc>
          <w:tcPr>
            <w:tcW w:w="623" w:type="dxa"/>
          </w:tcPr>
          <w:p>
            <w:pPr>
              <w:pStyle w:val="TableParagraph"/>
              <w:spacing w:before="107"/>
              <w:ind w:right="155"/>
              <w:rPr>
                <w:sz w:val="14"/>
              </w:rPr>
            </w:pPr>
            <w:r>
              <w:rPr>
                <w:w w:val="95"/>
                <w:sz w:val="14"/>
              </w:rPr>
              <w:t>317</w:t>
            </w:r>
          </w:p>
        </w:tc>
        <w:tc>
          <w:tcPr>
            <w:tcW w:w="596" w:type="dxa"/>
          </w:tcPr>
          <w:p>
            <w:pPr>
              <w:pStyle w:val="TableParagraph"/>
              <w:spacing w:before="107"/>
              <w:ind w:right="133"/>
              <w:rPr>
                <w:sz w:val="14"/>
              </w:rPr>
            </w:pPr>
            <w:r>
              <w:rPr>
                <w:w w:val="95"/>
                <w:sz w:val="14"/>
              </w:rPr>
              <w:t>321</w:t>
            </w:r>
          </w:p>
        </w:tc>
        <w:tc>
          <w:tcPr>
            <w:tcW w:w="551" w:type="dxa"/>
          </w:tcPr>
          <w:p>
            <w:pPr>
              <w:pStyle w:val="TableParagraph"/>
              <w:spacing w:before="107"/>
              <w:ind w:right="72"/>
              <w:rPr>
                <w:sz w:val="14"/>
              </w:rPr>
            </w:pPr>
            <w:r>
              <w:rPr>
                <w:w w:val="95"/>
                <w:sz w:val="14"/>
              </w:rPr>
              <w:t>325</w:t>
            </w:r>
          </w:p>
        </w:tc>
      </w:tr>
      <w:tr>
        <w:trPr>
          <w:trHeight w:val="316" w:hRule="exact"/>
        </w:trPr>
        <w:tc>
          <w:tcPr>
            <w:tcW w:w="1596" w:type="dxa"/>
          </w:tcPr>
          <w:p>
            <w:pPr>
              <w:pStyle w:val="TableParagraph"/>
              <w:spacing w:before="69"/>
              <w:ind w:left="69" w:right="252"/>
              <w:jc w:val="left"/>
              <w:rPr>
                <w:sz w:val="14"/>
              </w:rPr>
            </w:pPr>
            <w:r>
              <w:rPr>
                <w:sz w:val="14"/>
              </w:rPr>
              <w:t>Importaciones</w:t>
            </w:r>
          </w:p>
        </w:tc>
        <w:tc>
          <w:tcPr>
            <w:tcW w:w="500" w:type="dxa"/>
          </w:tcPr>
          <w:p>
            <w:pPr>
              <w:pStyle w:val="TableParagraph"/>
              <w:spacing w:before="69"/>
              <w:ind w:right="115"/>
              <w:rPr>
                <w:sz w:val="14"/>
              </w:rPr>
            </w:pPr>
            <w:r>
              <w:rPr>
                <w:w w:val="95"/>
                <w:sz w:val="14"/>
              </w:rPr>
              <w:t>187</w:t>
            </w:r>
          </w:p>
        </w:tc>
        <w:tc>
          <w:tcPr>
            <w:tcW w:w="615" w:type="dxa"/>
          </w:tcPr>
          <w:p>
            <w:pPr>
              <w:pStyle w:val="TableParagraph"/>
              <w:spacing w:before="69"/>
              <w:ind w:right="115"/>
              <w:rPr>
                <w:sz w:val="14"/>
              </w:rPr>
            </w:pPr>
            <w:r>
              <w:rPr>
                <w:w w:val="95"/>
                <w:sz w:val="14"/>
              </w:rPr>
              <w:t>145</w:t>
            </w:r>
          </w:p>
        </w:tc>
        <w:tc>
          <w:tcPr>
            <w:tcW w:w="593" w:type="dxa"/>
          </w:tcPr>
          <w:p>
            <w:pPr>
              <w:pStyle w:val="TableParagraph"/>
              <w:spacing w:before="69"/>
              <w:ind w:right="95"/>
              <w:rPr>
                <w:sz w:val="14"/>
              </w:rPr>
            </w:pPr>
            <w:r>
              <w:rPr>
                <w:w w:val="95"/>
                <w:sz w:val="14"/>
              </w:rPr>
              <w:t>165</w:t>
            </w:r>
          </w:p>
        </w:tc>
        <w:tc>
          <w:tcPr>
            <w:tcW w:w="644" w:type="dxa"/>
          </w:tcPr>
          <w:p>
            <w:pPr>
              <w:pStyle w:val="TableParagraph"/>
              <w:spacing w:before="69"/>
              <w:ind w:right="119"/>
              <w:rPr>
                <w:sz w:val="14"/>
              </w:rPr>
            </w:pPr>
            <w:r>
              <w:rPr>
                <w:w w:val="95"/>
                <w:sz w:val="14"/>
              </w:rPr>
              <w:t>150</w:t>
            </w:r>
          </w:p>
        </w:tc>
        <w:tc>
          <w:tcPr>
            <w:tcW w:w="628" w:type="dxa"/>
          </w:tcPr>
          <w:p>
            <w:pPr>
              <w:pStyle w:val="TableParagraph"/>
              <w:spacing w:before="69"/>
              <w:ind w:right="125"/>
              <w:rPr>
                <w:sz w:val="14"/>
              </w:rPr>
            </w:pPr>
            <w:r>
              <w:rPr>
                <w:w w:val="95"/>
                <w:sz w:val="14"/>
              </w:rPr>
              <w:t>144</w:t>
            </w:r>
          </w:p>
        </w:tc>
        <w:tc>
          <w:tcPr>
            <w:tcW w:w="630" w:type="dxa"/>
          </w:tcPr>
          <w:p>
            <w:pPr>
              <w:pStyle w:val="TableParagraph"/>
              <w:spacing w:before="69"/>
              <w:ind w:right="121"/>
              <w:rPr>
                <w:sz w:val="14"/>
              </w:rPr>
            </w:pPr>
            <w:r>
              <w:rPr>
                <w:w w:val="95"/>
                <w:sz w:val="14"/>
              </w:rPr>
              <w:t>143</w:t>
            </w:r>
          </w:p>
        </w:tc>
        <w:tc>
          <w:tcPr>
            <w:tcW w:w="628" w:type="dxa"/>
          </w:tcPr>
          <w:p>
            <w:pPr>
              <w:pStyle w:val="TableParagraph"/>
              <w:spacing w:before="69"/>
              <w:ind w:right="122"/>
              <w:rPr>
                <w:sz w:val="14"/>
              </w:rPr>
            </w:pPr>
            <w:r>
              <w:rPr>
                <w:w w:val="95"/>
                <w:sz w:val="14"/>
              </w:rPr>
              <w:t>145</w:t>
            </w:r>
          </w:p>
        </w:tc>
        <w:tc>
          <w:tcPr>
            <w:tcW w:w="642" w:type="dxa"/>
          </w:tcPr>
          <w:p>
            <w:pPr>
              <w:pStyle w:val="TableParagraph"/>
              <w:spacing w:before="69"/>
              <w:ind w:right="137"/>
              <w:rPr>
                <w:sz w:val="14"/>
              </w:rPr>
            </w:pPr>
            <w:r>
              <w:rPr>
                <w:w w:val="95"/>
                <w:sz w:val="14"/>
              </w:rPr>
              <w:t>147</w:t>
            </w:r>
          </w:p>
        </w:tc>
        <w:tc>
          <w:tcPr>
            <w:tcW w:w="631" w:type="dxa"/>
          </w:tcPr>
          <w:p>
            <w:pPr>
              <w:pStyle w:val="TableParagraph"/>
              <w:spacing w:before="69"/>
              <w:ind w:right="149"/>
              <w:rPr>
                <w:sz w:val="14"/>
              </w:rPr>
            </w:pPr>
            <w:r>
              <w:rPr>
                <w:w w:val="95"/>
                <w:sz w:val="14"/>
              </w:rPr>
              <w:t>155</w:t>
            </w:r>
          </w:p>
        </w:tc>
        <w:tc>
          <w:tcPr>
            <w:tcW w:w="623" w:type="dxa"/>
          </w:tcPr>
          <w:p>
            <w:pPr>
              <w:pStyle w:val="TableParagraph"/>
              <w:spacing w:before="69"/>
              <w:ind w:right="155"/>
              <w:rPr>
                <w:sz w:val="14"/>
              </w:rPr>
            </w:pPr>
            <w:r>
              <w:rPr>
                <w:w w:val="95"/>
                <w:sz w:val="14"/>
              </w:rPr>
              <w:t>160</w:t>
            </w:r>
          </w:p>
        </w:tc>
        <w:tc>
          <w:tcPr>
            <w:tcW w:w="596" w:type="dxa"/>
          </w:tcPr>
          <w:p>
            <w:pPr>
              <w:pStyle w:val="TableParagraph"/>
              <w:spacing w:before="69"/>
              <w:ind w:right="133"/>
              <w:rPr>
                <w:sz w:val="14"/>
              </w:rPr>
            </w:pPr>
            <w:r>
              <w:rPr>
                <w:w w:val="95"/>
                <w:sz w:val="14"/>
              </w:rPr>
              <w:t>161</w:t>
            </w:r>
          </w:p>
        </w:tc>
        <w:tc>
          <w:tcPr>
            <w:tcW w:w="551" w:type="dxa"/>
          </w:tcPr>
          <w:p>
            <w:pPr>
              <w:pStyle w:val="TableParagraph"/>
              <w:spacing w:before="69"/>
              <w:ind w:right="72"/>
              <w:rPr>
                <w:sz w:val="14"/>
              </w:rPr>
            </w:pPr>
            <w:r>
              <w:rPr>
                <w:w w:val="95"/>
                <w:sz w:val="14"/>
              </w:rPr>
              <w:t>164</w:t>
            </w:r>
          </w:p>
        </w:tc>
      </w:tr>
      <w:tr>
        <w:trPr>
          <w:trHeight w:val="316" w:hRule="exact"/>
        </w:trPr>
        <w:tc>
          <w:tcPr>
            <w:tcW w:w="1596" w:type="dxa"/>
          </w:tcPr>
          <w:p>
            <w:pPr>
              <w:pStyle w:val="TableParagraph"/>
              <w:spacing w:before="70"/>
              <w:ind w:left="69" w:right="252"/>
              <w:jc w:val="left"/>
              <w:rPr>
                <w:sz w:val="14"/>
              </w:rPr>
            </w:pPr>
            <w:r>
              <w:rPr>
                <w:sz w:val="14"/>
              </w:rPr>
              <w:t>Oferta</w:t>
            </w:r>
          </w:p>
        </w:tc>
        <w:tc>
          <w:tcPr>
            <w:tcW w:w="500" w:type="dxa"/>
          </w:tcPr>
          <w:p>
            <w:pPr>
              <w:pStyle w:val="TableParagraph"/>
              <w:spacing w:before="70"/>
              <w:ind w:right="115"/>
              <w:rPr>
                <w:sz w:val="14"/>
              </w:rPr>
            </w:pPr>
            <w:r>
              <w:rPr>
                <w:w w:val="95"/>
                <w:sz w:val="14"/>
              </w:rPr>
              <w:t>486</w:t>
            </w:r>
          </w:p>
        </w:tc>
        <w:tc>
          <w:tcPr>
            <w:tcW w:w="615" w:type="dxa"/>
          </w:tcPr>
          <w:p>
            <w:pPr>
              <w:pStyle w:val="TableParagraph"/>
              <w:spacing w:before="70"/>
              <w:ind w:right="115"/>
              <w:rPr>
                <w:sz w:val="14"/>
              </w:rPr>
            </w:pPr>
            <w:r>
              <w:rPr>
                <w:w w:val="95"/>
                <w:sz w:val="14"/>
              </w:rPr>
              <w:t>455</w:t>
            </w:r>
          </w:p>
        </w:tc>
        <w:tc>
          <w:tcPr>
            <w:tcW w:w="593" w:type="dxa"/>
          </w:tcPr>
          <w:p>
            <w:pPr>
              <w:pStyle w:val="TableParagraph"/>
              <w:spacing w:before="70"/>
              <w:ind w:right="95"/>
              <w:rPr>
                <w:sz w:val="14"/>
              </w:rPr>
            </w:pPr>
            <w:r>
              <w:rPr>
                <w:w w:val="95"/>
                <w:sz w:val="14"/>
              </w:rPr>
              <w:t>463</w:t>
            </w:r>
          </w:p>
        </w:tc>
        <w:tc>
          <w:tcPr>
            <w:tcW w:w="644" w:type="dxa"/>
          </w:tcPr>
          <w:p>
            <w:pPr>
              <w:pStyle w:val="TableParagraph"/>
              <w:spacing w:before="70"/>
              <w:ind w:right="119"/>
              <w:rPr>
                <w:sz w:val="14"/>
              </w:rPr>
            </w:pPr>
            <w:r>
              <w:rPr>
                <w:w w:val="95"/>
                <w:sz w:val="14"/>
              </w:rPr>
              <w:t>465</w:t>
            </w:r>
          </w:p>
        </w:tc>
        <w:tc>
          <w:tcPr>
            <w:tcW w:w="628" w:type="dxa"/>
          </w:tcPr>
          <w:p>
            <w:pPr>
              <w:pStyle w:val="TableParagraph"/>
              <w:spacing w:before="70"/>
              <w:ind w:right="125"/>
              <w:rPr>
                <w:sz w:val="14"/>
              </w:rPr>
            </w:pPr>
            <w:r>
              <w:rPr>
                <w:w w:val="95"/>
                <w:sz w:val="14"/>
              </w:rPr>
              <w:t>469</w:t>
            </w:r>
          </w:p>
        </w:tc>
        <w:tc>
          <w:tcPr>
            <w:tcW w:w="630" w:type="dxa"/>
          </w:tcPr>
          <w:p>
            <w:pPr>
              <w:pStyle w:val="TableParagraph"/>
              <w:spacing w:before="70"/>
              <w:ind w:right="121"/>
              <w:rPr>
                <w:sz w:val="14"/>
              </w:rPr>
            </w:pPr>
            <w:r>
              <w:rPr>
                <w:w w:val="95"/>
                <w:sz w:val="14"/>
              </w:rPr>
              <w:t>474</w:t>
            </w:r>
          </w:p>
        </w:tc>
        <w:tc>
          <w:tcPr>
            <w:tcW w:w="628" w:type="dxa"/>
          </w:tcPr>
          <w:p>
            <w:pPr>
              <w:pStyle w:val="TableParagraph"/>
              <w:spacing w:before="70"/>
              <w:ind w:right="122"/>
              <w:rPr>
                <w:sz w:val="14"/>
              </w:rPr>
            </w:pPr>
            <w:r>
              <w:rPr>
                <w:w w:val="95"/>
                <w:sz w:val="14"/>
              </w:rPr>
              <w:t>479</w:t>
            </w:r>
          </w:p>
        </w:tc>
        <w:tc>
          <w:tcPr>
            <w:tcW w:w="642" w:type="dxa"/>
          </w:tcPr>
          <w:p>
            <w:pPr>
              <w:pStyle w:val="TableParagraph"/>
              <w:spacing w:before="70"/>
              <w:ind w:right="137"/>
              <w:rPr>
                <w:sz w:val="14"/>
              </w:rPr>
            </w:pPr>
            <w:r>
              <w:rPr>
                <w:w w:val="95"/>
                <w:sz w:val="14"/>
              </w:rPr>
              <w:t>484</w:t>
            </w:r>
          </w:p>
        </w:tc>
        <w:tc>
          <w:tcPr>
            <w:tcW w:w="631" w:type="dxa"/>
          </w:tcPr>
          <w:p>
            <w:pPr>
              <w:pStyle w:val="TableParagraph"/>
              <w:spacing w:before="70"/>
              <w:ind w:right="149"/>
              <w:rPr>
                <w:sz w:val="14"/>
              </w:rPr>
            </w:pPr>
            <w:r>
              <w:rPr>
                <w:w w:val="95"/>
                <w:sz w:val="14"/>
              </w:rPr>
              <w:t>492</w:t>
            </w:r>
          </w:p>
        </w:tc>
        <w:tc>
          <w:tcPr>
            <w:tcW w:w="623" w:type="dxa"/>
          </w:tcPr>
          <w:p>
            <w:pPr>
              <w:pStyle w:val="TableParagraph"/>
              <w:spacing w:before="70"/>
              <w:ind w:right="155"/>
              <w:rPr>
                <w:sz w:val="14"/>
              </w:rPr>
            </w:pPr>
            <w:r>
              <w:rPr>
                <w:w w:val="95"/>
                <w:sz w:val="14"/>
              </w:rPr>
              <w:t>497</w:t>
            </w:r>
          </w:p>
        </w:tc>
        <w:tc>
          <w:tcPr>
            <w:tcW w:w="596" w:type="dxa"/>
          </w:tcPr>
          <w:p>
            <w:pPr>
              <w:pStyle w:val="TableParagraph"/>
              <w:spacing w:before="70"/>
              <w:ind w:right="133"/>
              <w:rPr>
                <w:sz w:val="14"/>
              </w:rPr>
            </w:pPr>
            <w:r>
              <w:rPr>
                <w:w w:val="95"/>
                <w:sz w:val="14"/>
              </w:rPr>
              <w:t>502</w:t>
            </w:r>
          </w:p>
        </w:tc>
        <w:tc>
          <w:tcPr>
            <w:tcW w:w="551" w:type="dxa"/>
          </w:tcPr>
          <w:p>
            <w:pPr>
              <w:pStyle w:val="TableParagraph"/>
              <w:spacing w:before="70"/>
              <w:ind w:right="72"/>
              <w:rPr>
                <w:sz w:val="14"/>
              </w:rPr>
            </w:pPr>
            <w:r>
              <w:rPr>
                <w:w w:val="95"/>
                <w:sz w:val="14"/>
              </w:rPr>
              <w:t>509</w:t>
            </w:r>
          </w:p>
        </w:tc>
      </w:tr>
      <w:tr>
        <w:trPr>
          <w:trHeight w:val="227" w:hRule="exact"/>
        </w:trPr>
        <w:tc>
          <w:tcPr>
            <w:tcW w:w="1596" w:type="dxa"/>
          </w:tcPr>
          <w:p>
            <w:pPr>
              <w:pStyle w:val="TableParagraph"/>
              <w:spacing w:before="69"/>
              <w:ind w:left="69" w:right="252"/>
              <w:jc w:val="left"/>
              <w:rPr>
                <w:sz w:val="14"/>
              </w:rPr>
            </w:pPr>
            <w:r>
              <w:rPr>
                <w:sz w:val="14"/>
              </w:rPr>
              <w:t>Consumo</w:t>
            </w:r>
          </w:p>
        </w:tc>
        <w:tc>
          <w:tcPr>
            <w:tcW w:w="500" w:type="dxa"/>
          </w:tcPr>
          <w:p>
            <w:pPr>
              <w:pStyle w:val="TableParagraph"/>
              <w:spacing w:before="69"/>
              <w:ind w:right="115"/>
              <w:rPr>
                <w:sz w:val="14"/>
              </w:rPr>
            </w:pPr>
            <w:r>
              <w:rPr>
                <w:w w:val="95"/>
                <w:sz w:val="14"/>
              </w:rPr>
              <w:t>414</w:t>
            </w:r>
          </w:p>
        </w:tc>
        <w:tc>
          <w:tcPr>
            <w:tcW w:w="615" w:type="dxa"/>
          </w:tcPr>
          <w:p>
            <w:pPr>
              <w:pStyle w:val="TableParagraph"/>
              <w:spacing w:before="69"/>
              <w:ind w:right="115"/>
              <w:rPr>
                <w:sz w:val="14"/>
              </w:rPr>
            </w:pPr>
            <w:r>
              <w:rPr>
                <w:w w:val="95"/>
                <w:sz w:val="14"/>
              </w:rPr>
              <w:t>435</w:t>
            </w:r>
          </w:p>
        </w:tc>
        <w:tc>
          <w:tcPr>
            <w:tcW w:w="593" w:type="dxa"/>
          </w:tcPr>
          <w:p>
            <w:pPr>
              <w:pStyle w:val="TableParagraph"/>
              <w:spacing w:before="69"/>
              <w:ind w:right="95"/>
              <w:rPr>
                <w:sz w:val="14"/>
              </w:rPr>
            </w:pPr>
            <w:r>
              <w:rPr>
                <w:w w:val="95"/>
                <w:sz w:val="14"/>
              </w:rPr>
              <w:t>444</w:t>
            </w:r>
          </w:p>
        </w:tc>
        <w:tc>
          <w:tcPr>
            <w:tcW w:w="644" w:type="dxa"/>
          </w:tcPr>
          <w:p>
            <w:pPr>
              <w:pStyle w:val="TableParagraph"/>
              <w:spacing w:before="69"/>
              <w:ind w:right="119"/>
              <w:rPr>
                <w:sz w:val="14"/>
              </w:rPr>
            </w:pPr>
            <w:r>
              <w:rPr>
                <w:w w:val="95"/>
                <w:sz w:val="14"/>
              </w:rPr>
              <w:t>445</w:t>
            </w:r>
          </w:p>
        </w:tc>
        <w:tc>
          <w:tcPr>
            <w:tcW w:w="628" w:type="dxa"/>
          </w:tcPr>
          <w:p>
            <w:pPr>
              <w:pStyle w:val="TableParagraph"/>
              <w:spacing w:before="69"/>
              <w:ind w:right="125"/>
              <w:rPr>
                <w:sz w:val="14"/>
              </w:rPr>
            </w:pPr>
            <w:r>
              <w:rPr>
                <w:w w:val="95"/>
                <w:sz w:val="14"/>
              </w:rPr>
              <w:t>449</w:t>
            </w:r>
          </w:p>
        </w:tc>
        <w:tc>
          <w:tcPr>
            <w:tcW w:w="630" w:type="dxa"/>
          </w:tcPr>
          <w:p>
            <w:pPr>
              <w:pStyle w:val="TableParagraph"/>
              <w:spacing w:before="69"/>
              <w:ind w:right="121"/>
              <w:rPr>
                <w:sz w:val="14"/>
              </w:rPr>
            </w:pPr>
            <w:r>
              <w:rPr>
                <w:w w:val="95"/>
                <w:sz w:val="14"/>
              </w:rPr>
              <w:t>454</w:t>
            </w:r>
          </w:p>
        </w:tc>
        <w:tc>
          <w:tcPr>
            <w:tcW w:w="628" w:type="dxa"/>
          </w:tcPr>
          <w:p>
            <w:pPr>
              <w:pStyle w:val="TableParagraph"/>
              <w:spacing w:before="69"/>
              <w:ind w:right="122"/>
              <w:rPr>
                <w:sz w:val="14"/>
              </w:rPr>
            </w:pPr>
            <w:r>
              <w:rPr>
                <w:w w:val="95"/>
                <w:sz w:val="14"/>
              </w:rPr>
              <w:t>459</w:t>
            </w:r>
          </w:p>
        </w:tc>
        <w:tc>
          <w:tcPr>
            <w:tcW w:w="642" w:type="dxa"/>
          </w:tcPr>
          <w:p>
            <w:pPr>
              <w:pStyle w:val="TableParagraph"/>
              <w:spacing w:before="69"/>
              <w:ind w:right="137"/>
              <w:rPr>
                <w:sz w:val="14"/>
              </w:rPr>
            </w:pPr>
            <w:r>
              <w:rPr>
                <w:w w:val="95"/>
                <w:sz w:val="14"/>
              </w:rPr>
              <w:t>464</w:t>
            </w:r>
          </w:p>
        </w:tc>
        <w:tc>
          <w:tcPr>
            <w:tcW w:w="631" w:type="dxa"/>
          </w:tcPr>
          <w:p>
            <w:pPr>
              <w:pStyle w:val="TableParagraph"/>
              <w:spacing w:before="69"/>
              <w:ind w:right="149"/>
              <w:rPr>
                <w:sz w:val="14"/>
              </w:rPr>
            </w:pPr>
            <w:r>
              <w:rPr>
                <w:w w:val="95"/>
                <w:sz w:val="14"/>
              </w:rPr>
              <w:t>472</w:t>
            </w:r>
          </w:p>
        </w:tc>
        <w:tc>
          <w:tcPr>
            <w:tcW w:w="623" w:type="dxa"/>
          </w:tcPr>
          <w:p>
            <w:pPr>
              <w:pStyle w:val="TableParagraph"/>
              <w:spacing w:before="69"/>
              <w:ind w:right="155"/>
              <w:rPr>
                <w:sz w:val="14"/>
              </w:rPr>
            </w:pPr>
            <w:r>
              <w:rPr>
                <w:w w:val="95"/>
                <w:sz w:val="14"/>
              </w:rPr>
              <w:t>478</w:t>
            </w:r>
          </w:p>
        </w:tc>
        <w:tc>
          <w:tcPr>
            <w:tcW w:w="596" w:type="dxa"/>
          </w:tcPr>
          <w:p>
            <w:pPr>
              <w:pStyle w:val="TableParagraph"/>
              <w:spacing w:before="69"/>
              <w:ind w:right="133"/>
              <w:rPr>
                <w:sz w:val="14"/>
              </w:rPr>
            </w:pPr>
            <w:r>
              <w:rPr>
                <w:w w:val="95"/>
                <w:sz w:val="14"/>
              </w:rPr>
              <w:t>483</w:t>
            </w:r>
          </w:p>
        </w:tc>
        <w:tc>
          <w:tcPr>
            <w:tcW w:w="551" w:type="dxa"/>
          </w:tcPr>
          <w:p>
            <w:pPr>
              <w:pStyle w:val="TableParagraph"/>
              <w:spacing w:before="69"/>
              <w:ind w:right="72"/>
              <w:rPr>
                <w:sz w:val="14"/>
              </w:rPr>
            </w:pPr>
            <w:r>
              <w:rPr>
                <w:w w:val="95"/>
                <w:sz w:val="14"/>
              </w:rPr>
              <w:t>490</w:t>
            </w:r>
          </w:p>
        </w:tc>
      </w:tr>
      <w:tr>
        <w:trPr>
          <w:trHeight w:val="402" w:hRule="exact"/>
        </w:trPr>
        <w:tc>
          <w:tcPr>
            <w:tcW w:w="8877" w:type="dxa"/>
            <w:gridSpan w:val="13"/>
          </w:tcPr>
          <w:p>
            <w:pPr>
              <w:pStyle w:val="TableParagraph"/>
              <w:spacing w:before="7"/>
              <w:jc w:val="left"/>
              <w:rPr>
                <w:sz w:val="13"/>
              </w:rPr>
            </w:pPr>
          </w:p>
          <w:p>
            <w:pPr>
              <w:pStyle w:val="TableParagraph"/>
              <w:ind w:left="3767" w:right="3774"/>
              <w:jc w:val="center"/>
              <w:rPr>
                <w:sz w:val="14"/>
              </w:rPr>
            </w:pPr>
            <w:r>
              <w:rPr>
                <w:sz w:val="14"/>
              </w:rPr>
              <w:t>(kilogramos per</w:t>
            </w:r>
            <w:r>
              <w:rPr>
                <w:spacing w:val="-11"/>
                <w:sz w:val="14"/>
              </w:rPr>
              <w:t> </w:t>
            </w:r>
            <w:r>
              <w:rPr>
                <w:sz w:val="14"/>
              </w:rPr>
              <w:t>cápita)</w:t>
            </w:r>
          </w:p>
        </w:tc>
      </w:tr>
      <w:tr>
        <w:trPr>
          <w:trHeight w:val="227" w:hRule="exact"/>
        </w:trPr>
        <w:tc>
          <w:tcPr>
            <w:tcW w:w="1596" w:type="dxa"/>
          </w:tcPr>
          <w:p>
            <w:pPr>
              <w:pStyle w:val="TableParagraph"/>
              <w:spacing w:before="69"/>
              <w:ind w:left="69" w:right="252"/>
              <w:jc w:val="left"/>
              <w:rPr>
                <w:sz w:val="14"/>
              </w:rPr>
            </w:pPr>
            <w:r>
              <w:rPr>
                <w:sz w:val="14"/>
              </w:rPr>
              <w:t>Consumo per cápita</w:t>
            </w:r>
          </w:p>
        </w:tc>
        <w:tc>
          <w:tcPr>
            <w:tcW w:w="500" w:type="dxa"/>
          </w:tcPr>
          <w:p>
            <w:pPr>
              <w:pStyle w:val="TableParagraph"/>
              <w:spacing w:before="69"/>
              <w:ind w:right="113"/>
              <w:rPr>
                <w:sz w:val="14"/>
              </w:rPr>
            </w:pPr>
            <w:r>
              <w:rPr>
                <w:sz w:val="14"/>
              </w:rPr>
              <w:t>4.2</w:t>
            </w:r>
          </w:p>
        </w:tc>
        <w:tc>
          <w:tcPr>
            <w:tcW w:w="615" w:type="dxa"/>
          </w:tcPr>
          <w:p>
            <w:pPr>
              <w:pStyle w:val="TableParagraph"/>
              <w:spacing w:before="69"/>
              <w:ind w:right="113"/>
              <w:rPr>
                <w:sz w:val="14"/>
              </w:rPr>
            </w:pPr>
            <w:r>
              <w:rPr>
                <w:sz w:val="14"/>
              </w:rPr>
              <w:t>4.2</w:t>
            </w:r>
          </w:p>
        </w:tc>
        <w:tc>
          <w:tcPr>
            <w:tcW w:w="593" w:type="dxa"/>
          </w:tcPr>
          <w:p>
            <w:pPr>
              <w:pStyle w:val="TableParagraph"/>
              <w:spacing w:before="69"/>
              <w:ind w:right="91"/>
              <w:rPr>
                <w:sz w:val="14"/>
              </w:rPr>
            </w:pPr>
            <w:r>
              <w:rPr>
                <w:sz w:val="14"/>
              </w:rPr>
              <w:t>3.9</w:t>
            </w:r>
          </w:p>
        </w:tc>
        <w:tc>
          <w:tcPr>
            <w:tcW w:w="644" w:type="dxa"/>
          </w:tcPr>
          <w:p>
            <w:pPr>
              <w:pStyle w:val="TableParagraph"/>
              <w:spacing w:before="69"/>
              <w:ind w:right="116"/>
              <w:rPr>
                <w:sz w:val="14"/>
              </w:rPr>
            </w:pPr>
            <w:r>
              <w:rPr>
                <w:sz w:val="14"/>
              </w:rPr>
              <w:t>3.9</w:t>
            </w:r>
          </w:p>
        </w:tc>
        <w:tc>
          <w:tcPr>
            <w:tcW w:w="628" w:type="dxa"/>
          </w:tcPr>
          <w:p>
            <w:pPr>
              <w:pStyle w:val="TableParagraph"/>
              <w:spacing w:before="69"/>
              <w:ind w:right="123"/>
              <w:rPr>
                <w:sz w:val="14"/>
              </w:rPr>
            </w:pPr>
            <w:r>
              <w:rPr>
                <w:sz w:val="14"/>
              </w:rPr>
              <w:t>3.9</w:t>
            </w:r>
          </w:p>
        </w:tc>
        <w:tc>
          <w:tcPr>
            <w:tcW w:w="630" w:type="dxa"/>
          </w:tcPr>
          <w:p>
            <w:pPr>
              <w:pStyle w:val="TableParagraph"/>
              <w:spacing w:before="69"/>
              <w:ind w:right="119"/>
              <w:rPr>
                <w:sz w:val="14"/>
              </w:rPr>
            </w:pPr>
            <w:r>
              <w:rPr>
                <w:sz w:val="14"/>
              </w:rPr>
              <w:t>3.8</w:t>
            </w:r>
          </w:p>
        </w:tc>
        <w:tc>
          <w:tcPr>
            <w:tcW w:w="628" w:type="dxa"/>
          </w:tcPr>
          <w:p>
            <w:pPr>
              <w:pStyle w:val="TableParagraph"/>
              <w:spacing w:before="69"/>
              <w:ind w:right="120"/>
              <w:rPr>
                <w:sz w:val="14"/>
              </w:rPr>
            </w:pPr>
            <w:r>
              <w:rPr>
                <w:sz w:val="14"/>
              </w:rPr>
              <w:t>3.8</w:t>
            </w:r>
          </w:p>
        </w:tc>
        <w:tc>
          <w:tcPr>
            <w:tcW w:w="642" w:type="dxa"/>
          </w:tcPr>
          <w:p>
            <w:pPr>
              <w:pStyle w:val="TableParagraph"/>
              <w:spacing w:before="69"/>
              <w:ind w:right="133"/>
              <w:rPr>
                <w:sz w:val="14"/>
              </w:rPr>
            </w:pPr>
            <w:r>
              <w:rPr>
                <w:sz w:val="14"/>
              </w:rPr>
              <w:t>3.8</w:t>
            </w:r>
          </w:p>
        </w:tc>
        <w:tc>
          <w:tcPr>
            <w:tcW w:w="631" w:type="dxa"/>
          </w:tcPr>
          <w:p>
            <w:pPr>
              <w:pStyle w:val="TableParagraph"/>
              <w:spacing w:before="69"/>
              <w:ind w:right="145"/>
              <w:rPr>
                <w:sz w:val="14"/>
              </w:rPr>
            </w:pPr>
            <w:r>
              <w:rPr>
                <w:sz w:val="14"/>
              </w:rPr>
              <w:t>3.8</w:t>
            </w:r>
          </w:p>
        </w:tc>
        <w:tc>
          <w:tcPr>
            <w:tcW w:w="623" w:type="dxa"/>
          </w:tcPr>
          <w:p>
            <w:pPr>
              <w:pStyle w:val="TableParagraph"/>
              <w:spacing w:before="69"/>
              <w:ind w:right="151"/>
              <w:rPr>
                <w:sz w:val="14"/>
              </w:rPr>
            </w:pPr>
            <w:r>
              <w:rPr>
                <w:sz w:val="14"/>
              </w:rPr>
              <w:t>3.8</w:t>
            </w:r>
          </w:p>
        </w:tc>
        <w:tc>
          <w:tcPr>
            <w:tcW w:w="596" w:type="dxa"/>
          </w:tcPr>
          <w:p>
            <w:pPr>
              <w:pStyle w:val="TableParagraph"/>
              <w:spacing w:before="69"/>
              <w:ind w:right="131"/>
              <w:rPr>
                <w:sz w:val="14"/>
              </w:rPr>
            </w:pPr>
            <w:r>
              <w:rPr>
                <w:sz w:val="14"/>
              </w:rPr>
              <w:t>3.8</w:t>
            </w:r>
          </w:p>
        </w:tc>
        <w:tc>
          <w:tcPr>
            <w:tcW w:w="551" w:type="dxa"/>
          </w:tcPr>
          <w:p>
            <w:pPr>
              <w:pStyle w:val="TableParagraph"/>
              <w:spacing w:before="69"/>
              <w:ind w:right="70"/>
              <w:rPr>
                <w:sz w:val="14"/>
              </w:rPr>
            </w:pPr>
            <w:r>
              <w:rPr>
                <w:sz w:val="14"/>
              </w:rPr>
              <w:t>3.8</w:t>
            </w:r>
          </w:p>
        </w:tc>
      </w:tr>
      <w:tr>
        <w:trPr>
          <w:trHeight w:val="404" w:hRule="exact"/>
        </w:trPr>
        <w:tc>
          <w:tcPr>
            <w:tcW w:w="8877" w:type="dxa"/>
            <w:gridSpan w:val="13"/>
          </w:tcPr>
          <w:p>
            <w:pPr>
              <w:pStyle w:val="TableParagraph"/>
              <w:spacing w:before="9"/>
              <w:jc w:val="left"/>
              <w:rPr>
                <w:sz w:val="13"/>
              </w:rPr>
            </w:pPr>
          </w:p>
          <w:p>
            <w:pPr>
              <w:pStyle w:val="TableParagraph"/>
              <w:tabs>
                <w:tab w:pos="3612" w:val="left" w:leader="none"/>
              </w:tabs>
              <w:ind w:left="69"/>
              <w:jc w:val="left"/>
              <w:rPr>
                <w:sz w:val="14"/>
              </w:rPr>
            </w:pPr>
            <w:r>
              <w:rPr>
                <w:sz w:val="14"/>
              </w:rPr>
              <w:t>Mantequilla</w:t>
              <w:tab/>
              <w:t>(Miles de toneladas</w:t>
            </w:r>
            <w:r>
              <w:rPr>
                <w:spacing w:val="-19"/>
                <w:sz w:val="14"/>
              </w:rPr>
              <w:t> </w:t>
            </w:r>
            <w:r>
              <w:rPr>
                <w:sz w:val="14"/>
              </w:rPr>
              <w:t>métricas)</w:t>
            </w:r>
          </w:p>
        </w:tc>
      </w:tr>
      <w:tr>
        <w:trPr>
          <w:trHeight w:val="314" w:hRule="exact"/>
        </w:trPr>
        <w:tc>
          <w:tcPr>
            <w:tcW w:w="1596" w:type="dxa"/>
          </w:tcPr>
          <w:p>
            <w:pPr>
              <w:pStyle w:val="TableParagraph"/>
              <w:spacing w:before="69"/>
              <w:ind w:left="69" w:right="252"/>
              <w:jc w:val="left"/>
              <w:rPr>
                <w:sz w:val="14"/>
              </w:rPr>
            </w:pPr>
            <w:r>
              <w:rPr>
                <w:sz w:val="14"/>
              </w:rPr>
              <w:t>Producción</w:t>
            </w:r>
          </w:p>
        </w:tc>
        <w:tc>
          <w:tcPr>
            <w:tcW w:w="500" w:type="dxa"/>
          </w:tcPr>
          <w:p>
            <w:pPr>
              <w:pStyle w:val="TableParagraph"/>
              <w:spacing w:before="69"/>
              <w:ind w:right="115"/>
              <w:rPr>
                <w:sz w:val="14"/>
              </w:rPr>
            </w:pPr>
            <w:r>
              <w:rPr>
                <w:w w:val="95"/>
                <w:sz w:val="14"/>
              </w:rPr>
              <w:t>171</w:t>
            </w:r>
          </w:p>
        </w:tc>
        <w:tc>
          <w:tcPr>
            <w:tcW w:w="615" w:type="dxa"/>
          </w:tcPr>
          <w:p>
            <w:pPr>
              <w:pStyle w:val="TableParagraph"/>
              <w:spacing w:before="69"/>
              <w:ind w:right="115"/>
              <w:rPr>
                <w:sz w:val="14"/>
              </w:rPr>
            </w:pPr>
            <w:r>
              <w:rPr>
                <w:w w:val="95"/>
                <w:sz w:val="14"/>
              </w:rPr>
              <w:t>173</w:t>
            </w:r>
          </w:p>
        </w:tc>
        <w:tc>
          <w:tcPr>
            <w:tcW w:w="593" w:type="dxa"/>
          </w:tcPr>
          <w:p>
            <w:pPr>
              <w:pStyle w:val="TableParagraph"/>
              <w:spacing w:before="69"/>
              <w:ind w:right="95"/>
              <w:rPr>
                <w:sz w:val="14"/>
              </w:rPr>
            </w:pPr>
            <w:r>
              <w:rPr>
                <w:w w:val="95"/>
                <w:sz w:val="14"/>
              </w:rPr>
              <w:t>175</w:t>
            </w:r>
          </w:p>
        </w:tc>
        <w:tc>
          <w:tcPr>
            <w:tcW w:w="644" w:type="dxa"/>
          </w:tcPr>
          <w:p>
            <w:pPr>
              <w:pStyle w:val="TableParagraph"/>
              <w:spacing w:before="69"/>
              <w:ind w:right="119"/>
              <w:rPr>
                <w:sz w:val="14"/>
              </w:rPr>
            </w:pPr>
            <w:r>
              <w:rPr>
                <w:w w:val="95"/>
                <w:sz w:val="14"/>
              </w:rPr>
              <w:t>184</w:t>
            </w:r>
          </w:p>
        </w:tc>
        <w:tc>
          <w:tcPr>
            <w:tcW w:w="628" w:type="dxa"/>
          </w:tcPr>
          <w:p>
            <w:pPr>
              <w:pStyle w:val="TableParagraph"/>
              <w:spacing w:before="69"/>
              <w:ind w:right="125"/>
              <w:rPr>
                <w:sz w:val="14"/>
              </w:rPr>
            </w:pPr>
            <w:r>
              <w:rPr>
                <w:w w:val="95"/>
                <w:sz w:val="14"/>
              </w:rPr>
              <w:t>189</w:t>
            </w:r>
          </w:p>
        </w:tc>
        <w:tc>
          <w:tcPr>
            <w:tcW w:w="630" w:type="dxa"/>
          </w:tcPr>
          <w:p>
            <w:pPr>
              <w:pStyle w:val="TableParagraph"/>
              <w:spacing w:before="69"/>
              <w:ind w:right="128"/>
              <w:rPr>
                <w:sz w:val="14"/>
              </w:rPr>
            </w:pPr>
            <w:r>
              <w:rPr>
                <w:w w:val="95"/>
                <w:sz w:val="14"/>
              </w:rPr>
              <w:t>193</w:t>
            </w:r>
          </w:p>
        </w:tc>
        <w:tc>
          <w:tcPr>
            <w:tcW w:w="628" w:type="dxa"/>
          </w:tcPr>
          <w:p>
            <w:pPr>
              <w:pStyle w:val="TableParagraph"/>
              <w:spacing w:before="69"/>
              <w:ind w:right="131"/>
              <w:rPr>
                <w:sz w:val="14"/>
              </w:rPr>
            </w:pPr>
            <w:r>
              <w:rPr>
                <w:w w:val="95"/>
                <w:sz w:val="14"/>
              </w:rPr>
              <w:t>196</w:t>
            </w:r>
          </w:p>
        </w:tc>
        <w:tc>
          <w:tcPr>
            <w:tcW w:w="642" w:type="dxa"/>
          </w:tcPr>
          <w:p>
            <w:pPr>
              <w:pStyle w:val="TableParagraph"/>
              <w:spacing w:before="69"/>
              <w:ind w:right="145"/>
              <w:rPr>
                <w:sz w:val="14"/>
              </w:rPr>
            </w:pPr>
            <w:r>
              <w:rPr>
                <w:w w:val="95"/>
                <w:sz w:val="14"/>
              </w:rPr>
              <w:t>199</w:t>
            </w:r>
          </w:p>
        </w:tc>
        <w:tc>
          <w:tcPr>
            <w:tcW w:w="631" w:type="dxa"/>
          </w:tcPr>
          <w:p>
            <w:pPr>
              <w:pStyle w:val="TableParagraph"/>
              <w:spacing w:before="69"/>
              <w:ind w:right="155"/>
              <w:rPr>
                <w:sz w:val="14"/>
              </w:rPr>
            </w:pPr>
            <w:r>
              <w:rPr>
                <w:w w:val="95"/>
                <w:sz w:val="14"/>
              </w:rPr>
              <w:t>200</w:t>
            </w:r>
          </w:p>
        </w:tc>
        <w:tc>
          <w:tcPr>
            <w:tcW w:w="623" w:type="dxa"/>
          </w:tcPr>
          <w:p>
            <w:pPr>
              <w:pStyle w:val="TableParagraph"/>
              <w:spacing w:before="69"/>
              <w:ind w:right="155"/>
              <w:rPr>
                <w:sz w:val="14"/>
              </w:rPr>
            </w:pPr>
            <w:r>
              <w:rPr>
                <w:w w:val="95"/>
                <w:sz w:val="14"/>
              </w:rPr>
              <w:t>202</w:t>
            </w:r>
          </w:p>
        </w:tc>
        <w:tc>
          <w:tcPr>
            <w:tcW w:w="596" w:type="dxa"/>
          </w:tcPr>
          <w:p>
            <w:pPr>
              <w:pStyle w:val="TableParagraph"/>
              <w:spacing w:before="69"/>
              <w:ind w:right="133"/>
              <w:rPr>
                <w:sz w:val="14"/>
              </w:rPr>
            </w:pPr>
            <w:r>
              <w:rPr>
                <w:w w:val="95"/>
                <w:sz w:val="14"/>
              </w:rPr>
              <w:t>205</w:t>
            </w:r>
          </w:p>
        </w:tc>
        <w:tc>
          <w:tcPr>
            <w:tcW w:w="551" w:type="dxa"/>
          </w:tcPr>
          <w:p>
            <w:pPr>
              <w:pStyle w:val="TableParagraph"/>
              <w:spacing w:before="69"/>
              <w:ind w:right="72"/>
              <w:rPr>
                <w:sz w:val="14"/>
              </w:rPr>
            </w:pPr>
            <w:r>
              <w:rPr>
                <w:w w:val="95"/>
                <w:sz w:val="14"/>
              </w:rPr>
              <w:t>209</w:t>
            </w:r>
          </w:p>
        </w:tc>
      </w:tr>
      <w:tr>
        <w:trPr>
          <w:trHeight w:val="314" w:hRule="exact"/>
        </w:trPr>
        <w:tc>
          <w:tcPr>
            <w:tcW w:w="1596" w:type="dxa"/>
          </w:tcPr>
          <w:p>
            <w:pPr>
              <w:pStyle w:val="TableParagraph"/>
              <w:spacing w:before="69"/>
              <w:ind w:left="69" w:right="252"/>
              <w:jc w:val="left"/>
              <w:rPr>
                <w:sz w:val="14"/>
              </w:rPr>
            </w:pPr>
            <w:r>
              <w:rPr>
                <w:sz w:val="14"/>
              </w:rPr>
              <w:t>Importaciones</w:t>
            </w:r>
          </w:p>
        </w:tc>
        <w:tc>
          <w:tcPr>
            <w:tcW w:w="500" w:type="dxa"/>
          </w:tcPr>
          <w:p>
            <w:pPr>
              <w:pStyle w:val="TableParagraph"/>
              <w:spacing w:before="69"/>
              <w:ind w:right="113"/>
              <w:rPr>
                <w:sz w:val="14"/>
              </w:rPr>
            </w:pPr>
            <w:r>
              <w:rPr>
                <w:w w:val="95"/>
                <w:sz w:val="14"/>
              </w:rPr>
              <w:t>53</w:t>
            </w:r>
          </w:p>
        </w:tc>
        <w:tc>
          <w:tcPr>
            <w:tcW w:w="615" w:type="dxa"/>
          </w:tcPr>
          <w:p>
            <w:pPr>
              <w:pStyle w:val="TableParagraph"/>
              <w:spacing w:before="69"/>
              <w:ind w:right="113"/>
              <w:rPr>
                <w:sz w:val="14"/>
              </w:rPr>
            </w:pPr>
            <w:r>
              <w:rPr>
                <w:w w:val="95"/>
                <w:sz w:val="14"/>
              </w:rPr>
              <w:t>45</w:t>
            </w:r>
          </w:p>
        </w:tc>
        <w:tc>
          <w:tcPr>
            <w:tcW w:w="593" w:type="dxa"/>
          </w:tcPr>
          <w:p>
            <w:pPr>
              <w:pStyle w:val="TableParagraph"/>
              <w:spacing w:before="69"/>
              <w:ind w:right="91"/>
              <w:rPr>
                <w:sz w:val="14"/>
              </w:rPr>
            </w:pPr>
            <w:r>
              <w:rPr>
                <w:w w:val="95"/>
                <w:sz w:val="14"/>
              </w:rPr>
              <w:t>48</w:t>
            </w:r>
          </w:p>
        </w:tc>
        <w:tc>
          <w:tcPr>
            <w:tcW w:w="644" w:type="dxa"/>
          </w:tcPr>
          <w:p>
            <w:pPr>
              <w:pStyle w:val="TableParagraph"/>
              <w:spacing w:before="69"/>
              <w:ind w:right="116"/>
              <w:rPr>
                <w:sz w:val="14"/>
              </w:rPr>
            </w:pPr>
            <w:r>
              <w:rPr>
                <w:w w:val="95"/>
                <w:sz w:val="14"/>
              </w:rPr>
              <w:t>29</w:t>
            </w:r>
          </w:p>
        </w:tc>
        <w:tc>
          <w:tcPr>
            <w:tcW w:w="628" w:type="dxa"/>
          </w:tcPr>
          <w:p>
            <w:pPr>
              <w:pStyle w:val="TableParagraph"/>
              <w:spacing w:before="69"/>
              <w:ind w:right="124"/>
              <w:rPr>
                <w:sz w:val="14"/>
              </w:rPr>
            </w:pPr>
            <w:r>
              <w:rPr>
                <w:w w:val="95"/>
                <w:sz w:val="14"/>
              </w:rPr>
              <w:t>30</w:t>
            </w:r>
          </w:p>
        </w:tc>
        <w:tc>
          <w:tcPr>
            <w:tcW w:w="630" w:type="dxa"/>
          </w:tcPr>
          <w:p>
            <w:pPr>
              <w:pStyle w:val="TableParagraph"/>
              <w:spacing w:before="69"/>
              <w:ind w:right="126"/>
              <w:rPr>
                <w:sz w:val="14"/>
              </w:rPr>
            </w:pPr>
            <w:r>
              <w:rPr>
                <w:w w:val="95"/>
                <w:sz w:val="14"/>
              </w:rPr>
              <w:t>31</w:t>
            </w:r>
          </w:p>
        </w:tc>
        <w:tc>
          <w:tcPr>
            <w:tcW w:w="628" w:type="dxa"/>
          </w:tcPr>
          <w:p>
            <w:pPr>
              <w:pStyle w:val="TableParagraph"/>
              <w:spacing w:before="69"/>
              <w:ind w:right="127"/>
              <w:rPr>
                <w:sz w:val="14"/>
              </w:rPr>
            </w:pPr>
            <w:r>
              <w:rPr>
                <w:w w:val="95"/>
                <w:sz w:val="14"/>
              </w:rPr>
              <w:t>34</w:t>
            </w:r>
          </w:p>
        </w:tc>
        <w:tc>
          <w:tcPr>
            <w:tcW w:w="642" w:type="dxa"/>
          </w:tcPr>
          <w:p>
            <w:pPr>
              <w:pStyle w:val="TableParagraph"/>
              <w:spacing w:before="69"/>
              <w:ind w:right="143"/>
              <w:rPr>
                <w:sz w:val="14"/>
              </w:rPr>
            </w:pPr>
            <w:r>
              <w:rPr>
                <w:w w:val="95"/>
                <w:sz w:val="14"/>
              </w:rPr>
              <w:t>36</w:t>
            </w:r>
          </w:p>
        </w:tc>
        <w:tc>
          <w:tcPr>
            <w:tcW w:w="631" w:type="dxa"/>
          </w:tcPr>
          <w:p>
            <w:pPr>
              <w:pStyle w:val="TableParagraph"/>
              <w:spacing w:before="69"/>
              <w:ind w:right="152"/>
              <w:rPr>
                <w:sz w:val="14"/>
              </w:rPr>
            </w:pPr>
            <w:r>
              <w:rPr>
                <w:w w:val="95"/>
                <w:sz w:val="14"/>
              </w:rPr>
              <w:t>40</w:t>
            </w:r>
          </w:p>
        </w:tc>
        <w:tc>
          <w:tcPr>
            <w:tcW w:w="623" w:type="dxa"/>
          </w:tcPr>
          <w:p>
            <w:pPr>
              <w:pStyle w:val="TableParagraph"/>
              <w:spacing w:before="69"/>
              <w:ind w:right="151"/>
              <w:rPr>
                <w:sz w:val="14"/>
              </w:rPr>
            </w:pPr>
            <w:r>
              <w:rPr>
                <w:w w:val="95"/>
                <w:sz w:val="14"/>
              </w:rPr>
              <w:t>43</w:t>
            </w:r>
          </w:p>
        </w:tc>
        <w:tc>
          <w:tcPr>
            <w:tcW w:w="596" w:type="dxa"/>
          </w:tcPr>
          <w:p>
            <w:pPr>
              <w:pStyle w:val="TableParagraph"/>
              <w:spacing w:before="69"/>
              <w:ind w:right="131"/>
              <w:rPr>
                <w:sz w:val="14"/>
              </w:rPr>
            </w:pPr>
            <w:r>
              <w:rPr>
                <w:w w:val="95"/>
                <w:sz w:val="14"/>
              </w:rPr>
              <w:t>45</w:t>
            </w:r>
          </w:p>
        </w:tc>
        <w:tc>
          <w:tcPr>
            <w:tcW w:w="551" w:type="dxa"/>
          </w:tcPr>
          <w:p>
            <w:pPr>
              <w:pStyle w:val="TableParagraph"/>
              <w:spacing w:before="69"/>
              <w:ind w:right="71"/>
              <w:rPr>
                <w:sz w:val="14"/>
              </w:rPr>
            </w:pPr>
            <w:r>
              <w:rPr>
                <w:w w:val="95"/>
                <w:sz w:val="14"/>
              </w:rPr>
              <w:t>47</w:t>
            </w:r>
          </w:p>
        </w:tc>
      </w:tr>
      <w:tr>
        <w:trPr>
          <w:trHeight w:val="316" w:hRule="exact"/>
        </w:trPr>
        <w:tc>
          <w:tcPr>
            <w:tcW w:w="1596" w:type="dxa"/>
          </w:tcPr>
          <w:p>
            <w:pPr>
              <w:pStyle w:val="TableParagraph"/>
              <w:spacing w:before="69"/>
              <w:ind w:left="69" w:right="252"/>
              <w:jc w:val="left"/>
              <w:rPr>
                <w:sz w:val="14"/>
              </w:rPr>
            </w:pPr>
            <w:r>
              <w:rPr>
                <w:sz w:val="14"/>
              </w:rPr>
              <w:t>Oferta</w:t>
            </w:r>
          </w:p>
        </w:tc>
        <w:tc>
          <w:tcPr>
            <w:tcW w:w="500" w:type="dxa"/>
          </w:tcPr>
          <w:p>
            <w:pPr>
              <w:pStyle w:val="TableParagraph"/>
              <w:spacing w:before="69"/>
              <w:ind w:right="115"/>
              <w:rPr>
                <w:sz w:val="14"/>
              </w:rPr>
            </w:pPr>
            <w:r>
              <w:rPr>
                <w:w w:val="95"/>
                <w:sz w:val="14"/>
              </w:rPr>
              <w:t>224</w:t>
            </w:r>
          </w:p>
        </w:tc>
        <w:tc>
          <w:tcPr>
            <w:tcW w:w="615" w:type="dxa"/>
          </w:tcPr>
          <w:p>
            <w:pPr>
              <w:pStyle w:val="TableParagraph"/>
              <w:spacing w:before="69"/>
              <w:ind w:right="115"/>
              <w:rPr>
                <w:sz w:val="14"/>
              </w:rPr>
            </w:pPr>
            <w:r>
              <w:rPr>
                <w:w w:val="95"/>
                <w:sz w:val="14"/>
              </w:rPr>
              <w:t>218</w:t>
            </w:r>
          </w:p>
        </w:tc>
        <w:tc>
          <w:tcPr>
            <w:tcW w:w="593" w:type="dxa"/>
          </w:tcPr>
          <w:p>
            <w:pPr>
              <w:pStyle w:val="TableParagraph"/>
              <w:spacing w:before="69"/>
              <w:ind w:right="95"/>
              <w:rPr>
                <w:sz w:val="14"/>
              </w:rPr>
            </w:pPr>
            <w:r>
              <w:rPr>
                <w:w w:val="95"/>
                <w:sz w:val="14"/>
              </w:rPr>
              <w:t>223</w:t>
            </w:r>
          </w:p>
        </w:tc>
        <w:tc>
          <w:tcPr>
            <w:tcW w:w="644" w:type="dxa"/>
          </w:tcPr>
          <w:p>
            <w:pPr>
              <w:pStyle w:val="TableParagraph"/>
              <w:spacing w:before="69"/>
              <w:ind w:right="119"/>
              <w:rPr>
                <w:sz w:val="14"/>
              </w:rPr>
            </w:pPr>
            <w:r>
              <w:rPr>
                <w:w w:val="95"/>
                <w:sz w:val="14"/>
              </w:rPr>
              <w:t>213</w:t>
            </w:r>
          </w:p>
        </w:tc>
        <w:tc>
          <w:tcPr>
            <w:tcW w:w="628" w:type="dxa"/>
          </w:tcPr>
          <w:p>
            <w:pPr>
              <w:pStyle w:val="TableParagraph"/>
              <w:spacing w:before="69"/>
              <w:ind w:right="125"/>
              <w:rPr>
                <w:sz w:val="14"/>
              </w:rPr>
            </w:pPr>
            <w:r>
              <w:rPr>
                <w:w w:val="95"/>
                <w:sz w:val="14"/>
              </w:rPr>
              <w:t>220</w:t>
            </w:r>
          </w:p>
        </w:tc>
        <w:tc>
          <w:tcPr>
            <w:tcW w:w="630" w:type="dxa"/>
          </w:tcPr>
          <w:p>
            <w:pPr>
              <w:pStyle w:val="TableParagraph"/>
              <w:spacing w:before="69"/>
              <w:ind w:right="128"/>
              <w:rPr>
                <w:sz w:val="14"/>
              </w:rPr>
            </w:pPr>
            <w:r>
              <w:rPr>
                <w:w w:val="95"/>
                <w:sz w:val="14"/>
              </w:rPr>
              <w:t>225</w:t>
            </w:r>
          </w:p>
        </w:tc>
        <w:tc>
          <w:tcPr>
            <w:tcW w:w="628" w:type="dxa"/>
          </w:tcPr>
          <w:p>
            <w:pPr>
              <w:pStyle w:val="TableParagraph"/>
              <w:spacing w:before="69"/>
              <w:ind w:right="131"/>
              <w:rPr>
                <w:sz w:val="14"/>
              </w:rPr>
            </w:pPr>
            <w:r>
              <w:rPr>
                <w:w w:val="95"/>
                <w:sz w:val="14"/>
              </w:rPr>
              <w:t>230</w:t>
            </w:r>
          </w:p>
        </w:tc>
        <w:tc>
          <w:tcPr>
            <w:tcW w:w="642" w:type="dxa"/>
          </w:tcPr>
          <w:p>
            <w:pPr>
              <w:pStyle w:val="TableParagraph"/>
              <w:spacing w:before="69"/>
              <w:ind w:right="145"/>
              <w:rPr>
                <w:sz w:val="14"/>
              </w:rPr>
            </w:pPr>
            <w:r>
              <w:rPr>
                <w:w w:val="95"/>
                <w:sz w:val="14"/>
              </w:rPr>
              <w:t>235</w:t>
            </w:r>
          </w:p>
        </w:tc>
        <w:tc>
          <w:tcPr>
            <w:tcW w:w="631" w:type="dxa"/>
          </w:tcPr>
          <w:p>
            <w:pPr>
              <w:pStyle w:val="TableParagraph"/>
              <w:spacing w:before="69"/>
              <w:ind w:right="155"/>
              <w:rPr>
                <w:sz w:val="14"/>
              </w:rPr>
            </w:pPr>
            <w:r>
              <w:rPr>
                <w:w w:val="95"/>
                <w:sz w:val="14"/>
              </w:rPr>
              <w:t>240</w:t>
            </w:r>
          </w:p>
        </w:tc>
        <w:tc>
          <w:tcPr>
            <w:tcW w:w="623" w:type="dxa"/>
          </w:tcPr>
          <w:p>
            <w:pPr>
              <w:pStyle w:val="TableParagraph"/>
              <w:spacing w:before="69"/>
              <w:ind w:right="155"/>
              <w:rPr>
                <w:sz w:val="14"/>
              </w:rPr>
            </w:pPr>
            <w:r>
              <w:rPr>
                <w:w w:val="95"/>
                <w:sz w:val="14"/>
              </w:rPr>
              <w:t>245</w:t>
            </w:r>
          </w:p>
        </w:tc>
        <w:tc>
          <w:tcPr>
            <w:tcW w:w="596" w:type="dxa"/>
          </w:tcPr>
          <w:p>
            <w:pPr>
              <w:pStyle w:val="TableParagraph"/>
              <w:spacing w:before="69"/>
              <w:ind w:right="133"/>
              <w:rPr>
                <w:sz w:val="14"/>
              </w:rPr>
            </w:pPr>
            <w:r>
              <w:rPr>
                <w:w w:val="95"/>
                <w:sz w:val="14"/>
              </w:rPr>
              <w:t>250</w:t>
            </w:r>
          </w:p>
        </w:tc>
        <w:tc>
          <w:tcPr>
            <w:tcW w:w="551" w:type="dxa"/>
          </w:tcPr>
          <w:p>
            <w:pPr>
              <w:pStyle w:val="TableParagraph"/>
              <w:spacing w:before="69"/>
              <w:ind w:right="72"/>
              <w:rPr>
                <w:sz w:val="14"/>
              </w:rPr>
            </w:pPr>
            <w:r>
              <w:rPr>
                <w:w w:val="95"/>
                <w:sz w:val="14"/>
              </w:rPr>
              <w:t>256</w:t>
            </w:r>
          </w:p>
        </w:tc>
      </w:tr>
      <w:tr>
        <w:trPr>
          <w:trHeight w:val="328" w:hRule="exact"/>
        </w:trPr>
        <w:tc>
          <w:tcPr>
            <w:tcW w:w="1596" w:type="dxa"/>
          </w:tcPr>
          <w:p>
            <w:pPr>
              <w:pStyle w:val="TableParagraph"/>
              <w:spacing w:before="70"/>
              <w:ind w:left="69" w:right="252"/>
              <w:jc w:val="left"/>
              <w:rPr>
                <w:sz w:val="14"/>
              </w:rPr>
            </w:pPr>
            <w:r>
              <w:rPr>
                <w:sz w:val="14"/>
              </w:rPr>
              <w:t>Consumo</w:t>
            </w:r>
          </w:p>
        </w:tc>
        <w:tc>
          <w:tcPr>
            <w:tcW w:w="500" w:type="dxa"/>
          </w:tcPr>
          <w:p>
            <w:pPr>
              <w:pStyle w:val="TableParagraph"/>
              <w:spacing w:before="70"/>
              <w:ind w:right="115"/>
              <w:rPr>
                <w:sz w:val="14"/>
              </w:rPr>
            </w:pPr>
            <w:r>
              <w:rPr>
                <w:w w:val="95"/>
                <w:sz w:val="14"/>
              </w:rPr>
              <w:t>224</w:t>
            </w:r>
          </w:p>
        </w:tc>
        <w:tc>
          <w:tcPr>
            <w:tcW w:w="615" w:type="dxa"/>
          </w:tcPr>
          <w:p>
            <w:pPr>
              <w:pStyle w:val="TableParagraph"/>
              <w:spacing w:before="70"/>
              <w:ind w:right="115"/>
              <w:rPr>
                <w:sz w:val="14"/>
              </w:rPr>
            </w:pPr>
            <w:r>
              <w:rPr>
                <w:w w:val="95"/>
                <w:sz w:val="14"/>
              </w:rPr>
              <w:t>218</w:t>
            </w:r>
          </w:p>
        </w:tc>
        <w:tc>
          <w:tcPr>
            <w:tcW w:w="593" w:type="dxa"/>
          </w:tcPr>
          <w:p>
            <w:pPr>
              <w:pStyle w:val="TableParagraph"/>
              <w:spacing w:before="70"/>
              <w:ind w:right="95"/>
              <w:rPr>
                <w:sz w:val="14"/>
              </w:rPr>
            </w:pPr>
            <w:r>
              <w:rPr>
                <w:w w:val="95"/>
                <w:sz w:val="14"/>
              </w:rPr>
              <w:t>223</w:t>
            </w:r>
          </w:p>
        </w:tc>
        <w:tc>
          <w:tcPr>
            <w:tcW w:w="644" w:type="dxa"/>
          </w:tcPr>
          <w:p>
            <w:pPr>
              <w:pStyle w:val="TableParagraph"/>
              <w:spacing w:before="70"/>
              <w:ind w:right="119"/>
              <w:rPr>
                <w:sz w:val="14"/>
              </w:rPr>
            </w:pPr>
            <w:r>
              <w:rPr>
                <w:w w:val="95"/>
                <w:sz w:val="14"/>
              </w:rPr>
              <w:t>213</w:t>
            </w:r>
          </w:p>
        </w:tc>
        <w:tc>
          <w:tcPr>
            <w:tcW w:w="628" w:type="dxa"/>
          </w:tcPr>
          <w:p>
            <w:pPr>
              <w:pStyle w:val="TableParagraph"/>
              <w:spacing w:before="70"/>
              <w:ind w:right="125"/>
              <w:rPr>
                <w:sz w:val="14"/>
              </w:rPr>
            </w:pPr>
            <w:r>
              <w:rPr>
                <w:w w:val="95"/>
                <w:sz w:val="14"/>
              </w:rPr>
              <w:t>220</w:t>
            </w:r>
          </w:p>
        </w:tc>
        <w:tc>
          <w:tcPr>
            <w:tcW w:w="630" w:type="dxa"/>
          </w:tcPr>
          <w:p>
            <w:pPr>
              <w:pStyle w:val="TableParagraph"/>
              <w:spacing w:before="70"/>
              <w:ind w:right="128"/>
              <w:rPr>
                <w:sz w:val="14"/>
              </w:rPr>
            </w:pPr>
            <w:r>
              <w:rPr>
                <w:w w:val="95"/>
                <w:sz w:val="14"/>
              </w:rPr>
              <w:t>225</w:t>
            </w:r>
          </w:p>
        </w:tc>
        <w:tc>
          <w:tcPr>
            <w:tcW w:w="628" w:type="dxa"/>
          </w:tcPr>
          <w:p>
            <w:pPr>
              <w:pStyle w:val="TableParagraph"/>
              <w:spacing w:before="70"/>
              <w:ind w:right="131"/>
              <w:rPr>
                <w:sz w:val="14"/>
              </w:rPr>
            </w:pPr>
            <w:r>
              <w:rPr>
                <w:w w:val="95"/>
                <w:sz w:val="14"/>
              </w:rPr>
              <w:t>230</w:t>
            </w:r>
          </w:p>
        </w:tc>
        <w:tc>
          <w:tcPr>
            <w:tcW w:w="642" w:type="dxa"/>
          </w:tcPr>
          <w:p>
            <w:pPr>
              <w:pStyle w:val="TableParagraph"/>
              <w:spacing w:before="70"/>
              <w:ind w:right="145"/>
              <w:rPr>
                <w:sz w:val="14"/>
              </w:rPr>
            </w:pPr>
            <w:r>
              <w:rPr>
                <w:w w:val="95"/>
                <w:sz w:val="14"/>
              </w:rPr>
              <w:t>235</w:t>
            </w:r>
          </w:p>
        </w:tc>
        <w:tc>
          <w:tcPr>
            <w:tcW w:w="631" w:type="dxa"/>
          </w:tcPr>
          <w:p>
            <w:pPr>
              <w:pStyle w:val="TableParagraph"/>
              <w:spacing w:before="70"/>
              <w:ind w:right="155"/>
              <w:rPr>
                <w:sz w:val="14"/>
              </w:rPr>
            </w:pPr>
            <w:r>
              <w:rPr>
                <w:w w:val="95"/>
                <w:sz w:val="14"/>
              </w:rPr>
              <w:t>240</w:t>
            </w:r>
          </w:p>
        </w:tc>
        <w:tc>
          <w:tcPr>
            <w:tcW w:w="623" w:type="dxa"/>
          </w:tcPr>
          <w:p>
            <w:pPr>
              <w:pStyle w:val="TableParagraph"/>
              <w:spacing w:before="70"/>
              <w:ind w:right="155"/>
              <w:rPr>
                <w:sz w:val="14"/>
              </w:rPr>
            </w:pPr>
            <w:r>
              <w:rPr>
                <w:w w:val="95"/>
                <w:sz w:val="14"/>
              </w:rPr>
              <w:t>245</w:t>
            </w:r>
          </w:p>
        </w:tc>
        <w:tc>
          <w:tcPr>
            <w:tcW w:w="596" w:type="dxa"/>
          </w:tcPr>
          <w:p>
            <w:pPr>
              <w:pStyle w:val="TableParagraph"/>
              <w:spacing w:before="70"/>
              <w:ind w:right="133"/>
              <w:rPr>
                <w:sz w:val="14"/>
              </w:rPr>
            </w:pPr>
            <w:r>
              <w:rPr>
                <w:w w:val="95"/>
                <w:sz w:val="14"/>
              </w:rPr>
              <w:t>250</w:t>
            </w:r>
          </w:p>
        </w:tc>
        <w:tc>
          <w:tcPr>
            <w:tcW w:w="551" w:type="dxa"/>
          </w:tcPr>
          <w:p>
            <w:pPr>
              <w:pStyle w:val="TableParagraph"/>
              <w:spacing w:before="70"/>
              <w:ind w:right="72"/>
              <w:rPr>
                <w:sz w:val="14"/>
              </w:rPr>
            </w:pPr>
            <w:r>
              <w:rPr>
                <w:w w:val="95"/>
                <w:sz w:val="14"/>
              </w:rPr>
              <w:t>256</w:t>
            </w:r>
          </w:p>
        </w:tc>
      </w:tr>
    </w:tbl>
    <w:p>
      <w:pPr>
        <w:spacing w:before="56"/>
        <w:ind w:left="3889" w:right="3893" w:firstLine="0"/>
        <w:jc w:val="center"/>
        <w:rPr>
          <w:sz w:val="14"/>
        </w:rPr>
      </w:pPr>
      <w:r>
        <w:rPr>
          <w:sz w:val="14"/>
        </w:rPr>
        <w:t>(Kilogramos per cápita)</w:t>
      </w:r>
    </w:p>
    <w:p>
      <w:pPr>
        <w:pStyle w:val="BodyText"/>
        <w:spacing w:before="3"/>
        <w:rPr>
          <w:sz w:val="13"/>
        </w:rPr>
      </w:pPr>
    </w:p>
    <w:p>
      <w:pPr>
        <w:tabs>
          <w:tab w:pos="1946" w:val="left" w:leader="none"/>
          <w:tab w:pos="2561" w:val="left" w:leader="none"/>
          <w:tab w:pos="3176" w:val="left" w:leader="none"/>
          <w:tab w:pos="3795" w:val="left" w:leader="none"/>
          <w:tab w:pos="4416" w:val="left" w:leader="none"/>
          <w:tab w:pos="5031" w:val="left" w:leader="none"/>
          <w:tab w:pos="5662" w:val="left" w:leader="none"/>
          <w:tab w:pos="6289" w:val="left" w:leader="none"/>
          <w:tab w:pos="6908" w:val="left" w:leader="none"/>
          <w:tab w:pos="7542" w:val="left" w:leader="none"/>
          <w:tab w:pos="8159" w:val="left" w:leader="none"/>
          <w:tab w:pos="8771" w:val="left" w:leader="none"/>
        </w:tabs>
        <w:spacing w:before="1"/>
        <w:ind w:left="211" w:right="0" w:firstLine="0"/>
        <w:jc w:val="left"/>
        <w:rPr>
          <w:sz w:val="14"/>
        </w:rPr>
      </w:pPr>
      <w:r>
        <w:rPr>
          <w:sz w:val="14"/>
        </w:rPr>
        <w:t>Consumo</w:t>
      </w:r>
      <w:r>
        <w:rPr>
          <w:spacing w:val="-2"/>
          <w:sz w:val="14"/>
        </w:rPr>
        <w:t> </w:t>
      </w:r>
      <w:r>
        <w:rPr>
          <w:sz w:val="14"/>
        </w:rPr>
        <w:t>per</w:t>
      </w:r>
      <w:r>
        <w:rPr>
          <w:spacing w:val="-2"/>
          <w:sz w:val="14"/>
        </w:rPr>
        <w:t> </w:t>
      </w:r>
      <w:r>
        <w:rPr>
          <w:sz w:val="14"/>
        </w:rPr>
        <w:t>cápita</w:t>
        <w:tab/>
        <w:t>2.0</w:t>
        <w:tab/>
        <w:t>1.8</w:t>
        <w:tab/>
        <w:t>1.8</w:t>
        <w:tab/>
        <w:t>1.8</w:t>
        <w:tab/>
        <w:t>1.9</w:t>
        <w:tab/>
        <w:t>1.9</w:t>
        <w:tab/>
        <w:t>1.9</w:t>
        <w:tab/>
        <w:t>1.9</w:t>
        <w:tab/>
        <w:t>2.0</w:t>
        <w:tab/>
        <w:t>2.0</w:t>
        <w:tab/>
        <w:t>2.0</w:t>
        <w:tab/>
        <w:t>2.0</w:t>
      </w:r>
    </w:p>
    <w:p>
      <w:pPr>
        <w:pStyle w:val="BodyText"/>
        <w:spacing w:before="3"/>
        <w:rPr>
          <w:sz w:val="13"/>
        </w:rPr>
      </w:pPr>
    </w:p>
    <w:p>
      <w:pPr>
        <w:tabs>
          <w:tab w:pos="3792" w:val="left" w:leader="none"/>
        </w:tabs>
        <w:spacing w:before="1"/>
        <w:ind w:left="211" w:right="0" w:firstLine="0"/>
        <w:jc w:val="left"/>
        <w:rPr>
          <w:sz w:val="14"/>
        </w:rPr>
      </w:pPr>
      <w:r>
        <w:rPr>
          <w:sz w:val="14"/>
        </w:rPr>
        <w:t>Queso</w:t>
        <w:tab/>
        <w:t>(Miles de toneladas</w:t>
      </w:r>
      <w:r>
        <w:rPr>
          <w:spacing w:val="-15"/>
          <w:sz w:val="14"/>
        </w:rPr>
        <w:t> </w:t>
      </w:r>
      <w:r>
        <w:rPr>
          <w:sz w:val="14"/>
        </w:rPr>
        <w:t>métricas)</w:t>
      </w:r>
    </w:p>
    <w:p>
      <w:pPr>
        <w:pStyle w:val="BodyText"/>
        <w:spacing w:before="5"/>
        <w:rPr>
          <w:sz w:val="6"/>
        </w:rPr>
      </w:pPr>
    </w:p>
    <w:tbl>
      <w:tblPr>
        <w:tblW w:w="0" w:type="auto"/>
        <w:jc w:val="left"/>
        <w:tblInd w:w="1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3"/>
        <w:gridCol w:w="864"/>
        <w:gridCol w:w="618"/>
        <w:gridCol w:w="618"/>
        <w:gridCol w:w="619"/>
        <w:gridCol w:w="624"/>
        <w:gridCol w:w="619"/>
        <w:gridCol w:w="619"/>
        <w:gridCol w:w="619"/>
        <w:gridCol w:w="624"/>
        <w:gridCol w:w="623"/>
        <w:gridCol w:w="620"/>
        <w:gridCol w:w="453"/>
      </w:tblGrid>
      <w:tr>
        <w:trPr>
          <w:trHeight w:val="327" w:hRule="exact"/>
        </w:trPr>
        <w:tc>
          <w:tcPr>
            <w:tcW w:w="1283" w:type="dxa"/>
          </w:tcPr>
          <w:p>
            <w:pPr>
              <w:pStyle w:val="TableParagraph"/>
              <w:spacing w:before="81"/>
              <w:ind w:left="35"/>
              <w:jc w:val="left"/>
              <w:rPr>
                <w:sz w:val="14"/>
              </w:rPr>
            </w:pPr>
            <w:r>
              <w:rPr>
                <w:sz w:val="14"/>
              </w:rPr>
              <w:t>Producción</w:t>
            </w:r>
          </w:p>
        </w:tc>
        <w:tc>
          <w:tcPr>
            <w:tcW w:w="864" w:type="dxa"/>
          </w:tcPr>
          <w:p>
            <w:pPr>
              <w:pStyle w:val="TableParagraph"/>
              <w:spacing w:before="81"/>
              <w:ind w:right="202"/>
              <w:rPr>
                <w:sz w:val="14"/>
              </w:rPr>
            </w:pPr>
            <w:r>
              <w:rPr>
                <w:sz w:val="14"/>
              </w:rPr>
              <w:t>242</w:t>
            </w:r>
          </w:p>
        </w:tc>
        <w:tc>
          <w:tcPr>
            <w:tcW w:w="618" w:type="dxa"/>
          </w:tcPr>
          <w:p>
            <w:pPr>
              <w:pStyle w:val="TableParagraph"/>
              <w:spacing w:before="81"/>
              <w:ind w:right="205"/>
              <w:rPr>
                <w:sz w:val="14"/>
              </w:rPr>
            </w:pPr>
            <w:r>
              <w:rPr>
                <w:w w:val="95"/>
                <w:sz w:val="14"/>
              </w:rPr>
              <w:t>244</w:t>
            </w:r>
          </w:p>
        </w:tc>
        <w:tc>
          <w:tcPr>
            <w:tcW w:w="618" w:type="dxa"/>
          </w:tcPr>
          <w:p>
            <w:pPr>
              <w:pStyle w:val="TableParagraph"/>
              <w:spacing w:before="81"/>
              <w:ind w:right="209"/>
              <w:rPr>
                <w:sz w:val="14"/>
              </w:rPr>
            </w:pPr>
            <w:r>
              <w:rPr>
                <w:w w:val="95"/>
                <w:sz w:val="14"/>
              </w:rPr>
              <w:t>247</w:t>
            </w:r>
          </w:p>
        </w:tc>
        <w:tc>
          <w:tcPr>
            <w:tcW w:w="619" w:type="dxa"/>
          </w:tcPr>
          <w:p>
            <w:pPr>
              <w:pStyle w:val="TableParagraph"/>
              <w:spacing w:before="81"/>
              <w:ind w:right="209"/>
              <w:rPr>
                <w:sz w:val="14"/>
              </w:rPr>
            </w:pPr>
            <w:r>
              <w:rPr>
                <w:w w:val="95"/>
                <w:sz w:val="14"/>
              </w:rPr>
              <w:t>255</w:t>
            </w:r>
          </w:p>
        </w:tc>
        <w:tc>
          <w:tcPr>
            <w:tcW w:w="624" w:type="dxa"/>
          </w:tcPr>
          <w:p>
            <w:pPr>
              <w:pStyle w:val="TableParagraph"/>
              <w:spacing w:before="81"/>
              <w:ind w:right="211"/>
              <w:rPr>
                <w:sz w:val="14"/>
              </w:rPr>
            </w:pPr>
            <w:r>
              <w:rPr>
                <w:w w:val="95"/>
                <w:sz w:val="14"/>
              </w:rPr>
              <w:t>261</w:t>
            </w:r>
          </w:p>
        </w:tc>
        <w:tc>
          <w:tcPr>
            <w:tcW w:w="619" w:type="dxa"/>
          </w:tcPr>
          <w:p>
            <w:pPr>
              <w:pStyle w:val="TableParagraph"/>
              <w:spacing w:before="81"/>
              <w:ind w:right="204"/>
              <w:rPr>
                <w:sz w:val="14"/>
              </w:rPr>
            </w:pPr>
            <w:r>
              <w:rPr>
                <w:w w:val="95"/>
                <w:sz w:val="14"/>
              </w:rPr>
              <w:t>263</w:t>
            </w:r>
          </w:p>
        </w:tc>
        <w:tc>
          <w:tcPr>
            <w:tcW w:w="619" w:type="dxa"/>
          </w:tcPr>
          <w:p>
            <w:pPr>
              <w:pStyle w:val="TableParagraph"/>
              <w:spacing w:before="81"/>
              <w:ind w:right="204"/>
              <w:rPr>
                <w:sz w:val="14"/>
              </w:rPr>
            </w:pPr>
            <w:r>
              <w:rPr>
                <w:w w:val="95"/>
                <w:sz w:val="14"/>
              </w:rPr>
              <w:t>266</w:t>
            </w:r>
          </w:p>
        </w:tc>
        <w:tc>
          <w:tcPr>
            <w:tcW w:w="619" w:type="dxa"/>
          </w:tcPr>
          <w:p>
            <w:pPr>
              <w:pStyle w:val="TableParagraph"/>
              <w:spacing w:before="81"/>
              <w:ind w:left="183" w:right="183"/>
              <w:jc w:val="center"/>
              <w:rPr>
                <w:sz w:val="14"/>
              </w:rPr>
            </w:pPr>
            <w:r>
              <w:rPr>
                <w:sz w:val="14"/>
              </w:rPr>
              <w:t>268</w:t>
            </w:r>
          </w:p>
        </w:tc>
        <w:tc>
          <w:tcPr>
            <w:tcW w:w="624" w:type="dxa"/>
          </w:tcPr>
          <w:p>
            <w:pPr>
              <w:pStyle w:val="TableParagraph"/>
              <w:spacing w:before="81"/>
              <w:ind w:right="209"/>
              <w:rPr>
                <w:sz w:val="14"/>
              </w:rPr>
            </w:pPr>
            <w:r>
              <w:rPr>
                <w:w w:val="95"/>
                <w:sz w:val="14"/>
              </w:rPr>
              <w:t>271</w:t>
            </w:r>
          </w:p>
        </w:tc>
        <w:tc>
          <w:tcPr>
            <w:tcW w:w="623" w:type="dxa"/>
          </w:tcPr>
          <w:p>
            <w:pPr>
              <w:pStyle w:val="TableParagraph"/>
              <w:spacing w:before="81"/>
              <w:ind w:right="203"/>
              <w:rPr>
                <w:sz w:val="14"/>
              </w:rPr>
            </w:pPr>
            <w:r>
              <w:rPr>
                <w:w w:val="95"/>
                <w:sz w:val="14"/>
              </w:rPr>
              <w:t>274</w:t>
            </w:r>
          </w:p>
        </w:tc>
        <w:tc>
          <w:tcPr>
            <w:tcW w:w="620" w:type="dxa"/>
          </w:tcPr>
          <w:p>
            <w:pPr>
              <w:pStyle w:val="TableParagraph"/>
              <w:spacing w:before="81"/>
              <w:ind w:right="206"/>
              <w:rPr>
                <w:sz w:val="14"/>
              </w:rPr>
            </w:pPr>
            <w:r>
              <w:rPr>
                <w:w w:val="95"/>
                <w:sz w:val="14"/>
              </w:rPr>
              <w:t>281</w:t>
            </w:r>
          </w:p>
        </w:tc>
        <w:tc>
          <w:tcPr>
            <w:tcW w:w="453" w:type="dxa"/>
          </w:tcPr>
          <w:p>
            <w:pPr>
              <w:pStyle w:val="TableParagraph"/>
              <w:spacing w:before="81"/>
              <w:ind w:right="35"/>
              <w:rPr>
                <w:sz w:val="14"/>
              </w:rPr>
            </w:pPr>
            <w:r>
              <w:rPr>
                <w:w w:val="95"/>
                <w:sz w:val="14"/>
              </w:rPr>
              <w:t>283</w:t>
            </w:r>
          </w:p>
        </w:tc>
      </w:tr>
      <w:tr>
        <w:trPr>
          <w:trHeight w:val="315" w:hRule="exact"/>
        </w:trPr>
        <w:tc>
          <w:tcPr>
            <w:tcW w:w="1283" w:type="dxa"/>
          </w:tcPr>
          <w:p>
            <w:pPr>
              <w:pStyle w:val="TableParagraph"/>
              <w:spacing w:before="69"/>
              <w:ind w:left="35"/>
              <w:jc w:val="left"/>
              <w:rPr>
                <w:sz w:val="14"/>
              </w:rPr>
            </w:pPr>
            <w:r>
              <w:rPr>
                <w:sz w:val="14"/>
              </w:rPr>
              <w:t>Importaciones</w:t>
            </w:r>
          </w:p>
        </w:tc>
        <w:tc>
          <w:tcPr>
            <w:tcW w:w="864" w:type="dxa"/>
          </w:tcPr>
          <w:p>
            <w:pPr>
              <w:pStyle w:val="TableParagraph"/>
              <w:spacing w:before="69"/>
              <w:ind w:right="199"/>
              <w:rPr>
                <w:sz w:val="14"/>
              </w:rPr>
            </w:pPr>
            <w:r>
              <w:rPr>
                <w:w w:val="95"/>
                <w:sz w:val="14"/>
              </w:rPr>
              <w:t>73</w:t>
            </w:r>
          </w:p>
        </w:tc>
        <w:tc>
          <w:tcPr>
            <w:tcW w:w="618" w:type="dxa"/>
          </w:tcPr>
          <w:p>
            <w:pPr>
              <w:pStyle w:val="TableParagraph"/>
              <w:spacing w:before="69"/>
              <w:ind w:right="203"/>
              <w:rPr>
                <w:sz w:val="14"/>
              </w:rPr>
            </w:pPr>
            <w:r>
              <w:rPr>
                <w:w w:val="95"/>
                <w:sz w:val="14"/>
              </w:rPr>
              <w:t>80</w:t>
            </w:r>
          </w:p>
        </w:tc>
        <w:tc>
          <w:tcPr>
            <w:tcW w:w="618" w:type="dxa"/>
          </w:tcPr>
          <w:p>
            <w:pPr>
              <w:pStyle w:val="TableParagraph"/>
              <w:spacing w:before="69"/>
              <w:ind w:right="206"/>
              <w:rPr>
                <w:sz w:val="14"/>
              </w:rPr>
            </w:pPr>
            <w:r>
              <w:rPr>
                <w:w w:val="95"/>
                <w:sz w:val="14"/>
              </w:rPr>
              <w:t>80</w:t>
            </w:r>
          </w:p>
        </w:tc>
        <w:tc>
          <w:tcPr>
            <w:tcW w:w="619" w:type="dxa"/>
          </w:tcPr>
          <w:p>
            <w:pPr>
              <w:pStyle w:val="TableParagraph"/>
              <w:spacing w:before="69"/>
              <w:ind w:right="206"/>
              <w:rPr>
                <w:sz w:val="14"/>
              </w:rPr>
            </w:pPr>
            <w:r>
              <w:rPr>
                <w:w w:val="95"/>
                <w:sz w:val="14"/>
              </w:rPr>
              <w:t>76</w:t>
            </w:r>
          </w:p>
        </w:tc>
        <w:tc>
          <w:tcPr>
            <w:tcW w:w="624" w:type="dxa"/>
          </w:tcPr>
          <w:p>
            <w:pPr>
              <w:pStyle w:val="TableParagraph"/>
              <w:spacing w:before="69"/>
              <w:ind w:right="209"/>
              <w:rPr>
                <w:sz w:val="14"/>
              </w:rPr>
            </w:pPr>
            <w:r>
              <w:rPr>
                <w:w w:val="95"/>
                <w:sz w:val="14"/>
              </w:rPr>
              <w:t>76</w:t>
            </w:r>
          </w:p>
        </w:tc>
        <w:tc>
          <w:tcPr>
            <w:tcW w:w="619" w:type="dxa"/>
          </w:tcPr>
          <w:p>
            <w:pPr>
              <w:pStyle w:val="TableParagraph"/>
              <w:spacing w:before="69"/>
              <w:ind w:right="203"/>
              <w:rPr>
                <w:sz w:val="14"/>
              </w:rPr>
            </w:pPr>
            <w:r>
              <w:rPr>
                <w:w w:val="95"/>
                <w:sz w:val="14"/>
              </w:rPr>
              <w:t>78</w:t>
            </w:r>
          </w:p>
        </w:tc>
        <w:tc>
          <w:tcPr>
            <w:tcW w:w="619" w:type="dxa"/>
          </w:tcPr>
          <w:p>
            <w:pPr>
              <w:pStyle w:val="TableParagraph"/>
              <w:spacing w:before="69"/>
              <w:ind w:right="203"/>
              <w:rPr>
                <w:sz w:val="14"/>
              </w:rPr>
            </w:pPr>
            <w:r>
              <w:rPr>
                <w:w w:val="95"/>
                <w:sz w:val="14"/>
              </w:rPr>
              <w:t>80</w:t>
            </w:r>
          </w:p>
        </w:tc>
        <w:tc>
          <w:tcPr>
            <w:tcW w:w="619" w:type="dxa"/>
          </w:tcPr>
          <w:p>
            <w:pPr>
              <w:pStyle w:val="TableParagraph"/>
              <w:spacing w:before="69"/>
              <w:ind w:left="184" w:right="112"/>
              <w:jc w:val="center"/>
              <w:rPr>
                <w:sz w:val="14"/>
              </w:rPr>
            </w:pPr>
            <w:r>
              <w:rPr>
                <w:sz w:val="14"/>
              </w:rPr>
              <w:t>83</w:t>
            </w:r>
          </w:p>
        </w:tc>
        <w:tc>
          <w:tcPr>
            <w:tcW w:w="624" w:type="dxa"/>
          </w:tcPr>
          <w:p>
            <w:pPr>
              <w:pStyle w:val="TableParagraph"/>
              <w:spacing w:before="69"/>
              <w:ind w:right="207"/>
              <w:rPr>
                <w:sz w:val="14"/>
              </w:rPr>
            </w:pPr>
            <w:r>
              <w:rPr>
                <w:w w:val="95"/>
                <w:sz w:val="14"/>
              </w:rPr>
              <w:t>84</w:t>
            </w:r>
          </w:p>
        </w:tc>
        <w:tc>
          <w:tcPr>
            <w:tcW w:w="623" w:type="dxa"/>
          </w:tcPr>
          <w:p>
            <w:pPr>
              <w:pStyle w:val="TableParagraph"/>
              <w:spacing w:before="69"/>
              <w:ind w:right="200"/>
              <w:rPr>
                <w:sz w:val="14"/>
              </w:rPr>
            </w:pPr>
            <w:r>
              <w:rPr>
                <w:w w:val="95"/>
                <w:sz w:val="14"/>
              </w:rPr>
              <w:t>85</w:t>
            </w:r>
          </w:p>
        </w:tc>
        <w:tc>
          <w:tcPr>
            <w:tcW w:w="620" w:type="dxa"/>
          </w:tcPr>
          <w:p>
            <w:pPr>
              <w:pStyle w:val="TableParagraph"/>
              <w:spacing w:before="69"/>
              <w:ind w:right="204"/>
              <w:rPr>
                <w:sz w:val="14"/>
              </w:rPr>
            </w:pPr>
            <w:r>
              <w:rPr>
                <w:w w:val="95"/>
                <w:sz w:val="14"/>
              </w:rPr>
              <w:t>81</w:t>
            </w:r>
          </w:p>
        </w:tc>
        <w:tc>
          <w:tcPr>
            <w:tcW w:w="453" w:type="dxa"/>
          </w:tcPr>
          <w:p>
            <w:pPr>
              <w:pStyle w:val="TableParagraph"/>
              <w:spacing w:before="69"/>
              <w:ind w:right="33"/>
              <w:rPr>
                <w:sz w:val="14"/>
              </w:rPr>
            </w:pPr>
            <w:r>
              <w:rPr>
                <w:w w:val="95"/>
                <w:sz w:val="14"/>
              </w:rPr>
              <w:t>85</w:t>
            </w:r>
          </w:p>
        </w:tc>
      </w:tr>
      <w:tr>
        <w:trPr>
          <w:trHeight w:val="314" w:hRule="exact"/>
        </w:trPr>
        <w:tc>
          <w:tcPr>
            <w:tcW w:w="1283" w:type="dxa"/>
          </w:tcPr>
          <w:p>
            <w:pPr>
              <w:pStyle w:val="TableParagraph"/>
              <w:spacing w:before="69"/>
              <w:ind w:left="35"/>
              <w:jc w:val="left"/>
              <w:rPr>
                <w:sz w:val="14"/>
              </w:rPr>
            </w:pPr>
            <w:r>
              <w:rPr>
                <w:sz w:val="14"/>
              </w:rPr>
              <w:t>Oferta</w:t>
            </w:r>
          </w:p>
        </w:tc>
        <w:tc>
          <w:tcPr>
            <w:tcW w:w="864" w:type="dxa"/>
          </w:tcPr>
          <w:p>
            <w:pPr>
              <w:pStyle w:val="TableParagraph"/>
              <w:spacing w:before="69"/>
              <w:ind w:right="202"/>
              <w:rPr>
                <w:sz w:val="14"/>
              </w:rPr>
            </w:pPr>
            <w:r>
              <w:rPr>
                <w:sz w:val="14"/>
              </w:rPr>
              <w:t>315</w:t>
            </w:r>
          </w:p>
        </w:tc>
        <w:tc>
          <w:tcPr>
            <w:tcW w:w="618" w:type="dxa"/>
          </w:tcPr>
          <w:p>
            <w:pPr>
              <w:pStyle w:val="TableParagraph"/>
              <w:spacing w:before="69"/>
              <w:ind w:right="198"/>
              <w:rPr>
                <w:sz w:val="14"/>
              </w:rPr>
            </w:pPr>
            <w:r>
              <w:rPr>
                <w:w w:val="95"/>
                <w:sz w:val="14"/>
              </w:rPr>
              <w:t>324</w:t>
            </w:r>
          </w:p>
        </w:tc>
        <w:tc>
          <w:tcPr>
            <w:tcW w:w="618" w:type="dxa"/>
          </w:tcPr>
          <w:p>
            <w:pPr>
              <w:pStyle w:val="TableParagraph"/>
              <w:spacing w:before="69"/>
              <w:ind w:right="199"/>
              <w:rPr>
                <w:sz w:val="14"/>
              </w:rPr>
            </w:pPr>
            <w:r>
              <w:rPr>
                <w:w w:val="95"/>
                <w:sz w:val="14"/>
              </w:rPr>
              <w:t>327</w:t>
            </w:r>
          </w:p>
        </w:tc>
        <w:tc>
          <w:tcPr>
            <w:tcW w:w="619" w:type="dxa"/>
          </w:tcPr>
          <w:p>
            <w:pPr>
              <w:pStyle w:val="TableParagraph"/>
              <w:spacing w:before="69"/>
              <w:ind w:right="203"/>
              <w:rPr>
                <w:sz w:val="14"/>
              </w:rPr>
            </w:pPr>
            <w:r>
              <w:rPr>
                <w:w w:val="95"/>
                <w:sz w:val="14"/>
              </w:rPr>
              <w:t>331</w:t>
            </w:r>
          </w:p>
        </w:tc>
        <w:tc>
          <w:tcPr>
            <w:tcW w:w="624" w:type="dxa"/>
          </w:tcPr>
          <w:p>
            <w:pPr>
              <w:pStyle w:val="TableParagraph"/>
              <w:spacing w:before="69"/>
              <w:ind w:right="204"/>
              <w:rPr>
                <w:sz w:val="14"/>
              </w:rPr>
            </w:pPr>
            <w:r>
              <w:rPr>
                <w:w w:val="95"/>
                <w:sz w:val="14"/>
              </w:rPr>
              <w:t>336</w:t>
            </w:r>
          </w:p>
        </w:tc>
        <w:tc>
          <w:tcPr>
            <w:tcW w:w="619" w:type="dxa"/>
          </w:tcPr>
          <w:p>
            <w:pPr>
              <w:pStyle w:val="TableParagraph"/>
              <w:spacing w:before="69"/>
              <w:ind w:right="204"/>
              <w:rPr>
                <w:sz w:val="14"/>
              </w:rPr>
            </w:pPr>
            <w:r>
              <w:rPr>
                <w:w w:val="95"/>
                <w:sz w:val="14"/>
              </w:rPr>
              <w:t>341</w:t>
            </w:r>
          </w:p>
        </w:tc>
        <w:tc>
          <w:tcPr>
            <w:tcW w:w="619" w:type="dxa"/>
          </w:tcPr>
          <w:p>
            <w:pPr>
              <w:pStyle w:val="TableParagraph"/>
              <w:spacing w:before="69"/>
              <w:ind w:right="204"/>
              <w:rPr>
                <w:sz w:val="14"/>
              </w:rPr>
            </w:pPr>
            <w:r>
              <w:rPr>
                <w:w w:val="95"/>
                <w:sz w:val="14"/>
              </w:rPr>
              <w:t>346</w:t>
            </w:r>
          </w:p>
        </w:tc>
        <w:tc>
          <w:tcPr>
            <w:tcW w:w="619" w:type="dxa"/>
          </w:tcPr>
          <w:p>
            <w:pPr>
              <w:pStyle w:val="TableParagraph"/>
              <w:spacing w:before="69"/>
              <w:ind w:left="183" w:right="183"/>
              <w:jc w:val="center"/>
              <w:rPr>
                <w:sz w:val="14"/>
              </w:rPr>
            </w:pPr>
            <w:r>
              <w:rPr>
                <w:sz w:val="14"/>
              </w:rPr>
              <w:t>351</w:t>
            </w:r>
          </w:p>
        </w:tc>
        <w:tc>
          <w:tcPr>
            <w:tcW w:w="624" w:type="dxa"/>
          </w:tcPr>
          <w:p>
            <w:pPr>
              <w:pStyle w:val="TableParagraph"/>
              <w:spacing w:before="69"/>
              <w:ind w:right="209"/>
              <w:rPr>
                <w:sz w:val="14"/>
              </w:rPr>
            </w:pPr>
            <w:r>
              <w:rPr>
                <w:w w:val="95"/>
                <w:sz w:val="14"/>
              </w:rPr>
              <w:t>356</w:t>
            </w:r>
          </w:p>
        </w:tc>
        <w:tc>
          <w:tcPr>
            <w:tcW w:w="623" w:type="dxa"/>
          </w:tcPr>
          <w:p>
            <w:pPr>
              <w:pStyle w:val="TableParagraph"/>
              <w:spacing w:before="69"/>
              <w:ind w:right="203"/>
              <w:rPr>
                <w:sz w:val="14"/>
              </w:rPr>
            </w:pPr>
            <w:r>
              <w:rPr>
                <w:w w:val="95"/>
                <w:sz w:val="14"/>
              </w:rPr>
              <w:t>359</w:t>
            </w:r>
          </w:p>
        </w:tc>
        <w:tc>
          <w:tcPr>
            <w:tcW w:w="620" w:type="dxa"/>
          </w:tcPr>
          <w:p>
            <w:pPr>
              <w:pStyle w:val="TableParagraph"/>
              <w:spacing w:before="69"/>
              <w:ind w:right="206"/>
              <w:rPr>
                <w:sz w:val="14"/>
              </w:rPr>
            </w:pPr>
            <w:r>
              <w:rPr>
                <w:w w:val="95"/>
                <w:sz w:val="14"/>
              </w:rPr>
              <w:t>362</w:t>
            </w:r>
          </w:p>
        </w:tc>
        <w:tc>
          <w:tcPr>
            <w:tcW w:w="453" w:type="dxa"/>
          </w:tcPr>
          <w:p>
            <w:pPr>
              <w:pStyle w:val="TableParagraph"/>
              <w:spacing w:before="69"/>
              <w:ind w:right="35"/>
              <w:rPr>
                <w:sz w:val="14"/>
              </w:rPr>
            </w:pPr>
            <w:r>
              <w:rPr>
                <w:w w:val="95"/>
                <w:sz w:val="14"/>
              </w:rPr>
              <w:t>368</w:t>
            </w:r>
          </w:p>
        </w:tc>
      </w:tr>
      <w:tr>
        <w:trPr>
          <w:trHeight w:val="316" w:hRule="exact"/>
        </w:trPr>
        <w:tc>
          <w:tcPr>
            <w:tcW w:w="1283" w:type="dxa"/>
          </w:tcPr>
          <w:p>
            <w:pPr>
              <w:pStyle w:val="TableParagraph"/>
              <w:spacing w:before="69"/>
              <w:ind w:left="35"/>
              <w:jc w:val="left"/>
              <w:rPr>
                <w:sz w:val="14"/>
              </w:rPr>
            </w:pPr>
            <w:r>
              <w:rPr>
                <w:sz w:val="14"/>
              </w:rPr>
              <w:t>Consumo</w:t>
            </w:r>
          </w:p>
        </w:tc>
        <w:tc>
          <w:tcPr>
            <w:tcW w:w="864" w:type="dxa"/>
          </w:tcPr>
          <w:p>
            <w:pPr>
              <w:pStyle w:val="TableParagraph"/>
              <w:spacing w:before="69"/>
              <w:ind w:right="202"/>
              <w:rPr>
                <w:sz w:val="14"/>
              </w:rPr>
            </w:pPr>
            <w:r>
              <w:rPr>
                <w:sz w:val="14"/>
              </w:rPr>
              <w:t>311</w:t>
            </w:r>
          </w:p>
        </w:tc>
        <w:tc>
          <w:tcPr>
            <w:tcW w:w="618" w:type="dxa"/>
          </w:tcPr>
          <w:p>
            <w:pPr>
              <w:pStyle w:val="TableParagraph"/>
              <w:spacing w:before="69"/>
              <w:ind w:right="198"/>
              <w:rPr>
                <w:sz w:val="14"/>
              </w:rPr>
            </w:pPr>
            <w:r>
              <w:rPr>
                <w:w w:val="95"/>
                <w:sz w:val="14"/>
              </w:rPr>
              <w:t>319</w:t>
            </w:r>
          </w:p>
        </w:tc>
        <w:tc>
          <w:tcPr>
            <w:tcW w:w="618" w:type="dxa"/>
          </w:tcPr>
          <w:p>
            <w:pPr>
              <w:pStyle w:val="TableParagraph"/>
              <w:spacing w:before="69"/>
              <w:ind w:right="199"/>
              <w:rPr>
                <w:sz w:val="14"/>
              </w:rPr>
            </w:pPr>
            <w:r>
              <w:rPr>
                <w:w w:val="95"/>
                <w:sz w:val="14"/>
              </w:rPr>
              <w:t>321</w:t>
            </w:r>
          </w:p>
        </w:tc>
        <w:tc>
          <w:tcPr>
            <w:tcW w:w="619" w:type="dxa"/>
          </w:tcPr>
          <w:p>
            <w:pPr>
              <w:pStyle w:val="TableParagraph"/>
              <w:spacing w:before="69"/>
              <w:ind w:right="203"/>
              <w:rPr>
                <w:sz w:val="14"/>
              </w:rPr>
            </w:pPr>
            <w:r>
              <w:rPr>
                <w:w w:val="95"/>
                <w:sz w:val="14"/>
              </w:rPr>
              <w:t>325</w:t>
            </w:r>
          </w:p>
        </w:tc>
        <w:tc>
          <w:tcPr>
            <w:tcW w:w="624" w:type="dxa"/>
          </w:tcPr>
          <w:p>
            <w:pPr>
              <w:pStyle w:val="TableParagraph"/>
              <w:spacing w:before="69"/>
              <w:ind w:right="204"/>
              <w:rPr>
                <w:sz w:val="14"/>
              </w:rPr>
            </w:pPr>
            <w:r>
              <w:rPr>
                <w:w w:val="95"/>
                <w:sz w:val="14"/>
              </w:rPr>
              <w:t>331</w:t>
            </w:r>
          </w:p>
        </w:tc>
        <w:tc>
          <w:tcPr>
            <w:tcW w:w="619" w:type="dxa"/>
          </w:tcPr>
          <w:p>
            <w:pPr>
              <w:pStyle w:val="TableParagraph"/>
              <w:spacing w:before="69"/>
              <w:ind w:right="204"/>
              <w:rPr>
                <w:sz w:val="14"/>
              </w:rPr>
            </w:pPr>
            <w:r>
              <w:rPr>
                <w:w w:val="95"/>
                <w:sz w:val="14"/>
              </w:rPr>
              <w:t>336</w:t>
            </w:r>
          </w:p>
        </w:tc>
        <w:tc>
          <w:tcPr>
            <w:tcW w:w="619" w:type="dxa"/>
          </w:tcPr>
          <w:p>
            <w:pPr>
              <w:pStyle w:val="TableParagraph"/>
              <w:spacing w:before="69"/>
              <w:ind w:right="204"/>
              <w:rPr>
                <w:sz w:val="14"/>
              </w:rPr>
            </w:pPr>
            <w:r>
              <w:rPr>
                <w:w w:val="95"/>
                <w:sz w:val="14"/>
              </w:rPr>
              <w:t>341</w:t>
            </w:r>
          </w:p>
        </w:tc>
        <w:tc>
          <w:tcPr>
            <w:tcW w:w="619" w:type="dxa"/>
          </w:tcPr>
          <w:p>
            <w:pPr>
              <w:pStyle w:val="TableParagraph"/>
              <w:spacing w:before="69"/>
              <w:ind w:left="183" w:right="183"/>
              <w:jc w:val="center"/>
              <w:rPr>
                <w:sz w:val="14"/>
              </w:rPr>
            </w:pPr>
            <w:r>
              <w:rPr>
                <w:sz w:val="14"/>
              </w:rPr>
              <w:t>345</w:t>
            </w:r>
          </w:p>
        </w:tc>
        <w:tc>
          <w:tcPr>
            <w:tcW w:w="624" w:type="dxa"/>
          </w:tcPr>
          <w:p>
            <w:pPr>
              <w:pStyle w:val="TableParagraph"/>
              <w:spacing w:before="69"/>
              <w:ind w:right="209"/>
              <w:rPr>
                <w:sz w:val="14"/>
              </w:rPr>
            </w:pPr>
            <w:r>
              <w:rPr>
                <w:w w:val="95"/>
                <w:sz w:val="14"/>
              </w:rPr>
              <w:t>350</w:t>
            </w:r>
          </w:p>
        </w:tc>
        <w:tc>
          <w:tcPr>
            <w:tcW w:w="623" w:type="dxa"/>
          </w:tcPr>
          <w:p>
            <w:pPr>
              <w:pStyle w:val="TableParagraph"/>
              <w:spacing w:before="69"/>
              <w:ind w:right="203"/>
              <w:rPr>
                <w:sz w:val="14"/>
              </w:rPr>
            </w:pPr>
            <w:r>
              <w:rPr>
                <w:w w:val="95"/>
                <w:sz w:val="14"/>
              </w:rPr>
              <w:t>354</w:t>
            </w:r>
          </w:p>
        </w:tc>
        <w:tc>
          <w:tcPr>
            <w:tcW w:w="620" w:type="dxa"/>
          </w:tcPr>
          <w:p>
            <w:pPr>
              <w:pStyle w:val="TableParagraph"/>
              <w:spacing w:before="69"/>
              <w:ind w:right="206"/>
              <w:rPr>
                <w:sz w:val="14"/>
              </w:rPr>
            </w:pPr>
            <w:r>
              <w:rPr>
                <w:w w:val="95"/>
                <w:sz w:val="14"/>
              </w:rPr>
              <w:t>356</w:t>
            </w:r>
          </w:p>
        </w:tc>
        <w:tc>
          <w:tcPr>
            <w:tcW w:w="453" w:type="dxa"/>
          </w:tcPr>
          <w:p>
            <w:pPr>
              <w:pStyle w:val="TableParagraph"/>
              <w:spacing w:before="69"/>
              <w:ind w:right="35"/>
              <w:rPr>
                <w:sz w:val="14"/>
              </w:rPr>
            </w:pPr>
            <w:r>
              <w:rPr>
                <w:w w:val="95"/>
                <w:sz w:val="14"/>
              </w:rPr>
              <w:t>362</w:t>
            </w:r>
          </w:p>
        </w:tc>
      </w:tr>
      <w:tr>
        <w:trPr>
          <w:trHeight w:val="328" w:hRule="exact"/>
        </w:trPr>
        <w:tc>
          <w:tcPr>
            <w:tcW w:w="1283" w:type="dxa"/>
          </w:tcPr>
          <w:p>
            <w:pPr>
              <w:pStyle w:val="TableParagraph"/>
              <w:spacing w:before="70"/>
              <w:ind w:left="35"/>
              <w:jc w:val="left"/>
              <w:rPr>
                <w:sz w:val="14"/>
              </w:rPr>
            </w:pPr>
            <w:r>
              <w:rPr>
                <w:sz w:val="14"/>
              </w:rPr>
              <w:t>Exportaciones</w:t>
            </w:r>
          </w:p>
        </w:tc>
        <w:tc>
          <w:tcPr>
            <w:tcW w:w="864" w:type="dxa"/>
          </w:tcPr>
          <w:p>
            <w:pPr>
              <w:pStyle w:val="TableParagraph"/>
              <w:spacing w:before="70"/>
              <w:ind w:right="199"/>
              <w:rPr>
                <w:sz w:val="14"/>
              </w:rPr>
            </w:pPr>
            <w:r>
              <w:rPr>
                <w:w w:val="99"/>
                <w:sz w:val="14"/>
              </w:rPr>
              <w:t>4</w:t>
            </w:r>
          </w:p>
        </w:tc>
        <w:tc>
          <w:tcPr>
            <w:tcW w:w="618" w:type="dxa"/>
          </w:tcPr>
          <w:p>
            <w:pPr>
              <w:pStyle w:val="TableParagraph"/>
              <w:spacing w:before="70"/>
              <w:ind w:right="197"/>
              <w:rPr>
                <w:sz w:val="14"/>
              </w:rPr>
            </w:pPr>
            <w:r>
              <w:rPr>
                <w:w w:val="99"/>
                <w:sz w:val="14"/>
              </w:rPr>
              <w:t>5</w:t>
            </w:r>
          </w:p>
        </w:tc>
        <w:tc>
          <w:tcPr>
            <w:tcW w:w="618" w:type="dxa"/>
          </w:tcPr>
          <w:p>
            <w:pPr>
              <w:pStyle w:val="TableParagraph"/>
              <w:spacing w:before="70"/>
              <w:ind w:right="197"/>
              <w:rPr>
                <w:sz w:val="14"/>
              </w:rPr>
            </w:pPr>
            <w:r>
              <w:rPr>
                <w:w w:val="99"/>
                <w:sz w:val="14"/>
              </w:rPr>
              <w:t>6</w:t>
            </w:r>
          </w:p>
        </w:tc>
        <w:tc>
          <w:tcPr>
            <w:tcW w:w="619" w:type="dxa"/>
          </w:tcPr>
          <w:p>
            <w:pPr>
              <w:pStyle w:val="TableParagraph"/>
              <w:spacing w:before="70"/>
              <w:ind w:right="199"/>
              <w:rPr>
                <w:sz w:val="14"/>
              </w:rPr>
            </w:pPr>
            <w:r>
              <w:rPr>
                <w:w w:val="99"/>
                <w:sz w:val="14"/>
              </w:rPr>
              <w:t>6</w:t>
            </w:r>
          </w:p>
        </w:tc>
        <w:tc>
          <w:tcPr>
            <w:tcW w:w="624" w:type="dxa"/>
          </w:tcPr>
          <w:p>
            <w:pPr>
              <w:pStyle w:val="TableParagraph"/>
              <w:spacing w:before="70"/>
              <w:ind w:right="202"/>
              <w:rPr>
                <w:sz w:val="14"/>
              </w:rPr>
            </w:pPr>
            <w:r>
              <w:rPr>
                <w:w w:val="99"/>
                <w:sz w:val="14"/>
              </w:rPr>
              <w:t>6</w:t>
            </w:r>
          </w:p>
        </w:tc>
        <w:tc>
          <w:tcPr>
            <w:tcW w:w="619" w:type="dxa"/>
          </w:tcPr>
          <w:p>
            <w:pPr>
              <w:pStyle w:val="TableParagraph"/>
              <w:spacing w:before="70"/>
              <w:ind w:right="203"/>
              <w:rPr>
                <w:sz w:val="14"/>
              </w:rPr>
            </w:pPr>
            <w:r>
              <w:rPr>
                <w:w w:val="99"/>
                <w:sz w:val="14"/>
              </w:rPr>
              <w:t>6</w:t>
            </w:r>
          </w:p>
        </w:tc>
        <w:tc>
          <w:tcPr>
            <w:tcW w:w="619" w:type="dxa"/>
          </w:tcPr>
          <w:p>
            <w:pPr>
              <w:pStyle w:val="TableParagraph"/>
              <w:spacing w:before="70"/>
              <w:ind w:right="203"/>
              <w:rPr>
                <w:sz w:val="14"/>
              </w:rPr>
            </w:pPr>
            <w:r>
              <w:rPr>
                <w:w w:val="99"/>
                <w:sz w:val="14"/>
              </w:rPr>
              <w:t>6</w:t>
            </w:r>
          </w:p>
        </w:tc>
        <w:tc>
          <w:tcPr>
            <w:tcW w:w="619" w:type="dxa"/>
          </w:tcPr>
          <w:p>
            <w:pPr>
              <w:pStyle w:val="TableParagraph"/>
              <w:spacing w:before="70"/>
              <w:ind w:left="141"/>
              <w:jc w:val="center"/>
              <w:rPr>
                <w:sz w:val="14"/>
              </w:rPr>
            </w:pPr>
            <w:r>
              <w:rPr>
                <w:w w:val="99"/>
                <w:sz w:val="14"/>
              </w:rPr>
              <w:t>6</w:t>
            </w:r>
          </w:p>
        </w:tc>
        <w:tc>
          <w:tcPr>
            <w:tcW w:w="624" w:type="dxa"/>
          </w:tcPr>
          <w:p>
            <w:pPr>
              <w:pStyle w:val="TableParagraph"/>
              <w:spacing w:before="70"/>
              <w:ind w:right="207"/>
              <w:rPr>
                <w:sz w:val="14"/>
              </w:rPr>
            </w:pPr>
            <w:r>
              <w:rPr>
                <w:w w:val="99"/>
                <w:sz w:val="14"/>
              </w:rPr>
              <w:t>6</w:t>
            </w:r>
          </w:p>
        </w:tc>
        <w:tc>
          <w:tcPr>
            <w:tcW w:w="623" w:type="dxa"/>
          </w:tcPr>
          <w:p>
            <w:pPr>
              <w:pStyle w:val="TableParagraph"/>
              <w:spacing w:before="70"/>
              <w:ind w:right="200"/>
              <w:rPr>
                <w:sz w:val="14"/>
              </w:rPr>
            </w:pPr>
            <w:r>
              <w:rPr>
                <w:w w:val="99"/>
                <w:sz w:val="14"/>
              </w:rPr>
              <w:t>6</w:t>
            </w:r>
          </w:p>
        </w:tc>
        <w:tc>
          <w:tcPr>
            <w:tcW w:w="620" w:type="dxa"/>
          </w:tcPr>
          <w:p>
            <w:pPr>
              <w:pStyle w:val="TableParagraph"/>
              <w:spacing w:before="70"/>
              <w:ind w:right="204"/>
              <w:rPr>
                <w:sz w:val="14"/>
              </w:rPr>
            </w:pPr>
            <w:r>
              <w:rPr>
                <w:w w:val="99"/>
                <w:sz w:val="14"/>
              </w:rPr>
              <w:t>6</w:t>
            </w:r>
          </w:p>
        </w:tc>
        <w:tc>
          <w:tcPr>
            <w:tcW w:w="453" w:type="dxa"/>
          </w:tcPr>
          <w:p>
            <w:pPr>
              <w:pStyle w:val="TableParagraph"/>
              <w:spacing w:before="70"/>
              <w:ind w:right="33"/>
              <w:rPr>
                <w:sz w:val="14"/>
              </w:rPr>
            </w:pPr>
            <w:r>
              <w:rPr>
                <w:w w:val="99"/>
                <w:sz w:val="14"/>
              </w:rPr>
              <w:t>6</w:t>
            </w:r>
          </w:p>
        </w:tc>
      </w:tr>
    </w:tbl>
    <w:p>
      <w:pPr>
        <w:spacing w:before="57"/>
        <w:ind w:left="3889" w:right="3893" w:firstLine="0"/>
        <w:jc w:val="center"/>
        <w:rPr>
          <w:sz w:val="14"/>
        </w:rPr>
      </w:pPr>
      <w:r>
        <w:rPr>
          <w:sz w:val="14"/>
        </w:rPr>
        <w:t>(Kilogramos per cápita)</w:t>
      </w:r>
    </w:p>
    <w:p>
      <w:pPr>
        <w:tabs>
          <w:tab w:pos="1877" w:val="left" w:leader="none"/>
          <w:tab w:pos="2499" w:val="left" w:leader="none"/>
          <w:tab w:pos="3116" w:val="left" w:leader="none"/>
          <w:tab w:pos="3732" w:val="left" w:leader="none"/>
          <w:tab w:pos="4354" w:val="left" w:leader="none"/>
          <w:tab w:pos="4974" w:val="left" w:leader="none"/>
          <w:tab w:pos="5600" w:val="left" w:leader="none"/>
          <w:tab w:pos="6219" w:val="left" w:leader="none"/>
          <w:tab w:pos="6838" w:val="left" w:leader="none"/>
          <w:tab w:pos="7461" w:val="left" w:leader="none"/>
          <w:tab w:pos="8077" w:val="left" w:leader="none"/>
          <w:tab w:pos="8946" w:val="right" w:leader="none"/>
        </w:tabs>
        <w:spacing w:before="292"/>
        <w:ind w:left="211" w:right="0" w:firstLine="0"/>
        <w:jc w:val="left"/>
        <w:rPr>
          <w:sz w:val="14"/>
        </w:rPr>
      </w:pPr>
      <w:r>
        <w:rPr/>
        <w:pict>
          <v:group style="position:absolute;margin-left:83.283997pt;margin-top:22.915154pt;width:446.8pt;height:2.2pt;mso-position-horizontal-relative:page;mso-position-vertical-relative:paragraph;z-index:-462232" coordorigin="1666,458" coordsize="8936,44">
            <v:line style="position:absolute" from="1688,480" to="3137,480" stroked="true" strokeweight="2.16pt" strokecolor="#000000"/>
            <v:line style="position:absolute" from="3123,480" to="3166,480" stroked="true" strokeweight="2.16pt" strokecolor="#000000"/>
            <v:line style="position:absolute" from="3166,480" to="3754,480" stroked="true" strokeweight="2.16pt" strokecolor="#000000"/>
            <v:line style="position:absolute" from="3740,480" to="3783,480" stroked="true" strokeweight="2.16pt" strokecolor="#000000"/>
            <v:line style="position:absolute" from="3783,480" to="4374,480" stroked="true" strokeweight="2.16pt" strokecolor="#000000"/>
            <v:line style="position:absolute" from="4359,480" to="4403,480" stroked="true" strokeweight="2.16pt" strokecolor="#000000"/>
            <v:line style="position:absolute" from="4403,480" to="4991,480" stroked="true" strokeweight="2.16pt" strokecolor="#000000"/>
            <v:line style="position:absolute" from="4976,480" to="5019,480" stroked="true" strokeweight="2.16pt" strokecolor="#000000"/>
            <v:line style="position:absolute" from="5019,480" to="5610,480" stroked="true" strokeweight="2.16pt" strokecolor="#000000"/>
            <v:line style="position:absolute" from="5595,480" to="5639,480" stroked="true" strokeweight="2.16pt" strokecolor="#000000"/>
            <v:line style="position:absolute" from="5639,480" to="6231,480" stroked="true" strokeweight="2.16pt" strokecolor="#000000"/>
            <v:line style="position:absolute" from="6217,480" to="6260,480" stroked="true" strokeweight="2.16pt" strokecolor="#000000"/>
            <v:line style="position:absolute" from="6260,480" to="6849,480" stroked="true" strokeweight="2.16pt" strokecolor="#000000"/>
            <v:line style="position:absolute" from="6834,480" to="6877,480" stroked="true" strokeweight="2.16pt" strokecolor="#000000"/>
            <v:line style="position:absolute" from="6877,480" to="7475,480" stroked="true" strokeweight="2.16pt" strokecolor="#000000"/>
            <v:line style="position:absolute" from="7461,480" to="7504,480" stroked="true" strokeweight="2.16pt" strokecolor="#000000"/>
            <v:line style="position:absolute" from="7504,480" to="8094,480" stroked="true" strokeweight="2.16pt" strokecolor="#000000"/>
            <v:line style="position:absolute" from="8080,480" to="8123,480" stroked="true" strokeweight="2.16pt" strokecolor="#000000"/>
            <v:line style="position:absolute" from="8123,480" to="8716,480" stroked="true" strokeweight="2.16pt" strokecolor="#000000"/>
            <v:line style="position:absolute" from="8701,480" to="8745,480" stroked="true" strokeweight="2.16pt" strokecolor="#000000"/>
            <v:line style="position:absolute" from="8745,480" to="9335,480" stroked="true" strokeweight="2.16pt" strokecolor="#000000"/>
            <v:line style="position:absolute" from="9321,480" to="9364,480" stroked="true" strokeweight="2.16pt" strokecolor="#000000"/>
            <v:line style="position:absolute" from="9364,480" to="9955,480" stroked="true" strokeweight="2.16pt" strokecolor="#000000"/>
            <v:line style="position:absolute" from="9940,480" to="9984,480" stroked="true" strokeweight="2.16pt" strokecolor="#000000"/>
            <v:line style="position:absolute" from="9984,480" to="10579,480" stroked="true" strokeweight="2.16pt" strokecolor="#000000"/>
            <w10:wrap type="none"/>
          </v:group>
        </w:pict>
      </w:r>
      <w:r>
        <w:rPr>
          <w:sz w:val="14"/>
        </w:rPr>
        <w:t>Consumo</w:t>
      </w:r>
      <w:r>
        <w:rPr>
          <w:spacing w:val="-2"/>
          <w:sz w:val="14"/>
        </w:rPr>
        <w:t> </w:t>
      </w:r>
      <w:r>
        <w:rPr>
          <w:sz w:val="14"/>
        </w:rPr>
        <w:t>per</w:t>
      </w:r>
      <w:r>
        <w:rPr>
          <w:spacing w:val="-2"/>
          <w:sz w:val="14"/>
        </w:rPr>
        <w:t> </w:t>
      </w:r>
      <w:r>
        <w:rPr>
          <w:sz w:val="14"/>
        </w:rPr>
        <w:t>cápita</w:t>
        <w:tab/>
        <w:t>2.81</w:t>
        <w:tab/>
        <w:t>2.84</w:t>
        <w:tab/>
        <w:t>2.82</w:t>
        <w:tab/>
        <w:t>2.82</w:t>
        <w:tab/>
        <w:t>2.83</w:t>
        <w:tab/>
        <w:t>2.84</w:t>
        <w:tab/>
        <w:t>2.84</w:t>
        <w:tab/>
        <w:t>2.85</w:t>
        <w:tab/>
        <w:t>2.85</w:t>
        <w:tab/>
        <w:t>2.85</w:t>
        <w:tab/>
        <w:t>2.84</w:t>
        <w:tab/>
        <w:t>2.86</w:t>
      </w:r>
    </w:p>
    <w:p>
      <w:pPr>
        <w:spacing w:before="44"/>
        <w:ind w:left="142" w:right="0" w:firstLine="0"/>
        <w:jc w:val="left"/>
        <w:rPr>
          <w:sz w:val="20"/>
        </w:rPr>
      </w:pPr>
      <w:r>
        <w:rPr>
          <w:sz w:val="20"/>
        </w:rPr>
        <w:t>Fuente: Elaboración propia con información de la Subsecretaria de Fomento a los Agronegocios (SFA).</w:t>
      </w:r>
    </w:p>
    <w:p>
      <w:pPr>
        <w:spacing w:after="0"/>
        <w:jc w:val="left"/>
        <w:rPr>
          <w:sz w:val="20"/>
        </w:rPr>
        <w:sectPr>
          <w:pgSz w:w="12240" w:h="15840"/>
          <w:pgMar w:header="0" w:footer="657" w:top="1360" w:bottom="840" w:left="1560" w:right="1520"/>
        </w:sectPr>
      </w:pPr>
    </w:p>
    <w:p>
      <w:pPr>
        <w:pStyle w:val="Heading2"/>
        <w:numPr>
          <w:ilvl w:val="2"/>
          <w:numId w:val="10"/>
        </w:numPr>
        <w:tabs>
          <w:tab w:pos="642" w:val="left" w:leader="none"/>
        </w:tabs>
        <w:spacing w:line="240" w:lineRule="auto" w:before="55" w:after="0"/>
        <w:ind w:left="642" w:right="0" w:hanging="540"/>
        <w:jc w:val="both"/>
        <w:rPr>
          <w:i/>
        </w:rPr>
      </w:pPr>
      <w:bookmarkStart w:name="_TOC_250041" w:id="1"/>
      <w:r>
        <w:rPr>
          <w:i/>
        </w:rPr>
        <w:t>Crecimiento</w:t>
      </w:r>
      <w:r>
        <w:rPr>
          <w:i/>
          <w:spacing w:val="-3"/>
        </w:rPr>
        <w:t> </w:t>
      </w:r>
      <w:bookmarkEnd w:id="1"/>
      <w:r>
        <w:rPr>
          <w:i/>
        </w:rPr>
        <w:t>económico</w:t>
      </w:r>
    </w:p>
    <w:p>
      <w:pPr>
        <w:pStyle w:val="BodyText"/>
        <w:spacing w:line="360" w:lineRule="auto" w:before="948"/>
        <w:ind w:left="102" w:right="118"/>
        <w:jc w:val="both"/>
      </w:pPr>
      <w:r>
        <w:rPr/>
        <w:t>La dinámica de crecimiento mundial repercute de manera inmediata en el crecimiento económico de México y en su sector agroalimentario. En 2010, el entorno macroeconómico internacional reflejó la recuperación económica, después de la crisis mundial de 2009, favoreciendo el crecimiento continuo de las actividades económicas. En el largo plazo, el Fondo Monetario Internacional (FMI), estima que el crecimiento económico mundial sea de 4.6% durante el periodo 2011-2020. Lo anterior impulsado principalmente por los altos niveles de crecimiento de países como China y la India. Por su parte, para el mismo periodo se estima un crecimiento de EUA de 2.7%, y 3.6% para México inferior al crecimiento mundial (Tabla 3).</w:t>
      </w:r>
    </w:p>
    <w:p>
      <w:pPr>
        <w:spacing w:before="716"/>
        <w:ind w:left="956" w:right="0" w:firstLine="0"/>
        <w:jc w:val="left"/>
        <w:rPr>
          <w:sz w:val="24"/>
        </w:rPr>
      </w:pPr>
      <w:r>
        <w:rPr/>
        <w:pict>
          <v:group style="position:absolute;margin-left:123.120003pt;margin-top:49.983128pt;width:365.8pt;height:2.2pt;mso-position-horizontal-relative:page;mso-position-vertical-relative:paragraph;z-index:1576" coordorigin="2462,1000" coordsize="7316,44">
            <v:line style="position:absolute" from="2484,1022" to="4090,1022" stroked="true" strokeweight="2.16pt" strokecolor="#000000"/>
            <v:line style="position:absolute" from="4091,1022" to="4134,1022" stroked="true" strokeweight="2.16pt" strokecolor="#000000"/>
            <v:line style="position:absolute" from="4134,1022" to="5291,1022" stroked="true" strokeweight="2.16pt" strokecolor="#000000"/>
            <v:line style="position:absolute" from="5291,1022" to="5334,1022" stroked="true" strokeweight="2.16pt" strokecolor="#000000"/>
            <v:line style="position:absolute" from="5334,1022" to="9756,1022" stroked="true" strokeweight="2.16pt" strokecolor="#000000"/>
            <w10:wrap type="none"/>
          </v:group>
        </w:pict>
      </w:r>
      <w:r>
        <w:rPr>
          <w:b/>
          <w:sz w:val="24"/>
        </w:rPr>
        <w:t>Tabla 3. </w:t>
      </w:r>
      <w:r>
        <w:rPr>
          <w:sz w:val="24"/>
        </w:rPr>
        <w:t>Producto Interno Bruto</w:t>
      </w:r>
    </w:p>
    <w:p>
      <w:pPr>
        <w:pStyle w:val="BodyText"/>
        <w:spacing w:before="105"/>
        <w:ind w:left="4552"/>
      </w:pPr>
      <w:r>
        <w:rPr/>
        <w:t>Crecimiento anual promedio</w:t>
      </w:r>
    </w:p>
    <w:p>
      <w:pPr>
        <w:pStyle w:val="BodyText"/>
        <w:spacing w:before="9"/>
        <w:rPr>
          <w:sz w:val="7"/>
        </w:rPr>
      </w:pPr>
    </w:p>
    <w:tbl>
      <w:tblPr>
        <w:tblW w:w="0" w:type="auto"/>
        <w:jc w:val="left"/>
        <w:tblInd w:w="8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795"/>
        <w:gridCol w:w="1751"/>
        <w:gridCol w:w="1795"/>
        <w:gridCol w:w="1560"/>
        <w:gridCol w:w="1370"/>
      </w:tblGrid>
      <w:tr>
        <w:trPr>
          <w:trHeight w:val="345" w:hRule="exact"/>
        </w:trPr>
        <w:tc>
          <w:tcPr>
            <w:tcW w:w="795" w:type="dxa"/>
            <w:tcBorders>
              <w:left w:val="nil"/>
              <w:bottom w:val="nil"/>
              <w:right w:val="nil"/>
            </w:tcBorders>
          </w:tcPr>
          <w:p>
            <w:pPr/>
          </w:p>
        </w:tc>
        <w:tc>
          <w:tcPr>
            <w:tcW w:w="1751" w:type="dxa"/>
            <w:tcBorders>
              <w:left w:val="nil"/>
              <w:bottom w:val="nil"/>
              <w:right w:val="nil"/>
            </w:tcBorders>
          </w:tcPr>
          <w:p>
            <w:pPr>
              <w:pStyle w:val="TableParagraph"/>
              <w:spacing w:before="13"/>
              <w:ind w:left="30"/>
              <w:jc w:val="left"/>
              <w:rPr>
                <w:sz w:val="24"/>
              </w:rPr>
            </w:pPr>
            <w:r>
              <w:rPr>
                <w:sz w:val="24"/>
              </w:rPr>
              <w:t>Región/País</w:t>
            </w:r>
          </w:p>
        </w:tc>
        <w:tc>
          <w:tcPr>
            <w:tcW w:w="1795" w:type="dxa"/>
            <w:tcBorders>
              <w:left w:val="nil"/>
              <w:bottom w:val="nil"/>
              <w:right w:val="nil"/>
            </w:tcBorders>
          </w:tcPr>
          <w:p>
            <w:pPr>
              <w:pStyle w:val="TableParagraph"/>
              <w:spacing w:before="13"/>
              <w:ind w:left="474" w:right="240"/>
              <w:jc w:val="center"/>
              <w:rPr>
                <w:sz w:val="24"/>
              </w:rPr>
            </w:pPr>
            <w:r>
              <w:rPr>
                <w:sz w:val="24"/>
              </w:rPr>
              <w:t>1991-2000</w:t>
            </w:r>
          </w:p>
        </w:tc>
        <w:tc>
          <w:tcPr>
            <w:tcW w:w="1560" w:type="dxa"/>
            <w:tcBorders>
              <w:left w:val="nil"/>
              <w:bottom w:val="nil"/>
              <w:right w:val="nil"/>
            </w:tcBorders>
          </w:tcPr>
          <w:p>
            <w:pPr>
              <w:pStyle w:val="TableParagraph"/>
              <w:spacing w:before="13"/>
              <w:ind w:left="260"/>
              <w:jc w:val="left"/>
              <w:rPr>
                <w:sz w:val="24"/>
              </w:rPr>
            </w:pPr>
            <w:r>
              <w:rPr>
                <w:sz w:val="24"/>
              </w:rPr>
              <w:t>2001-2010</w:t>
            </w:r>
          </w:p>
        </w:tc>
        <w:tc>
          <w:tcPr>
            <w:tcW w:w="1370" w:type="dxa"/>
            <w:tcBorders>
              <w:left w:val="nil"/>
              <w:bottom w:val="nil"/>
              <w:right w:val="nil"/>
            </w:tcBorders>
          </w:tcPr>
          <w:p>
            <w:pPr>
              <w:pStyle w:val="TableParagraph"/>
              <w:spacing w:before="13"/>
              <w:ind w:left="260"/>
              <w:jc w:val="left"/>
              <w:rPr>
                <w:sz w:val="24"/>
              </w:rPr>
            </w:pPr>
            <w:r>
              <w:rPr>
                <w:sz w:val="24"/>
              </w:rPr>
              <w:t>2011-2020</w:t>
            </w:r>
          </w:p>
        </w:tc>
      </w:tr>
      <w:tr>
        <w:trPr>
          <w:trHeight w:val="454" w:hRule="exact"/>
        </w:trPr>
        <w:tc>
          <w:tcPr>
            <w:tcW w:w="795" w:type="dxa"/>
            <w:tcBorders>
              <w:top w:val="nil"/>
              <w:left w:val="nil"/>
              <w:bottom w:val="nil"/>
              <w:right w:val="nil"/>
            </w:tcBorders>
          </w:tcPr>
          <w:p>
            <w:pPr>
              <w:pStyle w:val="TableParagraph"/>
              <w:spacing w:before="7"/>
              <w:ind w:left="71"/>
              <w:jc w:val="left"/>
              <w:rPr>
                <w:sz w:val="24"/>
              </w:rPr>
            </w:pPr>
            <w:r>
              <w:rPr>
                <w:sz w:val="24"/>
              </w:rPr>
              <w:t>Mundo</w:t>
            </w:r>
          </w:p>
        </w:tc>
        <w:tc>
          <w:tcPr>
            <w:tcW w:w="1751" w:type="dxa"/>
            <w:tcBorders>
              <w:top w:val="nil"/>
              <w:left w:val="nil"/>
              <w:bottom w:val="nil"/>
              <w:right w:val="nil"/>
            </w:tcBorders>
          </w:tcPr>
          <w:p>
            <w:pPr/>
          </w:p>
        </w:tc>
        <w:tc>
          <w:tcPr>
            <w:tcW w:w="1795" w:type="dxa"/>
            <w:tcBorders>
              <w:top w:val="nil"/>
              <w:left w:val="nil"/>
              <w:bottom w:val="nil"/>
              <w:right w:val="nil"/>
            </w:tcBorders>
          </w:tcPr>
          <w:p>
            <w:pPr>
              <w:pStyle w:val="TableParagraph"/>
              <w:spacing w:before="7"/>
              <w:ind w:left="311" w:right="240"/>
              <w:jc w:val="center"/>
              <w:rPr>
                <w:sz w:val="24"/>
              </w:rPr>
            </w:pPr>
            <w:r>
              <w:rPr>
                <w:sz w:val="24"/>
              </w:rPr>
              <w:t>3.2</w:t>
            </w:r>
          </w:p>
        </w:tc>
        <w:tc>
          <w:tcPr>
            <w:tcW w:w="1560" w:type="dxa"/>
            <w:tcBorders>
              <w:top w:val="nil"/>
              <w:left w:val="nil"/>
              <w:bottom w:val="nil"/>
              <w:right w:val="nil"/>
            </w:tcBorders>
          </w:tcPr>
          <w:p>
            <w:pPr>
              <w:pStyle w:val="TableParagraph"/>
              <w:spacing w:before="7"/>
              <w:ind w:left="469" w:right="630"/>
              <w:jc w:val="center"/>
              <w:rPr>
                <w:sz w:val="24"/>
              </w:rPr>
            </w:pPr>
            <w:r>
              <w:rPr>
                <w:sz w:val="24"/>
              </w:rPr>
              <w:t>3.6</w:t>
            </w:r>
          </w:p>
        </w:tc>
        <w:tc>
          <w:tcPr>
            <w:tcW w:w="1370" w:type="dxa"/>
            <w:tcBorders>
              <w:top w:val="nil"/>
              <w:left w:val="nil"/>
              <w:bottom w:val="nil"/>
              <w:right w:val="nil"/>
            </w:tcBorders>
          </w:tcPr>
          <w:p>
            <w:pPr>
              <w:pStyle w:val="TableParagraph"/>
              <w:spacing w:before="7"/>
              <w:ind w:left="528" w:right="501"/>
              <w:jc w:val="center"/>
              <w:rPr>
                <w:sz w:val="24"/>
              </w:rPr>
            </w:pPr>
            <w:r>
              <w:rPr>
                <w:sz w:val="24"/>
              </w:rPr>
              <w:t>4.6</w:t>
            </w:r>
          </w:p>
        </w:tc>
      </w:tr>
      <w:tr>
        <w:trPr>
          <w:trHeight w:val="452" w:hRule="exact"/>
        </w:trPr>
        <w:tc>
          <w:tcPr>
            <w:tcW w:w="2546" w:type="dxa"/>
            <w:gridSpan w:val="2"/>
            <w:tcBorders>
              <w:top w:val="nil"/>
              <w:left w:val="nil"/>
              <w:bottom w:val="nil"/>
              <w:right w:val="nil"/>
            </w:tcBorders>
          </w:tcPr>
          <w:p>
            <w:pPr>
              <w:pStyle w:val="TableParagraph"/>
              <w:spacing w:before="144"/>
              <w:ind w:left="551"/>
              <w:jc w:val="left"/>
              <w:rPr>
                <w:sz w:val="24"/>
              </w:rPr>
            </w:pPr>
            <w:r>
              <w:rPr>
                <w:sz w:val="24"/>
              </w:rPr>
              <w:t>Canadá</w:t>
            </w:r>
          </w:p>
        </w:tc>
        <w:tc>
          <w:tcPr>
            <w:tcW w:w="1795" w:type="dxa"/>
            <w:tcBorders>
              <w:top w:val="nil"/>
              <w:left w:val="nil"/>
              <w:bottom w:val="nil"/>
              <w:right w:val="nil"/>
            </w:tcBorders>
          </w:tcPr>
          <w:p>
            <w:pPr>
              <w:pStyle w:val="TableParagraph"/>
              <w:spacing w:before="144"/>
              <w:ind w:left="431" w:right="240"/>
              <w:jc w:val="center"/>
              <w:rPr>
                <w:sz w:val="24"/>
              </w:rPr>
            </w:pPr>
            <w:r>
              <w:rPr>
                <w:sz w:val="24"/>
              </w:rPr>
              <w:t>2.9</w:t>
            </w:r>
          </w:p>
        </w:tc>
        <w:tc>
          <w:tcPr>
            <w:tcW w:w="1560" w:type="dxa"/>
            <w:tcBorders>
              <w:top w:val="nil"/>
              <w:left w:val="nil"/>
              <w:bottom w:val="nil"/>
              <w:right w:val="nil"/>
            </w:tcBorders>
          </w:tcPr>
          <w:p>
            <w:pPr>
              <w:pStyle w:val="TableParagraph"/>
              <w:spacing w:before="144"/>
              <w:ind w:left="529" w:right="570"/>
              <w:jc w:val="center"/>
              <w:rPr>
                <w:sz w:val="24"/>
              </w:rPr>
            </w:pPr>
            <w:r>
              <w:rPr>
                <w:sz w:val="24"/>
              </w:rPr>
              <w:t>1.9</w:t>
            </w:r>
          </w:p>
        </w:tc>
        <w:tc>
          <w:tcPr>
            <w:tcW w:w="1370" w:type="dxa"/>
            <w:tcBorders>
              <w:top w:val="nil"/>
              <w:left w:val="nil"/>
              <w:bottom w:val="nil"/>
              <w:right w:val="nil"/>
            </w:tcBorders>
          </w:tcPr>
          <w:p>
            <w:pPr>
              <w:pStyle w:val="TableParagraph"/>
              <w:spacing w:before="144"/>
              <w:ind w:left="528" w:right="501"/>
              <w:jc w:val="center"/>
              <w:rPr>
                <w:sz w:val="24"/>
              </w:rPr>
            </w:pPr>
            <w:r>
              <w:rPr>
                <w:sz w:val="24"/>
              </w:rPr>
              <w:t>2.3</w:t>
            </w:r>
          </w:p>
        </w:tc>
      </w:tr>
      <w:tr>
        <w:trPr>
          <w:trHeight w:val="314" w:hRule="exact"/>
        </w:trPr>
        <w:tc>
          <w:tcPr>
            <w:tcW w:w="2546" w:type="dxa"/>
            <w:gridSpan w:val="2"/>
            <w:tcBorders>
              <w:top w:val="nil"/>
              <w:left w:val="nil"/>
              <w:bottom w:val="nil"/>
              <w:right w:val="nil"/>
            </w:tcBorders>
          </w:tcPr>
          <w:p>
            <w:pPr>
              <w:pStyle w:val="TableParagraph"/>
              <w:spacing w:before="6"/>
              <w:ind w:left="551"/>
              <w:jc w:val="left"/>
              <w:rPr>
                <w:sz w:val="24"/>
              </w:rPr>
            </w:pPr>
            <w:r>
              <w:rPr>
                <w:sz w:val="24"/>
              </w:rPr>
              <w:t>Estados Unidos</w:t>
            </w:r>
          </w:p>
        </w:tc>
        <w:tc>
          <w:tcPr>
            <w:tcW w:w="1795" w:type="dxa"/>
            <w:tcBorders>
              <w:top w:val="nil"/>
              <w:left w:val="nil"/>
              <w:bottom w:val="nil"/>
              <w:right w:val="nil"/>
            </w:tcBorders>
          </w:tcPr>
          <w:p>
            <w:pPr>
              <w:pStyle w:val="TableParagraph"/>
              <w:spacing w:before="6"/>
              <w:ind w:left="431" w:right="240"/>
              <w:jc w:val="center"/>
              <w:rPr>
                <w:sz w:val="24"/>
              </w:rPr>
            </w:pPr>
            <w:r>
              <w:rPr>
                <w:sz w:val="24"/>
              </w:rPr>
              <w:t>3.4</w:t>
            </w:r>
          </w:p>
        </w:tc>
        <w:tc>
          <w:tcPr>
            <w:tcW w:w="1560" w:type="dxa"/>
            <w:tcBorders>
              <w:top w:val="nil"/>
              <w:left w:val="nil"/>
              <w:bottom w:val="nil"/>
              <w:right w:val="nil"/>
            </w:tcBorders>
          </w:tcPr>
          <w:p>
            <w:pPr>
              <w:pStyle w:val="TableParagraph"/>
              <w:spacing w:before="6"/>
              <w:ind w:left="529" w:right="570"/>
              <w:jc w:val="center"/>
              <w:rPr>
                <w:sz w:val="24"/>
              </w:rPr>
            </w:pPr>
            <w:r>
              <w:rPr>
                <w:sz w:val="24"/>
              </w:rPr>
              <w:t>1.7</w:t>
            </w:r>
          </w:p>
        </w:tc>
        <w:tc>
          <w:tcPr>
            <w:tcW w:w="1370" w:type="dxa"/>
            <w:tcBorders>
              <w:top w:val="nil"/>
              <w:left w:val="nil"/>
              <w:bottom w:val="nil"/>
              <w:right w:val="nil"/>
            </w:tcBorders>
          </w:tcPr>
          <w:p>
            <w:pPr>
              <w:pStyle w:val="TableParagraph"/>
              <w:spacing w:before="6"/>
              <w:ind w:left="528" w:right="501"/>
              <w:jc w:val="center"/>
              <w:rPr>
                <w:sz w:val="24"/>
              </w:rPr>
            </w:pPr>
            <w:r>
              <w:rPr>
                <w:sz w:val="24"/>
              </w:rPr>
              <w:t>2.7</w:t>
            </w:r>
          </w:p>
        </w:tc>
      </w:tr>
      <w:tr>
        <w:trPr>
          <w:trHeight w:val="316" w:hRule="exact"/>
        </w:trPr>
        <w:tc>
          <w:tcPr>
            <w:tcW w:w="2546" w:type="dxa"/>
            <w:gridSpan w:val="2"/>
            <w:tcBorders>
              <w:top w:val="nil"/>
              <w:left w:val="nil"/>
              <w:bottom w:val="nil"/>
              <w:right w:val="nil"/>
            </w:tcBorders>
          </w:tcPr>
          <w:p>
            <w:pPr>
              <w:pStyle w:val="TableParagraph"/>
              <w:spacing w:before="6"/>
              <w:ind w:left="551"/>
              <w:jc w:val="left"/>
              <w:rPr>
                <w:sz w:val="24"/>
              </w:rPr>
            </w:pPr>
            <w:r>
              <w:rPr>
                <w:sz w:val="24"/>
              </w:rPr>
              <w:t>México</w:t>
            </w:r>
          </w:p>
        </w:tc>
        <w:tc>
          <w:tcPr>
            <w:tcW w:w="1795" w:type="dxa"/>
            <w:tcBorders>
              <w:top w:val="nil"/>
              <w:left w:val="nil"/>
              <w:bottom w:val="nil"/>
              <w:right w:val="nil"/>
            </w:tcBorders>
          </w:tcPr>
          <w:p>
            <w:pPr>
              <w:pStyle w:val="TableParagraph"/>
              <w:spacing w:before="6"/>
              <w:ind w:left="431" w:right="240"/>
              <w:jc w:val="center"/>
              <w:rPr>
                <w:sz w:val="24"/>
              </w:rPr>
            </w:pPr>
            <w:r>
              <w:rPr>
                <w:sz w:val="24"/>
              </w:rPr>
              <w:t>3.6</w:t>
            </w:r>
          </w:p>
        </w:tc>
        <w:tc>
          <w:tcPr>
            <w:tcW w:w="1560" w:type="dxa"/>
            <w:tcBorders>
              <w:top w:val="nil"/>
              <w:left w:val="nil"/>
              <w:bottom w:val="nil"/>
              <w:right w:val="nil"/>
            </w:tcBorders>
          </w:tcPr>
          <w:p>
            <w:pPr>
              <w:pStyle w:val="TableParagraph"/>
              <w:spacing w:before="6"/>
              <w:ind w:left="529" w:right="570"/>
              <w:jc w:val="center"/>
              <w:rPr>
                <w:sz w:val="24"/>
              </w:rPr>
            </w:pPr>
            <w:r>
              <w:rPr>
                <w:sz w:val="24"/>
              </w:rPr>
              <w:t>1.7</w:t>
            </w:r>
          </w:p>
        </w:tc>
        <w:tc>
          <w:tcPr>
            <w:tcW w:w="1370" w:type="dxa"/>
            <w:tcBorders>
              <w:top w:val="nil"/>
              <w:left w:val="nil"/>
              <w:bottom w:val="nil"/>
              <w:right w:val="nil"/>
            </w:tcBorders>
          </w:tcPr>
          <w:p>
            <w:pPr>
              <w:pStyle w:val="TableParagraph"/>
              <w:spacing w:before="6"/>
              <w:ind w:left="528" w:right="501"/>
              <w:jc w:val="center"/>
              <w:rPr>
                <w:sz w:val="24"/>
              </w:rPr>
            </w:pPr>
            <w:r>
              <w:rPr>
                <w:sz w:val="24"/>
              </w:rPr>
              <w:t>3.6</w:t>
            </w:r>
          </w:p>
        </w:tc>
      </w:tr>
      <w:tr>
        <w:trPr>
          <w:trHeight w:val="336" w:hRule="exact"/>
        </w:trPr>
        <w:tc>
          <w:tcPr>
            <w:tcW w:w="2546" w:type="dxa"/>
            <w:gridSpan w:val="2"/>
            <w:tcBorders>
              <w:top w:val="nil"/>
              <w:left w:val="nil"/>
              <w:bottom w:val="nil"/>
              <w:right w:val="nil"/>
            </w:tcBorders>
          </w:tcPr>
          <w:p>
            <w:pPr>
              <w:pStyle w:val="TableParagraph"/>
              <w:spacing w:before="7"/>
              <w:ind w:left="551"/>
              <w:jc w:val="left"/>
              <w:rPr>
                <w:sz w:val="24"/>
              </w:rPr>
            </w:pPr>
            <w:r>
              <w:rPr>
                <w:sz w:val="24"/>
              </w:rPr>
              <w:t>Unión Europea</w:t>
            </w:r>
          </w:p>
        </w:tc>
        <w:tc>
          <w:tcPr>
            <w:tcW w:w="1795" w:type="dxa"/>
            <w:tcBorders>
              <w:top w:val="nil"/>
              <w:left w:val="nil"/>
              <w:bottom w:val="nil"/>
              <w:right w:val="nil"/>
            </w:tcBorders>
          </w:tcPr>
          <w:p>
            <w:pPr>
              <w:pStyle w:val="TableParagraph"/>
              <w:spacing w:before="7"/>
              <w:ind w:left="431" w:right="240"/>
              <w:jc w:val="center"/>
              <w:rPr>
                <w:sz w:val="24"/>
              </w:rPr>
            </w:pPr>
            <w:r>
              <w:rPr>
                <w:sz w:val="24"/>
              </w:rPr>
              <w:t>2.3</w:t>
            </w:r>
          </w:p>
        </w:tc>
        <w:tc>
          <w:tcPr>
            <w:tcW w:w="1560" w:type="dxa"/>
            <w:tcBorders>
              <w:top w:val="nil"/>
              <w:left w:val="nil"/>
              <w:bottom w:val="nil"/>
              <w:right w:val="nil"/>
            </w:tcBorders>
          </w:tcPr>
          <w:p>
            <w:pPr>
              <w:pStyle w:val="TableParagraph"/>
              <w:spacing w:before="7"/>
              <w:ind w:left="529" w:right="570"/>
              <w:jc w:val="center"/>
              <w:rPr>
                <w:sz w:val="24"/>
              </w:rPr>
            </w:pPr>
            <w:r>
              <w:rPr>
                <w:sz w:val="24"/>
              </w:rPr>
              <w:t>1.5</w:t>
            </w:r>
          </w:p>
        </w:tc>
        <w:tc>
          <w:tcPr>
            <w:tcW w:w="1370" w:type="dxa"/>
            <w:tcBorders>
              <w:top w:val="nil"/>
              <w:left w:val="nil"/>
              <w:bottom w:val="nil"/>
              <w:right w:val="nil"/>
            </w:tcBorders>
          </w:tcPr>
          <w:p>
            <w:pPr>
              <w:pStyle w:val="TableParagraph"/>
              <w:spacing w:before="7"/>
              <w:ind w:left="528" w:right="501"/>
              <w:jc w:val="center"/>
              <w:rPr>
                <w:sz w:val="24"/>
              </w:rPr>
            </w:pPr>
            <w:r>
              <w:rPr>
                <w:sz w:val="24"/>
              </w:rPr>
              <w:t>2.1</w:t>
            </w:r>
          </w:p>
        </w:tc>
      </w:tr>
      <w:tr>
        <w:trPr>
          <w:trHeight w:val="392" w:hRule="exact"/>
        </w:trPr>
        <w:tc>
          <w:tcPr>
            <w:tcW w:w="2546" w:type="dxa"/>
            <w:gridSpan w:val="2"/>
            <w:tcBorders>
              <w:top w:val="nil"/>
              <w:left w:val="nil"/>
              <w:right w:val="nil"/>
            </w:tcBorders>
          </w:tcPr>
          <w:p>
            <w:pPr>
              <w:pStyle w:val="TableParagraph"/>
              <w:spacing w:before="26"/>
              <w:ind w:left="551"/>
              <w:jc w:val="left"/>
              <w:rPr>
                <w:sz w:val="24"/>
              </w:rPr>
            </w:pPr>
            <w:r>
              <w:rPr>
                <w:sz w:val="24"/>
              </w:rPr>
              <w:t>China</w:t>
            </w:r>
          </w:p>
        </w:tc>
        <w:tc>
          <w:tcPr>
            <w:tcW w:w="1795" w:type="dxa"/>
            <w:tcBorders>
              <w:top w:val="nil"/>
              <w:left w:val="nil"/>
              <w:right w:val="nil"/>
            </w:tcBorders>
          </w:tcPr>
          <w:p>
            <w:pPr>
              <w:pStyle w:val="TableParagraph"/>
              <w:spacing w:before="26"/>
              <w:ind w:left="311" w:right="240"/>
              <w:jc w:val="center"/>
              <w:rPr>
                <w:sz w:val="24"/>
              </w:rPr>
            </w:pPr>
            <w:r>
              <w:rPr>
                <w:sz w:val="24"/>
              </w:rPr>
              <w:t>10.5</w:t>
            </w:r>
          </w:p>
        </w:tc>
        <w:tc>
          <w:tcPr>
            <w:tcW w:w="1560" w:type="dxa"/>
            <w:tcBorders>
              <w:top w:val="nil"/>
              <w:left w:val="nil"/>
              <w:right w:val="nil"/>
            </w:tcBorders>
          </w:tcPr>
          <w:p>
            <w:pPr>
              <w:pStyle w:val="TableParagraph"/>
              <w:spacing w:before="26"/>
              <w:ind w:left="488"/>
              <w:jc w:val="left"/>
              <w:rPr>
                <w:sz w:val="24"/>
              </w:rPr>
            </w:pPr>
            <w:r>
              <w:rPr>
                <w:sz w:val="24"/>
              </w:rPr>
              <w:t>10.5</w:t>
            </w:r>
          </w:p>
        </w:tc>
        <w:tc>
          <w:tcPr>
            <w:tcW w:w="1370" w:type="dxa"/>
            <w:tcBorders>
              <w:top w:val="nil"/>
              <w:left w:val="nil"/>
              <w:right w:val="nil"/>
            </w:tcBorders>
          </w:tcPr>
          <w:p>
            <w:pPr>
              <w:pStyle w:val="TableParagraph"/>
              <w:spacing w:before="26"/>
              <w:ind w:left="528" w:right="501"/>
              <w:jc w:val="center"/>
              <w:rPr>
                <w:sz w:val="24"/>
              </w:rPr>
            </w:pPr>
            <w:r>
              <w:rPr>
                <w:sz w:val="24"/>
              </w:rPr>
              <w:t>9.5</w:t>
            </w:r>
          </w:p>
        </w:tc>
      </w:tr>
    </w:tbl>
    <w:p>
      <w:pPr>
        <w:spacing w:before="17"/>
        <w:ind w:left="956" w:right="0" w:firstLine="0"/>
        <w:jc w:val="left"/>
        <w:rPr>
          <w:sz w:val="20"/>
        </w:rPr>
      </w:pPr>
      <w:r>
        <w:rPr>
          <w:sz w:val="20"/>
        </w:rPr>
        <w:t>Fuente: FMI, World Economic Outlook Database abril, 2011.</w:t>
      </w:r>
    </w:p>
    <w:p>
      <w:pPr>
        <w:pStyle w:val="BodyText"/>
        <w:rPr>
          <w:sz w:val="20"/>
        </w:rPr>
      </w:pPr>
    </w:p>
    <w:p>
      <w:pPr>
        <w:pStyle w:val="BodyText"/>
        <w:rPr>
          <w:sz w:val="20"/>
        </w:rPr>
      </w:pPr>
    </w:p>
    <w:p>
      <w:pPr>
        <w:pStyle w:val="Heading2"/>
        <w:numPr>
          <w:ilvl w:val="2"/>
          <w:numId w:val="10"/>
        </w:numPr>
        <w:tabs>
          <w:tab w:pos="642" w:val="left" w:leader="none"/>
        </w:tabs>
        <w:spacing w:line="240" w:lineRule="auto" w:before="201" w:after="0"/>
        <w:ind w:left="642" w:right="0" w:hanging="540"/>
        <w:jc w:val="both"/>
        <w:rPr>
          <w:i/>
        </w:rPr>
      </w:pPr>
      <w:r>
        <w:rPr>
          <w:i/>
        </w:rPr>
        <w:t>Producto interno bruto</w:t>
      </w:r>
      <w:r>
        <w:rPr>
          <w:i/>
          <w:spacing w:val="-4"/>
        </w:rPr>
        <w:t> </w:t>
      </w:r>
      <w:r>
        <w:rPr>
          <w:i/>
        </w:rPr>
        <w:t>(PIB)</w:t>
      </w:r>
    </w:p>
    <w:p>
      <w:pPr>
        <w:pStyle w:val="BodyText"/>
        <w:rPr>
          <w:b/>
          <w:i/>
        </w:rPr>
      </w:pPr>
    </w:p>
    <w:p>
      <w:pPr>
        <w:pStyle w:val="BodyText"/>
        <w:rPr>
          <w:b/>
          <w:i/>
        </w:rPr>
      </w:pPr>
    </w:p>
    <w:p>
      <w:pPr>
        <w:pStyle w:val="BodyText"/>
        <w:spacing w:before="5"/>
        <w:rPr>
          <w:b/>
          <w:i/>
          <w:sz w:val="34"/>
        </w:rPr>
      </w:pPr>
    </w:p>
    <w:p>
      <w:pPr>
        <w:pStyle w:val="BodyText"/>
        <w:spacing w:line="360" w:lineRule="auto"/>
        <w:ind w:left="102" w:right="119"/>
        <w:jc w:val="both"/>
      </w:pPr>
      <w:r>
        <w:rPr/>
        <w:t>El</w:t>
      </w:r>
      <w:r>
        <w:rPr>
          <w:spacing w:val="-8"/>
        </w:rPr>
        <w:t> </w:t>
      </w:r>
      <w:r>
        <w:rPr/>
        <w:t>PIB</w:t>
      </w:r>
      <w:r>
        <w:rPr>
          <w:spacing w:val="-8"/>
        </w:rPr>
        <w:t> </w:t>
      </w:r>
      <w:r>
        <w:rPr/>
        <w:t>es</w:t>
      </w:r>
      <w:r>
        <w:rPr>
          <w:spacing w:val="-8"/>
        </w:rPr>
        <w:t> </w:t>
      </w:r>
      <w:r>
        <w:rPr/>
        <w:t>un</w:t>
      </w:r>
      <w:r>
        <w:rPr>
          <w:spacing w:val="-9"/>
        </w:rPr>
        <w:t> </w:t>
      </w:r>
      <w:r>
        <w:rPr/>
        <w:t>componente</w:t>
      </w:r>
      <w:r>
        <w:rPr>
          <w:spacing w:val="-8"/>
        </w:rPr>
        <w:t> </w:t>
      </w:r>
      <w:r>
        <w:rPr/>
        <w:t>fundamental</w:t>
      </w:r>
      <w:r>
        <w:rPr>
          <w:spacing w:val="-8"/>
        </w:rPr>
        <w:t> </w:t>
      </w:r>
      <w:r>
        <w:rPr/>
        <w:t>para</w:t>
      </w:r>
      <w:r>
        <w:rPr>
          <w:spacing w:val="-10"/>
        </w:rPr>
        <w:t> </w:t>
      </w:r>
      <w:r>
        <w:rPr/>
        <w:t>el</w:t>
      </w:r>
      <w:r>
        <w:rPr>
          <w:spacing w:val="-8"/>
        </w:rPr>
        <w:t> </w:t>
      </w:r>
      <w:r>
        <w:rPr/>
        <w:t>análisis</w:t>
      </w:r>
      <w:r>
        <w:rPr>
          <w:spacing w:val="-8"/>
        </w:rPr>
        <w:t> </w:t>
      </w:r>
      <w:r>
        <w:rPr/>
        <w:t>de</w:t>
      </w:r>
      <w:r>
        <w:rPr>
          <w:spacing w:val="-10"/>
        </w:rPr>
        <w:t> </w:t>
      </w:r>
      <w:r>
        <w:rPr/>
        <w:t>escenarios</w:t>
      </w:r>
      <w:r>
        <w:rPr>
          <w:spacing w:val="-8"/>
        </w:rPr>
        <w:t> </w:t>
      </w:r>
      <w:r>
        <w:rPr/>
        <w:t>de</w:t>
      </w:r>
      <w:r>
        <w:rPr>
          <w:spacing w:val="-10"/>
        </w:rPr>
        <w:t> </w:t>
      </w:r>
      <w:r>
        <w:rPr/>
        <w:t>viabilidad</w:t>
      </w:r>
      <w:r>
        <w:rPr>
          <w:spacing w:val="-9"/>
        </w:rPr>
        <w:t> </w:t>
      </w:r>
      <w:r>
        <w:rPr/>
        <w:t>económica y</w:t>
      </w:r>
      <w:r>
        <w:rPr>
          <w:spacing w:val="-11"/>
        </w:rPr>
        <w:t> </w:t>
      </w:r>
      <w:r>
        <w:rPr/>
        <w:t>financiera,</w:t>
      </w:r>
      <w:r>
        <w:rPr>
          <w:spacing w:val="-4"/>
        </w:rPr>
        <w:t> </w:t>
      </w:r>
      <w:r>
        <w:rPr>
          <w:spacing w:val="-3"/>
        </w:rPr>
        <w:t>ya</w:t>
      </w:r>
      <w:r>
        <w:rPr>
          <w:spacing w:val="-10"/>
        </w:rPr>
        <w:t> </w:t>
      </w:r>
      <w:r>
        <w:rPr/>
        <w:t>que</w:t>
      </w:r>
      <w:r>
        <w:rPr>
          <w:spacing w:val="-10"/>
        </w:rPr>
        <w:t> </w:t>
      </w:r>
      <w:r>
        <w:rPr/>
        <w:t>se</w:t>
      </w:r>
      <w:r>
        <w:rPr>
          <w:spacing w:val="-9"/>
        </w:rPr>
        <w:t> </w:t>
      </w:r>
      <w:r>
        <w:rPr/>
        <w:t>utiliza</w:t>
      </w:r>
      <w:r>
        <w:rPr>
          <w:spacing w:val="-10"/>
        </w:rPr>
        <w:t> </w:t>
      </w:r>
      <w:r>
        <w:rPr/>
        <w:t>como</w:t>
      </w:r>
      <w:r>
        <w:rPr>
          <w:spacing w:val="-8"/>
        </w:rPr>
        <w:t> </w:t>
      </w:r>
      <w:r>
        <w:rPr/>
        <w:t>una</w:t>
      </w:r>
      <w:r>
        <w:rPr>
          <w:spacing w:val="-10"/>
        </w:rPr>
        <w:t> </w:t>
      </w:r>
      <w:r>
        <w:rPr/>
        <w:t>variable</w:t>
      </w:r>
      <w:r>
        <w:rPr>
          <w:spacing w:val="-7"/>
        </w:rPr>
        <w:t> </w:t>
      </w:r>
      <w:r>
        <w:rPr/>
        <w:t>explicativa</w:t>
      </w:r>
      <w:r>
        <w:rPr>
          <w:spacing w:val="-10"/>
        </w:rPr>
        <w:t> </w:t>
      </w:r>
      <w:r>
        <w:rPr/>
        <w:t>de</w:t>
      </w:r>
      <w:r>
        <w:rPr>
          <w:spacing w:val="-10"/>
        </w:rPr>
        <w:t> </w:t>
      </w:r>
      <w:r>
        <w:rPr/>
        <w:t>los</w:t>
      </w:r>
      <w:r>
        <w:rPr>
          <w:spacing w:val="-8"/>
        </w:rPr>
        <w:t> </w:t>
      </w:r>
      <w:r>
        <w:rPr/>
        <w:t>cambios</w:t>
      </w:r>
      <w:r>
        <w:rPr>
          <w:spacing w:val="-8"/>
        </w:rPr>
        <w:t> </w:t>
      </w:r>
      <w:r>
        <w:rPr/>
        <w:t>en</w:t>
      </w:r>
      <w:r>
        <w:rPr>
          <w:spacing w:val="-9"/>
        </w:rPr>
        <w:t> </w:t>
      </w:r>
      <w:r>
        <w:rPr/>
        <w:t>el</w:t>
      </w:r>
      <w:r>
        <w:rPr>
          <w:spacing w:val="-8"/>
        </w:rPr>
        <w:t> </w:t>
      </w:r>
      <w:r>
        <w:rPr/>
        <w:t>ingreso</w:t>
      </w:r>
      <w:r>
        <w:rPr>
          <w:spacing w:val="-8"/>
        </w:rPr>
        <w:t> </w:t>
      </w:r>
      <w:r>
        <w:rPr/>
        <w:t>real de la población. Si bien, el ingreso varía en magnitud entre la población, el ingreso real es una de las principales variables que explican la demanda interna de alimentos en</w:t>
      </w:r>
      <w:r>
        <w:rPr>
          <w:spacing w:val="-9"/>
        </w:rPr>
        <w:t> </w:t>
      </w:r>
      <w:r>
        <w:rPr/>
        <w:t>México.</w:t>
      </w:r>
    </w:p>
    <w:p>
      <w:pPr>
        <w:spacing w:after="0" w:line="360" w:lineRule="auto"/>
        <w:jc w:val="both"/>
        <w:sectPr>
          <w:footerReference w:type="default" r:id="rId40"/>
          <w:pgSz w:w="12240" w:h="15840"/>
          <w:pgMar w:footer="657" w:header="0" w:top="1360" w:bottom="840" w:left="1600" w:right="1580"/>
        </w:sectPr>
      </w:pPr>
    </w:p>
    <w:p>
      <w:pPr>
        <w:pStyle w:val="BodyText"/>
        <w:spacing w:line="360" w:lineRule="auto" w:before="50"/>
        <w:ind w:left="122" w:right="159"/>
        <w:jc w:val="both"/>
      </w:pPr>
      <w:r>
        <w:rPr/>
        <w:t>Durante el año 2010, México recuperó el crecimiento económico al mostrar una variación anual de 5.1% en su PIB. Este crecimiento fue impulsado por sus tres sectores: primario, secundario y terciario, los cuales crecieron: 3.3%, 6% y 5%, respectivamente.</w:t>
      </w:r>
    </w:p>
    <w:p>
      <w:pPr>
        <w:pStyle w:val="BodyText"/>
      </w:pPr>
    </w:p>
    <w:p>
      <w:pPr>
        <w:pStyle w:val="BodyText"/>
      </w:pPr>
    </w:p>
    <w:p>
      <w:pPr>
        <w:pStyle w:val="BodyText"/>
        <w:spacing w:before="3"/>
        <w:rPr>
          <w:sz w:val="23"/>
        </w:rPr>
      </w:pPr>
    </w:p>
    <w:p>
      <w:pPr>
        <w:pStyle w:val="BodyText"/>
        <w:spacing w:line="360" w:lineRule="auto"/>
        <w:ind w:left="122" w:right="161"/>
        <w:jc w:val="both"/>
      </w:pPr>
      <w:r>
        <w:rPr/>
        <w:t>En la Figura 4, se observa el comportamiento del PIB mexicano desde 2006 hasta 2020. Se espera que la economía mexicana a partir del 2013 crezca a una tasa ligeramente superior al 3% anual promedio, proyección alineada con el intervalo de crecimiento potencial de este país (SAGARPA, 2011a y 2011b).</w:t>
      </w:r>
    </w:p>
    <w:p>
      <w:pPr>
        <w:pStyle w:val="BodyText"/>
        <w:rPr>
          <w:sz w:val="20"/>
        </w:rPr>
      </w:pPr>
    </w:p>
    <w:p>
      <w:pPr>
        <w:pStyle w:val="BodyText"/>
        <w:rPr>
          <w:sz w:val="19"/>
        </w:rPr>
      </w:pPr>
    </w:p>
    <w:p>
      <w:pPr>
        <w:spacing w:before="77"/>
        <w:ind w:left="268" w:right="0" w:firstLine="0"/>
        <w:jc w:val="left"/>
        <w:rPr>
          <w:sz w:val="18"/>
        </w:rPr>
      </w:pPr>
      <w:r>
        <w:rPr/>
        <w:pict>
          <v:group style="position:absolute;margin-left:84.830002pt;margin-top:18.552336pt;width:444.3pt;height:216.5pt;mso-position-horizontal-relative:page;mso-position-vertical-relative:paragraph;z-index:1624;mso-wrap-distance-left:0;mso-wrap-distance-right:0" coordorigin="1697,371" coordsize="8886,4330">
            <v:line style="position:absolute" from="2134,4475" to="10176,4475" stroked="true" strokeweight=".72pt" strokecolor="#d9d9d9"/>
            <v:line style="position:absolute" from="2134,3830" to="10176,3830" stroked="true" strokeweight=".72pt" strokecolor="#d9d9d9"/>
            <v:line style="position:absolute" from="2134,3184" to="10176,3184" stroked="true" strokeweight=".72pt" strokecolor="#d9d9d9"/>
            <v:line style="position:absolute" from="2134,1890" to="10176,1890" stroked="true" strokeweight=".72pt" strokecolor="#d9d9d9"/>
            <v:line style="position:absolute" from="2134,1242" to="10176,1242" stroked="true" strokeweight=".72pt" strokecolor="#d9d9d9"/>
            <v:line style="position:absolute" from="2134,597" to="10176,597" stroked="true" strokeweight=".72pt" strokecolor="#d9d9d9"/>
            <v:line style="position:absolute" from="2134,4475" to="2134,597" stroked="true" strokeweight=".72pt" strokecolor="#bebebe"/>
            <v:line style="position:absolute" from="2134,2536" to="10176,2536" stroked="true" strokeweight=".72pt" strokecolor="#bebebe"/>
            <v:shape style="position:absolute;left:2134;top:862;width:8057;height:3220" type="#_x0000_t75" stroked="false">
              <v:imagedata r:id="rId42" o:title=""/>
            </v:shape>
            <v:shape style="position:absolute;left:1702;top:376;width:8876;height:4320" type="#_x0000_t202" filled="false" stroked="true" strokeweight=".48pt" strokecolor="#000000">
              <v:textbox inset="0,0,0,0">
                <w:txbxContent>
                  <w:p>
                    <w:pPr>
                      <w:spacing w:before="104"/>
                      <w:ind w:left="184" w:right="0" w:firstLine="0"/>
                      <w:jc w:val="left"/>
                      <w:rPr>
                        <w:sz w:val="18"/>
                      </w:rPr>
                    </w:pPr>
                    <w:r>
                      <w:rPr>
                        <w:color w:val="585858"/>
                        <w:sz w:val="18"/>
                      </w:rPr>
                      <w:t>6</w:t>
                    </w:r>
                  </w:p>
                  <w:p>
                    <w:pPr>
                      <w:spacing w:line="240" w:lineRule="auto" w:before="0"/>
                      <w:rPr>
                        <w:sz w:val="18"/>
                      </w:rPr>
                    </w:pPr>
                  </w:p>
                  <w:p>
                    <w:pPr>
                      <w:spacing w:line="240" w:lineRule="auto" w:before="3"/>
                      <w:rPr>
                        <w:sz w:val="20"/>
                      </w:rPr>
                    </w:pPr>
                  </w:p>
                  <w:p>
                    <w:pPr>
                      <w:spacing w:before="0"/>
                      <w:ind w:left="184" w:right="0" w:firstLine="0"/>
                      <w:jc w:val="left"/>
                      <w:rPr>
                        <w:sz w:val="18"/>
                      </w:rPr>
                    </w:pPr>
                    <w:r>
                      <w:rPr>
                        <w:color w:val="585858"/>
                        <w:sz w:val="18"/>
                      </w:rPr>
                      <w:t>4</w:t>
                    </w:r>
                  </w:p>
                  <w:p>
                    <w:pPr>
                      <w:spacing w:line="240" w:lineRule="auto" w:before="0"/>
                      <w:rPr>
                        <w:sz w:val="18"/>
                      </w:rPr>
                    </w:pPr>
                  </w:p>
                  <w:p>
                    <w:pPr>
                      <w:spacing w:line="240" w:lineRule="auto" w:before="2"/>
                      <w:rPr>
                        <w:sz w:val="20"/>
                      </w:rPr>
                    </w:pPr>
                  </w:p>
                  <w:p>
                    <w:pPr>
                      <w:spacing w:before="0"/>
                      <w:ind w:left="184" w:right="0" w:firstLine="0"/>
                      <w:jc w:val="left"/>
                      <w:rPr>
                        <w:sz w:val="18"/>
                      </w:rPr>
                    </w:pPr>
                    <w:r>
                      <w:rPr>
                        <w:color w:val="585858"/>
                        <w:sz w:val="18"/>
                      </w:rPr>
                      <w:t>2</w:t>
                    </w:r>
                  </w:p>
                  <w:p>
                    <w:pPr>
                      <w:spacing w:line="240" w:lineRule="auto" w:before="0"/>
                      <w:rPr>
                        <w:sz w:val="18"/>
                      </w:rPr>
                    </w:pPr>
                  </w:p>
                  <w:p>
                    <w:pPr>
                      <w:spacing w:line="240" w:lineRule="auto" w:before="2"/>
                      <w:rPr>
                        <w:sz w:val="20"/>
                      </w:rPr>
                    </w:pPr>
                  </w:p>
                  <w:p>
                    <w:pPr>
                      <w:spacing w:before="0"/>
                      <w:ind w:left="184" w:right="0" w:firstLine="0"/>
                      <w:jc w:val="left"/>
                      <w:rPr>
                        <w:sz w:val="18"/>
                      </w:rPr>
                    </w:pPr>
                    <w:r>
                      <w:rPr>
                        <w:color w:val="585858"/>
                        <w:sz w:val="18"/>
                      </w:rPr>
                      <w:t>0</w:t>
                    </w:r>
                  </w:p>
                  <w:p>
                    <w:pPr>
                      <w:tabs>
                        <w:tab w:pos="822" w:val="left" w:leader="none"/>
                        <w:tab w:pos="1397" w:val="left" w:leader="none"/>
                        <w:tab w:pos="1971" w:val="left" w:leader="none"/>
                        <w:tab w:pos="2546" w:val="left" w:leader="none"/>
                        <w:tab w:pos="3120" w:val="left" w:leader="none"/>
                        <w:tab w:pos="3695" w:val="left" w:leader="none"/>
                        <w:tab w:pos="4269" w:val="left" w:leader="none"/>
                        <w:tab w:pos="4844" w:val="left" w:leader="none"/>
                        <w:tab w:pos="5419" w:val="left" w:leader="none"/>
                        <w:tab w:pos="5994" w:val="left" w:leader="none"/>
                        <w:tab w:pos="6568" w:val="left" w:leader="none"/>
                        <w:tab w:pos="7143" w:val="left" w:leader="none"/>
                        <w:tab w:pos="7717" w:val="left" w:leader="none"/>
                        <w:tab w:pos="8292" w:val="left" w:leader="none"/>
                      </w:tabs>
                      <w:spacing w:before="4"/>
                      <w:ind w:left="248" w:right="0" w:firstLine="0"/>
                      <w:jc w:val="left"/>
                      <w:rPr>
                        <w:sz w:val="18"/>
                      </w:rPr>
                    </w:pPr>
                    <w:r>
                      <w:rPr>
                        <w:color w:val="585858"/>
                        <w:sz w:val="18"/>
                      </w:rPr>
                      <w:t>2006</w:t>
                      <w:tab/>
                      <w:t>2007</w:t>
                      <w:tab/>
                      <w:t>2008</w:t>
                      <w:tab/>
                      <w:t>2009</w:t>
                      <w:tab/>
                      <w:t>2010</w:t>
                      <w:tab/>
                      <w:t>2011</w:t>
                      <w:tab/>
                      <w:t>2012</w:t>
                      <w:tab/>
                      <w:t>2013</w:t>
                      <w:tab/>
                      <w:t>2014</w:t>
                      <w:tab/>
                      <w:t>2015</w:t>
                      <w:tab/>
                      <w:t>2016</w:t>
                      <w:tab/>
                      <w:t>2017</w:t>
                      <w:tab/>
                      <w:t>2018</w:t>
                      <w:tab/>
                      <w:t>2019</w:t>
                      <w:tab/>
                      <w:t>2020</w:t>
                    </w:r>
                  </w:p>
                  <w:p>
                    <w:pPr>
                      <w:spacing w:line="240" w:lineRule="auto" w:before="9"/>
                      <w:rPr>
                        <w:sz w:val="19"/>
                      </w:rPr>
                    </w:pPr>
                  </w:p>
                  <w:p>
                    <w:pPr>
                      <w:spacing w:before="1"/>
                      <w:ind w:left="124" w:right="0" w:firstLine="0"/>
                      <w:jc w:val="left"/>
                      <w:rPr>
                        <w:sz w:val="18"/>
                      </w:rPr>
                    </w:pPr>
                    <w:r>
                      <w:rPr>
                        <w:color w:val="585858"/>
                        <w:sz w:val="18"/>
                      </w:rPr>
                      <w:t>-2</w:t>
                    </w:r>
                  </w:p>
                  <w:p>
                    <w:pPr>
                      <w:spacing w:line="240" w:lineRule="auto" w:before="0"/>
                      <w:rPr>
                        <w:sz w:val="18"/>
                      </w:rPr>
                    </w:pPr>
                  </w:p>
                  <w:p>
                    <w:pPr>
                      <w:spacing w:line="240" w:lineRule="auto" w:before="2"/>
                      <w:rPr>
                        <w:sz w:val="20"/>
                      </w:rPr>
                    </w:pPr>
                  </w:p>
                  <w:p>
                    <w:pPr>
                      <w:spacing w:before="0"/>
                      <w:ind w:left="124" w:right="0" w:firstLine="0"/>
                      <w:jc w:val="left"/>
                      <w:rPr>
                        <w:sz w:val="18"/>
                      </w:rPr>
                    </w:pPr>
                    <w:r>
                      <w:rPr>
                        <w:color w:val="585858"/>
                        <w:sz w:val="18"/>
                      </w:rPr>
                      <w:t>-4</w:t>
                    </w:r>
                  </w:p>
                  <w:p>
                    <w:pPr>
                      <w:spacing w:line="240" w:lineRule="auto" w:before="0"/>
                      <w:rPr>
                        <w:sz w:val="18"/>
                      </w:rPr>
                    </w:pPr>
                  </w:p>
                  <w:p>
                    <w:pPr>
                      <w:spacing w:line="240" w:lineRule="auto" w:before="3"/>
                      <w:rPr>
                        <w:sz w:val="20"/>
                      </w:rPr>
                    </w:pPr>
                  </w:p>
                  <w:p>
                    <w:pPr>
                      <w:spacing w:before="0"/>
                      <w:ind w:left="124" w:right="0" w:firstLine="0"/>
                      <w:jc w:val="left"/>
                      <w:rPr>
                        <w:sz w:val="18"/>
                      </w:rPr>
                    </w:pPr>
                    <w:r>
                      <w:rPr>
                        <w:color w:val="585858"/>
                        <w:sz w:val="18"/>
                      </w:rPr>
                      <w:t>-6</w:t>
                    </w:r>
                  </w:p>
                </w:txbxContent>
              </v:textbox>
              <w10:wrap type="none"/>
            </v:shape>
            <w10:wrap type="topAndBottom"/>
          </v:group>
        </w:pict>
      </w:r>
      <w:r>
        <w:rPr>
          <w:sz w:val="18"/>
        </w:rPr>
        <w:t>Cambio porcentual</w:t>
      </w:r>
    </w:p>
    <w:p>
      <w:pPr>
        <w:spacing w:line="362" w:lineRule="auto" w:before="95" w:after="135"/>
        <w:ind w:left="122" w:right="0" w:firstLine="0"/>
        <w:jc w:val="left"/>
        <w:rPr>
          <w:sz w:val="20"/>
        </w:rPr>
      </w:pPr>
      <w:r>
        <w:rPr>
          <w:sz w:val="20"/>
        </w:rPr>
        <w:t>Fuente: Elaboración propia con datos de INEGI y Centro de Análisis y Proyecciones Económicas para México (CAPEM)</w:t>
      </w:r>
    </w:p>
    <w:p>
      <w:pPr>
        <w:pStyle w:val="BodyText"/>
        <w:spacing w:line="41" w:lineRule="exact"/>
        <w:ind w:left="102"/>
        <w:rPr>
          <w:sz w:val="4"/>
        </w:rPr>
      </w:pPr>
      <w:r>
        <w:rPr>
          <w:position w:val="0"/>
          <w:sz w:val="4"/>
        </w:rPr>
        <w:pict>
          <v:group style="width:443.7pt;height:2.050pt;mso-position-horizontal-relative:char;mso-position-vertical-relative:line" coordorigin="0,0" coordsize="8874,41">
            <v:line style="position:absolute" from="20,20" to="8853,20" stroked="true" strokeweight="2.04pt" strokecolor="#000000"/>
          </v:group>
        </w:pict>
      </w:r>
      <w:r>
        <w:rPr>
          <w:position w:val="0"/>
          <w:sz w:val="4"/>
        </w:rPr>
      </w:r>
    </w:p>
    <w:p>
      <w:pPr>
        <w:spacing w:before="24"/>
        <w:ind w:left="122" w:right="0" w:firstLine="0"/>
        <w:jc w:val="left"/>
        <w:rPr>
          <w:sz w:val="24"/>
        </w:rPr>
      </w:pPr>
      <w:r>
        <w:rPr>
          <w:b/>
          <w:sz w:val="24"/>
        </w:rPr>
        <w:t>Figura 4. </w:t>
      </w:r>
      <w:r>
        <w:rPr>
          <w:sz w:val="24"/>
        </w:rPr>
        <w:t>Crecimiento del PIB mexicano.</w:t>
      </w:r>
    </w:p>
    <w:p>
      <w:pPr>
        <w:pStyle w:val="BodyText"/>
      </w:pPr>
    </w:p>
    <w:p>
      <w:pPr>
        <w:pStyle w:val="BodyText"/>
      </w:pPr>
    </w:p>
    <w:p>
      <w:pPr>
        <w:pStyle w:val="BodyText"/>
        <w:spacing w:before="2"/>
        <w:rPr>
          <w:sz w:val="23"/>
        </w:rPr>
      </w:pPr>
    </w:p>
    <w:p>
      <w:pPr>
        <w:pStyle w:val="Heading2"/>
        <w:numPr>
          <w:ilvl w:val="2"/>
          <w:numId w:val="10"/>
        </w:numPr>
        <w:tabs>
          <w:tab w:pos="662" w:val="left" w:leader="none"/>
        </w:tabs>
        <w:spacing w:line="240" w:lineRule="auto" w:before="0" w:after="0"/>
        <w:ind w:left="662" w:right="0" w:hanging="540"/>
        <w:jc w:val="left"/>
        <w:rPr>
          <w:i/>
        </w:rPr>
      </w:pPr>
      <w:bookmarkStart w:name="_TOC_250040" w:id="2"/>
      <w:r>
        <w:rPr>
          <w:i/>
        </w:rPr>
        <w:t>Tipo de</w:t>
      </w:r>
      <w:r>
        <w:rPr>
          <w:i/>
          <w:spacing w:val="-1"/>
        </w:rPr>
        <w:t> </w:t>
      </w:r>
      <w:bookmarkEnd w:id="2"/>
      <w:r>
        <w:rPr>
          <w:i/>
        </w:rPr>
        <w:t>cambio</w:t>
      </w:r>
    </w:p>
    <w:p>
      <w:pPr>
        <w:pStyle w:val="BodyText"/>
        <w:rPr>
          <w:b/>
          <w:i/>
        </w:rPr>
      </w:pPr>
    </w:p>
    <w:p>
      <w:pPr>
        <w:pStyle w:val="BodyText"/>
        <w:rPr>
          <w:b/>
          <w:i/>
        </w:rPr>
      </w:pPr>
    </w:p>
    <w:p>
      <w:pPr>
        <w:pStyle w:val="BodyText"/>
        <w:spacing w:before="3"/>
        <w:rPr>
          <w:b/>
          <w:i/>
          <w:sz w:val="22"/>
        </w:rPr>
      </w:pPr>
    </w:p>
    <w:p>
      <w:pPr>
        <w:pStyle w:val="BodyText"/>
        <w:spacing w:line="360" w:lineRule="auto" w:before="1"/>
        <w:ind w:left="122"/>
      </w:pPr>
      <w:r>
        <w:rPr/>
        <w:t>El</w:t>
      </w:r>
      <w:r>
        <w:rPr>
          <w:spacing w:val="-8"/>
        </w:rPr>
        <w:t> </w:t>
      </w:r>
      <w:r>
        <w:rPr/>
        <w:t>tipo</w:t>
      </w:r>
      <w:r>
        <w:rPr>
          <w:spacing w:val="-9"/>
        </w:rPr>
        <w:t> </w:t>
      </w:r>
      <w:r>
        <w:rPr/>
        <w:t>de</w:t>
      </w:r>
      <w:r>
        <w:rPr>
          <w:spacing w:val="-10"/>
        </w:rPr>
        <w:t> </w:t>
      </w:r>
      <w:r>
        <w:rPr/>
        <w:t>cambio</w:t>
      </w:r>
      <w:r>
        <w:rPr>
          <w:spacing w:val="-9"/>
        </w:rPr>
        <w:t> </w:t>
      </w:r>
      <w:r>
        <w:rPr/>
        <w:t>influye</w:t>
      </w:r>
      <w:r>
        <w:rPr>
          <w:spacing w:val="-5"/>
        </w:rPr>
        <w:t> </w:t>
      </w:r>
      <w:r>
        <w:rPr/>
        <w:t>directamente</w:t>
      </w:r>
      <w:r>
        <w:rPr>
          <w:spacing w:val="-10"/>
        </w:rPr>
        <w:t> </w:t>
      </w:r>
      <w:r>
        <w:rPr/>
        <w:t>en</w:t>
      </w:r>
      <w:r>
        <w:rPr>
          <w:spacing w:val="-5"/>
        </w:rPr>
        <w:t> </w:t>
      </w:r>
      <w:r>
        <w:rPr/>
        <w:t>términos</w:t>
      </w:r>
      <w:r>
        <w:rPr>
          <w:spacing w:val="-8"/>
        </w:rPr>
        <w:t> </w:t>
      </w:r>
      <w:r>
        <w:rPr/>
        <w:t>de</w:t>
      </w:r>
      <w:r>
        <w:rPr>
          <w:spacing w:val="-10"/>
        </w:rPr>
        <w:t> </w:t>
      </w:r>
      <w:r>
        <w:rPr/>
        <w:t>intercambio</w:t>
      </w:r>
      <w:r>
        <w:rPr>
          <w:spacing w:val="-9"/>
        </w:rPr>
        <w:t> </w:t>
      </w:r>
      <w:r>
        <w:rPr/>
        <w:t>comercial</w:t>
      </w:r>
      <w:r>
        <w:rPr>
          <w:spacing w:val="-6"/>
        </w:rPr>
        <w:t> </w:t>
      </w:r>
      <w:r>
        <w:rPr>
          <w:spacing w:val="-3"/>
        </w:rPr>
        <w:t>y,</w:t>
      </w:r>
      <w:r>
        <w:rPr>
          <w:spacing w:val="-7"/>
        </w:rPr>
        <w:t> </w:t>
      </w:r>
      <w:r>
        <w:rPr/>
        <w:t>por</w:t>
      </w:r>
      <w:r>
        <w:rPr>
          <w:spacing w:val="-9"/>
        </w:rPr>
        <w:t> </w:t>
      </w:r>
      <w:r>
        <w:rPr/>
        <w:t>tanto,</w:t>
      </w:r>
      <w:r>
        <w:rPr>
          <w:spacing w:val="-6"/>
        </w:rPr>
        <w:t> </w:t>
      </w:r>
      <w:r>
        <w:rPr/>
        <w:t>en los incentivos a la exportación e importación. Debido a que EUA es el socio comercial</w:t>
      </w:r>
      <w:r>
        <w:rPr>
          <w:spacing w:val="48"/>
        </w:rPr>
        <w:t> </w:t>
      </w:r>
      <w:r>
        <w:rPr/>
        <w:t>más</w:t>
      </w:r>
    </w:p>
    <w:p>
      <w:pPr>
        <w:spacing w:after="0" w:line="360" w:lineRule="auto"/>
        <w:sectPr>
          <w:footerReference w:type="default" r:id="rId41"/>
          <w:pgSz w:w="12240" w:h="15840"/>
          <w:pgMar w:footer="657" w:header="0" w:top="1360" w:bottom="840" w:left="1580" w:right="1540"/>
          <w:pgNumType w:start="21"/>
        </w:sectPr>
      </w:pPr>
    </w:p>
    <w:p>
      <w:pPr>
        <w:pStyle w:val="BodyText"/>
        <w:spacing w:line="362" w:lineRule="auto" w:before="50"/>
        <w:ind w:left="102" w:right="120"/>
        <w:jc w:val="both"/>
      </w:pPr>
      <w:r>
        <w:rPr/>
        <w:t>importante</w:t>
      </w:r>
      <w:r>
        <w:rPr>
          <w:spacing w:val="-16"/>
        </w:rPr>
        <w:t> </w:t>
      </w:r>
      <w:r>
        <w:rPr/>
        <w:t>de</w:t>
      </w:r>
      <w:r>
        <w:rPr>
          <w:spacing w:val="-15"/>
        </w:rPr>
        <w:t> </w:t>
      </w:r>
      <w:r>
        <w:rPr/>
        <w:t>México,</w:t>
      </w:r>
      <w:r>
        <w:rPr>
          <w:spacing w:val="-16"/>
        </w:rPr>
        <w:t> </w:t>
      </w:r>
      <w:r>
        <w:rPr/>
        <w:t>el</w:t>
      </w:r>
      <w:r>
        <w:rPr>
          <w:spacing w:val="-13"/>
        </w:rPr>
        <w:t> </w:t>
      </w:r>
      <w:r>
        <w:rPr/>
        <w:t>valor</w:t>
      </w:r>
      <w:r>
        <w:rPr>
          <w:spacing w:val="-16"/>
        </w:rPr>
        <w:t> </w:t>
      </w:r>
      <w:r>
        <w:rPr/>
        <w:t>del</w:t>
      </w:r>
      <w:r>
        <w:rPr>
          <w:spacing w:val="-13"/>
        </w:rPr>
        <w:t> </w:t>
      </w:r>
      <w:r>
        <w:rPr/>
        <w:t>peso</w:t>
      </w:r>
      <w:r>
        <w:rPr>
          <w:spacing w:val="-13"/>
        </w:rPr>
        <w:t> </w:t>
      </w:r>
      <w:r>
        <w:rPr/>
        <w:t>en</w:t>
      </w:r>
      <w:r>
        <w:rPr>
          <w:spacing w:val="-13"/>
        </w:rPr>
        <w:t> </w:t>
      </w:r>
      <w:r>
        <w:rPr/>
        <w:t>relación</w:t>
      </w:r>
      <w:r>
        <w:rPr>
          <w:spacing w:val="-15"/>
        </w:rPr>
        <w:t> </w:t>
      </w:r>
      <w:r>
        <w:rPr/>
        <w:t>con</w:t>
      </w:r>
      <w:r>
        <w:rPr>
          <w:spacing w:val="-13"/>
        </w:rPr>
        <w:t> </w:t>
      </w:r>
      <w:r>
        <w:rPr/>
        <w:t>el</w:t>
      </w:r>
      <w:r>
        <w:rPr>
          <w:spacing w:val="-15"/>
        </w:rPr>
        <w:t> </w:t>
      </w:r>
      <w:r>
        <w:rPr/>
        <w:t>dólar</w:t>
      </w:r>
      <w:r>
        <w:rPr>
          <w:spacing w:val="-15"/>
        </w:rPr>
        <w:t> </w:t>
      </w:r>
      <w:r>
        <w:rPr/>
        <w:t>estadounidense</w:t>
      </w:r>
      <w:r>
        <w:rPr>
          <w:spacing w:val="-17"/>
        </w:rPr>
        <w:t> </w:t>
      </w:r>
      <w:r>
        <w:rPr/>
        <w:t>es</w:t>
      </w:r>
      <w:r>
        <w:rPr>
          <w:spacing w:val="-13"/>
        </w:rPr>
        <w:t> </w:t>
      </w:r>
      <w:r>
        <w:rPr/>
        <w:t>de</w:t>
      </w:r>
      <w:r>
        <w:rPr>
          <w:spacing w:val="-17"/>
        </w:rPr>
        <w:t> </w:t>
      </w:r>
      <w:r>
        <w:rPr/>
        <w:t>singular relevancia.</w:t>
      </w:r>
    </w:p>
    <w:p>
      <w:pPr>
        <w:pStyle w:val="BodyText"/>
      </w:pPr>
    </w:p>
    <w:p>
      <w:pPr>
        <w:pStyle w:val="BodyText"/>
      </w:pPr>
    </w:p>
    <w:p>
      <w:pPr>
        <w:pStyle w:val="BodyText"/>
        <w:rPr>
          <w:sz w:val="23"/>
        </w:rPr>
      </w:pPr>
    </w:p>
    <w:p>
      <w:pPr>
        <w:pStyle w:val="BodyText"/>
        <w:spacing w:line="360" w:lineRule="auto" w:before="1"/>
        <w:ind w:left="102" w:right="117"/>
        <w:jc w:val="both"/>
      </w:pPr>
      <w:r>
        <w:rPr/>
        <w:t>De 2003 a 2007, la tasa de cambio osciló en torno a los $11 por dólar. Sin embargo, la recesión económica internacional en los principales mercados mundiales ha generado presiones por la demanda de instrumentos financieros en EUA. Esto como una reacción de los inversionistas para disminuir su riesgo.</w:t>
      </w:r>
    </w:p>
    <w:p>
      <w:pPr>
        <w:pStyle w:val="BodyText"/>
      </w:pPr>
    </w:p>
    <w:p>
      <w:pPr>
        <w:pStyle w:val="BodyText"/>
      </w:pPr>
    </w:p>
    <w:p>
      <w:pPr>
        <w:pStyle w:val="BodyText"/>
        <w:spacing w:before="4"/>
        <w:rPr>
          <w:sz w:val="23"/>
        </w:rPr>
      </w:pPr>
    </w:p>
    <w:p>
      <w:pPr>
        <w:pStyle w:val="BodyText"/>
        <w:ind w:left="102"/>
        <w:jc w:val="both"/>
      </w:pPr>
      <w:r>
        <w:rPr/>
        <w:t>En 2009, el peso se encontró en su año de mayor depreciación, con un valor promedio de</w:t>
      </w:r>
    </w:p>
    <w:p>
      <w:pPr>
        <w:pStyle w:val="BodyText"/>
        <w:spacing w:line="360" w:lineRule="auto" w:before="137"/>
        <w:ind w:left="102" w:right="118"/>
        <w:jc w:val="both"/>
      </w:pPr>
      <w:r>
        <w:rPr/>
        <w:t>13.52 pesos por dólar. A partir de 2010, la moneda nacional mantiene una constante apreciación, alcanzando un tipo de cambio de 12.63 pesos/dólar. Se espera que mantenga dicho comportamiento gracias al crecimiento económico mundial y al movimiento de capitales de países desarrollados hacia México. En el largo plazo se estima que tienda a una tasa de depreciación promedio anual de 1.2% (Figura 5). Es importante señalar que un debilitamiento del peso mexicano hará que los productos agropecuarios nacionales sean relativamente</w:t>
      </w:r>
      <w:r>
        <w:rPr>
          <w:spacing w:val="-5"/>
        </w:rPr>
        <w:t> </w:t>
      </w:r>
      <w:r>
        <w:rPr/>
        <w:t>más</w:t>
      </w:r>
      <w:r>
        <w:rPr>
          <w:spacing w:val="-5"/>
        </w:rPr>
        <w:t> </w:t>
      </w:r>
      <w:r>
        <w:rPr/>
        <w:t>baratos</w:t>
      </w:r>
      <w:r>
        <w:rPr>
          <w:spacing w:val="-5"/>
        </w:rPr>
        <w:t> </w:t>
      </w:r>
      <w:r>
        <w:rPr/>
        <w:t>en</w:t>
      </w:r>
      <w:r>
        <w:rPr>
          <w:spacing w:val="-4"/>
        </w:rPr>
        <w:t> </w:t>
      </w:r>
      <w:r>
        <w:rPr/>
        <w:t>EUA</w:t>
      </w:r>
      <w:r>
        <w:rPr>
          <w:spacing w:val="-3"/>
        </w:rPr>
        <w:t> </w:t>
      </w:r>
      <w:r>
        <w:rPr/>
        <w:t>y</w:t>
      </w:r>
      <w:r>
        <w:rPr>
          <w:spacing w:val="-9"/>
        </w:rPr>
        <w:t> </w:t>
      </w:r>
      <w:r>
        <w:rPr/>
        <w:t>los</w:t>
      </w:r>
      <w:r>
        <w:rPr>
          <w:spacing w:val="-4"/>
        </w:rPr>
        <w:t> </w:t>
      </w:r>
      <w:r>
        <w:rPr/>
        <w:t>productos</w:t>
      </w:r>
      <w:r>
        <w:rPr>
          <w:spacing w:val="-2"/>
        </w:rPr>
        <w:t> </w:t>
      </w:r>
      <w:r>
        <w:rPr/>
        <w:t>estadounidenses</w:t>
      </w:r>
      <w:r>
        <w:rPr>
          <w:spacing w:val="-5"/>
        </w:rPr>
        <w:t> </w:t>
      </w:r>
      <w:r>
        <w:rPr/>
        <w:t>relativamente</w:t>
      </w:r>
      <w:r>
        <w:rPr>
          <w:spacing w:val="-6"/>
        </w:rPr>
        <w:t> </w:t>
      </w:r>
      <w:r>
        <w:rPr/>
        <w:t>más</w:t>
      </w:r>
      <w:r>
        <w:rPr>
          <w:spacing w:val="-5"/>
        </w:rPr>
        <w:t> </w:t>
      </w:r>
      <w:r>
        <w:rPr/>
        <w:t>caros en México. El efecto del impacto económico sobre el comercio será de un mayor incentivo para las exportaciones y menor para las importaciones (SAGARPA,</w:t>
      </w:r>
      <w:r>
        <w:rPr>
          <w:spacing w:val="-8"/>
        </w:rPr>
        <w:t> </w:t>
      </w:r>
      <w:r>
        <w:rPr/>
        <w:t>2011b).</w:t>
      </w:r>
    </w:p>
    <w:p>
      <w:pPr>
        <w:spacing w:after="0" w:line="360" w:lineRule="auto"/>
        <w:jc w:val="both"/>
        <w:sectPr>
          <w:pgSz w:w="12240" w:h="15840"/>
          <w:pgMar w:header="0" w:footer="657" w:top="1360" w:bottom="840" w:left="1600" w:right="1580"/>
        </w:sectPr>
      </w:pPr>
    </w:p>
    <w:p>
      <w:pPr>
        <w:spacing w:before="48"/>
        <w:ind w:left="270" w:right="504" w:firstLine="0"/>
        <w:jc w:val="left"/>
        <w:rPr>
          <w:sz w:val="18"/>
        </w:rPr>
      </w:pPr>
      <w:r>
        <w:rPr/>
        <w:pict>
          <v:group style="position:absolute;margin-left:87.230003pt;margin-top:17.512318pt;width:439.95pt;height:213.3pt;mso-position-horizontal-relative:page;mso-position-vertical-relative:paragraph;z-index:1696;mso-wrap-distance-left:0;mso-wrap-distance-right:0" coordorigin="1745,350" coordsize="8799,4266">
            <v:line style="position:absolute" from="2234,3545" to="10224,3545" stroked="true" strokeweight=".72pt" strokecolor="#d9d9d9"/>
            <v:line style="position:absolute" from="2234,2928" to="10224,2928" stroked="true" strokeweight=".72pt" strokecolor="#d9d9d9"/>
            <v:line style="position:absolute" from="2234,2309" to="10224,2309" stroked="true" strokeweight=".72pt" strokecolor="#d9d9d9"/>
            <v:line style="position:absolute" from="2234,1692" to="10224,1692" stroked="true" strokeweight=".72pt" strokecolor="#d9d9d9"/>
            <v:line style="position:absolute" from="2234,1073" to="10224,1073" stroked="true" strokeweight=".72pt" strokecolor="#d9d9d9"/>
            <v:line style="position:absolute" from="2234,4164" to="2234,1073" stroked="true" strokeweight=".72pt" strokecolor="#bebebe"/>
            <v:line style="position:absolute" from="2234,4164" to="10224,4164" stroked="true" strokeweight=".72pt" strokecolor="#bebebe"/>
            <v:shape style="position:absolute;left:6098;top:2578;width:250;height:190" type="#_x0000_t75" stroked="false">
              <v:imagedata r:id="rId43" o:title=""/>
            </v:shape>
            <v:shape style="position:absolute;left:2234;top:1483;width:8002;height:2220" type="#_x0000_t75" stroked="false">
              <v:imagedata r:id="rId44" o:title=""/>
            </v:shape>
            <v:shape style="position:absolute;left:1750;top:355;width:8789;height:4256" type="#_x0000_t202" filled="false" stroked="true" strokeweight=".48pt" strokecolor="#000000">
              <v:textbox inset="0,0,0,0">
                <w:txbxContent>
                  <w:p>
                    <w:pPr>
                      <w:spacing w:line="240" w:lineRule="auto" w:before="0"/>
                      <w:rPr>
                        <w:sz w:val="18"/>
                      </w:rPr>
                    </w:pPr>
                  </w:p>
                  <w:p>
                    <w:pPr>
                      <w:spacing w:line="240" w:lineRule="auto" w:before="0"/>
                      <w:rPr>
                        <w:sz w:val="18"/>
                      </w:rPr>
                    </w:pPr>
                  </w:p>
                  <w:p>
                    <w:pPr>
                      <w:spacing w:line="240" w:lineRule="auto" w:before="4"/>
                      <w:rPr>
                        <w:sz w:val="16"/>
                      </w:rPr>
                    </w:pPr>
                  </w:p>
                  <w:p>
                    <w:pPr>
                      <w:spacing w:before="0"/>
                      <w:ind w:left="148" w:right="0" w:firstLine="0"/>
                      <w:jc w:val="left"/>
                      <w:rPr>
                        <w:sz w:val="18"/>
                      </w:rPr>
                    </w:pPr>
                    <w:r>
                      <w:rPr>
                        <w:color w:val="585858"/>
                        <w:sz w:val="18"/>
                      </w:rPr>
                      <w:t>15</w:t>
                    </w:r>
                  </w:p>
                  <w:p>
                    <w:pPr>
                      <w:spacing w:line="240" w:lineRule="auto" w:before="0"/>
                      <w:rPr>
                        <w:sz w:val="18"/>
                      </w:rPr>
                    </w:pPr>
                  </w:p>
                  <w:p>
                    <w:pPr>
                      <w:spacing w:line="240" w:lineRule="auto" w:before="8"/>
                      <w:rPr>
                        <w:sz w:val="17"/>
                      </w:rPr>
                    </w:pPr>
                  </w:p>
                  <w:p>
                    <w:pPr>
                      <w:spacing w:before="0"/>
                      <w:ind w:left="148" w:right="0" w:firstLine="0"/>
                      <w:jc w:val="left"/>
                      <w:rPr>
                        <w:sz w:val="18"/>
                      </w:rPr>
                    </w:pPr>
                    <w:r>
                      <w:rPr>
                        <w:color w:val="585858"/>
                        <w:sz w:val="18"/>
                      </w:rPr>
                      <w:t>14</w:t>
                    </w:r>
                  </w:p>
                  <w:p>
                    <w:pPr>
                      <w:spacing w:line="240" w:lineRule="auto" w:before="0"/>
                      <w:rPr>
                        <w:sz w:val="18"/>
                      </w:rPr>
                    </w:pPr>
                  </w:p>
                  <w:p>
                    <w:pPr>
                      <w:spacing w:line="240" w:lineRule="auto" w:before="8"/>
                      <w:rPr>
                        <w:sz w:val="17"/>
                      </w:rPr>
                    </w:pPr>
                  </w:p>
                  <w:p>
                    <w:pPr>
                      <w:spacing w:before="0"/>
                      <w:ind w:left="148" w:right="0" w:firstLine="0"/>
                      <w:jc w:val="left"/>
                      <w:rPr>
                        <w:sz w:val="18"/>
                      </w:rPr>
                    </w:pPr>
                    <w:r>
                      <w:rPr>
                        <w:color w:val="585858"/>
                        <w:sz w:val="18"/>
                      </w:rPr>
                      <w:t>13</w:t>
                    </w:r>
                  </w:p>
                  <w:p>
                    <w:pPr>
                      <w:spacing w:line="240" w:lineRule="auto" w:before="0"/>
                      <w:rPr>
                        <w:sz w:val="18"/>
                      </w:rPr>
                    </w:pPr>
                  </w:p>
                  <w:p>
                    <w:pPr>
                      <w:spacing w:line="240" w:lineRule="auto" w:before="8"/>
                      <w:rPr>
                        <w:sz w:val="17"/>
                      </w:rPr>
                    </w:pPr>
                  </w:p>
                  <w:p>
                    <w:pPr>
                      <w:spacing w:before="0"/>
                      <w:ind w:left="148" w:right="0" w:firstLine="0"/>
                      <w:jc w:val="left"/>
                      <w:rPr>
                        <w:sz w:val="18"/>
                      </w:rPr>
                    </w:pPr>
                    <w:r>
                      <w:rPr>
                        <w:color w:val="585858"/>
                        <w:sz w:val="18"/>
                      </w:rPr>
                      <w:t>12</w:t>
                    </w:r>
                  </w:p>
                  <w:p>
                    <w:pPr>
                      <w:spacing w:line="240" w:lineRule="auto" w:before="0"/>
                      <w:rPr>
                        <w:sz w:val="18"/>
                      </w:rPr>
                    </w:pPr>
                  </w:p>
                  <w:p>
                    <w:pPr>
                      <w:spacing w:line="240" w:lineRule="auto" w:before="8"/>
                      <w:rPr>
                        <w:sz w:val="17"/>
                      </w:rPr>
                    </w:pPr>
                  </w:p>
                  <w:p>
                    <w:pPr>
                      <w:spacing w:before="0"/>
                      <w:ind w:left="148" w:right="0" w:firstLine="0"/>
                      <w:jc w:val="left"/>
                      <w:rPr>
                        <w:sz w:val="18"/>
                      </w:rPr>
                    </w:pPr>
                    <w:r>
                      <w:rPr>
                        <w:color w:val="585858"/>
                        <w:sz w:val="18"/>
                      </w:rPr>
                      <w:t>11</w:t>
                    </w:r>
                  </w:p>
                  <w:p>
                    <w:pPr>
                      <w:spacing w:line="240" w:lineRule="auto" w:before="0"/>
                      <w:rPr>
                        <w:sz w:val="18"/>
                      </w:rPr>
                    </w:pPr>
                  </w:p>
                  <w:p>
                    <w:pPr>
                      <w:spacing w:line="240" w:lineRule="auto" w:before="8"/>
                      <w:rPr>
                        <w:sz w:val="17"/>
                      </w:rPr>
                    </w:pPr>
                  </w:p>
                  <w:p>
                    <w:pPr>
                      <w:spacing w:before="0"/>
                      <w:ind w:left="148" w:right="0" w:firstLine="0"/>
                      <w:jc w:val="left"/>
                      <w:rPr>
                        <w:sz w:val="18"/>
                      </w:rPr>
                    </w:pPr>
                    <w:r>
                      <w:rPr>
                        <w:color w:val="585858"/>
                        <w:sz w:val="18"/>
                      </w:rPr>
                      <w:t>10</w:t>
                    </w:r>
                  </w:p>
                  <w:p>
                    <w:pPr>
                      <w:spacing w:before="4"/>
                      <w:ind w:left="301" w:right="0" w:firstLine="0"/>
                      <w:jc w:val="left"/>
                      <w:rPr>
                        <w:sz w:val="18"/>
                      </w:rPr>
                    </w:pPr>
                    <w:r>
                      <w:rPr>
                        <w:color w:val="585858"/>
                        <w:sz w:val="18"/>
                      </w:rPr>
                      <w:t>2003  2004  2005  2006  2007  2008  2009  2010  2011  2012  2013  2014  2015  2016  2017  2018  2019  2020</w:t>
                    </w:r>
                  </w:p>
                </w:txbxContent>
              </v:textbox>
              <w10:wrap type="none"/>
            </v:shape>
            <w10:wrap type="topAndBottom"/>
          </v:group>
        </w:pict>
      </w:r>
      <w:r>
        <w:rPr>
          <w:sz w:val="18"/>
        </w:rPr>
        <w:t>Peso promedio anula/dólar</w:t>
      </w:r>
    </w:p>
    <w:p>
      <w:pPr>
        <w:spacing w:before="102"/>
        <w:ind w:left="3427" w:right="51" w:firstLine="0"/>
        <w:jc w:val="left"/>
        <w:rPr>
          <w:sz w:val="20"/>
        </w:rPr>
      </w:pPr>
      <w:r>
        <w:rPr>
          <w:sz w:val="20"/>
        </w:rPr>
        <w:t>Fuente: Elaboración propia con información de BANXICO, CAPEM</w:t>
      </w:r>
    </w:p>
    <w:p>
      <w:pPr>
        <w:pStyle w:val="BodyText"/>
        <w:spacing w:before="3"/>
        <w:rPr>
          <w:sz w:val="16"/>
        </w:rPr>
      </w:pPr>
      <w:r>
        <w:rPr/>
        <w:pict>
          <v:line style="position:absolute;mso-position-horizontal-relative:page;mso-position-vertical-relative:paragraph;z-index:1720;mso-wrap-distance-left:0;mso-wrap-distance-right:0" from="85.139999pt,12.366912pt" to="526.789999pt,12.366912pt" stroked="true" strokeweight="2.04pt" strokecolor="#000000">
            <w10:wrap type="topAndBottom"/>
          </v:line>
        </w:pict>
      </w:r>
    </w:p>
    <w:p>
      <w:pPr>
        <w:spacing w:before="16"/>
        <w:ind w:left="122" w:right="0" w:firstLine="0"/>
        <w:jc w:val="both"/>
        <w:rPr>
          <w:sz w:val="24"/>
        </w:rPr>
      </w:pPr>
      <w:r>
        <w:rPr>
          <w:b/>
          <w:sz w:val="24"/>
        </w:rPr>
        <w:t>Figura 5. </w:t>
      </w:r>
      <w:r>
        <w:rPr>
          <w:sz w:val="24"/>
        </w:rPr>
        <w:t>Tipo de cambio mexicano.</w:t>
      </w:r>
    </w:p>
    <w:p>
      <w:pPr>
        <w:pStyle w:val="BodyText"/>
      </w:pPr>
    </w:p>
    <w:p>
      <w:pPr>
        <w:pStyle w:val="BodyText"/>
      </w:pPr>
    </w:p>
    <w:p>
      <w:pPr>
        <w:pStyle w:val="BodyText"/>
        <w:spacing w:before="3"/>
        <w:rPr>
          <w:sz w:val="35"/>
        </w:rPr>
      </w:pPr>
    </w:p>
    <w:p>
      <w:pPr>
        <w:pStyle w:val="Heading2"/>
        <w:numPr>
          <w:ilvl w:val="2"/>
          <w:numId w:val="11"/>
        </w:numPr>
        <w:tabs>
          <w:tab w:pos="662" w:val="left" w:leader="none"/>
        </w:tabs>
        <w:spacing w:line="240" w:lineRule="auto" w:before="0" w:after="0"/>
        <w:ind w:left="662" w:right="0" w:hanging="540"/>
        <w:jc w:val="both"/>
        <w:rPr>
          <w:i/>
        </w:rPr>
      </w:pPr>
      <w:bookmarkStart w:name="_TOC_250039" w:id="3"/>
      <w:r>
        <w:rPr>
          <w:i/>
        </w:rPr>
        <w:t>Precio del</w:t>
      </w:r>
      <w:r>
        <w:rPr>
          <w:i/>
          <w:spacing w:val="-4"/>
        </w:rPr>
        <w:t> </w:t>
      </w:r>
      <w:bookmarkEnd w:id="3"/>
      <w:r>
        <w:rPr>
          <w:i/>
        </w:rPr>
        <w:t>petróleo</w:t>
      </w:r>
    </w:p>
    <w:p>
      <w:pPr>
        <w:pStyle w:val="BodyText"/>
        <w:rPr>
          <w:b/>
          <w:i/>
        </w:rPr>
      </w:pPr>
    </w:p>
    <w:p>
      <w:pPr>
        <w:pStyle w:val="BodyText"/>
        <w:rPr>
          <w:b/>
          <w:i/>
        </w:rPr>
      </w:pPr>
    </w:p>
    <w:p>
      <w:pPr>
        <w:pStyle w:val="BodyText"/>
        <w:spacing w:before="5"/>
        <w:rPr>
          <w:b/>
          <w:i/>
          <w:sz w:val="34"/>
        </w:rPr>
      </w:pPr>
    </w:p>
    <w:p>
      <w:pPr>
        <w:pStyle w:val="BodyText"/>
        <w:spacing w:line="360" w:lineRule="auto"/>
        <w:ind w:left="122" w:right="115"/>
        <w:jc w:val="both"/>
      </w:pPr>
      <w:r>
        <w:rPr/>
        <w:t>El precio del petróleo influye en los mercados agropecuarios en dos vertientes: la primera, está directamente correlacionado con los insumos de producción agrícola, principalmente fertilizantes, agroquímicos, combustibles para maquinaria agrícola y transporte, por lo tanto influye</w:t>
      </w:r>
      <w:r>
        <w:rPr>
          <w:spacing w:val="-12"/>
        </w:rPr>
        <w:t> </w:t>
      </w:r>
      <w:r>
        <w:rPr/>
        <w:t>con</w:t>
      </w:r>
      <w:r>
        <w:rPr>
          <w:spacing w:val="-11"/>
        </w:rPr>
        <w:t> </w:t>
      </w:r>
      <w:r>
        <w:rPr/>
        <w:t>las</w:t>
      </w:r>
      <w:r>
        <w:rPr>
          <w:spacing w:val="-11"/>
        </w:rPr>
        <w:t> </w:t>
      </w:r>
      <w:r>
        <w:rPr/>
        <w:t>decisiones</w:t>
      </w:r>
      <w:r>
        <w:rPr>
          <w:spacing w:val="-9"/>
        </w:rPr>
        <w:t> </w:t>
      </w:r>
      <w:r>
        <w:rPr/>
        <w:t>que</w:t>
      </w:r>
      <w:r>
        <w:rPr>
          <w:spacing w:val="-12"/>
        </w:rPr>
        <w:t> </w:t>
      </w:r>
      <w:r>
        <w:rPr/>
        <w:t>toman</w:t>
      </w:r>
      <w:r>
        <w:rPr>
          <w:spacing w:val="-11"/>
        </w:rPr>
        <w:t> </w:t>
      </w:r>
      <w:r>
        <w:rPr/>
        <w:t>los</w:t>
      </w:r>
      <w:r>
        <w:rPr>
          <w:spacing w:val="-10"/>
        </w:rPr>
        <w:t> </w:t>
      </w:r>
      <w:r>
        <w:rPr/>
        <w:t>productores</w:t>
      </w:r>
      <w:r>
        <w:rPr>
          <w:spacing w:val="-11"/>
        </w:rPr>
        <w:t> </w:t>
      </w:r>
      <w:r>
        <w:rPr/>
        <w:t>a</w:t>
      </w:r>
      <w:r>
        <w:rPr>
          <w:spacing w:val="-12"/>
        </w:rPr>
        <w:t> </w:t>
      </w:r>
      <w:r>
        <w:rPr/>
        <w:t>la</w:t>
      </w:r>
      <w:r>
        <w:rPr>
          <w:spacing w:val="-12"/>
        </w:rPr>
        <w:t> </w:t>
      </w:r>
      <w:r>
        <w:rPr/>
        <w:t>hora</w:t>
      </w:r>
      <w:r>
        <w:rPr>
          <w:spacing w:val="-13"/>
        </w:rPr>
        <w:t> </w:t>
      </w:r>
      <w:r>
        <w:rPr/>
        <w:t>de</w:t>
      </w:r>
      <w:r>
        <w:rPr>
          <w:spacing w:val="-12"/>
        </w:rPr>
        <w:t> </w:t>
      </w:r>
      <w:r>
        <w:rPr/>
        <w:t>producir.</w:t>
      </w:r>
      <w:r>
        <w:rPr>
          <w:spacing w:val="-11"/>
        </w:rPr>
        <w:t> </w:t>
      </w:r>
      <w:r>
        <w:rPr/>
        <w:t>Segundo,</w:t>
      </w:r>
      <w:r>
        <w:rPr>
          <w:spacing w:val="-11"/>
        </w:rPr>
        <w:t> </w:t>
      </w:r>
      <w:r>
        <w:rPr/>
        <w:t>los</w:t>
      </w:r>
      <w:r>
        <w:rPr>
          <w:spacing w:val="-10"/>
        </w:rPr>
        <w:t> </w:t>
      </w:r>
      <w:r>
        <w:rPr/>
        <w:t>altos precios</w:t>
      </w:r>
      <w:r>
        <w:rPr>
          <w:spacing w:val="-4"/>
        </w:rPr>
        <w:t> </w:t>
      </w:r>
      <w:r>
        <w:rPr/>
        <w:t>del</w:t>
      </w:r>
      <w:r>
        <w:rPr>
          <w:spacing w:val="-4"/>
        </w:rPr>
        <w:t> </w:t>
      </w:r>
      <w:r>
        <w:rPr/>
        <w:t>petróleo</w:t>
      </w:r>
      <w:r>
        <w:rPr>
          <w:spacing w:val="-2"/>
        </w:rPr>
        <w:t> </w:t>
      </w:r>
      <w:r>
        <w:rPr/>
        <w:t>en</w:t>
      </w:r>
      <w:r>
        <w:rPr>
          <w:spacing w:val="-5"/>
        </w:rPr>
        <w:t> </w:t>
      </w:r>
      <w:r>
        <w:rPr/>
        <w:t>los</w:t>
      </w:r>
      <w:r>
        <w:rPr>
          <w:spacing w:val="-4"/>
        </w:rPr>
        <w:t> </w:t>
      </w:r>
      <w:r>
        <w:rPr/>
        <w:t>años</w:t>
      </w:r>
      <w:r>
        <w:rPr>
          <w:spacing w:val="-5"/>
        </w:rPr>
        <w:t> </w:t>
      </w:r>
      <w:r>
        <w:rPr/>
        <w:t>recientes</w:t>
      </w:r>
      <w:r>
        <w:rPr>
          <w:spacing w:val="-5"/>
        </w:rPr>
        <w:t> </w:t>
      </w:r>
      <w:r>
        <w:rPr/>
        <w:t>influyeron</w:t>
      </w:r>
      <w:r>
        <w:rPr>
          <w:spacing w:val="-5"/>
        </w:rPr>
        <w:t> </w:t>
      </w:r>
      <w:r>
        <w:rPr/>
        <w:t>en</w:t>
      </w:r>
      <w:r>
        <w:rPr>
          <w:spacing w:val="-5"/>
        </w:rPr>
        <w:t> </w:t>
      </w:r>
      <w:r>
        <w:rPr/>
        <w:t>el</w:t>
      </w:r>
      <w:r>
        <w:rPr>
          <w:spacing w:val="-4"/>
        </w:rPr>
        <w:t> </w:t>
      </w:r>
      <w:r>
        <w:rPr/>
        <w:t>desarrollo</w:t>
      </w:r>
      <w:r>
        <w:rPr>
          <w:spacing w:val="-5"/>
        </w:rPr>
        <w:t> </w:t>
      </w:r>
      <w:r>
        <w:rPr/>
        <w:t>de</w:t>
      </w:r>
      <w:r>
        <w:rPr>
          <w:spacing w:val="-6"/>
        </w:rPr>
        <w:t> </w:t>
      </w:r>
      <w:r>
        <w:rPr/>
        <w:t>la</w:t>
      </w:r>
      <w:r>
        <w:rPr>
          <w:spacing w:val="-5"/>
        </w:rPr>
        <w:t> </w:t>
      </w:r>
      <w:r>
        <w:rPr/>
        <w:t>política</w:t>
      </w:r>
      <w:r>
        <w:rPr>
          <w:spacing w:val="-6"/>
        </w:rPr>
        <w:t> </w:t>
      </w:r>
      <w:r>
        <w:rPr/>
        <w:t>energética de EUA, la cual contempla mandatos en el uso de etanol y la producción de este biocombustible</w:t>
      </w:r>
      <w:r>
        <w:rPr>
          <w:spacing w:val="-8"/>
        </w:rPr>
        <w:t> </w:t>
      </w:r>
      <w:r>
        <w:rPr/>
        <w:t>a</w:t>
      </w:r>
      <w:r>
        <w:rPr>
          <w:spacing w:val="-8"/>
        </w:rPr>
        <w:t> </w:t>
      </w:r>
      <w:r>
        <w:rPr/>
        <w:t>base</w:t>
      </w:r>
      <w:r>
        <w:rPr>
          <w:spacing w:val="-8"/>
        </w:rPr>
        <w:t> </w:t>
      </w:r>
      <w:r>
        <w:rPr/>
        <w:t>de</w:t>
      </w:r>
      <w:r>
        <w:rPr>
          <w:spacing w:val="-6"/>
        </w:rPr>
        <w:t> </w:t>
      </w:r>
      <w:r>
        <w:rPr/>
        <w:t>maíz</w:t>
      </w:r>
      <w:r>
        <w:rPr>
          <w:spacing w:val="-6"/>
        </w:rPr>
        <w:t> </w:t>
      </w:r>
      <w:r>
        <w:rPr/>
        <w:t>en</w:t>
      </w:r>
      <w:r>
        <w:rPr>
          <w:spacing w:val="-7"/>
        </w:rPr>
        <w:t> </w:t>
      </w:r>
      <w:r>
        <w:rPr/>
        <w:t>los</w:t>
      </w:r>
      <w:r>
        <w:rPr>
          <w:spacing w:val="-7"/>
        </w:rPr>
        <w:t> </w:t>
      </w:r>
      <w:r>
        <w:rPr/>
        <w:t>próximos</w:t>
      </w:r>
      <w:r>
        <w:rPr>
          <w:spacing w:val="-7"/>
        </w:rPr>
        <w:t> </w:t>
      </w:r>
      <w:r>
        <w:rPr/>
        <w:t>años.</w:t>
      </w:r>
      <w:r>
        <w:rPr>
          <w:spacing w:val="-7"/>
        </w:rPr>
        <w:t> </w:t>
      </w:r>
      <w:r>
        <w:rPr/>
        <w:t>Esta</w:t>
      </w:r>
      <w:r>
        <w:rPr>
          <w:spacing w:val="-8"/>
        </w:rPr>
        <w:t> </w:t>
      </w:r>
      <w:r>
        <w:rPr/>
        <w:t>producción</w:t>
      </w:r>
      <w:r>
        <w:rPr>
          <w:spacing w:val="-7"/>
        </w:rPr>
        <w:t> </w:t>
      </w:r>
      <w:r>
        <w:rPr/>
        <w:t>ha</w:t>
      </w:r>
      <w:r>
        <w:rPr>
          <w:spacing w:val="-6"/>
        </w:rPr>
        <w:t> </w:t>
      </w:r>
      <w:r>
        <w:rPr/>
        <w:t>generado</w:t>
      </w:r>
      <w:r>
        <w:rPr>
          <w:spacing w:val="-7"/>
        </w:rPr>
        <w:t> </w:t>
      </w:r>
      <w:r>
        <w:rPr/>
        <w:t>presiones importantes en la demanda de maíz y en los precios de éste y otros granos en los mercados internacionales.</w:t>
      </w:r>
    </w:p>
    <w:p>
      <w:pPr>
        <w:pStyle w:val="BodyText"/>
      </w:pPr>
    </w:p>
    <w:p>
      <w:pPr>
        <w:pStyle w:val="BodyText"/>
      </w:pPr>
    </w:p>
    <w:p>
      <w:pPr>
        <w:pStyle w:val="BodyText"/>
        <w:spacing w:before="1"/>
        <w:rPr>
          <w:sz w:val="23"/>
        </w:rPr>
      </w:pPr>
    </w:p>
    <w:p>
      <w:pPr>
        <w:pStyle w:val="BodyText"/>
        <w:spacing w:line="360" w:lineRule="auto"/>
        <w:ind w:left="122" w:right="117"/>
        <w:jc w:val="both"/>
      </w:pPr>
      <w:r>
        <w:rPr/>
        <w:t>De 1986 a 2003, el precio promedio del petróleo fue inferior a los US$30 por barril. Esto contribuyó a una relativa estabilidad en el costo de los insumos alimenticios. A partir de</w:t>
      </w:r>
    </w:p>
    <w:p>
      <w:pPr>
        <w:spacing w:after="0" w:line="360" w:lineRule="auto"/>
        <w:jc w:val="both"/>
        <w:sectPr>
          <w:pgSz w:w="12240" w:h="15840"/>
          <w:pgMar w:header="0" w:footer="657" w:top="1060" w:bottom="840" w:left="1580" w:right="1580"/>
        </w:sectPr>
      </w:pPr>
    </w:p>
    <w:p>
      <w:pPr>
        <w:pStyle w:val="BodyText"/>
        <w:spacing w:line="360" w:lineRule="auto" w:before="50"/>
        <w:ind w:left="122" w:right="119"/>
        <w:jc w:val="both"/>
      </w:pPr>
      <w:r>
        <w:rPr/>
        <w:t>2006, la creciente aceleración en los precios de la energía elevó el precio del crudo a un promedio máximo de US$99 por barril en 2008, esto no sólo contribuyó a una mayor explotación de los yacimientos petroleros, sino se transmitió a los costos de los granos y alimentos. No obstante, en 2009 como consecuencia de un débil crecimiento económico internacional, el precio del crudo disminuyó a US$ 59 por barril (Figura 6).</w:t>
      </w:r>
    </w:p>
    <w:p>
      <w:pPr>
        <w:pStyle w:val="BodyText"/>
      </w:pPr>
    </w:p>
    <w:p>
      <w:pPr>
        <w:pStyle w:val="BodyText"/>
      </w:pPr>
    </w:p>
    <w:p>
      <w:pPr>
        <w:pStyle w:val="BodyText"/>
        <w:spacing w:before="3"/>
        <w:rPr>
          <w:sz w:val="23"/>
        </w:rPr>
      </w:pPr>
    </w:p>
    <w:p>
      <w:pPr>
        <w:pStyle w:val="BodyText"/>
        <w:spacing w:line="360" w:lineRule="auto"/>
        <w:ind w:left="122" w:right="117"/>
        <w:jc w:val="both"/>
        <w:rPr>
          <w:rFonts w:ascii="Calibri" w:hAnsi="Calibri"/>
          <w:sz w:val="23"/>
        </w:rPr>
      </w:pPr>
      <w:r>
        <w:rPr/>
        <w:t>En</w:t>
      </w:r>
      <w:r>
        <w:rPr>
          <w:spacing w:val="-12"/>
        </w:rPr>
        <w:t> </w:t>
      </w:r>
      <w:r>
        <w:rPr/>
        <w:t>2010,</w:t>
      </w:r>
      <w:r>
        <w:rPr>
          <w:spacing w:val="-12"/>
        </w:rPr>
        <w:t> </w:t>
      </w:r>
      <w:r>
        <w:rPr/>
        <w:t>la</w:t>
      </w:r>
      <w:r>
        <w:rPr>
          <w:spacing w:val="-13"/>
        </w:rPr>
        <w:t> </w:t>
      </w:r>
      <w:r>
        <w:rPr/>
        <w:t>recuperación</w:t>
      </w:r>
      <w:r>
        <w:rPr>
          <w:spacing w:val="-12"/>
        </w:rPr>
        <w:t> </w:t>
      </w:r>
      <w:r>
        <w:rPr/>
        <w:t>económica</w:t>
      </w:r>
      <w:r>
        <w:rPr>
          <w:spacing w:val="-13"/>
        </w:rPr>
        <w:t> </w:t>
      </w:r>
      <w:r>
        <w:rPr/>
        <w:t>incidió</w:t>
      </w:r>
      <w:r>
        <w:rPr>
          <w:spacing w:val="-12"/>
        </w:rPr>
        <w:t> </w:t>
      </w:r>
      <w:r>
        <w:rPr/>
        <w:t>en</w:t>
      </w:r>
      <w:r>
        <w:rPr>
          <w:spacing w:val="-12"/>
        </w:rPr>
        <w:t> </w:t>
      </w:r>
      <w:r>
        <w:rPr/>
        <w:t>una</w:t>
      </w:r>
      <w:r>
        <w:rPr>
          <w:spacing w:val="-11"/>
        </w:rPr>
        <w:t> </w:t>
      </w:r>
      <w:r>
        <w:rPr/>
        <w:t>tendencia</w:t>
      </w:r>
      <w:r>
        <w:rPr>
          <w:spacing w:val="-13"/>
        </w:rPr>
        <w:t> </w:t>
      </w:r>
      <w:r>
        <w:rPr/>
        <w:t>alcista</w:t>
      </w:r>
      <w:r>
        <w:rPr>
          <w:spacing w:val="-13"/>
        </w:rPr>
        <w:t> </w:t>
      </w:r>
      <w:r>
        <w:rPr/>
        <w:t>manteniendo</w:t>
      </w:r>
      <w:r>
        <w:rPr>
          <w:spacing w:val="-12"/>
        </w:rPr>
        <w:t> </w:t>
      </w:r>
      <w:r>
        <w:rPr/>
        <w:t>los</w:t>
      </w:r>
      <w:r>
        <w:rPr>
          <w:spacing w:val="-11"/>
        </w:rPr>
        <w:t> </w:t>
      </w:r>
      <w:r>
        <w:rPr/>
        <w:t>precios en un rango de 70 a 85 US$ por barril. Los precios continuarán subiendo en el largo plazo, mientras</w:t>
      </w:r>
      <w:r>
        <w:rPr>
          <w:spacing w:val="-9"/>
        </w:rPr>
        <w:t> </w:t>
      </w:r>
      <w:r>
        <w:rPr/>
        <w:t>que</w:t>
      </w:r>
      <w:r>
        <w:rPr>
          <w:spacing w:val="-11"/>
        </w:rPr>
        <w:t> </w:t>
      </w:r>
      <w:r>
        <w:rPr/>
        <w:t>la</w:t>
      </w:r>
      <w:r>
        <w:rPr>
          <w:spacing w:val="-10"/>
        </w:rPr>
        <w:t> </w:t>
      </w:r>
      <w:r>
        <w:rPr/>
        <w:t>economía</w:t>
      </w:r>
      <w:r>
        <w:rPr>
          <w:spacing w:val="-11"/>
        </w:rPr>
        <w:t> </w:t>
      </w:r>
      <w:r>
        <w:rPr/>
        <w:t>mundial</w:t>
      </w:r>
      <w:r>
        <w:rPr>
          <w:spacing w:val="-9"/>
        </w:rPr>
        <w:t> </w:t>
      </w:r>
      <w:r>
        <w:rPr/>
        <w:t>se</w:t>
      </w:r>
      <w:r>
        <w:rPr>
          <w:spacing w:val="-10"/>
        </w:rPr>
        <w:t> </w:t>
      </w:r>
      <w:r>
        <w:rPr/>
        <w:t>expanda,</w:t>
      </w:r>
      <w:r>
        <w:rPr>
          <w:spacing w:val="-10"/>
        </w:rPr>
        <w:t> </w:t>
      </w:r>
      <w:r>
        <w:rPr/>
        <w:t>la</w:t>
      </w:r>
      <w:r>
        <w:rPr>
          <w:spacing w:val="-10"/>
        </w:rPr>
        <w:t> </w:t>
      </w:r>
      <w:r>
        <w:rPr/>
        <w:t>demanda</w:t>
      </w:r>
      <w:r>
        <w:rPr>
          <w:spacing w:val="-11"/>
        </w:rPr>
        <w:t> </w:t>
      </w:r>
      <w:r>
        <w:rPr/>
        <w:t>mundial</w:t>
      </w:r>
      <w:r>
        <w:rPr>
          <w:spacing w:val="-9"/>
        </w:rPr>
        <w:t> </w:t>
      </w:r>
      <w:r>
        <w:rPr/>
        <w:t>crecerá</w:t>
      </w:r>
      <w:r>
        <w:rPr>
          <w:spacing w:val="-9"/>
        </w:rPr>
        <w:t> </w:t>
      </w:r>
      <w:r>
        <w:rPr/>
        <w:t>más</w:t>
      </w:r>
      <w:r>
        <w:rPr>
          <w:spacing w:val="-10"/>
        </w:rPr>
        <w:t> </w:t>
      </w:r>
      <w:r>
        <w:rPr/>
        <w:t>rápidamente que las fuentes de abastecimiento disponibles, lo que aumentará el precio y motivará el uso de biocombustibles. Durante el periodo 2011-2020, se estima que el crecimiento promedio anual en el precio del petróleo será de aproximadamente 5% (SAGARPA, 2011a y</w:t>
      </w:r>
      <w:r>
        <w:rPr>
          <w:spacing w:val="-10"/>
        </w:rPr>
        <w:t> </w:t>
      </w:r>
      <w:r>
        <w:rPr/>
        <w:t>2011b)</w:t>
      </w:r>
      <w:r>
        <w:rPr>
          <w:rFonts w:ascii="Calibri" w:hAnsi="Calibri"/>
          <w:sz w:val="23"/>
        </w:rPr>
        <w:t>.</w:t>
      </w:r>
    </w:p>
    <w:p>
      <w:pPr>
        <w:pStyle w:val="BodyText"/>
        <w:rPr>
          <w:rFonts w:ascii="Calibri"/>
          <w:sz w:val="20"/>
        </w:rPr>
      </w:pPr>
    </w:p>
    <w:p>
      <w:pPr>
        <w:pStyle w:val="BodyText"/>
        <w:spacing w:before="1"/>
        <w:rPr>
          <w:rFonts w:ascii="Calibri"/>
          <w:sz w:val="16"/>
        </w:rPr>
      </w:pPr>
    </w:p>
    <w:p>
      <w:pPr>
        <w:spacing w:before="77"/>
        <w:ind w:left="239" w:right="504" w:firstLine="0"/>
        <w:jc w:val="left"/>
        <w:rPr>
          <w:sz w:val="18"/>
        </w:rPr>
      </w:pPr>
      <w:r>
        <w:rPr/>
        <w:pict>
          <v:group style="position:absolute;margin-left:84.830002pt;margin-top:18.792347pt;width:442.1pt;height:200.9pt;mso-position-horizontal-relative:page;mso-position-vertical-relative:paragraph;z-index:1768;mso-wrap-distance-left:0;mso-wrap-distance-right:0" coordorigin="1697,376" coordsize="8842,4018">
            <v:line style="position:absolute" from="2436,3594" to="10210,3594" stroked="true" strokeweight=".72pt" strokecolor="#d9d9d9"/>
            <v:line style="position:absolute" from="2436,3222" to="10210,3222" stroked="true" strokeweight=".72pt" strokecolor="#d9d9d9"/>
            <v:line style="position:absolute" from="2436,2848" to="10210,2848" stroked="true" strokeweight=".72pt" strokecolor="#d9d9d9"/>
            <v:line style="position:absolute" from="2436,2476" to="10210,2476" stroked="true" strokeweight=".72pt" strokecolor="#d9d9d9"/>
            <v:line style="position:absolute" from="2436,2104" to="10210,2104" stroked="true" strokeweight=".72pt" strokecolor="#d9d9d9"/>
            <v:line style="position:absolute" from="2436,1730" to="10210,1730" stroked="true" strokeweight=".72pt" strokecolor="#d9d9d9"/>
            <v:line style="position:absolute" from="2436,1358" to="10210,1358" stroked="true" strokeweight=".72pt" strokecolor="#d9d9d9"/>
            <v:line style="position:absolute" from="2436,983" to="10210,983" stroked="true" strokeweight=".72pt" strokecolor="#d9d9d9"/>
            <v:line style="position:absolute" from="2436,611" to="10210,611" stroked="true" strokeweight=".72pt" strokecolor="#d9d9d9"/>
            <v:shape style="position:absolute;left:2429;top:604;width:7788;height:3370" type="#_x0000_t75" stroked="false">
              <v:imagedata r:id="rId45" o:title=""/>
            </v:shape>
            <v:line style="position:absolute" from="2436,3966" to="2436,611" stroked="true" strokeweight=".72pt" strokecolor="#bebebe"/>
            <v:line style="position:absolute" from="2436,3966" to="10210,3966" stroked="true" strokeweight=".72pt" strokecolor="#bebebe"/>
            <v:shape style="position:absolute;left:2436;top:980;width:7788;height:2303" type="#_x0000_t75" stroked="false">
              <v:imagedata r:id="rId46" o:title=""/>
            </v:shape>
            <v:shape style="position:absolute;left:1702;top:381;width:8832;height:4008" type="#_x0000_t202" filled="false" stroked="true" strokeweight=".48pt" strokecolor="#000000">
              <v:textbox inset="0,0,0,0">
                <w:txbxContent>
                  <w:p>
                    <w:pPr>
                      <w:spacing w:before="115"/>
                      <w:ind w:left="307" w:right="0" w:firstLine="0"/>
                      <w:jc w:val="left"/>
                      <w:rPr>
                        <w:sz w:val="18"/>
                      </w:rPr>
                    </w:pPr>
                    <w:r>
                      <w:rPr>
                        <w:color w:val="585858"/>
                        <w:sz w:val="18"/>
                      </w:rPr>
                      <w:t>130</w:t>
                    </w:r>
                  </w:p>
                  <w:p>
                    <w:pPr>
                      <w:spacing w:line="240" w:lineRule="auto" w:before="5"/>
                      <w:rPr>
                        <w:sz w:val="14"/>
                      </w:rPr>
                    </w:pPr>
                  </w:p>
                  <w:p>
                    <w:pPr>
                      <w:spacing w:before="0"/>
                      <w:ind w:left="307" w:right="0" w:firstLine="0"/>
                      <w:jc w:val="left"/>
                      <w:rPr>
                        <w:sz w:val="18"/>
                      </w:rPr>
                    </w:pPr>
                    <w:r>
                      <w:rPr>
                        <w:color w:val="585858"/>
                        <w:sz w:val="18"/>
                      </w:rPr>
                      <w:t>120</w:t>
                    </w:r>
                  </w:p>
                  <w:p>
                    <w:pPr>
                      <w:spacing w:line="240" w:lineRule="auto" w:before="5"/>
                      <w:rPr>
                        <w:sz w:val="14"/>
                      </w:rPr>
                    </w:pPr>
                  </w:p>
                  <w:p>
                    <w:pPr>
                      <w:spacing w:before="0"/>
                      <w:ind w:left="307" w:right="0" w:firstLine="0"/>
                      <w:jc w:val="left"/>
                      <w:rPr>
                        <w:sz w:val="18"/>
                      </w:rPr>
                    </w:pPr>
                    <w:r>
                      <w:rPr>
                        <w:color w:val="585858"/>
                        <w:sz w:val="18"/>
                      </w:rPr>
                      <w:t>110</w:t>
                    </w:r>
                  </w:p>
                  <w:p>
                    <w:pPr>
                      <w:spacing w:line="240" w:lineRule="auto" w:before="4"/>
                      <w:rPr>
                        <w:sz w:val="14"/>
                      </w:rPr>
                    </w:pPr>
                  </w:p>
                  <w:p>
                    <w:pPr>
                      <w:spacing w:before="1"/>
                      <w:ind w:left="307" w:right="0" w:firstLine="0"/>
                      <w:jc w:val="left"/>
                      <w:rPr>
                        <w:sz w:val="18"/>
                      </w:rPr>
                    </w:pPr>
                    <w:r>
                      <w:rPr>
                        <w:color w:val="585858"/>
                        <w:sz w:val="18"/>
                      </w:rPr>
                      <w:t>100</w:t>
                    </w:r>
                  </w:p>
                  <w:p>
                    <w:pPr>
                      <w:spacing w:line="240" w:lineRule="auto" w:before="5"/>
                      <w:rPr>
                        <w:sz w:val="14"/>
                      </w:rPr>
                    </w:pPr>
                  </w:p>
                  <w:p>
                    <w:pPr>
                      <w:spacing w:before="0"/>
                      <w:ind w:left="397" w:right="0" w:firstLine="0"/>
                      <w:jc w:val="left"/>
                      <w:rPr>
                        <w:sz w:val="18"/>
                      </w:rPr>
                    </w:pPr>
                    <w:r>
                      <w:rPr>
                        <w:color w:val="585858"/>
                        <w:sz w:val="18"/>
                      </w:rPr>
                      <w:t>90</w:t>
                    </w:r>
                  </w:p>
                  <w:p>
                    <w:pPr>
                      <w:spacing w:line="240" w:lineRule="auto" w:before="5"/>
                      <w:rPr>
                        <w:sz w:val="14"/>
                      </w:rPr>
                    </w:pPr>
                  </w:p>
                  <w:p>
                    <w:pPr>
                      <w:spacing w:before="0"/>
                      <w:ind w:left="397" w:right="0" w:firstLine="0"/>
                      <w:jc w:val="left"/>
                      <w:rPr>
                        <w:sz w:val="18"/>
                      </w:rPr>
                    </w:pPr>
                    <w:r>
                      <w:rPr>
                        <w:color w:val="585858"/>
                        <w:sz w:val="18"/>
                      </w:rPr>
                      <w:t>80</w:t>
                    </w:r>
                  </w:p>
                  <w:p>
                    <w:pPr>
                      <w:spacing w:line="240" w:lineRule="auto" w:before="5"/>
                      <w:rPr>
                        <w:sz w:val="14"/>
                      </w:rPr>
                    </w:pPr>
                  </w:p>
                  <w:p>
                    <w:pPr>
                      <w:spacing w:before="0"/>
                      <w:ind w:left="397" w:right="0" w:firstLine="0"/>
                      <w:jc w:val="left"/>
                      <w:rPr>
                        <w:sz w:val="18"/>
                      </w:rPr>
                    </w:pPr>
                    <w:r>
                      <w:rPr>
                        <w:color w:val="585858"/>
                        <w:sz w:val="18"/>
                      </w:rPr>
                      <w:t>70</w:t>
                    </w:r>
                  </w:p>
                  <w:p>
                    <w:pPr>
                      <w:spacing w:line="240" w:lineRule="auto" w:before="4"/>
                      <w:rPr>
                        <w:sz w:val="14"/>
                      </w:rPr>
                    </w:pPr>
                  </w:p>
                  <w:p>
                    <w:pPr>
                      <w:spacing w:before="0"/>
                      <w:ind w:left="397" w:right="0" w:firstLine="0"/>
                      <w:jc w:val="left"/>
                      <w:rPr>
                        <w:sz w:val="18"/>
                      </w:rPr>
                    </w:pPr>
                    <w:r>
                      <w:rPr>
                        <w:color w:val="585858"/>
                        <w:sz w:val="18"/>
                      </w:rPr>
                      <w:t>60</w:t>
                    </w:r>
                  </w:p>
                  <w:p>
                    <w:pPr>
                      <w:spacing w:line="240" w:lineRule="auto" w:before="5"/>
                      <w:rPr>
                        <w:sz w:val="14"/>
                      </w:rPr>
                    </w:pPr>
                  </w:p>
                  <w:p>
                    <w:pPr>
                      <w:spacing w:before="0"/>
                      <w:ind w:left="397" w:right="0" w:firstLine="0"/>
                      <w:jc w:val="left"/>
                      <w:rPr>
                        <w:sz w:val="18"/>
                      </w:rPr>
                    </w:pPr>
                    <w:r>
                      <w:rPr>
                        <w:color w:val="585858"/>
                        <w:sz w:val="18"/>
                      </w:rPr>
                      <w:t>50</w:t>
                    </w:r>
                  </w:p>
                  <w:p>
                    <w:pPr>
                      <w:spacing w:line="240" w:lineRule="auto" w:before="5"/>
                      <w:rPr>
                        <w:sz w:val="14"/>
                      </w:rPr>
                    </w:pPr>
                  </w:p>
                  <w:p>
                    <w:pPr>
                      <w:spacing w:before="0"/>
                      <w:ind w:left="397" w:right="0" w:firstLine="0"/>
                      <w:jc w:val="left"/>
                      <w:rPr>
                        <w:sz w:val="18"/>
                      </w:rPr>
                    </w:pPr>
                    <w:r>
                      <w:rPr>
                        <w:color w:val="585858"/>
                        <w:sz w:val="18"/>
                      </w:rPr>
                      <w:t>40</w:t>
                    </w:r>
                  </w:p>
                  <w:p>
                    <w:pPr>
                      <w:tabs>
                        <w:tab w:pos="1197" w:val="left" w:leader="none"/>
                        <w:tab w:pos="1845" w:val="left" w:leader="none"/>
                        <w:tab w:pos="2493" w:val="left" w:leader="none"/>
                        <w:tab w:pos="3141" w:val="left" w:leader="none"/>
                        <w:tab w:pos="3789" w:val="left" w:leader="none"/>
                        <w:tab w:pos="4437" w:val="left" w:leader="none"/>
                        <w:tab w:pos="5085" w:val="left" w:leader="none"/>
                        <w:tab w:pos="5733" w:val="left" w:leader="none"/>
                        <w:tab w:pos="6381" w:val="left" w:leader="none"/>
                        <w:tab w:pos="7029" w:val="left" w:leader="none"/>
                        <w:tab w:pos="7677" w:val="left" w:leader="none"/>
                        <w:tab w:pos="8325" w:val="left" w:leader="none"/>
                      </w:tabs>
                      <w:spacing w:before="4"/>
                      <w:ind w:left="550" w:right="0" w:firstLine="0"/>
                      <w:jc w:val="left"/>
                      <w:rPr>
                        <w:sz w:val="18"/>
                      </w:rPr>
                    </w:pPr>
                    <w:r>
                      <w:rPr>
                        <w:color w:val="585858"/>
                        <w:sz w:val="18"/>
                      </w:rPr>
                      <w:t>2008</w:t>
                      <w:tab/>
                      <w:t>2009</w:t>
                      <w:tab/>
                      <w:t>2010</w:t>
                      <w:tab/>
                      <w:t>2011</w:t>
                      <w:tab/>
                      <w:t>2012</w:t>
                      <w:tab/>
                      <w:t>2013</w:t>
                      <w:tab/>
                      <w:t>2014</w:t>
                      <w:tab/>
                      <w:t>2015</w:t>
                      <w:tab/>
                      <w:t>2016</w:t>
                      <w:tab/>
                      <w:t>2017</w:t>
                      <w:tab/>
                      <w:t>2018</w:t>
                      <w:tab/>
                      <w:t>2019</w:t>
                      <w:tab/>
                      <w:t>2020</w:t>
                    </w:r>
                  </w:p>
                </w:txbxContent>
              </v:textbox>
              <w10:wrap type="none"/>
            </v:shape>
            <w10:wrap type="topAndBottom"/>
          </v:group>
        </w:pict>
      </w:r>
      <w:r>
        <w:rPr>
          <w:sz w:val="18"/>
        </w:rPr>
        <w:t>US$/barril, West Texas Intermediate</w:t>
      </w:r>
    </w:p>
    <w:p>
      <w:pPr>
        <w:spacing w:before="110"/>
        <w:ind w:left="3734" w:right="51" w:firstLine="0"/>
        <w:jc w:val="left"/>
        <w:rPr>
          <w:sz w:val="20"/>
        </w:rPr>
      </w:pPr>
      <w:r>
        <w:rPr>
          <w:sz w:val="20"/>
        </w:rPr>
        <w:t>Fuente: Food and Agricultural Policy Research Institute (FAPRI)</w:t>
      </w:r>
    </w:p>
    <w:p>
      <w:pPr>
        <w:pStyle w:val="BodyText"/>
        <w:spacing w:before="3"/>
        <w:rPr>
          <w:sz w:val="27"/>
        </w:rPr>
      </w:pPr>
    </w:p>
    <w:p>
      <w:pPr>
        <w:spacing w:before="0"/>
        <w:ind w:left="122" w:right="504" w:firstLine="0"/>
        <w:jc w:val="left"/>
        <w:rPr>
          <w:sz w:val="24"/>
        </w:rPr>
      </w:pPr>
      <w:r>
        <w:rPr/>
        <w:pict>
          <v:line style="position:absolute;mso-position-horizontal-relative:page;mso-position-vertical-relative:paragraph;z-index:-461992" from="85.139999pt,.243124pt" to="526.789999pt,.243124pt" stroked="true" strokeweight="2.04pt" strokecolor="#000000">
            <w10:wrap type="none"/>
          </v:line>
        </w:pict>
      </w:r>
      <w:r>
        <w:rPr>
          <w:b/>
          <w:sz w:val="24"/>
        </w:rPr>
        <w:t>Figura 6</w:t>
      </w:r>
      <w:r>
        <w:rPr>
          <w:sz w:val="24"/>
        </w:rPr>
        <w:t>. Precio del petróleo mexicano.</w:t>
      </w:r>
    </w:p>
    <w:p>
      <w:pPr>
        <w:spacing w:after="0"/>
        <w:jc w:val="left"/>
        <w:rPr>
          <w:sz w:val="24"/>
        </w:rPr>
        <w:sectPr>
          <w:pgSz w:w="12240" w:h="15840"/>
          <w:pgMar w:header="0" w:footer="657" w:top="1360" w:bottom="840" w:left="1580" w:right="1580"/>
        </w:sectPr>
      </w:pPr>
    </w:p>
    <w:p>
      <w:pPr>
        <w:pStyle w:val="Heading2"/>
        <w:numPr>
          <w:ilvl w:val="2"/>
          <w:numId w:val="11"/>
        </w:numPr>
        <w:tabs>
          <w:tab w:pos="662" w:val="left" w:leader="none"/>
        </w:tabs>
        <w:spacing w:line="240" w:lineRule="auto" w:before="55" w:after="0"/>
        <w:ind w:left="662" w:right="0" w:hanging="540"/>
        <w:jc w:val="both"/>
        <w:rPr>
          <w:i/>
        </w:rPr>
      </w:pPr>
      <w:bookmarkStart w:name="_TOC_250038" w:id="4"/>
      <w:bookmarkEnd w:id="4"/>
      <w:r>
        <w:rPr>
          <w:i/>
        </w:rPr>
        <w:t>Población</w:t>
      </w:r>
    </w:p>
    <w:p>
      <w:pPr>
        <w:pStyle w:val="BodyText"/>
        <w:rPr>
          <w:b/>
          <w:i/>
        </w:rPr>
      </w:pPr>
    </w:p>
    <w:p>
      <w:pPr>
        <w:pStyle w:val="BodyText"/>
        <w:rPr>
          <w:b/>
          <w:i/>
        </w:rPr>
      </w:pPr>
    </w:p>
    <w:p>
      <w:pPr>
        <w:pStyle w:val="BodyText"/>
        <w:spacing w:before="5"/>
        <w:rPr>
          <w:b/>
          <w:i/>
          <w:sz w:val="34"/>
        </w:rPr>
      </w:pPr>
    </w:p>
    <w:p>
      <w:pPr>
        <w:pStyle w:val="BodyText"/>
        <w:spacing w:line="360" w:lineRule="auto"/>
        <w:ind w:left="122" w:right="115"/>
        <w:jc w:val="both"/>
      </w:pPr>
      <w:r>
        <w:rPr/>
        <w:t>De acuerdo con los datos del Censo de Población y Vivienda publicado por el INEGI, la población total de México fue de 112.3 millones de habitantes en 2010, tal dato sobrepasó las</w:t>
      </w:r>
      <w:r>
        <w:rPr>
          <w:spacing w:val="-14"/>
        </w:rPr>
        <w:t> </w:t>
      </w:r>
      <w:r>
        <w:rPr/>
        <w:t>estimaciones</w:t>
      </w:r>
      <w:r>
        <w:rPr>
          <w:spacing w:val="-14"/>
        </w:rPr>
        <w:t> </w:t>
      </w:r>
      <w:r>
        <w:rPr/>
        <w:t>previstas</w:t>
      </w:r>
      <w:r>
        <w:rPr>
          <w:spacing w:val="-13"/>
        </w:rPr>
        <w:t> </w:t>
      </w:r>
      <w:r>
        <w:rPr/>
        <w:t>por</w:t>
      </w:r>
      <w:r>
        <w:rPr>
          <w:spacing w:val="-14"/>
        </w:rPr>
        <w:t> </w:t>
      </w:r>
      <w:r>
        <w:rPr/>
        <w:t>los</w:t>
      </w:r>
      <w:r>
        <w:rPr>
          <w:spacing w:val="-13"/>
        </w:rPr>
        <w:t> </w:t>
      </w:r>
      <w:r>
        <w:rPr/>
        <w:t>organismos</w:t>
      </w:r>
      <w:r>
        <w:rPr>
          <w:spacing w:val="-13"/>
        </w:rPr>
        <w:t> </w:t>
      </w:r>
      <w:r>
        <w:rPr/>
        <w:t>responsables</w:t>
      </w:r>
      <w:r>
        <w:rPr>
          <w:spacing w:val="-14"/>
        </w:rPr>
        <w:t> </w:t>
      </w:r>
      <w:r>
        <w:rPr/>
        <w:t>del</w:t>
      </w:r>
      <w:r>
        <w:rPr>
          <w:spacing w:val="-13"/>
        </w:rPr>
        <w:t> </w:t>
      </w:r>
      <w:r>
        <w:rPr/>
        <w:t>tema</w:t>
      </w:r>
      <w:r>
        <w:rPr>
          <w:spacing w:val="-14"/>
        </w:rPr>
        <w:t> </w:t>
      </w:r>
      <w:r>
        <w:rPr/>
        <w:t>de</w:t>
      </w:r>
      <w:r>
        <w:rPr>
          <w:spacing w:val="-14"/>
        </w:rPr>
        <w:t> </w:t>
      </w:r>
      <w:r>
        <w:rPr/>
        <w:t>población.</w:t>
      </w:r>
      <w:r>
        <w:rPr>
          <w:spacing w:val="-13"/>
        </w:rPr>
        <w:t> </w:t>
      </w:r>
      <w:r>
        <w:rPr/>
        <w:t>Este</w:t>
      </w:r>
      <w:r>
        <w:rPr>
          <w:spacing w:val="-14"/>
        </w:rPr>
        <w:t> </w:t>
      </w:r>
      <w:r>
        <w:rPr/>
        <w:t>ajuste en la información eleva la tasa de crecimiento promedio anual y con ello presiona sobre la demanda de bienes y servicios, principalmente de</w:t>
      </w:r>
      <w:r>
        <w:rPr>
          <w:spacing w:val="-8"/>
        </w:rPr>
        <w:t> </w:t>
      </w:r>
      <w:r>
        <w:rPr/>
        <w:t>alimentos.</w:t>
      </w:r>
    </w:p>
    <w:p>
      <w:pPr>
        <w:pStyle w:val="BodyText"/>
      </w:pPr>
    </w:p>
    <w:p>
      <w:pPr>
        <w:pStyle w:val="BodyText"/>
      </w:pPr>
    </w:p>
    <w:p>
      <w:pPr>
        <w:pStyle w:val="BodyText"/>
        <w:spacing w:before="4"/>
        <w:rPr>
          <w:sz w:val="23"/>
        </w:rPr>
      </w:pPr>
    </w:p>
    <w:p>
      <w:pPr>
        <w:pStyle w:val="BodyText"/>
        <w:spacing w:line="360" w:lineRule="auto"/>
        <w:ind w:left="122" w:right="114"/>
        <w:jc w:val="both"/>
      </w:pPr>
      <w:r>
        <w:rPr/>
        <w:t>En el largo plazo, continuará una desaceleración en la tasa de crecimiento poblacional, pero a una velocidad menor a la estimada en años previos. Durante el periodo 2011-2020, se estima una tasa de crecimiento promedio anual de 1.2% (Figura 7).</w:t>
      </w:r>
    </w:p>
    <w:p>
      <w:pPr>
        <w:pStyle w:val="BodyText"/>
        <w:rPr>
          <w:sz w:val="20"/>
        </w:rPr>
      </w:pPr>
    </w:p>
    <w:p>
      <w:pPr>
        <w:pStyle w:val="BodyText"/>
        <w:spacing w:before="4"/>
        <w:rPr>
          <w:sz w:val="18"/>
        </w:rPr>
      </w:pPr>
    </w:p>
    <w:p>
      <w:pPr>
        <w:spacing w:before="77"/>
        <w:ind w:left="1072" w:right="504" w:firstLine="0"/>
        <w:jc w:val="left"/>
        <w:rPr>
          <w:sz w:val="18"/>
        </w:rPr>
      </w:pPr>
      <w:r>
        <w:rPr/>
        <w:pict>
          <v:group style="position:absolute;margin-left:125.75pt;margin-top:18.792339pt;width:360.5pt;height:216.5pt;mso-position-horizontal-relative:page;mso-position-vertical-relative:paragraph;z-index:1840;mso-wrap-distance-left:0;mso-wrap-distance-right:0" coordorigin="2515,376" coordsize="7210,4330">
            <v:line style="position:absolute" from="3072,3899" to="9319,3899" stroked="true" strokeweight=".72pt" strokecolor="#d9d9d9"/>
            <v:line style="position:absolute" from="3072,3532" to="9319,3532" stroked="true" strokeweight=".72pt" strokecolor="#d9d9d9"/>
            <v:line style="position:absolute" from="3072,3167" to="9319,3167" stroked="true" strokeweight=".72pt" strokecolor="#d9d9d9"/>
            <v:line style="position:absolute" from="3072,2800" to="9319,2800" stroked="true" strokeweight=".72pt" strokecolor="#d9d9d9"/>
            <v:line style="position:absolute" from="3072,2433" to="9319,2433" stroked="true" strokeweight=".72pt" strokecolor="#d9d9d9"/>
            <v:line style="position:absolute" from="3072,2068" to="9319,2068" stroked="true" strokeweight=".72pt" strokecolor="#d9d9d9"/>
            <v:line style="position:absolute" from="3072,1701" to="9319,1701" stroked="true" strokeweight=".72pt" strokecolor="#d9d9d9"/>
            <v:line style="position:absolute" from="3072,1334" to="9319,1334" stroked="true" strokeweight=".72pt" strokecolor="#d9d9d9"/>
            <v:line style="position:absolute" from="3072,969" to="9319,969" stroked="true" strokeweight=".72pt" strokecolor="#d9d9d9"/>
            <v:line style="position:absolute" from="3072,602" to="9319,602" stroked="true" strokeweight=".72pt" strokecolor="#d9d9d9"/>
            <v:line style="position:absolute" from="3072,4264" to="3072,602" stroked="true" strokeweight=".72pt" strokecolor="#bebebe"/>
            <v:line style="position:absolute" from="3072,4264" to="9319,4264" stroked="true" strokeweight=".72pt" strokecolor="#bebebe"/>
            <v:shape style="position:absolute;left:3072;top:779;width:6262;height:3314" type="#_x0000_t75" stroked="false">
              <v:imagedata r:id="rId47" o:title=""/>
            </v:shape>
            <v:shape style="position:absolute;left:2520;top:381;width:7200;height:4320" type="#_x0000_t202" filled="false" stroked="true" strokeweight=".48pt" strokecolor="#000000">
              <v:textbox inset="0,0,0,0">
                <w:txbxContent>
                  <w:p>
                    <w:pPr>
                      <w:spacing w:before="105"/>
                      <w:ind w:left="125" w:right="0" w:firstLine="0"/>
                      <w:jc w:val="left"/>
                      <w:rPr>
                        <w:sz w:val="18"/>
                      </w:rPr>
                    </w:pPr>
                    <w:r>
                      <w:rPr>
                        <w:color w:val="585858"/>
                        <w:sz w:val="18"/>
                      </w:rPr>
                      <w:t>128</w:t>
                    </w:r>
                  </w:p>
                  <w:p>
                    <w:pPr>
                      <w:spacing w:before="159"/>
                      <w:ind w:left="125" w:right="0" w:firstLine="0"/>
                      <w:jc w:val="left"/>
                      <w:rPr>
                        <w:sz w:val="18"/>
                      </w:rPr>
                    </w:pPr>
                    <w:r>
                      <w:rPr>
                        <w:color w:val="585858"/>
                        <w:sz w:val="18"/>
                      </w:rPr>
                      <w:t>126</w:t>
                    </w:r>
                  </w:p>
                  <w:p>
                    <w:pPr>
                      <w:spacing w:before="159"/>
                      <w:ind w:left="125" w:right="0" w:firstLine="0"/>
                      <w:jc w:val="left"/>
                      <w:rPr>
                        <w:sz w:val="18"/>
                      </w:rPr>
                    </w:pPr>
                    <w:r>
                      <w:rPr>
                        <w:color w:val="585858"/>
                        <w:sz w:val="18"/>
                      </w:rPr>
                      <w:t>124</w:t>
                    </w:r>
                  </w:p>
                  <w:p>
                    <w:pPr>
                      <w:spacing w:before="159"/>
                      <w:ind w:left="125" w:right="0" w:firstLine="0"/>
                      <w:jc w:val="left"/>
                      <w:rPr>
                        <w:sz w:val="18"/>
                      </w:rPr>
                    </w:pPr>
                    <w:r>
                      <w:rPr>
                        <w:color w:val="585858"/>
                        <w:sz w:val="18"/>
                      </w:rPr>
                      <w:t>122</w:t>
                    </w:r>
                  </w:p>
                  <w:p>
                    <w:pPr>
                      <w:spacing w:before="159"/>
                      <w:ind w:left="125" w:right="0" w:firstLine="0"/>
                      <w:jc w:val="left"/>
                      <w:rPr>
                        <w:sz w:val="18"/>
                      </w:rPr>
                    </w:pPr>
                    <w:r>
                      <w:rPr>
                        <w:color w:val="585858"/>
                        <w:sz w:val="18"/>
                      </w:rPr>
                      <w:t>120</w:t>
                    </w:r>
                  </w:p>
                  <w:p>
                    <w:pPr>
                      <w:spacing w:before="159"/>
                      <w:ind w:left="125" w:right="0" w:firstLine="0"/>
                      <w:jc w:val="left"/>
                      <w:rPr>
                        <w:sz w:val="18"/>
                      </w:rPr>
                    </w:pPr>
                    <w:r>
                      <w:rPr>
                        <w:color w:val="585858"/>
                        <w:sz w:val="18"/>
                      </w:rPr>
                      <w:t>118</w:t>
                    </w:r>
                  </w:p>
                  <w:p>
                    <w:pPr>
                      <w:spacing w:before="160"/>
                      <w:ind w:left="125" w:right="0" w:firstLine="0"/>
                      <w:jc w:val="left"/>
                      <w:rPr>
                        <w:sz w:val="18"/>
                      </w:rPr>
                    </w:pPr>
                    <w:r>
                      <w:rPr>
                        <w:color w:val="585858"/>
                        <w:sz w:val="18"/>
                      </w:rPr>
                      <w:t>116</w:t>
                    </w:r>
                  </w:p>
                  <w:p>
                    <w:pPr>
                      <w:spacing w:before="159"/>
                      <w:ind w:left="125" w:right="0" w:firstLine="0"/>
                      <w:jc w:val="left"/>
                      <w:rPr>
                        <w:sz w:val="18"/>
                      </w:rPr>
                    </w:pPr>
                    <w:r>
                      <w:rPr>
                        <w:color w:val="585858"/>
                        <w:sz w:val="18"/>
                      </w:rPr>
                      <w:t>114</w:t>
                    </w:r>
                  </w:p>
                  <w:p>
                    <w:pPr>
                      <w:spacing w:before="159"/>
                      <w:ind w:left="125" w:right="0" w:firstLine="0"/>
                      <w:jc w:val="left"/>
                      <w:rPr>
                        <w:sz w:val="18"/>
                      </w:rPr>
                    </w:pPr>
                    <w:r>
                      <w:rPr>
                        <w:color w:val="585858"/>
                        <w:sz w:val="18"/>
                      </w:rPr>
                      <w:t>112</w:t>
                    </w:r>
                  </w:p>
                  <w:p>
                    <w:pPr>
                      <w:spacing w:before="160"/>
                      <w:ind w:left="125" w:right="0" w:firstLine="0"/>
                      <w:jc w:val="left"/>
                      <w:rPr>
                        <w:sz w:val="18"/>
                      </w:rPr>
                    </w:pPr>
                    <w:r>
                      <w:rPr>
                        <w:color w:val="585858"/>
                        <w:sz w:val="18"/>
                      </w:rPr>
                      <w:t>110</w:t>
                    </w:r>
                  </w:p>
                  <w:p>
                    <w:pPr>
                      <w:spacing w:before="159"/>
                      <w:ind w:left="125" w:right="0" w:firstLine="0"/>
                      <w:jc w:val="left"/>
                      <w:rPr>
                        <w:sz w:val="18"/>
                      </w:rPr>
                    </w:pPr>
                    <w:r>
                      <w:rPr>
                        <w:color w:val="585858"/>
                        <w:sz w:val="18"/>
                      </w:rPr>
                      <w:t>108</w:t>
                    </w:r>
                  </w:p>
                  <w:p>
                    <w:pPr>
                      <w:spacing w:before="5"/>
                      <w:ind w:left="368" w:right="0" w:firstLine="0"/>
                      <w:jc w:val="left"/>
                      <w:rPr>
                        <w:sz w:val="18"/>
                      </w:rPr>
                    </w:pPr>
                    <w:r>
                      <w:rPr>
                        <w:color w:val="585858"/>
                        <w:sz w:val="18"/>
                      </w:rPr>
                      <w:t>2008   2009   2010   2011   2012   2013   2014   2015   2016   2017   2018   2019         2020</w:t>
                    </w:r>
                  </w:p>
                </w:txbxContent>
              </v:textbox>
              <w10:wrap type="none"/>
            </v:shape>
            <w10:wrap type="topAndBottom"/>
          </v:group>
        </w:pict>
      </w:r>
      <w:r>
        <w:rPr>
          <w:sz w:val="18"/>
        </w:rPr>
        <w:t>1, 000,000 personas</w:t>
      </w:r>
    </w:p>
    <w:p>
      <w:pPr>
        <w:pStyle w:val="BodyText"/>
        <w:spacing w:before="7"/>
        <w:rPr>
          <w:sz w:val="19"/>
        </w:rPr>
      </w:pPr>
    </w:p>
    <w:p>
      <w:pPr>
        <w:spacing w:before="74"/>
        <w:ind w:left="3981" w:right="504" w:firstLine="0"/>
        <w:jc w:val="left"/>
        <w:rPr>
          <w:sz w:val="20"/>
        </w:rPr>
      </w:pPr>
      <w:r>
        <w:rPr>
          <w:sz w:val="20"/>
        </w:rPr>
        <w:t>Fuente: Consejo Nacional de Población (CONAPO)</w:t>
      </w:r>
    </w:p>
    <w:p>
      <w:pPr>
        <w:pStyle w:val="BodyText"/>
        <w:spacing w:before="3"/>
        <w:rPr>
          <w:sz w:val="27"/>
        </w:rPr>
      </w:pPr>
    </w:p>
    <w:p>
      <w:pPr>
        <w:spacing w:before="0"/>
        <w:ind w:left="122" w:right="504" w:firstLine="0"/>
        <w:jc w:val="left"/>
        <w:rPr>
          <w:sz w:val="24"/>
        </w:rPr>
      </w:pPr>
      <w:r>
        <w:rPr/>
        <w:pict>
          <v:line style="position:absolute;mso-position-horizontal-relative:page;mso-position-vertical-relative:paragraph;z-index:-461920" from="85.139999pt,.12313pt" to="526.789999pt,.12313pt" stroked="true" strokeweight="2.04pt" strokecolor="#000000">
            <w10:wrap type="none"/>
          </v:line>
        </w:pict>
      </w:r>
      <w:r>
        <w:rPr>
          <w:b/>
          <w:sz w:val="24"/>
        </w:rPr>
        <w:t>Figura 7. </w:t>
      </w:r>
      <w:r>
        <w:rPr>
          <w:sz w:val="24"/>
        </w:rPr>
        <w:t>Crecimiento de la población mexicana.</w:t>
      </w:r>
    </w:p>
    <w:p>
      <w:pPr>
        <w:spacing w:after="0"/>
        <w:jc w:val="left"/>
        <w:rPr>
          <w:sz w:val="24"/>
        </w:rPr>
        <w:sectPr>
          <w:pgSz w:w="12240" w:h="15840"/>
          <w:pgMar w:header="0" w:footer="657" w:top="1360" w:bottom="840" w:left="1580" w:right="1580"/>
        </w:sectPr>
      </w:pPr>
    </w:p>
    <w:p>
      <w:pPr>
        <w:pStyle w:val="Heading2"/>
        <w:numPr>
          <w:ilvl w:val="2"/>
          <w:numId w:val="11"/>
        </w:numPr>
        <w:tabs>
          <w:tab w:pos="662" w:val="left" w:leader="none"/>
        </w:tabs>
        <w:spacing w:line="240" w:lineRule="auto" w:before="55" w:after="0"/>
        <w:ind w:left="662" w:right="0" w:hanging="540"/>
        <w:jc w:val="both"/>
        <w:rPr>
          <w:i/>
        </w:rPr>
      </w:pPr>
      <w:r>
        <w:rPr>
          <w:i/>
        </w:rPr>
        <w:t>Precios al</w:t>
      </w:r>
      <w:r>
        <w:rPr>
          <w:i/>
          <w:spacing w:val="-4"/>
        </w:rPr>
        <w:t> </w:t>
      </w:r>
      <w:r>
        <w:rPr>
          <w:i/>
        </w:rPr>
        <w:t>productor</w:t>
      </w:r>
    </w:p>
    <w:p>
      <w:pPr>
        <w:pStyle w:val="BodyText"/>
        <w:rPr>
          <w:b/>
          <w:i/>
        </w:rPr>
      </w:pPr>
    </w:p>
    <w:p>
      <w:pPr>
        <w:pStyle w:val="BodyText"/>
        <w:rPr>
          <w:b/>
          <w:i/>
        </w:rPr>
      </w:pPr>
    </w:p>
    <w:p>
      <w:pPr>
        <w:pStyle w:val="BodyText"/>
        <w:spacing w:before="5"/>
        <w:rPr>
          <w:b/>
          <w:i/>
          <w:sz w:val="34"/>
        </w:rPr>
      </w:pPr>
    </w:p>
    <w:p>
      <w:pPr>
        <w:pStyle w:val="BodyText"/>
        <w:spacing w:line="360" w:lineRule="auto"/>
        <w:ind w:left="122" w:right="119"/>
        <w:jc w:val="both"/>
      </w:pPr>
      <w:r>
        <w:rPr/>
        <w:t>Los índices de precios miden el cambio porcentual de los precios en el tiempo. El índice de precios al productor (INPP) se refiere a una canasta de bienes y servicios destinados a la producción, mientras que el índice de precios al consumidor (INPC) utiliza una canasta con bienes y servicios de consumo final.</w:t>
      </w:r>
    </w:p>
    <w:p>
      <w:pPr>
        <w:pStyle w:val="BodyText"/>
      </w:pPr>
    </w:p>
    <w:p>
      <w:pPr>
        <w:pStyle w:val="BodyText"/>
      </w:pPr>
    </w:p>
    <w:p>
      <w:pPr>
        <w:pStyle w:val="BodyText"/>
        <w:spacing w:before="1"/>
        <w:rPr>
          <w:sz w:val="23"/>
        </w:rPr>
      </w:pPr>
    </w:p>
    <w:p>
      <w:pPr>
        <w:pStyle w:val="BodyText"/>
        <w:spacing w:line="360" w:lineRule="auto"/>
        <w:ind w:left="122" w:right="117"/>
        <w:jc w:val="both"/>
      </w:pPr>
      <w:r>
        <w:rPr/>
        <w:t>En 2010, el INPP registró una tasa de crecimiento anual de 3.7%, dicho crecimiento se encontró</w:t>
      </w:r>
      <w:r>
        <w:rPr>
          <w:spacing w:val="-9"/>
        </w:rPr>
        <w:t> </w:t>
      </w:r>
      <w:r>
        <w:rPr/>
        <w:t>dentro</w:t>
      </w:r>
      <w:r>
        <w:rPr>
          <w:spacing w:val="-9"/>
        </w:rPr>
        <w:t> </w:t>
      </w:r>
      <w:r>
        <w:rPr/>
        <w:t>del</w:t>
      </w:r>
      <w:r>
        <w:rPr>
          <w:spacing w:val="-8"/>
        </w:rPr>
        <w:t> </w:t>
      </w:r>
      <w:r>
        <w:rPr/>
        <w:t>objetivo</w:t>
      </w:r>
      <w:r>
        <w:rPr>
          <w:spacing w:val="-9"/>
        </w:rPr>
        <w:t> </w:t>
      </w:r>
      <w:r>
        <w:rPr/>
        <w:t>previsto</w:t>
      </w:r>
      <w:r>
        <w:rPr>
          <w:spacing w:val="-9"/>
        </w:rPr>
        <w:t> </w:t>
      </w:r>
      <w:r>
        <w:rPr/>
        <w:t>por</w:t>
      </w:r>
      <w:r>
        <w:rPr>
          <w:spacing w:val="-7"/>
        </w:rPr>
        <w:t> </w:t>
      </w:r>
      <w:r>
        <w:rPr/>
        <w:t>el</w:t>
      </w:r>
      <w:r>
        <w:rPr>
          <w:spacing w:val="-6"/>
        </w:rPr>
        <w:t> </w:t>
      </w:r>
      <w:r>
        <w:rPr/>
        <w:t>Banco</w:t>
      </w:r>
      <w:r>
        <w:rPr>
          <w:spacing w:val="-6"/>
        </w:rPr>
        <w:t> </w:t>
      </w:r>
      <w:r>
        <w:rPr/>
        <w:t>de</w:t>
      </w:r>
      <w:r>
        <w:rPr>
          <w:spacing w:val="-10"/>
        </w:rPr>
        <w:t> </w:t>
      </w:r>
      <w:r>
        <w:rPr/>
        <w:t>México.</w:t>
      </w:r>
      <w:r>
        <w:rPr>
          <w:spacing w:val="-9"/>
        </w:rPr>
        <w:t> </w:t>
      </w:r>
      <w:r>
        <w:rPr/>
        <w:t>Por</w:t>
      </w:r>
      <w:r>
        <w:rPr>
          <w:spacing w:val="-9"/>
        </w:rPr>
        <w:t> </w:t>
      </w:r>
      <w:r>
        <w:rPr/>
        <w:t>su</w:t>
      </w:r>
      <w:r>
        <w:rPr>
          <w:spacing w:val="-8"/>
        </w:rPr>
        <w:t> </w:t>
      </w:r>
      <w:r>
        <w:rPr/>
        <w:t>parte,</w:t>
      </w:r>
      <w:r>
        <w:rPr>
          <w:spacing w:val="-4"/>
        </w:rPr>
        <w:t> </w:t>
      </w:r>
      <w:r>
        <w:rPr/>
        <w:t>en</w:t>
      </w:r>
      <w:r>
        <w:rPr>
          <w:spacing w:val="-9"/>
        </w:rPr>
        <w:t> </w:t>
      </w:r>
      <w:r>
        <w:rPr/>
        <w:t>el</w:t>
      </w:r>
      <w:r>
        <w:rPr>
          <w:spacing w:val="-8"/>
        </w:rPr>
        <w:t> </w:t>
      </w:r>
      <w:r>
        <w:rPr/>
        <w:t>mismo</w:t>
      </w:r>
      <w:r>
        <w:rPr>
          <w:spacing w:val="-8"/>
        </w:rPr>
        <w:t> </w:t>
      </w:r>
      <w:r>
        <w:rPr/>
        <w:t>año, el INPC creció 4.4%, siendo la principal causa el alza de los precios en alimentos. A pesar de los factores coyunturales que presionan los precios, se espera que en 2011 ambos indicadores se encuentren muy cercanos al 4% (Figura 8). Para el periodo 2011-2020, se estima un descenso gradual al objetivo establecido por el banco central de 3% (SAGARPA, 2011b).</w:t>
      </w:r>
    </w:p>
    <w:p>
      <w:pPr>
        <w:pStyle w:val="BodyText"/>
        <w:rPr>
          <w:sz w:val="20"/>
        </w:rPr>
      </w:pPr>
    </w:p>
    <w:p>
      <w:pPr>
        <w:pStyle w:val="BodyText"/>
        <w:rPr>
          <w:sz w:val="19"/>
        </w:rPr>
      </w:pPr>
    </w:p>
    <w:p>
      <w:pPr>
        <w:spacing w:before="77"/>
        <w:ind w:left="957" w:right="504" w:firstLine="0"/>
        <w:jc w:val="left"/>
        <w:rPr>
          <w:sz w:val="18"/>
        </w:rPr>
      </w:pPr>
      <w:r>
        <w:rPr/>
        <w:pict>
          <v:group style="position:absolute;margin-left:125.75pt;margin-top:18.532356pt;width:360.5pt;height:216.5pt;mso-position-horizontal-relative:page;mso-position-vertical-relative:paragraph;z-index:1912;mso-wrap-distance-left:0;mso-wrap-distance-right:0" coordorigin="2515,371" coordsize="7210,4330">
            <v:line style="position:absolute" from="3247,3719" to="9401,3719" stroked="true" strokeweight=".72pt" strokecolor="#d9d9d9"/>
            <v:line style="position:absolute" from="3247,3198" to="9401,3198" stroked="true" strokeweight=".72pt" strokecolor="#d9d9d9"/>
            <v:line style="position:absolute" from="3247,2677" to="9401,2677" stroked="true" strokeweight=".72pt" strokecolor="#d9d9d9"/>
            <v:line style="position:absolute" from="3247,2156" to="9401,2156" stroked="true" strokeweight=".72pt" strokecolor="#d9d9d9"/>
            <v:line style="position:absolute" from="3247,1636" to="9401,1636" stroked="true" strokeweight=".72pt" strokecolor="#d9d9d9"/>
            <v:line style="position:absolute" from="3247,1115" to="9401,1115" stroked="true" strokeweight=".72pt" strokecolor="#d9d9d9"/>
            <v:line style="position:absolute" from="3247,594" to="9401,594" stroked="true" strokeweight=".72pt" strokecolor="#d9d9d9"/>
            <v:line style="position:absolute" from="3247,4240" to="3247,594" stroked="true" strokeweight=".72pt" strokecolor="#bebebe"/>
            <v:line style="position:absolute" from="3247,4240" to="9401,4240" stroked="true" strokeweight=".72pt" strokecolor="#bebebe"/>
            <v:shape style="position:absolute;left:3247;top:1208;width:6168;height:2755" type="#_x0000_t75" stroked="false">
              <v:imagedata r:id="rId48" o:title=""/>
            </v:shape>
            <v:shape style="position:absolute;left:2520;top:376;width:7200;height:4320" type="#_x0000_t202" filled="false" stroked="true" strokeweight=".48pt" strokecolor="#000000">
              <v:textbox inset="0,0,0,0">
                <w:txbxContent>
                  <w:p>
                    <w:pPr>
                      <w:spacing w:before="102"/>
                      <w:ind w:left="262" w:right="0" w:firstLine="0"/>
                      <w:jc w:val="left"/>
                      <w:rPr>
                        <w:rFonts w:ascii="Cambria"/>
                        <w:sz w:val="18"/>
                      </w:rPr>
                    </w:pPr>
                    <w:r>
                      <w:rPr>
                        <w:rFonts w:ascii="Cambria"/>
                        <w:color w:val="585858"/>
                        <w:sz w:val="18"/>
                      </w:rPr>
                      <w:t>170</w:t>
                    </w:r>
                  </w:p>
                  <w:p>
                    <w:pPr>
                      <w:spacing w:line="240" w:lineRule="auto" w:before="10"/>
                      <w:rPr>
                        <w:sz w:val="26"/>
                      </w:rPr>
                    </w:pPr>
                  </w:p>
                  <w:p>
                    <w:pPr>
                      <w:spacing w:before="0"/>
                      <w:ind w:left="262" w:right="0" w:firstLine="0"/>
                      <w:jc w:val="left"/>
                      <w:rPr>
                        <w:rFonts w:ascii="Cambria"/>
                        <w:sz w:val="18"/>
                      </w:rPr>
                    </w:pPr>
                    <w:r>
                      <w:rPr>
                        <w:rFonts w:ascii="Cambria"/>
                        <w:color w:val="585858"/>
                        <w:sz w:val="18"/>
                      </w:rPr>
                      <w:t>160</w:t>
                    </w:r>
                  </w:p>
                  <w:p>
                    <w:pPr>
                      <w:spacing w:line="240" w:lineRule="auto" w:before="10"/>
                      <w:rPr>
                        <w:sz w:val="26"/>
                      </w:rPr>
                    </w:pPr>
                  </w:p>
                  <w:p>
                    <w:pPr>
                      <w:spacing w:before="1"/>
                      <w:ind w:left="262" w:right="0" w:firstLine="0"/>
                      <w:jc w:val="left"/>
                      <w:rPr>
                        <w:rFonts w:ascii="Cambria"/>
                        <w:sz w:val="18"/>
                      </w:rPr>
                    </w:pPr>
                    <w:r>
                      <w:rPr>
                        <w:rFonts w:ascii="Cambria"/>
                        <w:color w:val="585858"/>
                        <w:sz w:val="18"/>
                      </w:rPr>
                      <w:t>150</w:t>
                    </w:r>
                  </w:p>
                  <w:p>
                    <w:pPr>
                      <w:spacing w:line="240" w:lineRule="auto" w:before="10"/>
                      <w:rPr>
                        <w:sz w:val="26"/>
                      </w:rPr>
                    </w:pPr>
                  </w:p>
                  <w:p>
                    <w:pPr>
                      <w:spacing w:before="1"/>
                      <w:ind w:left="262" w:right="0" w:firstLine="0"/>
                      <w:jc w:val="left"/>
                      <w:rPr>
                        <w:rFonts w:ascii="Cambria"/>
                        <w:sz w:val="18"/>
                      </w:rPr>
                    </w:pPr>
                    <w:r>
                      <w:rPr>
                        <w:rFonts w:ascii="Cambria"/>
                        <w:color w:val="585858"/>
                        <w:sz w:val="18"/>
                      </w:rPr>
                      <w:t>140</w:t>
                    </w:r>
                  </w:p>
                  <w:p>
                    <w:pPr>
                      <w:spacing w:line="240" w:lineRule="auto" w:before="10"/>
                      <w:rPr>
                        <w:sz w:val="26"/>
                      </w:rPr>
                    </w:pPr>
                  </w:p>
                  <w:p>
                    <w:pPr>
                      <w:spacing w:before="0"/>
                      <w:ind w:left="262" w:right="0" w:firstLine="0"/>
                      <w:jc w:val="left"/>
                      <w:rPr>
                        <w:rFonts w:ascii="Cambria"/>
                        <w:sz w:val="18"/>
                      </w:rPr>
                    </w:pPr>
                    <w:r>
                      <w:rPr>
                        <w:rFonts w:ascii="Cambria"/>
                        <w:color w:val="585858"/>
                        <w:sz w:val="18"/>
                      </w:rPr>
                      <w:t>130</w:t>
                    </w:r>
                  </w:p>
                  <w:p>
                    <w:pPr>
                      <w:spacing w:line="240" w:lineRule="auto" w:before="10"/>
                      <w:rPr>
                        <w:sz w:val="26"/>
                      </w:rPr>
                    </w:pPr>
                  </w:p>
                  <w:p>
                    <w:pPr>
                      <w:spacing w:before="1"/>
                      <w:ind w:left="262" w:right="0" w:firstLine="0"/>
                      <w:jc w:val="left"/>
                      <w:rPr>
                        <w:rFonts w:ascii="Cambria"/>
                        <w:sz w:val="18"/>
                      </w:rPr>
                    </w:pPr>
                    <w:r>
                      <w:rPr>
                        <w:rFonts w:ascii="Cambria"/>
                        <w:color w:val="585858"/>
                        <w:sz w:val="18"/>
                      </w:rPr>
                      <w:t>120</w:t>
                    </w:r>
                  </w:p>
                  <w:p>
                    <w:pPr>
                      <w:spacing w:line="240" w:lineRule="auto" w:before="10"/>
                      <w:rPr>
                        <w:sz w:val="26"/>
                      </w:rPr>
                    </w:pPr>
                  </w:p>
                  <w:p>
                    <w:pPr>
                      <w:spacing w:before="0"/>
                      <w:ind w:left="262" w:right="0" w:firstLine="0"/>
                      <w:jc w:val="left"/>
                      <w:rPr>
                        <w:rFonts w:ascii="Cambria"/>
                        <w:sz w:val="18"/>
                      </w:rPr>
                    </w:pPr>
                    <w:r>
                      <w:rPr>
                        <w:rFonts w:ascii="Cambria"/>
                        <w:color w:val="585858"/>
                        <w:sz w:val="18"/>
                      </w:rPr>
                      <w:t>110</w:t>
                    </w:r>
                  </w:p>
                  <w:p>
                    <w:pPr>
                      <w:spacing w:line="240" w:lineRule="auto" w:before="10"/>
                      <w:rPr>
                        <w:sz w:val="26"/>
                      </w:rPr>
                    </w:pPr>
                  </w:p>
                  <w:p>
                    <w:pPr>
                      <w:spacing w:before="0"/>
                      <w:ind w:left="262" w:right="0" w:firstLine="0"/>
                      <w:jc w:val="left"/>
                      <w:rPr>
                        <w:rFonts w:ascii="Cambria"/>
                        <w:sz w:val="18"/>
                      </w:rPr>
                    </w:pPr>
                    <w:r>
                      <w:rPr>
                        <w:rFonts w:ascii="Cambria"/>
                        <w:color w:val="585858"/>
                        <w:sz w:val="18"/>
                      </w:rPr>
                      <w:t>100</w:t>
                    </w:r>
                  </w:p>
                  <w:p>
                    <w:pPr>
                      <w:spacing w:before="16"/>
                      <w:ind w:left="524" w:right="0" w:firstLine="0"/>
                      <w:jc w:val="left"/>
                      <w:rPr>
                        <w:rFonts w:ascii="Cambria"/>
                        <w:sz w:val="18"/>
                      </w:rPr>
                    </w:pPr>
                    <w:r>
                      <w:rPr>
                        <w:rFonts w:ascii="Cambria"/>
                        <w:color w:val="585858"/>
                        <w:sz w:val="18"/>
                      </w:rPr>
                      <w:t>2008  2009  2010  2011  2012  2013  2014  2015  2016  2017  2018  2019  2020</w:t>
                    </w:r>
                  </w:p>
                </w:txbxContent>
              </v:textbox>
              <w10:wrap type="none"/>
            </v:shape>
            <w10:wrap type="topAndBottom"/>
          </v:group>
        </w:pict>
      </w:r>
      <w:r>
        <w:rPr>
          <w:sz w:val="18"/>
        </w:rPr>
        <w:t>Índice, 2007=100</w:t>
      </w:r>
    </w:p>
    <w:p>
      <w:pPr>
        <w:pStyle w:val="BodyText"/>
        <w:spacing w:before="5"/>
        <w:rPr>
          <w:sz w:val="19"/>
        </w:rPr>
      </w:pPr>
    </w:p>
    <w:p>
      <w:pPr>
        <w:spacing w:before="73"/>
        <w:ind w:left="0" w:right="920" w:firstLine="0"/>
        <w:jc w:val="right"/>
        <w:rPr>
          <w:sz w:val="20"/>
        </w:rPr>
      </w:pPr>
      <w:r>
        <w:rPr>
          <w:sz w:val="20"/>
        </w:rPr>
        <w:t>Fuente: CAPEM</w:t>
      </w:r>
    </w:p>
    <w:p>
      <w:pPr>
        <w:pStyle w:val="BodyText"/>
        <w:spacing w:before="5"/>
        <w:rPr>
          <w:sz w:val="22"/>
        </w:rPr>
      </w:pPr>
      <w:r>
        <w:rPr/>
        <w:pict>
          <v:line style="position:absolute;mso-position-horizontal-relative:page;mso-position-vertical-relative:paragraph;z-index:1936;mso-wrap-distance-left:0;mso-wrap-distance-right:0" from="85.139999pt,15.916912pt" to="526.789999pt,15.916912pt" stroked="true" strokeweight="2.04pt" strokecolor="#000000">
            <w10:wrap type="topAndBottom"/>
          </v:line>
        </w:pict>
      </w:r>
    </w:p>
    <w:p>
      <w:pPr>
        <w:pStyle w:val="BodyText"/>
        <w:spacing w:line="222" w:lineRule="exact"/>
        <w:ind w:left="122" w:right="504"/>
      </w:pPr>
      <w:r>
        <w:rPr>
          <w:b/>
        </w:rPr>
        <w:t>Figura 8. </w:t>
      </w:r>
      <w:r>
        <w:rPr/>
        <w:t>Índice nacional de precios al productor.</w:t>
      </w:r>
    </w:p>
    <w:p>
      <w:pPr>
        <w:spacing w:after="0" w:line="222" w:lineRule="exact"/>
        <w:sectPr>
          <w:pgSz w:w="12240" w:h="15840"/>
          <w:pgMar w:header="0" w:footer="657" w:top="1360" w:bottom="840" w:left="1580" w:right="1580"/>
        </w:sectPr>
      </w:pPr>
    </w:p>
    <w:p>
      <w:pPr>
        <w:pStyle w:val="Heading2"/>
        <w:numPr>
          <w:ilvl w:val="2"/>
          <w:numId w:val="11"/>
        </w:numPr>
        <w:tabs>
          <w:tab w:pos="662" w:val="left" w:leader="none"/>
        </w:tabs>
        <w:spacing w:line="240" w:lineRule="auto" w:before="55" w:after="0"/>
        <w:ind w:left="662" w:right="0" w:hanging="540"/>
        <w:jc w:val="both"/>
        <w:rPr>
          <w:i/>
        </w:rPr>
      </w:pPr>
      <w:bookmarkStart w:name="_TOC_250037" w:id="5"/>
      <w:r>
        <w:rPr>
          <w:i/>
        </w:rPr>
        <w:t>Tasa de interés (cetes 28</w:t>
      </w:r>
      <w:r>
        <w:rPr>
          <w:i/>
          <w:spacing w:val="-5"/>
        </w:rPr>
        <w:t> </w:t>
      </w:r>
      <w:bookmarkEnd w:id="5"/>
      <w:r>
        <w:rPr>
          <w:i/>
        </w:rPr>
        <w:t>días)</w:t>
      </w:r>
    </w:p>
    <w:p>
      <w:pPr>
        <w:pStyle w:val="BodyText"/>
        <w:rPr>
          <w:b/>
          <w:i/>
        </w:rPr>
      </w:pPr>
    </w:p>
    <w:p>
      <w:pPr>
        <w:pStyle w:val="BodyText"/>
        <w:rPr>
          <w:b/>
          <w:i/>
        </w:rPr>
      </w:pPr>
    </w:p>
    <w:p>
      <w:pPr>
        <w:pStyle w:val="BodyText"/>
        <w:spacing w:before="5"/>
        <w:rPr>
          <w:b/>
          <w:i/>
          <w:sz w:val="34"/>
        </w:rPr>
      </w:pPr>
    </w:p>
    <w:p>
      <w:pPr>
        <w:pStyle w:val="BodyText"/>
        <w:spacing w:line="360" w:lineRule="auto"/>
        <w:ind w:left="122" w:right="116"/>
        <w:jc w:val="both"/>
      </w:pPr>
      <w:r>
        <w:rPr/>
        <w:t>La tasa de los Certificados de la Tesorería de la Federación es la tasa de referencia sobre la que</w:t>
      </w:r>
      <w:r>
        <w:rPr>
          <w:spacing w:val="-5"/>
        </w:rPr>
        <w:t> </w:t>
      </w:r>
      <w:r>
        <w:rPr/>
        <w:t>se</w:t>
      </w:r>
      <w:r>
        <w:rPr>
          <w:spacing w:val="-5"/>
        </w:rPr>
        <w:t> </w:t>
      </w:r>
      <w:r>
        <w:rPr/>
        <w:t>fijan</w:t>
      </w:r>
      <w:r>
        <w:rPr>
          <w:spacing w:val="-2"/>
        </w:rPr>
        <w:t> </w:t>
      </w:r>
      <w:r>
        <w:rPr/>
        <w:t>el</w:t>
      </w:r>
      <w:r>
        <w:rPr>
          <w:spacing w:val="-3"/>
        </w:rPr>
        <w:t> </w:t>
      </w:r>
      <w:r>
        <w:rPr/>
        <w:t>resto</w:t>
      </w:r>
      <w:r>
        <w:rPr>
          <w:spacing w:val="-3"/>
        </w:rPr>
        <w:t> </w:t>
      </w:r>
      <w:r>
        <w:rPr/>
        <w:t>de</w:t>
      </w:r>
      <w:r>
        <w:rPr>
          <w:spacing w:val="-2"/>
        </w:rPr>
        <w:t> </w:t>
      </w:r>
      <w:r>
        <w:rPr/>
        <w:t>ellas</w:t>
      </w:r>
      <w:r>
        <w:rPr>
          <w:spacing w:val="-4"/>
        </w:rPr>
        <w:t> </w:t>
      </w:r>
      <w:r>
        <w:rPr/>
        <w:t>en</w:t>
      </w:r>
      <w:r>
        <w:rPr>
          <w:spacing w:val="-4"/>
        </w:rPr>
        <w:t> </w:t>
      </w:r>
      <w:r>
        <w:rPr/>
        <w:t>México.</w:t>
      </w:r>
      <w:r>
        <w:rPr>
          <w:spacing w:val="-4"/>
        </w:rPr>
        <w:t> </w:t>
      </w:r>
      <w:r>
        <w:rPr/>
        <w:t>Durante</w:t>
      </w:r>
      <w:r>
        <w:rPr>
          <w:spacing w:val="-4"/>
        </w:rPr>
        <w:t> </w:t>
      </w:r>
      <w:r>
        <w:rPr/>
        <w:t>el</w:t>
      </w:r>
      <w:r>
        <w:rPr>
          <w:spacing w:val="-1"/>
        </w:rPr>
        <w:t> </w:t>
      </w:r>
      <w:r>
        <w:rPr/>
        <w:t>año</w:t>
      </w:r>
      <w:r>
        <w:rPr>
          <w:spacing w:val="-4"/>
        </w:rPr>
        <w:t> </w:t>
      </w:r>
      <w:r>
        <w:rPr/>
        <w:t>2010,</w:t>
      </w:r>
      <w:r>
        <w:rPr>
          <w:spacing w:val="-4"/>
        </w:rPr>
        <w:t> </w:t>
      </w:r>
      <w:r>
        <w:rPr/>
        <w:t>mantuvo</w:t>
      </w:r>
      <w:r>
        <w:rPr>
          <w:spacing w:val="-4"/>
        </w:rPr>
        <w:t> </w:t>
      </w:r>
      <w:r>
        <w:rPr/>
        <w:t>un</w:t>
      </w:r>
      <w:r>
        <w:rPr>
          <w:spacing w:val="-4"/>
        </w:rPr>
        <w:t> </w:t>
      </w:r>
      <w:r>
        <w:rPr/>
        <w:t>nivel</w:t>
      </w:r>
      <w:r>
        <w:rPr>
          <w:spacing w:val="-3"/>
        </w:rPr>
        <w:t> </w:t>
      </w:r>
      <w:r>
        <w:rPr/>
        <w:t>promedio</w:t>
      </w:r>
      <w:r>
        <w:rPr>
          <w:spacing w:val="-3"/>
        </w:rPr>
        <w:t> </w:t>
      </w:r>
      <w:r>
        <w:rPr/>
        <w:t>de 4.4%,</w:t>
      </w:r>
      <w:r>
        <w:rPr>
          <w:spacing w:val="-16"/>
        </w:rPr>
        <w:t> </w:t>
      </w:r>
      <w:r>
        <w:rPr/>
        <w:t>un</w:t>
      </w:r>
      <w:r>
        <w:rPr>
          <w:spacing w:val="-16"/>
        </w:rPr>
        <w:t> </w:t>
      </w:r>
      <w:r>
        <w:rPr/>
        <w:t>punto</w:t>
      </w:r>
      <w:r>
        <w:rPr>
          <w:spacing w:val="-15"/>
        </w:rPr>
        <w:t> </w:t>
      </w:r>
      <w:r>
        <w:rPr/>
        <w:t>porcentual</w:t>
      </w:r>
      <w:r>
        <w:rPr>
          <w:spacing w:val="-15"/>
        </w:rPr>
        <w:t> </w:t>
      </w:r>
      <w:r>
        <w:rPr/>
        <w:t>debajo</w:t>
      </w:r>
      <w:r>
        <w:rPr>
          <w:spacing w:val="-15"/>
        </w:rPr>
        <w:t> </w:t>
      </w:r>
      <w:r>
        <w:rPr/>
        <w:t>de</w:t>
      </w:r>
      <w:r>
        <w:rPr>
          <w:spacing w:val="-15"/>
        </w:rPr>
        <w:t> </w:t>
      </w:r>
      <w:r>
        <w:rPr/>
        <w:t>la</w:t>
      </w:r>
      <w:r>
        <w:rPr>
          <w:spacing w:val="-16"/>
        </w:rPr>
        <w:t> </w:t>
      </w:r>
      <w:r>
        <w:rPr/>
        <w:t>tasa</w:t>
      </w:r>
      <w:r>
        <w:rPr>
          <w:spacing w:val="-17"/>
        </w:rPr>
        <w:t> </w:t>
      </w:r>
      <w:r>
        <w:rPr/>
        <w:t>alcanzada</w:t>
      </w:r>
      <w:r>
        <w:rPr>
          <w:spacing w:val="-17"/>
        </w:rPr>
        <w:t> </w:t>
      </w:r>
      <w:r>
        <w:rPr/>
        <w:t>en</w:t>
      </w:r>
      <w:r>
        <w:rPr>
          <w:spacing w:val="-16"/>
        </w:rPr>
        <w:t> </w:t>
      </w:r>
      <w:r>
        <w:rPr/>
        <w:t>2009.</w:t>
      </w:r>
      <w:r>
        <w:rPr>
          <w:spacing w:val="-14"/>
        </w:rPr>
        <w:t> </w:t>
      </w:r>
      <w:r>
        <w:rPr/>
        <w:t>En</w:t>
      </w:r>
      <w:r>
        <w:rPr>
          <w:spacing w:val="-14"/>
        </w:rPr>
        <w:t> </w:t>
      </w:r>
      <w:r>
        <w:rPr/>
        <w:t>el</w:t>
      </w:r>
      <w:r>
        <w:rPr>
          <w:spacing w:val="-15"/>
        </w:rPr>
        <w:t> </w:t>
      </w:r>
      <w:r>
        <w:rPr/>
        <w:t>mediano</w:t>
      </w:r>
      <w:r>
        <w:rPr>
          <w:spacing w:val="-16"/>
        </w:rPr>
        <w:t> </w:t>
      </w:r>
      <w:r>
        <w:rPr/>
        <w:t>plazo</w:t>
      </w:r>
      <w:r>
        <w:rPr>
          <w:spacing w:val="-16"/>
        </w:rPr>
        <w:t> </w:t>
      </w:r>
      <w:r>
        <w:rPr/>
        <w:t>se</w:t>
      </w:r>
      <w:r>
        <w:rPr>
          <w:spacing w:val="-17"/>
        </w:rPr>
        <w:t> </w:t>
      </w:r>
      <w:r>
        <w:rPr/>
        <w:t>estima que la tasa de interés se recupere hasta un nivel máximo de 6% y posteriormente en el largo plazo</w:t>
      </w:r>
      <w:r>
        <w:rPr>
          <w:spacing w:val="-6"/>
        </w:rPr>
        <w:t> </w:t>
      </w:r>
      <w:r>
        <w:rPr/>
        <w:t>retorne</w:t>
      </w:r>
      <w:r>
        <w:rPr>
          <w:spacing w:val="-7"/>
        </w:rPr>
        <w:t> </w:t>
      </w:r>
      <w:r>
        <w:rPr/>
        <w:t>a</w:t>
      </w:r>
      <w:r>
        <w:rPr>
          <w:spacing w:val="-7"/>
        </w:rPr>
        <w:t> </w:t>
      </w:r>
      <w:r>
        <w:rPr/>
        <w:t>valores</w:t>
      </w:r>
      <w:r>
        <w:rPr>
          <w:spacing w:val="-6"/>
        </w:rPr>
        <w:t> </w:t>
      </w:r>
      <w:r>
        <w:rPr/>
        <w:t>cercanos</w:t>
      </w:r>
      <w:r>
        <w:rPr>
          <w:spacing w:val="-6"/>
        </w:rPr>
        <w:t> </w:t>
      </w:r>
      <w:r>
        <w:rPr/>
        <w:t>a</w:t>
      </w:r>
      <w:r>
        <w:rPr>
          <w:spacing w:val="-7"/>
        </w:rPr>
        <w:t> </w:t>
      </w:r>
      <w:r>
        <w:rPr/>
        <w:t>5%.</w:t>
      </w:r>
      <w:r>
        <w:rPr>
          <w:spacing w:val="-4"/>
        </w:rPr>
        <w:t> </w:t>
      </w:r>
      <w:r>
        <w:rPr/>
        <w:t>La</w:t>
      </w:r>
      <w:r>
        <w:rPr>
          <w:spacing w:val="-7"/>
        </w:rPr>
        <w:t> </w:t>
      </w:r>
      <w:r>
        <w:rPr/>
        <w:t>tasa</w:t>
      </w:r>
      <w:r>
        <w:rPr>
          <w:spacing w:val="-7"/>
        </w:rPr>
        <w:t> </w:t>
      </w:r>
      <w:r>
        <w:rPr/>
        <w:t>promedio</w:t>
      </w:r>
      <w:r>
        <w:rPr>
          <w:spacing w:val="-6"/>
        </w:rPr>
        <w:t> </w:t>
      </w:r>
      <w:r>
        <w:rPr/>
        <w:t>anual</w:t>
      </w:r>
      <w:r>
        <w:rPr>
          <w:spacing w:val="-6"/>
        </w:rPr>
        <w:t> </w:t>
      </w:r>
      <w:r>
        <w:rPr/>
        <w:t>para</w:t>
      </w:r>
      <w:r>
        <w:rPr>
          <w:spacing w:val="-7"/>
        </w:rPr>
        <w:t> </w:t>
      </w:r>
      <w:r>
        <w:rPr/>
        <w:t>el</w:t>
      </w:r>
      <w:r>
        <w:rPr>
          <w:spacing w:val="-6"/>
        </w:rPr>
        <w:t> </w:t>
      </w:r>
      <w:r>
        <w:rPr/>
        <w:t>periodo</w:t>
      </w:r>
      <w:r>
        <w:rPr>
          <w:spacing w:val="-6"/>
        </w:rPr>
        <w:t> </w:t>
      </w:r>
      <w:r>
        <w:rPr/>
        <w:t>2011-2020,</w:t>
      </w:r>
      <w:r>
        <w:rPr>
          <w:spacing w:val="-6"/>
        </w:rPr>
        <w:t> </w:t>
      </w:r>
      <w:r>
        <w:rPr/>
        <w:t>se estima en 5.5% (Figura 9). Estas modificaciones en la tasa pretenden incentivar el financiamiento a los sectores productivos sin generar sobrecalentamiento de la economía y presiones en los</w:t>
      </w:r>
      <w:r>
        <w:rPr>
          <w:spacing w:val="-5"/>
        </w:rPr>
        <w:t> </w:t>
      </w:r>
      <w:r>
        <w:rPr/>
        <w:t>precios.</w:t>
      </w:r>
    </w:p>
    <w:p>
      <w:pPr>
        <w:pStyle w:val="BodyText"/>
        <w:rPr>
          <w:sz w:val="20"/>
        </w:rPr>
      </w:pPr>
    </w:p>
    <w:p>
      <w:pPr>
        <w:pStyle w:val="BodyText"/>
        <w:rPr>
          <w:sz w:val="19"/>
        </w:rPr>
      </w:pPr>
    </w:p>
    <w:p>
      <w:pPr>
        <w:spacing w:before="77"/>
        <w:ind w:left="1096" w:right="504" w:firstLine="0"/>
        <w:jc w:val="left"/>
        <w:rPr>
          <w:sz w:val="18"/>
        </w:rPr>
      </w:pPr>
      <w:r>
        <w:rPr/>
        <w:pict>
          <v:group style="position:absolute;margin-left:125.75pt;margin-top:18.552343pt;width:360.5pt;height:216.5pt;mso-position-horizontal-relative:page;mso-position-vertical-relative:paragraph;z-index:1984;mso-wrap-distance-left:0;mso-wrap-distance-right:0" coordorigin="2515,371" coordsize="7210,4330">
            <v:line style="position:absolute" from="2921,3854" to="9319,3854" stroked="true" strokeweight=".72pt" strokecolor="#d9d9d9"/>
            <v:line style="position:absolute" from="2921,3446" to="9319,3446" stroked="true" strokeweight=".72pt" strokecolor="#d9d9d9"/>
            <v:line style="position:absolute" from="2921,3038" to="9319,3038" stroked="true" strokeweight=".72pt" strokecolor="#d9d9d9"/>
            <v:line style="position:absolute" from="2921,2632" to="9319,2632" stroked="true" strokeweight=".72pt" strokecolor="#d9d9d9"/>
            <v:line style="position:absolute" from="2921,2224" to="9319,2224" stroked="true" strokeweight=".72pt" strokecolor="#d9d9d9"/>
            <v:line style="position:absolute" from="2921,1818" to="9319,1818" stroked="true" strokeweight=".72pt" strokecolor="#d9d9d9"/>
            <v:line style="position:absolute" from="2921,1410" to="9319,1410" stroked="true" strokeweight=".72pt" strokecolor="#d9d9d9"/>
            <v:line style="position:absolute" from="2921,1002" to="9319,1002" stroked="true" strokeweight=".72pt" strokecolor="#d9d9d9"/>
            <v:line style="position:absolute" from="2921,597" to="9319,597" stroked="true" strokeweight=".72pt" strokecolor="#d9d9d9"/>
            <v:line style="position:absolute" from="2921,4259" to="2921,597" stroked="true" strokeweight=".72pt" strokecolor="#bebebe"/>
            <v:line style="position:absolute" from="2921,4259" to="9319,4259" stroked="true" strokeweight=".72pt" strokecolor="#bebebe"/>
            <v:shape style="position:absolute;left:2918;top:1108;width:6415;height:1385" type="#_x0000_t75" stroked="false">
              <v:imagedata r:id="rId49" o:title=""/>
            </v:shape>
            <v:shape style="position:absolute;left:2520;top:376;width:7200;height:4320" type="#_x0000_t202" filled="false" stroked="true" strokeweight=".48pt" strokecolor="#000000">
              <v:textbox inset="0,0,0,0">
                <w:txbxContent>
                  <w:p>
                    <w:pPr>
                      <w:spacing w:before="104"/>
                      <w:ind w:left="152" w:right="0" w:firstLine="0"/>
                      <w:jc w:val="left"/>
                      <w:rPr>
                        <w:sz w:val="18"/>
                      </w:rPr>
                    </w:pPr>
                    <w:r>
                      <w:rPr>
                        <w:color w:val="585858"/>
                        <w:sz w:val="18"/>
                      </w:rPr>
                      <w:t>9</w:t>
                    </w:r>
                  </w:p>
                  <w:p>
                    <w:pPr>
                      <w:spacing w:line="240" w:lineRule="auto" w:before="4"/>
                      <w:rPr>
                        <w:sz w:val="17"/>
                      </w:rPr>
                    </w:pPr>
                  </w:p>
                  <w:p>
                    <w:pPr>
                      <w:spacing w:before="0"/>
                      <w:ind w:left="152" w:right="0" w:firstLine="0"/>
                      <w:jc w:val="left"/>
                      <w:rPr>
                        <w:sz w:val="18"/>
                      </w:rPr>
                    </w:pPr>
                    <w:r>
                      <w:rPr>
                        <w:color w:val="585858"/>
                        <w:sz w:val="18"/>
                      </w:rPr>
                      <w:t>8</w:t>
                    </w:r>
                  </w:p>
                  <w:p>
                    <w:pPr>
                      <w:spacing w:line="240" w:lineRule="auto" w:before="5"/>
                      <w:rPr>
                        <w:sz w:val="17"/>
                      </w:rPr>
                    </w:pPr>
                  </w:p>
                  <w:p>
                    <w:pPr>
                      <w:spacing w:before="0"/>
                      <w:ind w:left="152" w:right="0" w:firstLine="0"/>
                      <w:jc w:val="left"/>
                      <w:rPr>
                        <w:sz w:val="18"/>
                      </w:rPr>
                    </w:pPr>
                    <w:r>
                      <w:rPr>
                        <w:color w:val="585858"/>
                        <w:sz w:val="18"/>
                      </w:rPr>
                      <w:t>7</w:t>
                    </w:r>
                  </w:p>
                  <w:p>
                    <w:pPr>
                      <w:spacing w:line="240" w:lineRule="auto" w:before="4"/>
                      <w:rPr>
                        <w:sz w:val="17"/>
                      </w:rPr>
                    </w:pPr>
                  </w:p>
                  <w:p>
                    <w:pPr>
                      <w:spacing w:before="0"/>
                      <w:ind w:left="152" w:right="0" w:firstLine="0"/>
                      <w:jc w:val="left"/>
                      <w:rPr>
                        <w:sz w:val="18"/>
                      </w:rPr>
                    </w:pPr>
                    <w:r>
                      <w:rPr>
                        <w:color w:val="585858"/>
                        <w:sz w:val="18"/>
                      </w:rPr>
                      <w:t>6</w:t>
                    </w:r>
                  </w:p>
                  <w:p>
                    <w:pPr>
                      <w:spacing w:line="240" w:lineRule="auto" w:before="4"/>
                      <w:rPr>
                        <w:sz w:val="17"/>
                      </w:rPr>
                    </w:pPr>
                  </w:p>
                  <w:p>
                    <w:pPr>
                      <w:spacing w:before="0"/>
                      <w:ind w:left="152" w:right="0" w:firstLine="0"/>
                      <w:jc w:val="left"/>
                      <w:rPr>
                        <w:sz w:val="18"/>
                      </w:rPr>
                    </w:pPr>
                    <w:r>
                      <w:rPr>
                        <w:color w:val="585858"/>
                        <w:sz w:val="18"/>
                      </w:rPr>
                      <w:t>5</w:t>
                    </w:r>
                  </w:p>
                  <w:p>
                    <w:pPr>
                      <w:spacing w:line="240" w:lineRule="auto" w:before="4"/>
                      <w:rPr>
                        <w:sz w:val="17"/>
                      </w:rPr>
                    </w:pPr>
                  </w:p>
                  <w:p>
                    <w:pPr>
                      <w:spacing w:before="0"/>
                      <w:ind w:left="152" w:right="0" w:firstLine="0"/>
                      <w:jc w:val="left"/>
                      <w:rPr>
                        <w:sz w:val="18"/>
                      </w:rPr>
                    </w:pPr>
                    <w:r>
                      <w:rPr>
                        <w:color w:val="585858"/>
                        <w:sz w:val="18"/>
                      </w:rPr>
                      <w:t>4</w:t>
                    </w:r>
                  </w:p>
                  <w:p>
                    <w:pPr>
                      <w:spacing w:line="240" w:lineRule="auto" w:before="4"/>
                      <w:rPr>
                        <w:sz w:val="17"/>
                      </w:rPr>
                    </w:pPr>
                  </w:p>
                  <w:p>
                    <w:pPr>
                      <w:spacing w:before="1"/>
                      <w:ind w:left="152" w:right="0" w:firstLine="0"/>
                      <w:jc w:val="left"/>
                      <w:rPr>
                        <w:sz w:val="18"/>
                      </w:rPr>
                    </w:pPr>
                    <w:r>
                      <w:rPr>
                        <w:color w:val="585858"/>
                        <w:sz w:val="18"/>
                      </w:rPr>
                      <w:t>3</w:t>
                    </w:r>
                  </w:p>
                  <w:p>
                    <w:pPr>
                      <w:spacing w:line="240" w:lineRule="auto" w:before="4"/>
                      <w:rPr>
                        <w:sz w:val="17"/>
                      </w:rPr>
                    </w:pPr>
                  </w:p>
                  <w:p>
                    <w:pPr>
                      <w:spacing w:before="0"/>
                      <w:ind w:left="152" w:right="0" w:firstLine="0"/>
                      <w:jc w:val="left"/>
                      <w:rPr>
                        <w:sz w:val="18"/>
                      </w:rPr>
                    </w:pPr>
                    <w:r>
                      <w:rPr>
                        <w:color w:val="585858"/>
                        <w:sz w:val="18"/>
                      </w:rPr>
                      <w:t>2</w:t>
                    </w:r>
                  </w:p>
                  <w:p>
                    <w:pPr>
                      <w:spacing w:line="240" w:lineRule="auto" w:before="4"/>
                      <w:rPr>
                        <w:sz w:val="17"/>
                      </w:rPr>
                    </w:pPr>
                  </w:p>
                  <w:p>
                    <w:pPr>
                      <w:spacing w:before="0"/>
                      <w:ind w:left="152" w:right="0" w:firstLine="0"/>
                      <w:jc w:val="left"/>
                      <w:rPr>
                        <w:sz w:val="18"/>
                      </w:rPr>
                    </w:pPr>
                    <w:r>
                      <w:rPr>
                        <w:color w:val="585858"/>
                        <w:sz w:val="18"/>
                      </w:rPr>
                      <w:t>1</w:t>
                    </w:r>
                  </w:p>
                  <w:p>
                    <w:pPr>
                      <w:spacing w:line="240" w:lineRule="auto" w:before="4"/>
                      <w:rPr>
                        <w:sz w:val="17"/>
                      </w:rPr>
                    </w:pPr>
                  </w:p>
                  <w:p>
                    <w:pPr>
                      <w:spacing w:before="0"/>
                      <w:ind w:left="152" w:right="0" w:firstLine="0"/>
                      <w:jc w:val="left"/>
                      <w:rPr>
                        <w:sz w:val="18"/>
                      </w:rPr>
                    </w:pPr>
                    <w:r>
                      <w:rPr>
                        <w:color w:val="585858"/>
                        <w:sz w:val="18"/>
                      </w:rPr>
                      <w:t>0</w:t>
                    </w:r>
                  </w:p>
                  <w:p>
                    <w:pPr>
                      <w:spacing w:before="4"/>
                      <w:ind w:left="215" w:right="0" w:firstLine="0"/>
                      <w:jc w:val="left"/>
                      <w:rPr>
                        <w:sz w:val="18"/>
                      </w:rPr>
                    </w:pPr>
                    <w:r>
                      <w:rPr>
                        <w:color w:val="585858"/>
                        <w:sz w:val="18"/>
                      </w:rPr>
                      <w:t>2008    2009    2010    2011    2012    2013    2014    2015    2016    2017    2018    2019 2020</w:t>
                    </w:r>
                  </w:p>
                </w:txbxContent>
              </v:textbox>
              <w10:wrap type="none"/>
            </v:shape>
            <w10:wrap type="topAndBottom"/>
          </v:group>
        </w:pict>
      </w:r>
      <w:r>
        <w:rPr>
          <w:sz w:val="18"/>
        </w:rPr>
        <w:t>Cetes 28 días (%)</w:t>
      </w:r>
    </w:p>
    <w:p>
      <w:pPr>
        <w:pStyle w:val="BodyText"/>
        <w:spacing w:before="4"/>
        <w:rPr>
          <w:sz w:val="19"/>
        </w:rPr>
      </w:pPr>
    </w:p>
    <w:p>
      <w:pPr>
        <w:spacing w:before="74"/>
        <w:ind w:left="0" w:right="894" w:firstLine="0"/>
        <w:jc w:val="right"/>
        <w:rPr>
          <w:sz w:val="20"/>
        </w:rPr>
      </w:pPr>
      <w:r>
        <w:rPr>
          <w:sz w:val="20"/>
        </w:rPr>
        <w:t>Fuente: CAPEM</w:t>
      </w:r>
    </w:p>
    <w:p>
      <w:pPr>
        <w:pStyle w:val="BodyText"/>
        <w:spacing w:before="6"/>
        <w:rPr>
          <w:sz w:val="22"/>
        </w:rPr>
      </w:pPr>
      <w:r>
        <w:rPr/>
        <w:pict>
          <v:line style="position:absolute;mso-position-horizontal-relative:page;mso-position-vertical-relative:paragraph;z-index:2008;mso-wrap-distance-left:0;mso-wrap-distance-right:0" from="85.139999pt,15.946915pt" to="526.789999pt,15.946915pt" stroked="true" strokeweight="2.04pt" strokecolor="#000000">
            <w10:wrap type="topAndBottom"/>
          </v:line>
        </w:pict>
      </w:r>
    </w:p>
    <w:p>
      <w:pPr>
        <w:spacing w:line="222" w:lineRule="exact" w:before="0"/>
        <w:ind w:left="122" w:right="504" w:firstLine="0"/>
        <w:jc w:val="left"/>
        <w:rPr>
          <w:sz w:val="24"/>
        </w:rPr>
      </w:pPr>
      <w:r>
        <w:rPr>
          <w:b/>
          <w:sz w:val="24"/>
        </w:rPr>
        <w:t>Figura 9. </w:t>
      </w:r>
      <w:r>
        <w:rPr>
          <w:sz w:val="24"/>
        </w:rPr>
        <w:t>Tasa de interés nominal.</w:t>
      </w:r>
    </w:p>
    <w:p>
      <w:pPr>
        <w:spacing w:after="0" w:line="222" w:lineRule="exact"/>
        <w:jc w:val="left"/>
        <w:rPr>
          <w:sz w:val="24"/>
        </w:rPr>
        <w:sectPr>
          <w:pgSz w:w="12240" w:h="15840"/>
          <w:pgMar w:header="0" w:footer="657" w:top="1360" w:bottom="840" w:left="1580" w:right="1580"/>
        </w:sectPr>
      </w:pPr>
    </w:p>
    <w:p>
      <w:pPr>
        <w:pStyle w:val="Heading1"/>
        <w:numPr>
          <w:ilvl w:val="1"/>
          <w:numId w:val="12"/>
        </w:numPr>
        <w:tabs>
          <w:tab w:pos="462" w:val="left" w:leader="none"/>
        </w:tabs>
        <w:spacing w:line="240" w:lineRule="auto" w:before="55" w:after="0"/>
        <w:ind w:left="462" w:right="0" w:hanging="360"/>
        <w:jc w:val="both"/>
      </w:pPr>
      <w:bookmarkStart w:name="_TOC_250036" w:id="6"/>
      <w:r>
        <w:rPr/>
        <w:t>El sistema lechero de pequeña escala en</w:t>
      </w:r>
      <w:r>
        <w:rPr>
          <w:spacing w:val="-10"/>
        </w:rPr>
        <w:t> </w:t>
      </w:r>
      <w:bookmarkEnd w:id="6"/>
      <w:r>
        <w:rPr/>
        <w:t>México</w:t>
      </w:r>
    </w:p>
    <w:p>
      <w:pPr>
        <w:pStyle w:val="BodyText"/>
        <w:rPr>
          <w:b/>
        </w:rPr>
      </w:pPr>
    </w:p>
    <w:p>
      <w:pPr>
        <w:pStyle w:val="BodyText"/>
        <w:rPr>
          <w:b/>
        </w:rPr>
      </w:pPr>
    </w:p>
    <w:p>
      <w:pPr>
        <w:pStyle w:val="BodyText"/>
        <w:spacing w:before="5"/>
        <w:rPr>
          <w:b/>
          <w:sz w:val="34"/>
        </w:rPr>
      </w:pPr>
    </w:p>
    <w:p>
      <w:pPr>
        <w:pStyle w:val="BodyText"/>
        <w:spacing w:line="360" w:lineRule="auto"/>
        <w:ind w:left="102" w:right="119"/>
        <w:jc w:val="both"/>
      </w:pPr>
      <w:r>
        <w:rPr/>
        <w:t>Tanto en México como en América Latina la lechería familiar se ha convertido en una estrategia importante para reducir la pobreza y aumentar la seguridad alimentaria de las familias (Cervantes y Cesín, 2007; FAO, 2012).</w:t>
      </w:r>
    </w:p>
    <w:p>
      <w:pPr>
        <w:pStyle w:val="BodyText"/>
      </w:pPr>
    </w:p>
    <w:p>
      <w:pPr>
        <w:pStyle w:val="BodyText"/>
      </w:pPr>
    </w:p>
    <w:p>
      <w:pPr>
        <w:pStyle w:val="BodyText"/>
        <w:spacing w:before="3"/>
        <w:rPr>
          <w:sz w:val="23"/>
        </w:rPr>
      </w:pPr>
    </w:p>
    <w:p>
      <w:pPr>
        <w:pStyle w:val="BodyText"/>
        <w:spacing w:line="360" w:lineRule="auto"/>
        <w:ind w:left="102" w:right="119"/>
        <w:jc w:val="both"/>
      </w:pPr>
      <w:r>
        <w:rPr/>
        <w:t>En México la lechería familiar en el último quinquenio ha aportado entre 18 y 22% de la producción nacional y participa aproximadamente con el 7.98 por ciento del inventario del país, teniendo rendimientos de seis a 12 litros por vaca al día (SIAP, 2013b).</w:t>
      </w:r>
    </w:p>
    <w:p>
      <w:pPr>
        <w:pStyle w:val="BodyText"/>
      </w:pPr>
    </w:p>
    <w:p>
      <w:pPr>
        <w:pStyle w:val="BodyText"/>
      </w:pPr>
    </w:p>
    <w:p>
      <w:pPr>
        <w:pStyle w:val="BodyText"/>
        <w:spacing w:before="1"/>
        <w:rPr>
          <w:sz w:val="23"/>
        </w:rPr>
      </w:pPr>
    </w:p>
    <w:p>
      <w:pPr>
        <w:pStyle w:val="BodyText"/>
        <w:spacing w:line="360" w:lineRule="auto"/>
        <w:ind w:left="102" w:right="116"/>
        <w:jc w:val="both"/>
      </w:pPr>
      <w:r>
        <w:rPr/>
        <w:t>Su importancia social y económica radica en que suma alrededor de 127 mil unidades de producción, que representan el 35% de los hatos en el país. La lechería familiar predomina en los estados de Jalisco, Guanajuato, Estado de México, Hidalgo y Puebla (Figura 10). Se caracteriza por el aprovechado eficientemente de ventajas comparativas que le brinda el núcleo familiar, la tenencia del minifundio para la producción de insumos y las zonas peri- urbanas donde se desarrolla la actividad para adoptar diferentes estrategias que le han permitido disminuir costos de producción y aumentar el grado de rentabilidad y competitividad sectorial (Posadas-Domínguez et al., 2012 y 2014).</w:t>
      </w:r>
    </w:p>
    <w:p>
      <w:pPr>
        <w:spacing w:after="0" w:line="360" w:lineRule="auto"/>
        <w:jc w:val="both"/>
        <w:sectPr>
          <w:pgSz w:w="12240" w:h="15840"/>
          <w:pgMar w:header="0" w:footer="657" w:top="1360" w:bottom="840" w:left="1600" w:right="1580"/>
        </w:sectPr>
      </w:pPr>
    </w:p>
    <w:p>
      <w:pPr>
        <w:pStyle w:val="BodyText"/>
        <w:rPr>
          <w:sz w:val="20"/>
        </w:rPr>
      </w:pPr>
    </w:p>
    <w:p>
      <w:pPr>
        <w:pStyle w:val="BodyText"/>
        <w:spacing w:before="3"/>
        <w:rPr>
          <w:sz w:val="18"/>
        </w:rPr>
      </w:pPr>
    </w:p>
    <w:p>
      <w:pPr>
        <w:spacing w:before="74"/>
        <w:ind w:left="4510" w:right="3178" w:firstLine="0"/>
        <w:jc w:val="center"/>
        <w:rPr>
          <w:sz w:val="20"/>
        </w:rPr>
      </w:pPr>
      <w:r>
        <w:rPr/>
        <w:pict>
          <v:group style="position:absolute;margin-left:163.899994pt;margin-top:1.13594pt;width:374.2pt;height:313.8pt;mso-position-horizontal-relative:page;mso-position-vertical-relative:paragraph;z-index:-461728" coordorigin="3278,23" coordsize="7484,6276">
            <v:shape style="position:absolute;left:4922;top:1213;width:2602;height:3568" type="#_x0000_t75" stroked="false">
              <v:imagedata r:id="rId50" o:title=""/>
            </v:shape>
            <v:shape style="position:absolute;left:7318;top:4780;width:2216;height:1519" type="#_x0000_t75" stroked="false">
              <v:imagedata r:id="rId51" o:title=""/>
            </v:shape>
            <v:shape style="position:absolute;left:4175;top:1677;width:58;height:51" coordorigin="4175,1677" coordsize="58,51" path="m4183,1702l4175,1683,4180,1677,4194,1683,4216,1701,4228,1714,4232,1722,4229,1726,4220,1727,4210,1726,4201,1720,4191,1712,4183,1702xe" filled="false" stroked="true" strokeweight=".140pt" strokecolor="#000000">
              <v:path arrowok="t"/>
            </v:shape>
            <v:shape style="position:absolute;left:3294;top:249;width:536;height:1547" coordorigin="3294,249" coordsize="536,1547" path="m3716,1778l3643,1762,3635,1756,3637,1740,3641,1723,3647,1695,3647,1693,3641,1697,3636,1697,3634,1690,3634,1680,3638,1669,3640,1665,3644,1647,3645,1630,3646,1613,3645,1600,3642,1588,3634,1574,3628,1561,3621,1545,3615,1526,3611,1509,3606,1492,3601,1478,3596,1468,3592,1463,3587,1460,3581,1447,3565,1385,3531,1307,3513,1291,3507,1284,3500,1274,3493,1261,3485,1246,3476,1230,3466,1213,3457,1199,3448,1182,3442,1168,3439,1154,3438,1137,3438,1117,3436,1104,3431,1100,3427,1097,3425,1088,3426,1076,3430,1032,3431,1002,3429,982,3424,967,3419,956,3416,945,3417,940,3419,936,3418,930,3415,927,3413,924,3410,929,3410,940,3410,950,3408,956,3406,952,3404,946,3402,931,3401,911,3401,888,3399,844,3395,805,3389,777,3382,767,3380,763,3379,754,3378,740,3378,723,3377,700,3363,632,3342,578,3340,563,3340,548,3340,532,3338,515,3335,509,3332,504,3331,496,3333,493,3335,490,3339,492,3342,497,3350,512,3355,510,3355,490,3355,481,3351,473,3348,473,3344,473,3340,469,3340,464,3340,459,3337,447,3332,437,3328,427,3324,414,3321,398,3320,383,3318,366,3314,346,3310,325,3305,307,3301,290,3297,275,3295,263,3294,257,3303,250,3332,249,3387,252,3473,261,3557,271,3632,284,3638,290,3637,296,3631,308,3624,324,3615,342,3604,364,3597,380,3595,392,3596,402,3602,441,3603,482,3598,511,3588,518,3581,513,3581,514,3587,529,3591,538,3598,553,3602,561,3608,575,3610,590,3610,604,3607,616,3601,635,3596,666,3593,701,3591,736,3591,775,3592,798,3595,810,3599,815,3602,824,3604,847,3604,891,3603,962,3602,1036,3603,1080,3604,1101,3608,1109,3612,1112,3615,1119,3615,1126,3615,1132,3618,1143,3623,1151,3627,1159,3629,1170,3627,1177,3625,1190,3631,1201,3657,1230,3663,1246,3690,1304,3696,1317,3702,1331,3710,1346,3716,1358,3722,1368,3727,1379,3730,1389,3731,1396,3730,1404,3732,1422,3734,1435,3736,1452,3736,1462,3732,1466,3728,1471,3728,1479,3731,1497,3734,1510,3737,1515,3739,1513,3743,1505,3748,1495,3753,1496,3756,1505,3757,1521,3757,1534,3760,1540,3766,1540,3774,1540,3776,1546,3782,1624,3809,1648,3813,1655,3816,1666,3818,1684,3820,1702,3823,1720,3825,1722,3827,1725,3829,1742,3829,1761,3829,1795,3829,1795,3812,1794,3799,1792,3777,1789,3748,1784,3716,1778xe" filled="false" stroked="true" strokeweight="1.56pt" strokecolor="#000000">
              <v:path arrowok="t"/>
            </v:shape>
            <v:shape style="position:absolute;left:3346;top:1691;width:150;height:213" type="#_x0000_t75" stroked="false">
              <v:imagedata r:id="rId52" o:title=""/>
            </v:shape>
            <v:shape style="position:absolute;left:3483;top:1710;width:799;height:1737" type="#_x0000_t75" stroked="false">
              <v:imagedata r:id="rId53" o:title=""/>
            </v:shape>
            <v:shape style="position:absolute;left:3878;top:2590;width:101;height:308" type="#_x0000_t75" stroked="false">
              <v:imagedata r:id="rId54" o:title=""/>
            </v:shape>
            <v:shape style="position:absolute;left:4118;top:3010;width:92;height:113" coordorigin="4118,3010" coordsize="92,113" path="m4130,3010l4118,3012,4118,3022,4131,3039,4139,3049,4145,3059,4150,3067,4151,3075,4154,3081,4207,3122,4209,3121,4209,3116,4207,3105,4180,3036,4154,3016,4130,3010xe" filled="true" fillcolor="#ffffff" stroked="false">
              <v:path arrowok="t"/>
              <v:fill type="solid"/>
            </v:shape>
            <v:shape style="position:absolute;left:4118;top:3010;width:92;height:113" coordorigin="4118,3010" coordsize="92,113" path="m4179,3106l4150,3067,4145,3059,4139,3049,4131,3039,4118,3022,4118,3012,4130,3010,4154,3016,4198,3072,4209,3116,4209,3121,4207,3122,4193,3116,4179,3106xe" filled="false" stroked="true" strokeweight=".140pt" strokecolor="#000000">
              <v:path arrowok="t"/>
            </v:shape>
            <v:shape style="position:absolute;left:4052;top:2671;width:32;height:46" coordorigin="4052,2671" coordsize="32,46" path="m4077,2671l4068,2676,4060,2682,4052,2693,4052,2710,4060,2717,4077,2717,4084,2705,4084,2677,4077,2671xe" filled="true" fillcolor="#ffffff" stroked="false">
              <v:path arrowok="t"/>
              <v:fill type="solid"/>
            </v:shape>
            <v:shape style="position:absolute;left:4052;top:2671;width:32;height:46" coordorigin="4052,2671" coordsize="32,46" path="m4052,2701l4052,2693,4060,2682,4068,2676,4077,2671,4084,2677,4084,2692,4084,2705,4077,2717,4068,2717,4060,2717,4052,2710,4052,2701xe" filled="false" stroked="true" strokeweight=".140pt" strokecolor="#000000">
              <v:path arrowok="t"/>
            </v:shape>
            <v:shape style="position:absolute;left:4057;top:2695;width:45;height:68" coordorigin="4057,2695" coordsize="45,68" path="m4097,2695l4058,2746,4057,2756,4066,2762,4102,2719,4101,2702,4097,2695xe" filled="true" fillcolor="#ffffff" stroked="false">
              <v:path arrowok="t"/>
              <v:fill type="solid"/>
            </v:shape>
            <v:shape style="position:absolute;left:4057;top:2695;width:45;height:68" coordorigin="4057,2695" coordsize="45,68" path="m4058,2746l4097,2695,4101,2702,4102,2719,4101,2732,4096,2744,4089,2753,4080,2759,4066,2762,4057,2756,4058,2746xe" filled="false" stroked="true" strokeweight=".140pt" strokecolor="#000000">
              <v:path arrowok="t"/>
            </v:shape>
            <v:shape style="position:absolute;left:4031;top:3341;width:38;height:50" coordorigin="4031,3341" coordsize="38,50" path="m4054,3341l4042,3348,4034,3354,4031,3365,4036,3374,4049,3388,4061,3390,4069,3381,4068,3364,4062,3346,4054,3341xe" filled="true" fillcolor="#ffffff" stroked="false">
              <v:path arrowok="t"/>
              <v:fill type="solid"/>
            </v:shape>
            <v:shape style="position:absolute;left:4031;top:3341;width:38;height:50" coordorigin="4031,3341" coordsize="38,50" path="m4036,3374l4031,3365,4034,3354,4042,3348,4054,3341,4062,3346,4068,3364,4069,3381,4061,3390,4049,3388,4036,3374xe" filled="false" stroked="true" strokeweight=".140pt" strokecolor="#000000">
              <v:path arrowok="t"/>
            </v:shape>
            <v:shape style="position:absolute;left:4216;top:3125;width:80;height:111" coordorigin="4216,3125" coordsize="80,111" path="m4276,3125l4259,3136,4239,3162,4222,3194,4216,3223,4218,3234,4225,3235,4239,3224,4262,3201,4285,3173,4295,3148,4292,3131,4276,3125xe" filled="true" fillcolor="#ffffff" stroked="false">
              <v:path arrowok="t"/>
              <v:fill type="solid"/>
            </v:shape>
            <v:shape style="position:absolute;left:4216;top:3125;width:80;height:111" coordorigin="4216,3125" coordsize="80,111" path="m4216,3223l4222,3194,4239,3162,4259,3136,4276,3125,4292,3131,4295,3148,4285,3173,4262,3201,4239,3224,4225,3235,4218,3234,4216,3223xe" filled="false" stroked="true" strokeweight=".140pt" strokecolor="#000000">
              <v:path arrowok="t"/>
            </v:shape>
            <v:shape style="position:absolute;left:3936;top:1227;width:198;height:333" type="#_x0000_t75" stroked="false">
              <v:imagedata r:id="rId55" o:title=""/>
            </v:shape>
            <v:shape style="position:absolute;left:3612;top:263;width:2752;height:3871" type="#_x0000_t75" stroked="false">
              <v:imagedata r:id="rId56" o:title=""/>
            </v:shape>
            <v:shape style="position:absolute;left:4630;top:3640;width:317;height:312" type="#_x0000_t75" stroked="false">
              <v:imagedata r:id="rId57" o:title=""/>
            </v:shape>
            <v:shape style="position:absolute;left:6185;top:1804;width:1288;height:1820" type="#_x0000_t75" stroked="false">
              <v:imagedata r:id="rId58" o:title=""/>
            </v:shape>
            <v:shape style="position:absolute;left:5312;top:4553;width:237;height:232" type="#_x0000_t75" stroked="false">
              <v:imagedata r:id="rId59" o:title=""/>
            </v:shape>
            <v:shape style="position:absolute;left:5921;top:3328;width:3825;height:2448" type="#_x0000_t75" stroked="false">
              <v:imagedata r:id="rId60" o:title=""/>
            </v:shape>
            <v:shape style="position:absolute;left:9739;top:4016;width:138;height:123" type="#_x0000_t75" stroked="false">
              <v:imagedata r:id="rId61" o:title=""/>
            </v:shape>
            <v:shape style="position:absolute;left:9397;top:4040;width:883;height:727" coordorigin="9397,4040" coordsize="883,727" path="m10058,4506l9511,4506,9530,4520,9565,4559,9624,4631,9732,4766,9801,4714,9842,4681,10054,4510,10058,4506xm10039,4040l9973,4047,9952,4055,9927,4066,9901,4080,9877,4095,9852,4110,9826,4123,9801,4132,9780,4137,9696,4154,9617,4178,9546,4209,9486,4246,9438,4287,9413,4318,9400,4347,9397,4372,9408,4389,9411,4397,9414,4412,9416,4434,9417,4460,9417,4525,9451,4525,9465,4524,9479,4521,9491,4516,9500,4510,9511,4506,10058,4506,10238,4359,10261,4283,10272,4243,10278,4212,10279,4184,10277,4154,10272,4130,10267,4111,10260,4095,10253,4086,10200,4062,10122,4046,10039,4040xe" filled="true" fillcolor="#ffffff" stroked="false">
              <v:path arrowok="t"/>
              <v:fill type="solid"/>
            </v:shape>
            <v:shape style="position:absolute;left:9397;top:4040;width:883;height:727" coordorigin="9397,4040" coordsize="883,727" path="m9624,4631l9565,4559,9530,4520,9511,4506,9500,4510,9491,4516,9479,4521,9465,4524,9451,4525,9417,4525,9417,4460,9416,4434,9414,4412,9411,4397,9408,4389,9397,4372,9400,4347,9438,4287,9486,4246,9546,4209,9617,4178,9696,4154,9780,4137,9801,4132,9826,4123,9852,4110,9877,4095,9901,4080,9927,4066,9952,4055,9973,4047,10039,4040,10122,4046,10200,4062,10260,4095,10277,4154,10279,4184,10278,4212,10261,4283,10238,4359,10054,4510,9977,4573,9903,4632,9842,4681,9732,4766,9624,4631xe" filled="false" stroked="true" strokeweight="1.56pt" strokecolor="#000000">
              <v:path arrowok="t"/>
            </v:shape>
            <v:shape style="position:absolute;left:9685;top:4031;width:831;height:1215" coordorigin="9685,4031" coordsize="831,1215" path="m10462,4062l10330,4062,10349,4064,10357,4070,10353,4081,10347,4084,10337,4088,10324,4092,10309,4094,10271,4099,10279,4147,10279,4197,10267,4252,10247,4302,10223,4334,10194,4354,10137,4391,9849,4573,9816,4594,9737,4642,9731,4646,9707,4661,9691,4672,9685,4677,9686,4684,9689,4702,9694,4728,9699,4759,9706,4802,9714,4863,9722,4934,9736,5075,9743,5135,9748,5183,9751,5210,9755,5230,9761,5241,9771,5246,9790,5246,9809,5246,9819,5242,9825,5234,9827,5219,9834,5199,9847,5189,9945,5189,9957,5169,9965,5152,9975,5134,9985,5118,9994,5106,10002,5094,10010,5081,10018,5068,10023,5057,10028,5043,10039,5029,10088,5010,10111,4993,10130,4967,10140,4940,10136,4921,10129,4913,10131,4909,10157,4902,10169,4892,10172,4883,10176,4874,10183,4866,10312,4866,10314,4855,10316,4835,10317,4818,10318,4801,10322,4786,10329,4774,10334,4768,10288,4768,10282,4753,10280,4739,10285,4725,10294,4715,10305,4712,10329,4702,10350,4673,10354,4662,10282,4662,10271,4654,10262,4644,10258,4634,10260,4625,10267,4622,10289,4622,10293,4611,10304,4586,10315,4573,10324,4573,10334,4573,10333,4567,10332,4547,10331,4508,10336,4472,10345,4446,10357,4436,10362,4436,10368,4423,10372,4408,10377,4395,10387,4379,10400,4363,10468,4294,10501,4243,10515,4190,10514,4129,10510,4103,10505,4085,10499,4075,10492,4072,10483,4071,10470,4066,10462,4062xm9945,5189l9865,5189,9886,5200,9907,5211,9925,5209,9942,5195,9945,5189xm10312,4866l10188,4866,10195,4872,10196,4889,10192,4915,10182,4947,10175,4973,10176,4990,10185,4999,10205,5001,10216,5008,10228,5023,10237,5040,10239,5054,10238,5058,10242,5061,10253,5061,10257,5067,10257,5075,10260,5088,10268,5077,10278,5047,10287,5006,10292,4976,10297,4945,10303,4918,10307,4896,10311,4877,10312,4866xm10336,4740l10324,4740,10309,4746,10302,4754,10289,4768,10334,4768,10337,4765,10352,4752,10356,4744,10351,4741,10336,4740xm10317,4639l10305,4643,10298,4651,10288,4661,10282,4662,10354,4662,10359,4644,10332,4644,10317,4639xm10343,4622l10337,4626,10337,4641,10332,4644,10359,4644,10360,4642,10350,4624,10343,4622xm10289,4622l10273,4622,10278,4628,10278,4636,10279,4639,10283,4635,10288,4625,10289,4622xm10334,4573l10324,4573,10331,4586,10333,4587,10334,4580,10334,4573xm10152,4049l10202,4060,10228,4065,10252,4067,10276,4067,10330,4062,10462,4062,10454,4058,10438,4050,10217,4050,10152,4049xm10394,4031l10372,4032,10339,4039,10312,4043,10280,4047,10247,4049,10217,4050,10438,4050,10413,4037,10394,4031xe" filled="true" fillcolor="#ffffff" stroked="false">
              <v:path arrowok="t"/>
              <v:fill type="solid"/>
            </v:shape>
            <v:shape style="position:absolute;left:9685;top:4031;width:831;height:1215" coordorigin="9685,4031" coordsize="831,1215" path="m9751,5210l9748,5183,9743,5135,9736,5074,9730,5006,9722,4934,9714,4863,9706,4802,9699,4759,9694,4728,9689,4702,9686,4684,9685,4677,9691,4672,9707,4661,9731,4646,9760,4628,9816,4594,9891,4547,9976,4493,10061,4439,10137,4391,10194,4354,10247,4302,10279,4197,10279,4147,10271,4099,10309,4094,10357,4070,10349,4064,10330,4062,10300,4065,10276,4067,10252,4067,10228,4065,10202,4060,10152,4049,10217,4050,10247,4049,10280,4047,10312,4043,10339,4039,10372,4032,10394,4031,10413,4037,10437,4050,10454,4058,10470,4066,10483,4071,10492,4072,10499,4075,10505,4085,10510,4103,10514,4129,10515,4190,10501,4243,10468,4294,10415,4348,10400,4363,10387,4379,10377,4395,10372,4408,10368,4423,10362,4436,10357,4436,10345,4446,10336,4472,10331,4508,10332,4547,10333,4567,10334,4580,10333,4587,10331,4586,10324,4573,10315,4573,10304,4586,10293,4611,10288,4625,10283,4635,10279,4639,10278,4636,10278,4628,10273,4622,10267,4622,10260,4625,10258,4634,10262,4644,10271,4654,10282,4662,10288,4661,10298,4651,10305,4643,10317,4639,10324,4642,10332,4644,10337,4641,10337,4633,10337,4626,10343,4622,10350,4624,10360,4642,10350,4673,10329,4702,10305,4712,10294,4715,10285,4725,10280,4739,10282,4753,10288,4768,10289,4768,10302,4754,10309,4746,10324,4740,10336,4740,10351,4741,10356,4744,10352,4752,10337,4765,10329,4774,10322,4786,10318,4801,10317,4818,10316,4835,10314,4855,10311,4877,10307,4896,10303,4918,10297,4945,10292,4976,10287,5006,10278,5047,10268,5077,10260,5088,10257,5075,10257,5067,10253,5061,10247,5061,10242,5061,10238,5058,10205,5001,10185,4999,10176,4990,10175,4973,10182,4947,10192,4915,10196,4889,10195,4872,10188,4866,10183,4866,10176,4874,10172,4883,10169,4892,10157,4902,10146,4905,10131,4909,10129,4913,10136,4921,10140,4940,10130,4967,10111,4993,10088,5010,10077,5014,10065,5019,10055,5023,10047,5026,10039,5029,10028,5043,9994,5106,9985,5118,9975,5134,9965,5152,9957,5169,9942,5195,9925,5209,9907,5211,9886,5200,9865,5189,9847,5189,9834,5199,9827,5219,9825,5234,9819,5242,9809,5246,9790,5246,9771,5246,9761,5241,9755,5230,9751,5210xe" filled="false" stroked="true" strokeweight="1.56pt" strokecolor="#000000">
              <v:path arrowok="t"/>
            </v:shape>
            <v:shape style="position:absolute;left:10424;top:4359;width:147;height:184" type="#_x0000_t75" stroked="false">
              <v:imagedata r:id="rId62" o:title=""/>
            </v:shape>
            <v:shape style="position:absolute;left:4075;top:1964;width:1023;height:1536" type="#_x0000_t75" stroked="false">
              <v:imagedata r:id="rId63" o:title=""/>
            </v:shape>
            <v:shape style="position:absolute;left:7002;top:4035;width:729;height:1190" coordorigin="7002,4035" coordsize="729,1190" path="m7156,4607l7146,4610,7141,4627,7139,4667,7138,4741,7137,4794,7135,4838,7132,4869,7129,4882,7126,4903,7120,4916,7112,4925,7106,4934,7098,4947,7089,4947,7081,4959,7075,4969,7070,4982,7064,4994,7057,5004,7051,5009,7046,5011,7037,5015,7021,5024,7002,5072,7050,5117,7069,5135,7085,5151,7095,5163,7099,5171,7099,5176,7113,5184,7131,5189,7144,5193,7159,5199,7171,5206,7196,5222,7208,5225,7221,5219,7235,5206,7256,5193,7288,5189,7381,5189,7376,5176,7369,5160,7366,5147,7366,5146,7369,5132,7377,5112,7401,5078,7431,5059,7731,5059,7731,5054,7724,5037,7716,5022,7654,5022,7633,5021,7620,5009,7612,4986,7606,4968,7598,4955,7587,4946,7573,4939,7551,4926,7541,4907,7544,4878,7558,4836,7565,4814,7571,4795,7574,4781,7573,4772,7570,4755,7576,4740,7589,4730,7301,4730,7280,4728,7258,4720,7244,4709,7229,4693,7215,4674,7202,4654,7190,4635,7177,4620,7166,4610,7156,4607xm7381,5189l7288,5189,7322,5193,7350,5204,7370,5213,7382,5210,7384,5198,7381,5189xm7731,5059l7431,5059,7454,5059,7456,5084,7457,5106,7469,5130,7483,5147,7495,5146,7501,5141,7515,5137,7534,5135,7635,5135,7657,5133,7683,5122,7706,5101,7723,5081,7731,5067,7731,5059xm7635,5135l7556,5135,7618,5137,7635,5135xm7698,5011l7685,5014,7654,5022,7716,5022,7716,5022,7708,5014,7698,5011xm7335,4702l7323,4703,7323,4710,7317,4723,7301,4730,7589,4730,7592,4727,7616,4720,7648,4710,7649,4709,7367,4709,7352,4706,7335,4702xm7410,4665l7399,4672,7392,4688,7385,4700,7377,4707,7367,4709,7649,4709,7658,4699,7646,4686,7612,4672,7432,4672,7421,4669,7410,4665xm7427,4035l7412,4037,7395,4051,7382,4071,7376,4092,7376,4102,7374,4135,7361,4164,7334,4204,7304,4239,7283,4254,7275,4255,7280,4264,7293,4276,7304,4289,7310,4301,7312,4316,7309,4338,7305,4356,7300,4375,7294,4394,7288,4410,7278,4444,7282,4474,7301,4499,7334,4522,7352,4534,7368,4546,7378,4557,7382,4566,7382,4575,7388,4583,7396,4583,7404,4585,7414,4592,7425,4601,7436,4612,7449,4627,7455,4639,7456,4648,7451,4658,7445,4667,7432,4672,7612,4672,7577,4657,7555,4642,7544,4622,7540,4595,7545,4551,7560,4488,7580,4425,7599,4380,7610,4362,7611,4358,7496,4358,7479,4352,7457,4331,7442,4314,7435,4297,7432,4275,7433,4241,7435,4206,7439,4186,7448,4177,7464,4172,7486,4164,7494,4153,7488,4138,7467,4118,7453,4106,7443,4094,7439,4081,7438,4068,7439,4054,7434,4039,7427,4035xm7544,4299l7525,4330,7510,4351,7496,4358,7611,4358,7617,4346,7615,4345,7578,4321,7544,4299xe" filled="true" fillcolor="#ff0000" stroked="false">
              <v:path arrowok="t"/>
              <v:fill type="solid"/>
            </v:shape>
            <v:shape style="position:absolute;left:5506;top:4035;width:2225;height:1190" coordorigin="5506,4035" coordsize="2225,1190" path="m7181,5212l7171,5205,7159,5199,7144,5193,7131,5189,7113,5184,7099,5176,7099,5171,7095,5163,7085,5151,7069,5135,7050,5117,7002,5072,7021,5024,7037,5015,7046,5011,7051,5009,7057,5004,7064,4994,7070,4982,7075,4969,7081,4959,7089,4947,7098,4947,7106,4934,7112,4925,7120,4916,7126,4903,7129,4882,7132,4869,7135,4838,7137,4794,7138,4741,7139,4668,7141,4627,7146,4610,7156,4607,7166,4610,7177,4620,7190,4635,7202,4654,7215,4674,7229,4693,7244,4709,7258,4720,7280,4728,7301,4730,7317,4723,7323,4710,7323,4703,7335,4702,7352,4706,7367,4709,7377,4707,7385,4700,7392,4688,7399,4672,7410,4665,7421,4669,7432,4672,7445,4667,7451,4658,7456,4648,7455,4639,7449,4627,7436,4612,7425,4601,7414,4592,7404,4585,7396,4583,7388,4583,7382,4575,7382,4566,7378,4557,7368,4546,7352,4534,7334,4522,7301,4499,7282,4474,7278,4444,7288,4410,7294,4394,7300,4375,7305,4356,7309,4338,7312,4316,7310,4301,7304,4289,7293,4276,7280,4264,7275,4255,7283,4254,7304,4239,7334,4204,7361,4164,7374,4135,7375,4125,7375,4113,7376,4102,7376,4092,7382,4071,7395,4051,7412,4037,7427,4035,7434,4039,7439,4054,7438,4068,7439,4081,7443,4094,7453,4106,7467,4118,7488,4138,7494,4153,7486,4164,7464,4172,7448,4177,7439,4186,7435,4206,7433,4241,7432,4275,7435,4297,7442,4314,7457,4331,7479,4352,7496,4358,7510,4351,7525,4330,7544,4299,7578,4321,7615,4345,7617,4346,7610,4362,7599,4380,7580,4425,7560,4488,7545,4551,7540,4595,7544,4622,7555,4642,7577,4657,7613,4672,7646,4686,7658,4699,7648,4710,7616,4720,7592,4727,7576,4740,7570,4755,7573,4772,7574,4781,7571,4795,7565,4814,7558,4836,7544,4878,7541,4907,7551,4926,7573,4939,7587,4946,7598,4955,7606,4968,7612,4986,7620,5009,7633,5021,7654,5022,7685,5014,7698,5011,7708,5014,7716,5022,7724,5037,7731,5054,7731,5067,7723,5081,7706,5101,7683,5122,7657,5133,7618,5137,7556,5135,7534,5135,7515,5137,7501,5141,7495,5146,7483,5147,7469,5130,7457,5106,7456,5084,7454,5059,7431,5059,7401,5078,7377,5112,7369,5132,7366,5147,7369,5160,7376,5176,7384,5198,7382,5210,7370,5213,7350,5204,7322,5193,7288,5189,7256,5193,7235,5206,7221,5219,7208,5225,7196,5222,7181,5212xm5887,4894l5874,4890,5859,4887,5844,4884,5832,4883,5819,4881,5803,4876,5785,4869,5767,4860,5748,4851,5726,4842,5702,4834,5681,4829,5642,4819,5603,4803,5573,4787,5561,4775,5559,4770,5553,4762,5546,4753,5536,4742,5515,4718,5506,4700,5508,4684,5521,4667,5532,4655,5543,4641,5545,4636,5547,4631,5561,4627,5576,4627,5591,4627,5606,4623,5609,4619,5611,4616,5626,4615,5642,4618,5658,4619,5673,4615,5692,4605,5718,4587,5738,4573,5758,4562,5774,4554,5785,4552,5806,4544,5829,4526,5845,4503,5851,4483,5849,4467,5844,4464,5825,4465,5806,4466,5801,4463,5801,4449,5801,4440,5797,4428,5792,4424,5786,4418,5786,4409,5792,4395,5797,4383,5801,4371,5801,4368,5792,4360,5768,4349,5738,4339,5708,4332,5690,4328,5683,4322,5684,4314,5693,4301,5702,4293,5714,4287,5731,4283,5754,4280,5777,4277,5799,4272,5819,4265,5836,4256,5854,4247,5876,4240,5902,4235,5934,4232,6000,4226,6025,4251,6044,4267,6060,4273,6075,4271,6093,4259,6121,4246,6146,4248,6164,4263,6171,4289,6176,4308,6190,4321,6210,4326,6232,4321,6259,4312,6286,4309,6310,4313,6326,4322,6335,4330,6348,4335,6367,4338,6393,4339,6422,4339,6442,4337,6458,4332,6474,4323,6497,4312,6520,4306,6541,4307,6556,4315,6563,4329,6566,4349,6564,4367,6558,4375,6553,4375,6549,4381,6549,4390,6549,4398,6546,4405,6542,4407,6538,4414,6534,4432,6530,4457,6526,4488,6514,4553,6496,4610,6475,4651,6454,4667,6442,4670,6434,4680,6430,4699,6429,4726,6429,4744,6426,4754,6422,4757,6414,4755,6381,4746,6337,4739,6282,4735,6219,4733,6176,4732,6146,4730,6129,4727,6122,4723,6107,4715,6080,4713,6050,4718,6029,4728,6021,4739,6018,4750,6020,4767,6026,4790,6025,4795,6019,4803,6009,4811,5997,4820,5980,4831,5970,4841,5966,4854,5965,4872,5964,4891,5961,4901,5954,4904,5941,4905,5929,4904,5915,4901,5901,4898,5887,4894xe" filled="false" stroked="true" strokeweight="1.56pt" strokecolor="#000000">
              <v:path arrowok="t"/>
            </v:shape>
            <v:shape style="position:absolute;left:6835;top:4645;width:283;height:284" type="#_x0000_t75" stroked="false">
              <v:imagedata r:id="rId64" o:title=""/>
            </v:shape>
            <v:shape style="position:absolute;left:5702;top:3383;width:413;height:432" type="#_x0000_t75" stroked="false">
              <v:imagedata r:id="rId65" o:title=""/>
            </v:shape>
            <v:shape style="position:absolute;left:5769;top:3414;width:278;height:296" type="#_x0000_t75" stroked="false">
              <v:imagedata r:id="rId66" o:title=""/>
            </v:shape>
            <v:shape style="position:absolute;left:7632;top:2876;width:518;height:1054" type="#_x0000_t75" stroked="false">
              <v:imagedata r:id="rId67" o:title=""/>
            </v:shape>
            <v:shape style="position:absolute;left:7706;top:2961;width:370;height:859" coordorigin="7706,2961" coordsize="370,859" path="m7706,2961l7706,3773,7721,3791,7761,3806,7819,3816,7891,3820,7963,3816,8022,3806,8061,3791,8076,3773,8076,3007,7891,3007,7819,3004,7761,2994,7721,2979,7706,2961xm8076,2961l8061,2979,8022,2994,7963,3004,7891,3007,8076,3007,8076,2961xe" filled="true" fillcolor="#00af50" stroked="false">
              <v:path arrowok="t"/>
              <v:fill type="solid"/>
            </v:shape>
            <v:shape style="position:absolute;left:7699;top:2908;width:384;height:107" type="#_x0000_t75" stroked="false">
              <v:imagedata r:id="rId68" o:title=""/>
            </v:shape>
            <v:shape style="position:absolute;left:7706;top:2961;width:370;height:859" coordorigin="7706,2961" coordsize="370,859" path="m8076,2961l8076,3773,8061,3791,8022,3806,7963,3816,7891,3820,7819,3816,7761,3806,7721,3791,7706,3773,7706,2961e" filled="false" stroked="true" strokeweight=".72pt" strokecolor="#497dba">
              <v:path arrowok="t"/>
            </v:shape>
            <v:shape style="position:absolute;left:5422;top:23;width:492;height:1020" type="#_x0000_t75" stroked="false">
              <v:imagedata r:id="rId69" o:title=""/>
            </v:shape>
            <v:shape style="position:absolute;left:5496;top:104;width:344;height:829" coordorigin="5496,104" coordsize="344,829" path="m5496,104l5496,889,5509,906,5546,920,5601,929,5668,932,5734,929,5789,920,5826,906,5839,889,5839,147,5668,147,5601,144,5546,134,5509,121,5496,104xm5839,104l5826,121,5789,134,5734,144,5668,147,5839,147,5839,104xe" filled="true" fillcolor="#00afef" stroked="false">
              <v:path arrowok="t"/>
              <v:fill type="solid"/>
            </v:shape>
            <v:shape style="position:absolute;left:5489;top:54;width:358;height:100" type="#_x0000_t75" stroked="false">
              <v:imagedata r:id="rId70" o:title=""/>
            </v:shape>
            <v:shape style="position:absolute;left:5496;top:104;width:344;height:829" coordorigin="5496,104" coordsize="344,829" path="m5839,104l5839,889,5826,906,5789,920,5734,929,5668,932,5601,929,5546,920,5509,906,5496,889,5496,104e" filled="false" stroked="true" strokeweight=".72pt" strokecolor="#497dba">
              <v:path arrowok="t"/>
            </v:shape>
            <v:shape style="position:absolute;left:4265;top:4088;width:502;height:1003" type="#_x0000_t75" stroked="false">
              <v:imagedata r:id="rId71" o:title=""/>
            </v:shape>
            <v:shape style="position:absolute;left:4339;top:4171;width:353;height:811" coordorigin="4339,4171" coordsize="353,811" path="m4339,4171l4339,4937,4353,4954,4391,4968,4447,4978,4516,4981,4584,4978,4640,4968,4678,4954,4692,4937,4692,4215,4516,4215,4447,4211,4391,4202,4353,4188,4339,4171xm4692,4171l4678,4188,4640,4202,4584,4211,4516,4215,4692,4215,4692,4171xe" filled="true" fillcolor="#ff0000" stroked="false">
              <v:path arrowok="t"/>
              <v:fill type="solid"/>
            </v:shape>
            <v:shape style="position:absolute;left:4332;top:4120;width:367;height:103" type="#_x0000_t75" stroked="false">
              <v:imagedata r:id="rId72" o:title=""/>
            </v:shape>
            <v:shape style="position:absolute;left:4339;top:4171;width:353;height:811" coordorigin="4339,4171" coordsize="353,811" path="m4692,4171l4692,4937,4678,4954,4640,4968,4584,4978,4516,4981,4447,4978,4391,4968,4353,4954,4339,4937,4339,4171e" filled="false" stroked="true" strokeweight=".72pt" strokecolor="#497dba">
              <v:path arrowok="t"/>
            </v:shape>
            <v:rect style="position:absolute;left:8194;top:3179;width:2568;height:403" filled="true" fillcolor="#ffffff" stroked="false">
              <v:fill type="solid"/>
            </v:rect>
            <w10:wrap type="none"/>
          </v:group>
        </w:pict>
      </w:r>
      <w:r>
        <w:rPr>
          <w:sz w:val="20"/>
        </w:rPr>
        <w:t>Sistema tecnificado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drawing>
          <wp:anchor distT="0" distB="0" distL="0" distR="0" allowOverlap="1" layoutInCell="1" locked="0" behindDoc="0" simplePos="0" relativeHeight="2032">
            <wp:simplePos x="0" y="0"/>
            <wp:positionH relativeFrom="page">
              <wp:posOffset>1936432</wp:posOffset>
            </wp:positionH>
            <wp:positionV relativeFrom="paragraph">
              <wp:posOffset>169692</wp:posOffset>
            </wp:positionV>
            <wp:extent cx="66709" cy="152400"/>
            <wp:effectExtent l="0" t="0" r="0" b="0"/>
            <wp:wrapTopAndBottom/>
            <wp:docPr id="3" name="image64.png" descr=""/>
            <wp:cNvGraphicFramePr>
              <a:graphicFrameLocks noChangeAspect="1"/>
            </wp:cNvGraphicFramePr>
            <a:graphic>
              <a:graphicData uri="http://schemas.openxmlformats.org/drawingml/2006/picture">
                <pic:pic>
                  <pic:nvPicPr>
                    <pic:cNvPr id="4" name="image64.png"/>
                    <pic:cNvPicPr/>
                  </pic:nvPicPr>
                  <pic:blipFill>
                    <a:blip r:embed="rId73" cstate="print"/>
                    <a:stretch>
                      <a:fillRect/>
                    </a:stretch>
                  </pic:blipFill>
                  <pic:spPr>
                    <a:xfrm>
                      <a:off x="0" y="0"/>
                      <a:ext cx="66709" cy="1524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spacing w:before="73"/>
        <w:ind w:left="0" w:right="362" w:firstLine="0"/>
        <w:jc w:val="right"/>
        <w:rPr>
          <w:sz w:val="20"/>
        </w:rPr>
      </w:pPr>
      <w:r>
        <w:rPr>
          <w:sz w:val="20"/>
        </w:rPr>
        <w:t>Sistema de doble propósito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spacing w:before="73"/>
        <w:ind w:left="268" w:right="0" w:firstLine="0"/>
        <w:jc w:val="left"/>
        <w:rPr>
          <w:sz w:val="20"/>
        </w:rPr>
      </w:pPr>
      <w:r>
        <w:rPr>
          <w:sz w:val="20"/>
        </w:rPr>
        <w:t>Sistema de lechería familiar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4581" w:right="0" w:firstLine="0"/>
        <w:jc w:val="left"/>
        <w:rPr>
          <w:sz w:val="20"/>
        </w:rPr>
      </w:pPr>
      <w:r>
        <w:rPr>
          <w:sz w:val="20"/>
        </w:rPr>
        <w:t>Fuente: Elaboración propia con información de INEGI</w:t>
      </w:r>
    </w:p>
    <w:p>
      <w:pPr>
        <w:pStyle w:val="BodyText"/>
        <w:spacing w:before="3"/>
        <w:rPr>
          <w:sz w:val="27"/>
        </w:rPr>
      </w:pPr>
    </w:p>
    <w:p>
      <w:pPr>
        <w:pStyle w:val="BodyText"/>
        <w:spacing w:line="360" w:lineRule="auto"/>
        <w:ind w:left="122" w:right="573"/>
      </w:pPr>
      <w:r>
        <w:rPr/>
        <w:pict>
          <v:line style="position:absolute;mso-position-horizontal-relative:page;mso-position-vertical-relative:paragraph;z-index:-461704" from="85.139999pt,.273136pt" to="526.789999pt,.273136pt" stroked="true" strokeweight="2.04pt" strokecolor="#000000">
            <w10:wrap type="none"/>
          </v:line>
        </w:pict>
      </w:r>
      <w:r>
        <w:rPr>
          <w:b/>
        </w:rPr>
        <w:t>Figura 10. </w:t>
      </w:r>
      <w:r>
        <w:rPr/>
        <w:t>Principales estados productores de leche de pequeña escala, doble propósito y tecnificada por regiones agroecológicas en México.</w:t>
      </w:r>
    </w:p>
    <w:p>
      <w:pPr>
        <w:pStyle w:val="BodyText"/>
      </w:pPr>
    </w:p>
    <w:p>
      <w:pPr>
        <w:pStyle w:val="BodyText"/>
      </w:pPr>
    </w:p>
    <w:p>
      <w:pPr>
        <w:pStyle w:val="BodyText"/>
        <w:spacing w:before="8"/>
        <w:rPr>
          <w:sz w:val="23"/>
        </w:rPr>
      </w:pPr>
    </w:p>
    <w:p>
      <w:pPr>
        <w:pStyle w:val="Heading1"/>
        <w:numPr>
          <w:ilvl w:val="1"/>
          <w:numId w:val="12"/>
        </w:numPr>
        <w:tabs>
          <w:tab w:pos="482" w:val="left" w:leader="none"/>
        </w:tabs>
        <w:spacing w:line="240" w:lineRule="auto" w:before="0" w:after="0"/>
        <w:ind w:left="482" w:right="0" w:hanging="360"/>
        <w:jc w:val="both"/>
      </w:pPr>
      <w:r>
        <w:rPr/>
        <w:t>El sistema lechero de pequeña escala en el Distrito de Desarrollo Rural de</w:t>
      </w:r>
      <w:r>
        <w:rPr>
          <w:spacing w:val="-14"/>
        </w:rPr>
        <w:t> </w:t>
      </w:r>
      <w:r>
        <w:rPr/>
        <w:t>Texcoco</w:t>
      </w:r>
    </w:p>
    <w:p>
      <w:pPr>
        <w:pStyle w:val="BodyText"/>
        <w:rPr>
          <w:b/>
        </w:rPr>
      </w:pPr>
    </w:p>
    <w:p>
      <w:pPr>
        <w:pStyle w:val="BodyText"/>
        <w:rPr>
          <w:b/>
        </w:rPr>
      </w:pPr>
    </w:p>
    <w:p>
      <w:pPr>
        <w:pStyle w:val="BodyText"/>
        <w:spacing w:before="5"/>
        <w:rPr>
          <w:b/>
          <w:sz w:val="34"/>
        </w:rPr>
      </w:pPr>
    </w:p>
    <w:p>
      <w:pPr>
        <w:pStyle w:val="BodyText"/>
        <w:spacing w:line="360" w:lineRule="auto"/>
        <w:ind w:left="122" w:right="338"/>
        <w:jc w:val="both"/>
      </w:pPr>
      <w:r>
        <w:rPr/>
        <w:t>Las tierras ubicadas en el nor-oriente del Estado de México, DDRT, tienen condiciones geográficas, de suelo y clima favorables para la agricultura. El temporal de lluvias es largo, comprende el periodo de mayo a octubre, lo que permite tener abundante forraje y cereales para la alimentación del ganado. La altitud en la región es de 2,250 msnm clima templado</w:t>
      </w:r>
    </w:p>
    <w:p>
      <w:pPr>
        <w:spacing w:after="0" w:line="360" w:lineRule="auto"/>
        <w:jc w:val="both"/>
        <w:sectPr>
          <w:pgSz w:w="12240" w:h="15840"/>
          <w:pgMar w:header="0" w:footer="657" w:top="1500" w:bottom="840" w:left="1580" w:right="1360"/>
        </w:sectPr>
      </w:pPr>
    </w:p>
    <w:p>
      <w:pPr>
        <w:pStyle w:val="BodyText"/>
        <w:spacing w:line="362" w:lineRule="auto" w:before="50"/>
        <w:ind w:left="102" w:right="124"/>
        <w:jc w:val="both"/>
      </w:pPr>
      <w:r>
        <w:rPr/>
        <w:t>semi-seco, con una temperatura media anual de 15,9° C y una precipitación media de 686 mm/año (INEGI, 2013).</w:t>
      </w:r>
    </w:p>
    <w:p>
      <w:pPr>
        <w:pStyle w:val="BodyText"/>
      </w:pPr>
    </w:p>
    <w:p>
      <w:pPr>
        <w:pStyle w:val="BodyText"/>
      </w:pPr>
    </w:p>
    <w:p>
      <w:pPr>
        <w:pStyle w:val="BodyText"/>
        <w:rPr>
          <w:sz w:val="23"/>
        </w:rPr>
      </w:pPr>
    </w:p>
    <w:p>
      <w:pPr>
        <w:pStyle w:val="BodyText"/>
        <w:spacing w:line="360" w:lineRule="auto" w:before="1"/>
        <w:ind w:left="102" w:right="118"/>
        <w:jc w:val="both"/>
      </w:pPr>
      <w:r>
        <w:rPr/>
        <w:t>El sistema lechero de pequeña escala representa aproximadamente 85% de los sistemas de producción y contribuye con el 70% de la leche producida en el municipio de Texcoco, es decir 82,916 miles litros de leche (SIAP, 2013a), suficientes para alimentar a 620 mil personas con un consumo per cápita de 132 litros (CANILEC, 2013).</w:t>
      </w:r>
    </w:p>
    <w:p>
      <w:pPr>
        <w:pStyle w:val="BodyText"/>
      </w:pPr>
    </w:p>
    <w:p>
      <w:pPr>
        <w:pStyle w:val="BodyText"/>
      </w:pPr>
    </w:p>
    <w:p>
      <w:pPr>
        <w:pStyle w:val="BodyText"/>
        <w:spacing w:before="4"/>
        <w:rPr>
          <w:sz w:val="23"/>
        </w:rPr>
      </w:pPr>
    </w:p>
    <w:p>
      <w:pPr>
        <w:pStyle w:val="BodyText"/>
        <w:spacing w:line="360" w:lineRule="auto"/>
        <w:ind w:left="102" w:right="115"/>
        <w:jc w:val="both"/>
      </w:pPr>
      <w:r>
        <w:rPr/>
        <w:t>En el municipio de Texcoco es posible observar que el manejo, producción, y comercialización difiere de acuerdo al tamaño de hato. Estas características traen consigo diferencias marcadas en rentabilidad y producción. Posadas-Domínguez et al. (2013b), documentaron que el sistema lechero de pequeña escala en el DDRT se puede subdividir en tres</w:t>
      </w:r>
      <w:r>
        <w:rPr>
          <w:spacing w:val="-4"/>
        </w:rPr>
        <w:t> </w:t>
      </w:r>
      <w:r>
        <w:rPr/>
        <w:t>estratos</w:t>
      </w:r>
      <w:r>
        <w:rPr>
          <w:spacing w:val="-4"/>
        </w:rPr>
        <w:t> </w:t>
      </w:r>
      <w:r>
        <w:rPr/>
        <w:t>para</w:t>
      </w:r>
      <w:r>
        <w:rPr>
          <w:spacing w:val="-5"/>
        </w:rPr>
        <w:t> </w:t>
      </w:r>
      <w:r>
        <w:rPr/>
        <w:t>mejorar</w:t>
      </w:r>
      <w:r>
        <w:rPr>
          <w:spacing w:val="-2"/>
        </w:rPr>
        <w:t> </w:t>
      </w:r>
      <w:r>
        <w:rPr/>
        <w:t>su</w:t>
      </w:r>
      <w:r>
        <w:rPr>
          <w:spacing w:val="-4"/>
        </w:rPr>
        <w:t> </w:t>
      </w:r>
      <w:r>
        <w:rPr/>
        <w:t>analisis.</w:t>
      </w:r>
      <w:r>
        <w:rPr>
          <w:spacing w:val="-4"/>
        </w:rPr>
        <w:t> </w:t>
      </w:r>
      <w:r>
        <w:rPr/>
        <w:t>Estrato</w:t>
      </w:r>
      <w:r>
        <w:rPr>
          <w:spacing w:val="1"/>
        </w:rPr>
        <w:t> </w:t>
      </w:r>
      <w:r>
        <w:rPr/>
        <w:t>I:</w:t>
      </w:r>
      <w:r>
        <w:rPr>
          <w:spacing w:val="-3"/>
        </w:rPr>
        <w:t> </w:t>
      </w:r>
      <w:r>
        <w:rPr/>
        <w:t>de 3</w:t>
      </w:r>
      <w:r>
        <w:rPr>
          <w:spacing w:val="-4"/>
        </w:rPr>
        <w:t> </w:t>
      </w:r>
      <w:r>
        <w:rPr/>
        <w:t>a</w:t>
      </w:r>
      <w:r>
        <w:rPr>
          <w:spacing w:val="-5"/>
        </w:rPr>
        <w:t> </w:t>
      </w:r>
      <w:r>
        <w:rPr/>
        <w:t>9</w:t>
      </w:r>
      <w:r>
        <w:rPr>
          <w:spacing w:val="-4"/>
        </w:rPr>
        <w:t> </w:t>
      </w:r>
      <w:r>
        <w:rPr/>
        <w:t>vacas</w:t>
      </w:r>
      <w:r>
        <w:rPr>
          <w:spacing w:val="-4"/>
        </w:rPr>
        <w:t> </w:t>
      </w:r>
      <w:r>
        <w:rPr/>
        <w:t>en</w:t>
      </w:r>
      <w:r>
        <w:rPr>
          <w:spacing w:val="-2"/>
        </w:rPr>
        <w:t> </w:t>
      </w:r>
      <w:r>
        <w:rPr/>
        <w:t>producción</w:t>
      </w:r>
      <w:r>
        <w:rPr>
          <w:spacing w:val="-3"/>
        </w:rPr>
        <w:t> </w:t>
      </w:r>
      <w:r>
        <w:rPr/>
        <w:t>más</w:t>
      </w:r>
      <w:r>
        <w:rPr>
          <w:spacing w:val="-4"/>
        </w:rPr>
        <w:t> </w:t>
      </w:r>
      <w:r>
        <w:rPr/>
        <w:t>remplazos, Estrato II: de 10 a 19 vacas en producción y Estrato III: de 20 a 30 vacas en</w:t>
      </w:r>
      <w:r>
        <w:rPr>
          <w:spacing w:val="-12"/>
        </w:rPr>
        <w:t> </w:t>
      </w:r>
      <w:r>
        <w:rPr/>
        <w:t>producción.</w:t>
      </w:r>
    </w:p>
    <w:p>
      <w:pPr>
        <w:pStyle w:val="BodyText"/>
      </w:pPr>
    </w:p>
    <w:p>
      <w:pPr>
        <w:pStyle w:val="BodyText"/>
      </w:pPr>
    </w:p>
    <w:p>
      <w:pPr>
        <w:pStyle w:val="BodyText"/>
        <w:spacing w:before="3"/>
        <w:rPr>
          <w:sz w:val="23"/>
        </w:rPr>
      </w:pPr>
    </w:p>
    <w:p>
      <w:pPr>
        <w:pStyle w:val="BodyText"/>
        <w:spacing w:line="360" w:lineRule="auto" w:before="1"/>
        <w:ind w:left="102" w:right="116"/>
        <w:jc w:val="both"/>
      </w:pPr>
      <w:r>
        <w:rPr/>
        <w:t>En general el sistema lechero de pequeña escala en el DDRT lleva a cabo de forma manual las operaciones principales de la granja, en donde, la participación de mano de obra familiar es</w:t>
      </w:r>
      <w:r>
        <w:rPr>
          <w:spacing w:val="-8"/>
        </w:rPr>
        <w:t> </w:t>
      </w:r>
      <w:r>
        <w:rPr/>
        <w:t>un</w:t>
      </w:r>
      <w:r>
        <w:rPr>
          <w:spacing w:val="-9"/>
        </w:rPr>
        <w:t> </w:t>
      </w:r>
      <w:r>
        <w:rPr/>
        <w:t>factor</w:t>
      </w:r>
      <w:r>
        <w:rPr>
          <w:spacing w:val="-9"/>
        </w:rPr>
        <w:t> </w:t>
      </w:r>
      <w:r>
        <w:rPr/>
        <w:t>relevante</w:t>
      </w:r>
      <w:r>
        <w:rPr>
          <w:spacing w:val="-9"/>
        </w:rPr>
        <w:t> </w:t>
      </w:r>
      <w:r>
        <w:rPr/>
        <w:t>en</w:t>
      </w:r>
      <w:r>
        <w:rPr>
          <w:spacing w:val="-6"/>
        </w:rPr>
        <w:t> </w:t>
      </w:r>
      <w:r>
        <w:rPr/>
        <w:t>estos</w:t>
      </w:r>
      <w:r>
        <w:rPr>
          <w:spacing w:val="-8"/>
        </w:rPr>
        <w:t> </w:t>
      </w:r>
      <w:r>
        <w:rPr/>
        <w:t>sistemas</w:t>
      </w:r>
      <w:r>
        <w:rPr>
          <w:spacing w:val="-8"/>
        </w:rPr>
        <w:t> </w:t>
      </w:r>
      <w:r>
        <w:rPr/>
        <w:t>productivos</w:t>
      </w:r>
      <w:r>
        <w:rPr>
          <w:spacing w:val="-8"/>
        </w:rPr>
        <w:t> </w:t>
      </w:r>
      <w:r>
        <w:rPr/>
        <w:t>con</w:t>
      </w:r>
      <w:r>
        <w:rPr>
          <w:spacing w:val="-9"/>
        </w:rPr>
        <w:t> </w:t>
      </w:r>
      <w:r>
        <w:rPr/>
        <w:t>poca</w:t>
      </w:r>
      <w:r>
        <w:rPr>
          <w:spacing w:val="-10"/>
        </w:rPr>
        <w:t> </w:t>
      </w:r>
      <w:r>
        <w:rPr/>
        <w:t>o</w:t>
      </w:r>
      <w:r>
        <w:rPr>
          <w:spacing w:val="-9"/>
        </w:rPr>
        <w:t> </w:t>
      </w:r>
      <w:r>
        <w:rPr/>
        <w:t>nula</w:t>
      </w:r>
      <w:r>
        <w:rPr>
          <w:spacing w:val="-9"/>
        </w:rPr>
        <w:t> </w:t>
      </w:r>
      <w:r>
        <w:rPr/>
        <w:t>mano</w:t>
      </w:r>
      <w:r>
        <w:rPr>
          <w:spacing w:val="-9"/>
        </w:rPr>
        <w:t> </w:t>
      </w:r>
      <w:r>
        <w:rPr/>
        <w:t>de</w:t>
      </w:r>
      <w:r>
        <w:rPr>
          <w:spacing w:val="-10"/>
        </w:rPr>
        <w:t> </w:t>
      </w:r>
      <w:r>
        <w:rPr/>
        <w:t>obra</w:t>
      </w:r>
      <w:r>
        <w:rPr>
          <w:spacing w:val="-10"/>
        </w:rPr>
        <w:t> </w:t>
      </w:r>
      <w:r>
        <w:rPr/>
        <w:t>contratada de forma temporal sobre todo para los productores del Estrato </w:t>
      </w:r>
      <w:r>
        <w:rPr>
          <w:spacing w:val="-3"/>
        </w:rPr>
        <w:t>I. </w:t>
      </w:r>
      <w:r>
        <w:rPr/>
        <w:t>Sin embargo, a medida que el tamaño de hato aumenta es posible observar incrementos en la contratación de mano de obra</w:t>
      </w:r>
      <w:r>
        <w:rPr>
          <w:spacing w:val="-8"/>
        </w:rPr>
        <w:t> </w:t>
      </w:r>
      <w:r>
        <w:rPr/>
        <w:t>que</w:t>
      </w:r>
      <w:r>
        <w:rPr>
          <w:spacing w:val="-5"/>
        </w:rPr>
        <w:t> </w:t>
      </w:r>
      <w:r>
        <w:rPr/>
        <w:t>oscila</w:t>
      </w:r>
      <w:r>
        <w:rPr>
          <w:spacing w:val="-5"/>
        </w:rPr>
        <w:t> </w:t>
      </w:r>
      <w:r>
        <w:rPr/>
        <w:t>entre</w:t>
      </w:r>
      <w:r>
        <w:rPr>
          <w:spacing w:val="-5"/>
        </w:rPr>
        <w:t> </w:t>
      </w:r>
      <w:r>
        <w:rPr/>
        <w:t>20</w:t>
      </w:r>
      <w:r>
        <w:rPr>
          <w:spacing w:val="-1"/>
        </w:rPr>
        <w:t> </w:t>
      </w:r>
      <w:r>
        <w:rPr/>
        <w:t>y</w:t>
      </w:r>
      <w:r>
        <w:rPr>
          <w:spacing w:val="-9"/>
        </w:rPr>
        <w:t> </w:t>
      </w:r>
      <w:r>
        <w:rPr/>
        <w:t>30%</w:t>
      </w:r>
      <w:r>
        <w:rPr>
          <w:spacing w:val="-7"/>
        </w:rPr>
        <w:t> </w:t>
      </w:r>
      <w:r>
        <w:rPr/>
        <w:t>en</w:t>
      </w:r>
      <w:r>
        <w:rPr>
          <w:spacing w:val="-4"/>
        </w:rPr>
        <w:t> </w:t>
      </w:r>
      <w:r>
        <w:rPr/>
        <w:t>los</w:t>
      </w:r>
      <w:r>
        <w:rPr>
          <w:spacing w:val="-6"/>
        </w:rPr>
        <w:t> </w:t>
      </w:r>
      <w:r>
        <w:rPr/>
        <w:t>estratos</w:t>
      </w:r>
      <w:r>
        <w:rPr>
          <w:spacing w:val="-6"/>
        </w:rPr>
        <w:t> </w:t>
      </w:r>
      <w:r>
        <w:rPr/>
        <w:t>productivos</w:t>
      </w:r>
      <w:r>
        <w:rPr>
          <w:spacing w:val="-4"/>
        </w:rPr>
        <w:t> </w:t>
      </w:r>
      <w:r>
        <w:rPr/>
        <w:t>II</w:t>
      </w:r>
      <w:r>
        <w:rPr>
          <w:spacing w:val="-3"/>
        </w:rPr>
        <w:t> </w:t>
      </w:r>
      <w:r>
        <w:rPr/>
        <w:t>y</w:t>
      </w:r>
      <w:r>
        <w:rPr>
          <w:spacing w:val="-6"/>
        </w:rPr>
        <w:t> </w:t>
      </w:r>
      <w:r>
        <w:rPr/>
        <w:t>III</w:t>
      </w:r>
      <w:r>
        <w:rPr>
          <w:spacing w:val="-7"/>
        </w:rPr>
        <w:t> </w:t>
      </w:r>
      <w:r>
        <w:rPr/>
        <w:t>respectivamente</w:t>
      </w:r>
      <w:r>
        <w:rPr>
          <w:spacing w:val="-7"/>
        </w:rPr>
        <w:t> </w:t>
      </w:r>
      <w:r>
        <w:rPr/>
        <w:t>(Posadas- Domínguez et al.,</w:t>
      </w:r>
      <w:r>
        <w:rPr>
          <w:spacing w:val="-2"/>
        </w:rPr>
        <w:t> </w:t>
      </w:r>
      <w:r>
        <w:rPr/>
        <w:t>2013a).</w:t>
      </w:r>
    </w:p>
    <w:p>
      <w:pPr>
        <w:pStyle w:val="BodyText"/>
      </w:pPr>
    </w:p>
    <w:p>
      <w:pPr>
        <w:pStyle w:val="BodyText"/>
      </w:pPr>
    </w:p>
    <w:p>
      <w:pPr>
        <w:pStyle w:val="BodyText"/>
        <w:spacing w:before="1"/>
        <w:rPr>
          <w:sz w:val="23"/>
        </w:rPr>
      </w:pPr>
    </w:p>
    <w:p>
      <w:pPr>
        <w:pStyle w:val="BodyText"/>
        <w:spacing w:line="360" w:lineRule="auto"/>
        <w:ind w:left="102" w:right="118"/>
        <w:jc w:val="both"/>
      </w:pPr>
      <w:r>
        <w:rPr/>
        <w:t>La propiedad de la tierra tiene una correlación directa con el tamaño de hato, la tenencia oscila entre cuatro y 12 hectáreas, las cuales se aprovechan en temporal de lluvias para siembra de cereales, y en temporal de secas para cultivo de forrajes mediante riego.</w:t>
      </w:r>
    </w:p>
    <w:p>
      <w:pPr>
        <w:spacing w:after="0" w:line="360" w:lineRule="auto"/>
        <w:jc w:val="both"/>
        <w:sectPr>
          <w:footerReference w:type="default" r:id="rId74"/>
          <w:pgSz w:w="12240" w:h="15840"/>
          <w:pgMar w:footer="657" w:header="0" w:top="1360" w:bottom="840" w:left="1600" w:right="1580"/>
        </w:sectPr>
      </w:pPr>
    </w:p>
    <w:p>
      <w:pPr>
        <w:pStyle w:val="BodyText"/>
        <w:spacing w:line="360" w:lineRule="auto" w:before="50"/>
        <w:ind w:left="102" w:right="98"/>
        <w:jc w:val="both"/>
      </w:pPr>
      <w:r>
        <w:rPr/>
        <w:t>La actividad principal del sistema lechero de pequeña escala es la producción de leche, la cual basa su sistema productivo en la estrecha integración del ganado lechero con cultivos como alfalfa (</w:t>
      </w:r>
      <w:r>
        <w:rPr>
          <w:i/>
        </w:rPr>
        <w:t>Medicago sativa</w:t>
      </w:r>
      <w:r>
        <w:rPr/>
        <w:t>), maíz (</w:t>
      </w:r>
      <w:r>
        <w:rPr>
          <w:i/>
        </w:rPr>
        <w:t>Zea mays</w:t>
      </w:r>
      <w:r>
        <w:rPr/>
        <w:t>) y avena (</w:t>
      </w:r>
      <w:r>
        <w:rPr>
          <w:i/>
        </w:rPr>
        <w:t>Avena sativa</w:t>
      </w:r>
      <w:r>
        <w:rPr/>
        <w:t>), los cuales proporcionan más del 70.0% de los insumos alimenticios en los tres estratos productivos presentes en el DDRT, la dieta se complementa con alimento comercial y desperdicios agroindustriales, básicamente implementados por el Estrato III. La principal raza lechera en la región es Holstein con un dominio del 95%.</w:t>
      </w:r>
    </w:p>
    <w:p>
      <w:pPr>
        <w:spacing w:after="0" w:line="360" w:lineRule="auto"/>
        <w:jc w:val="both"/>
        <w:sectPr>
          <w:footerReference w:type="default" r:id="rId75"/>
          <w:pgSz w:w="12240" w:h="15840"/>
          <w:pgMar w:footer="657" w:header="0" w:top="1360" w:bottom="840" w:left="1600" w:right="1600"/>
          <w:pgNumType w:start="31"/>
        </w:sectPr>
      </w:pPr>
    </w:p>
    <w:p>
      <w:pPr>
        <w:pStyle w:val="Heading1"/>
        <w:spacing w:before="15"/>
        <w:ind w:left="7" w:right="26"/>
        <w:jc w:val="center"/>
        <w:rPr>
          <w:sz w:val="50"/>
        </w:rPr>
      </w:pPr>
      <w:bookmarkStart w:name="_TOC_250035" w:id="7"/>
      <w:r>
        <w:rPr/>
        <w:t>CAPÍTULO </w:t>
      </w:r>
      <w:bookmarkEnd w:id="7"/>
      <w:r>
        <w:rPr>
          <w:sz w:val="50"/>
        </w:rPr>
        <w:t>3</w:t>
      </w:r>
    </w:p>
    <w:p>
      <w:pPr>
        <w:pStyle w:val="Heading1"/>
        <w:spacing w:before="200"/>
        <w:ind w:left="10" w:right="26"/>
        <w:jc w:val="center"/>
      </w:pPr>
      <w:bookmarkStart w:name="_TOC_250034" w:id="8"/>
      <w:bookmarkEnd w:id="8"/>
      <w:r>
        <w:rPr/>
        <w:t>MARCO TEÓRICO</w:t>
      </w:r>
    </w:p>
    <w:p>
      <w:pPr>
        <w:pStyle w:val="BodyText"/>
        <w:rPr>
          <w:b/>
        </w:rPr>
      </w:pPr>
    </w:p>
    <w:p>
      <w:pPr>
        <w:pStyle w:val="BodyText"/>
        <w:rPr>
          <w:b/>
        </w:rPr>
      </w:pPr>
    </w:p>
    <w:p>
      <w:pPr>
        <w:pStyle w:val="BodyText"/>
        <w:spacing w:before="5"/>
        <w:rPr>
          <w:b/>
          <w:sz w:val="34"/>
        </w:rPr>
      </w:pPr>
    </w:p>
    <w:p>
      <w:pPr>
        <w:pStyle w:val="BodyText"/>
        <w:spacing w:line="360" w:lineRule="auto"/>
        <w:ind w:left="102" w:right="115"/>
        <w:jc w:val="both"/>
      </w:pPr>
      <w:r>
        <w:rPr/>
        <w:t>El marco teórico expuesto en este trabajo se compone de tres elementos; competitividad, viabilidad económica y financiera y la cadena agroalimentaria. La primera parte aborda la teoría de competitividad, ventajas comparativas y competitivas, la segunda el análisis de riesgo e incertidumbre en análisis prospectivos y la tercera la teoría de cadena agroalimentaria y las diferencias existentes con otras formas de asociación.</w:t>
      </w:r>
    </w:p>
    <w:p>
      <w:pPr>
        <w:pStyle w:val="BodyText"/>
      </w:pPr>
    </w:p>
    <w:p>
      <w:pPr>
        <w:pStyle w:val="BodyText"/>
        <w:spacing w:before="7"/>
        <w:rPr>
          <w:sz w:val="35"/>
        </w:rPr>
      </w:pPr>
    </w:p>
    <w:p>
      <w:pPr>
        <w:pStyle w:val="Heading1"/>
        <w:numPr>
          <w:ilvl w:val="1"/>
          <w:numId w:val="13"/>
        </w:numPr>
        <w:tabs>
          <w:tab w:pos="462" w:val="left" w:leader="none"/>
        </w:tabs>
        <w:spacing w:line="240" w:lineRule="auto" w:before="0" w:after="0"/>
        <w:ind w:left="462" w:right="0" w:hanging="360"/>
        <w:jc w:val="both"/>
      </w:pPr>
      <w:bookmarkStart w:name="_TOC_250033" w:id="9"/>
      <w:bookmarkEnd w:id="9"/>
      <w:r>
        <w:rPr/>
        <w:t>Competitividad</w:t>
      </w:r>
    </w:p>
    <w:p>
      <w:pPr>
        <w:pStyle w:val="BodyText"/>
        <w:rPr>
          <w:b/>
        </w:rPr>
      </w:pPr>
    </w:p>
    <w:p>
      <w:pPr>
        <w:pStyle w:val="BodyText"/>
        <w:spacing w:before="6"/>
        <w:rPr>
          <w:b/>
          <w:sz w:val="23"/>
        </w:rPr>
      </w:pPr>
    </w:p>
    <w:p>
      <w:pPr>
        <w:pStyle w:val="BodyText"/>
        <w:spacing w:line="360" w:lineRule="auto"/>
        <w:ind w:left="102" w:right="114"/>
        <w:jc w:val="both"/>
      </w:pPr>
      <w:r>
        <w:rPr/>
        <w:t>La presente investigación se basa en algunas teorías del comercio internacional y teorías de rentabilidad.</w:t>
      </w:r>
      <w:r>
        <w:rPr>
          <w:spacing w:val="-6"/>
        </w:rPr>
        <w:t> </w:t>
      </w:r>
      <w:r>
        <w:rPr/>
        <w:t>Estas</w:t>
      </w:r>
      <w:r>
        <w:rPr>
          <w:spacing w:val="-7"/>
        </w:rPr>
        <w:t> </w:t>
      </w:r>
      <w:r>
        <w:rPr/>
        <w:t>teorías</w:t>
      </w:r>
      <w:r>
        <w:rPr>
          <w:spacing w:val="-5"/>
        </w:rPr>
        <w:t> </w:t>
      </w:r>
      <w:r>
        <w:rPr/>
        <w:t>nos</w:t>
      </w:r>
      <w:r>
        <w:rPr>
          <w:spacing w:val="-6"/>
        </w:rPr>
        <w:t> </w:t>
      </w:r>
      <w:r>
        <w:rPr/>
        <w:t>ayudaran</w:t>
      </w:r>
      <w:r>
        <w:rPr>
          <w:spacing w:val="-4"/>
        </w:rPr>
        <w:t> </w:t>
      </w:r>
      <w:r>
        <w:rPr/>
        <w:t>a</w:t>
      </w:r>
      <w:r>
        <w:rPr>
          <w:spacing w:val="-7"/>
        </w:rPr>
        <w:t> </w:t>
      </w:r>
      <w:r>
        <w:rPr/>
        <w:t>entender</w:t>
      </w:r>
      <w:r>
        <w:rPr>
          <w:spacing w:val="-7"/>
        </w:rPr>
        <w:t> </w:t>
      </w:r>
      <w:r>
        <w:rPr/>
        <w:t>los</w:t>
      </w:r>
      <w:r>
        <w:rPr>
          <w:spacing w:val="-6"/>
        </w:rPr>
        <w:t> </w:t>
      </w:r>
      <w:r>
        <w:rPr/>
        <w:t>conceptos</w:t>
      </w:r>
      <w:r>
        <w:rPr>
          <w:spacing w:val="-5"/>
        </w:rPr>
        <w:t> </w:t>
      </w:r>
      <w:r>
        <w:rPr/>
        <w:t>que</w:t>
      </w:r>
      <w:r>
        <w:rPr>
          <w:spacing w:val="-5"/>
        </w:rPr>
        <w:t> </w:t>
      </w:r>
      <w:r>
        <w:rPr/>
        <w:t>se</w:t>
      </w:r>
      <w:r>
        <w:rPr>
          <w:spacing w:val="-7"/>
        </w:rPr>
        <w:t> </w:t>
      </w:r>
      <w:r>
        <w:rPr/>
        <w:t>pretenden</w:t>
      </w:r>
      <w:r>
        <w:rPr>
          <w:spacing w:val="-6"/>
        </w:rPr>
        <w:t> </w:t>
      </w:r>
      <w:r>
        <w:rPr/>
        <w:t>estudiar y permitirán constituir elementos claros para establecer si el sistema lechero de pequeña tiene ventaja</w:t>
      </w:r>
      <w:r>
        <w:rPr>
          <w:spacing w:val="-5"/>
        </w:rPr>
        <w:t> </w:t>
      </w:r>
      <w:r>
        <w:rPr/>
        <w:t>comparativa.</w:t>
      </w:r>
    </w:p>
    <w:p>
      <w:pPr>
        <w:pStyle w:val="BodyText"/>
      </w:pPr>
    </w:p>
    <w:p>
      <w:pPr>
        <w:pStyle w:val="BodyText"/>
        <w:spacing w:line="360" w:lineRule="auto" w:before="143"/>
        <w:ind w:left="102" w:right="114"/>
        <w:jc w:val="both"/>
      </w:pPr>
      <w:r>
        <w:rPr/>
        <w:t>En</w:t>
      </w:r>
      <w:r>
        <w:rPr>
          <w:spacing w:val="-7"/>
        </w:rPr>
        <w:t> </w:t>
      </w:r>
      <w:r>
        <w:rPr/>
        <w:t>la</w:t>
      </w:r>
      <w:r>
        <w:rPr>
          <w:spacing w:val="-7"/>
        </w:rPr>
        <w:t> </w:t>
      </w:r>
      <w:r>
        <w:rPr/>
        <w:t>literatura</w:t>
      </w:r>
      <w:r>
        <w:rPr>
          <w:spacing w:val="-7"/>
        </w:rPr>
        <w:t> </w:t>
      </w:r>
      <w:r>
        <w:rPr/>
        <w:t>económica</w:t>
      </w:r>
      <w:r>
        <w:rPr>
          <w:spacing w:val="-7"/>
        </w:rPr>
        <w:t> </w:t>
      </w:r>
      <w:r>
        <w:rPr/>
        <w:t>hay</w:t>
      </w:r>
      <w:r>
        <w:rPr>
          <w:spacing w:val="-11"/>
        </w:rPr>
        <w:t> </w:t>
      </w:r>
      <w:r>
        <w:rPr/>
        <w:t>un</w:t>
      </w:r>
      <w:r>
        <w:rPr>
          <w:spacing w:val="-5"/>
        </w:rPr>
        <w:t> </w:t>
      </w:r>
      <w:r>
        <w:rPr/>
        <w:t>debate</w:t>
      </w:r>
      <w:r>
        <w:rPr>
          <w:spacing w:val="-7"/>
        </w:rPr>
        <w:t> </w:t>
      </w:r>
      <w:r>
        <w:rPr/>
        <w:t>respecto</w:t>
      </w:r>
      <w:r>
        <w:rPr>
          <w:spacing w:val="-3"/>
        </w:rPr>
        <w:t> </w:t>
      </w:r>
      <w:r>
        <w:rPr/>
        <w:t>a</w:t>
      </w:r>
      <w:r>
        <w:rPr>
          <w:spacing w:val="-7"/>
        </w:rPr>
        <w:t> </w:t>
      </w:r>
      <w:r>
        <w:rPr/>
        <w:t>la</w:t>
      </w:r>
      <w:r>
        <w:rPr>
          <w:spacing w:val="-7"/>
        </w:rPr>
        <w:t> </w:t>
      </w:r>
      <w:r>
        <w:rPr/>
        <w:t>explicación</w:t>
      </w:r>
      <w:r>
        <w:rPr>
          <w:spacing w:val="-6"/>
        </w:rPr>
        <w:t> </w:t>
      </w:r>
      <w:r>
        <w:rPr/>
        <w:t>teórica</w:t>
      </w:r>
      <w:r>
        <w:rPr>
          <w:spacing w:val="-8"/>
        </w:rPr>
        <w:t> </w:t>
      </w:r>
      <w:r>
        <w:rPr/>
        <w:t>de</w:t>
      </w:r>
      <w:r>
        <w:rPr>
          <w:spacing w:val="-5"/>
        </w:rPr>
        <w:t> </w:t>
      </w:r>
      <w:r>
        <w:rPr/>
        <w:t>competitividad, a nivel macro y microeconómico el concepto de competitividad difiere claramente en términos de sus objetivos y los resultados deseados en cada tipo de análisis (Philip,</w:t>
      </w:r>
      <w:r>
        <w:rPr>
          <w:spacing w:val="-11"/>
        </w:rPr>
        <w:t> </w:t>
      </w:r>
      <w:r>
        <w:rPr/>
        <w:t>2009).</w:t>
      </w:r>
    </w:p>
    <w:p>
      <w:pPr>
        <w:pStyle w:val="BodyText"/>
      </w:pPr>
    </w:p>
    <w:p>
      <w:pPr>
        <w:pStyle w:val="BodyText"/>
        <w:spacing w:line="360" w:lineRule="auto" w:before="143"/>
        <w:ind w:left="102" w:right="114"/>
        <w:jc w:val="both"/>
      </w:pPr>
      <w:r>
        <w:rPr/>
        <w:t>De acuerdo con la Organización Para la Cooperación y Desarrollo Económico (1992), la competitividad</w:t>
      </w:r>
      <w:r>
        <w:rPr>
          <w:spacing w:val="-11"/>
        </w:rPr>
        <w:t> </w:t>
      </w:r>
      <w:r>
        <w:rPr/>
        <w:t>de</w:t>
      </w:r>
      <w:r>
        <w:rPr>
          <w:spacing w:val="-12"/>
        </w:rPr>
        <w:t> </w:t>
      </w:r>
      <w:r>
        <w:rPr/>
        <w:t>una</w:t>
      </w:r>
      <w:r>
        <w:rPr>
          <w:spacing w:val="-12"/>
        </w:rPr>
        <w:t> </w:t>
      </w:r>
      <w:r>
        <w:rPr/>
        <w:t>nación</w:t>
      </w:r>
      <w:r>
        <w:rPr>
          <w:spacing w:val="-11"/>
        </w:rPr>
        <w:t> </w:t>
      </w:r>
      <w:r>
        <w:rPr/>
        <w:t>es</w:t>
      </w:r>
      <w:r>
        <w:rPr>
          <w:spacing w:val="-11"/>
        </w:rPr>
        <w:t> </w:t>
      </w:r>
      <w:r>
        <w:rPr/>
        <w:t>el</w:t>
      </w:r>
      <w:r>
        <w:rPr>
          <w:spacing w:val="-8"/>
        </w:rPr>
        <w:t> </w:t>
      </w:r>
      <w:r>
        <w:rPr/>
        <w:t>grado</w:t>
      </w:r>
      <w:r>
        <w:rPr>
          <w:spacing w:val="-11"/>
        </w:rPr>
        <w:t> </w:t>
      </w:r>
      <w:r>
        <w:rPr/>
        <w:t>en</w:t>
      </w:r>
      <w:r>
        <w:rPr>
          <w:spacing w:val="-11"/>
        </w:rPr>
        <w:t> </w:t>
      </w:r>
      <w:r>
        <w:rPr/>
        <w:t>que</w:t>
      </w:r>
      <w:r>
        <w:rPr>
          <w:spacing w:val="-12"/>
        </w:rPr>
        <w:t> </w:t>
      </w:r>
      <w:r>
        <w:rPr/>
        <w:t>un</w:t>
      </w:r>
      <w:r>
        <w:rPr>
          <w:spacing w:val="-9"/>
        </w:rPr>
        <w:t> </w:t>
      </w:r>
      <w:r>
        <w:rPr/>
        <w:t>país,</w:t>
      </w:r>
      <w:r>
        <w:rPr>
          <w:spacing w:val="-10"/>
        </w:rPr>
        <w:t> </w:t>
      </w:r>
      <w:r>
        <w:rPr/>
        <w:t>puede,</w:t>
      </w:r>
      <w:r>
        <w:rPr>
          <w:spacing w:val="-11"/>
        </w:rPr>
        <w:t> </w:t>
      </w:r>
      <w:r>
        <w:rPr/>
        <w:t>bajo</w:t>
      </w:r>
      <w:r>
        <w:rPr>
          <w:spacing w:val="-11"/>
        </w:rPr>
        <w:t> </w:t>
      </w:r>
      <w:r>
        <w:rPr/>
        <w:t>condiciones</w:t>
      </w:r>
      <w:r>
        <w:rPr>
          <w:spacing w:val="-11"/>
        </w:rPr>
        <w:t> </w:t>
      </w:r>
      <w:r>
        <w:rPr/>
        <w:t>de</w:t>
      </w:r>
      <w:r>
        <w:rPr>
          <w:spacing w:val="-12"/>
        </w:rPr>
        <w:t> </w:t>
      </w:r>
      <w:r>
        <w:rPr/>
        <w:t>mercado abierto, producir bienes y servicios que superen la prueba de los mercados internacionales, al mismo tiempo que mantiene y hace crecer la renta real de su población a largo</w:t>
      </w:r>
      <w:r>
        <w:rPr>
          <w:spacing w:val="-11"/>
        </w:rPr>
        <w:t> </w:t>
      </w:r>
      <w:r>
        <w:rPr/>
        <w:t>plazo.</w:t>
      </w:r>
    </w:p>
    <w:p>
      <w:pPr>
        <w:pStyle w:val="BodyText"/>
      </w:pPr>
    </w:p>
    <w:p>
      <w:pPr>
        <w:pStyle w:val="BodyText"/>
        <w:spacing w:line="360" w:lineRule="auto" w:before="143"/>
        <w:ind w:left="102" w:right="121"/>
        <w:jc w:val="both"/>
      </w:pPr>
      <w:r>
        <w:rPr/>
        <w:t>El Foro Económico Mundial define competitividad como la capacidad de un país, o de una empresa</w:t>
      </w:r>
      <w:r>
        <w:rPr>
          <w:spacing w:val="-17"/>
        </w:rPr>
        <w:t> </w:t>
      </w:r>
      <w:r>
        <w:rPr/>
        <w:t>para,</w:t>
      </w:r>
      <w:r>
        <w:rPr>
          <w:spacing w:val="-16"/>
        </w:rPr>
        <w:t> </w:t>
      </w:r>
      <w:r>
        <w:rPr/>
        <w:t>proporcionalmente,</w:t>
      </w:r>
      <w:r>
        <w:rPr>
          <w:spacing w:val="-14"/>
        </w:rPr>
        <w:t> </w:t>
      </w:r>
      <w:r>
        <w:rPr/>
        <w:t>generar</w:t>
      </w:r>
      <w:r>
        <w:rPr>
          <w:spacing w:val="-17"/>
        </w:rPr>
        <w:t> </w:t>
      </w:r>
      <w:r>
        <w:rPr/>
        <w:t>más</w:t>
      </w:r>
      <w:r>
        <w:rPr>
          <w:spacing w:val="-16"/>
        </w:rPr>
        <w:t> </w:t>
      </w:r>
      <w:r>
        <w:rPr/>
        <w:t>riqueza</w:t>
      </w:r>
      <w:r>
        <w:rPr>
          <w:spacing w:val="-17"/>
        </w:rPr>
        <w:t> </w:t>
      </w:r>
      <w:r>
        <w:rPr/>
        <w:t>que</w:t>
      </w:r>
      <w:r>
        <w:rPr>
          <w:spacing w:val="-17"/>
        </w:rPr>
        <w:t> </w:t>
      </w:r>
      <w:r>
        <w:rPr/>
        <w:t>sus</w:t>
      </w:r>
      <w:r>
        <w:rPr>
          <w:spacing w:val="-13"/>
        </w:rPr>
        <w:t> </w:t>
      </w:r>
      <w:r>
        <w:rPr/>
        <w:t>competidores</w:t>
      </w:r>
      <w:r>
        <w:rPr>
          <w:spacing w:val="-13"/>
        </w:rPr>
        <w:t> </w:t>
      </w:r>
      <w:r>
        <w:rPr/>
        <w:t>en</w:t>
      </w:r>
      <w:r>
        <w:rPr>
          <w:spacing w:val="-16"/>
        </w:rPr>
        <w:t> </w:t>
      </w:r>
      <w:r>
        <w:rPr/>
        <w:t>los</w:t>
      </w:r>
      <w:r>
        <w:rPr>
          <w:spacing w:val="-15"/>
        </w:rPr>
        <w:t> </w:t>
      </w:r>
      <w:r>
        <w:rPr/>
        <w:t>mercados mundiales.</w:t>
      </w:r>
    </w:p>
    <w:p>
      <w:pPr>
        <w:spacing w:after="0" w:line="360" w:lineRule="auto"/>
        <w:jc w:val="both"/>
        <w:sectPr>
          <w:pgSz w:w="12240" w:h="15840"/>
          <w:pgMar w:header="0" w:footer="657" w:top="1400" w:bottom="840" w:left="1600" w:right="1580"/>
        </w:sectPr>
      </w:pPr>
    </w:p>
    <w:p>
      <w:pPr>
        <w:pStyle w:val="BodyText"/>
        <w:spacing w:line="360" w:lineRule="auto" w:before="50"/>
        <w:ind w:left="122" w:right="124"/>
        <w:jc w:val="both"/>
      </w:pPr>
      <w:r>
        <w:rPr/>
        <w:t>Porter (1993) define competitividad como la producción de bienes y servicios de mayor calidad</w:t>
      </w:r>
      <w:r>
        <w:rPr>
          <w:spacing w:val="1"/>
        </w:rPr>
        <w:t> </w:t>
      </w:r>
      <w:r>
        <w:rPr/>
        <w:t>y</w:t>
      </w:r>
      <w:r>
        <w:rPr>
          <w:spacing w:val="-9"/>
        </w:rPr>
        <w:t> </w:t>
      </w:r>
      <w:r>
        <w:rPr/>
        <w:t>menor</w:t>
      </w:r>
      <w:r>
        <w:rPr>
          <w:spacing w:val="-5"/>
        </w:rPr>
        <w:t> </w:t>
      </w:r>
      <w:r>
        <w:rPr/>
        <w:t>precio</w:t>
      </w:r>
      <w:r>
        <w:rPr>
          <w:spacing w:val="-3"/>
        </w:rPr>
        <w:t> </w:t>
      </w:r>
      <w:r>
        <w:rPr/>
        <w:t>que</w:t>
      </w:r>
      <w:r>
        <w:rPr>
          <w:spacing w:val="-5"/>
        </w:rPr>
        <w:t> </w:t>
      </w:r>
      <w:r>
        <w:rPr/>
        <w:t>los</w:t>
      </w:r>
      <w:r>
        <w:rPr>
          <w:spacing w:val="-3"/>
        </w:rPr>
        <w:t> </w:t>
      </w:r>
      <w:r>
        <w:rPr/>
        <w:t>competidores</w:t>
      </w:r>
      <w:r>
        <w:rPr>
          <w:spacing w:val="-4"/>
        </w:rPr>
        <w:t> </w:t>
      </w:r>
      <w:r>
        <w:rPr/>
        <w:t>domésticos</w:t>
      </w:r>
      <w:r>
        <w:rPr>
          <w:spacing w:val="-4"/>
        </w:rPr>
        <w:t> </w:t>
      </w:r>
      <w:r>
        <w:rPr/>
        <w:t>e</w:t>
      </w:r>
      <w:r>
        <w:rPr>
          <w:spacing w:val="-5"/>
        </w:rPr>
        <w:t> </w:t>
      </w:r>
      <w:r>
        <w:rPr/>
        <w:t>internacionales,</w:t>
      </w:r>
      <w:r>
        <w:rPr>
          <w:spacing w:val="-1"/>
        </w:rPr>
        <w:t> </w:t>
      </w:r>
      <w:r>
        <w:rPr/>
        <w:t>lo</w:t>
      </w:r>
      <w:r>
        <w:rPr>
          <w:spacing w:val="-3"/>
        </w:rPr>
        <w:t> </w:t>
      </w:r>
      <w:r>
        <w:rPr/>
        <w:t>que</w:t>
      </w:r>
      <w:r>
        <w:rPr>
          <w:spacing w:val="-5"/>
        </w:rPr>
        <w:t> </w:t>
      </w:r>
      <w:r>
        <w:rPr/>
        <w:t>se</w:t>
      </w:r>
      <w:r>
        <w:rPr>
          <w:spacing w:val="-5"/>
        </w:rPr>
        <w:t> </w:t>
      </w:r>
      <w:r>
        <w:rPr/>
        <w:t>traduce en</w:t>
      </w:r>
      <w:r>
        <w:rPr>
          <w:spacing w:val="-9"/>
        </w:rPr>
        <w:t> </w:t>
      </w:r>
      <w:r>
        <w:rPr/>
        <w:t>crecietes</w:t>
      </w:r>
      <w:r>
        <w:rPr>
          <w:spacing w:val="-6"/>
        </w:rPr>
        <w:t> </w:t>
      </w:r>
      <w:r>
        <w:rPr/>
        <w:t>beneficios</w:t>
      </w:r>
      <w:r>
        <w:rPr>
          <w:spacing w:val="-8"/>
        </w:rPr>
        <w:t> </w:t>
      </w:r>
      <w:r>
        <w:rPr/>
        <w:t>para</w:t>
      </w:r>
      <w:r>
        <w:rPr>
          <w:spacing w:val="-10"/>
        </w:rPr>
        <w:t> </w:t>
      </w:r>
      <w:r>
        <w:rPr/>
        <w:t>los</w:t>
      </w:r>
      <w:r>
        <w:rPr>
          <w:spacing w:val="-8"/>
        </w:rPr>
        <w:t> </w:t>
      </w:r>
      <w:r>
        <w:rPr/>
        <w:t>habitantes</w:t>
      </w:r>
      <w:r>
        <w:rPr>
          <w:spacing w:val="-7"/>
        </w:rPr>
        <w:t> </w:t>
      </w:r>
      <w:r>
        <w:rPr/>
        <w:t>de</w:t>
      </w:r>
      <w:r>
        <w:rPr>
          <w:spacing w:val="-10"/>
        </w:rPr>
        <w:t> </w:t>
      </w:r>
      <w:r>
        <w:rPr/>
        <w:t>una</w:t>
      </w:r>
      <w:r>
        <w:rPr>
          <w:spacing w:val="-10"/>
        </w:rPr>
        <w:t> </w:t>
      </w:r>
      <w:r>
        <w:rPr/>
        <w:t>nación</w:t>
      </w:r>
      <w:r>
        <w:rPr>
          <w:spacing w:val="-8"/>
        </w:rPr>
        <w:t> </w:t>
      </w:r>
      <w:r>
        <w:rPr/>
        <w:t>al</w:t>
      </w:r>
      <w:r>
        <w:rPr>
          <w:spacing w:val="-8"/>
        </w:rPr>
        <w:t> </w:t>
      </w:r>
      <w:r>
        <w:rPr/>
        <w:t>mantener</w:t>
      </w:r>
      <w:r>
        <w:rPr>
          <w:spacing w:val="-2"/>
        </w:rPr>
        <w:t> </w:t>
      </w:r>
      <w:r>
        <w:rPr/>
        <w:t>y</w:t>
      </w:r>
      <w:r>
        <w:rPr>
          <w:spacing w:val="-13"/>
        </w:rPr>
        <w:t> </w:t>
      </w:r>
      <w:r>
        <w:rPr/>
        <w:t>aumentar</w:t>
      </w:r>
      <w:r>
        <w:rPr>
          <w:spacing w:val="-10"/>
        </w:rPr>
        <w:t> </w:t>
      </w:r>
      <w:r>
        <w:rPr/>
        <w:t>los</w:t>
      </w:r>
      <w:r>
        <w:rPr>
          <w:spacing w:val="-8"/>
        </w:rPr>
        <w:t> </w:t>
      </w:r>
      <w:r>
        <w:rPr/>
        <w:t>ingresos reales.</w:t>
      </w:r>
    </w:p>
    <w:p>
      <w:pPr>
        <w:pStyle w:val="BodyText"/>
      </w:pPr>
    </w:p>
    <w:p>
      <w:pPr>
        <w:pStyle w:val="BodyText"/>
        <w:spacing w:line="360" w:lineRule="auto" w:before="143"/>
        <w:ind w:left="122" w:right="121"/>
        <w:jc w:val="both"/>
      </w:pPr>
      <w:r>
        <w:rPr/>
        <w:t>La Comisión Económica para América Latina y el Caribe señala que la competitividad es el proceso de expansión de la oferta exportable y penetración de mercados externos, con el consecuente mejoramiento en el nivel de vida de la población (Villareal, 2003).</w:t>
      </w:r>
    </w:p>
    <w:p>
      <w:pPr>
        <w:pStyle w:val="BodyText"/>
      </w:pPr>
    </w:p>
    <w:p>
      <w:pPr>
        <w:pStyle w:val="BodyText"/>
        <w:spacing w:line="360" w:lineRule="auto" w:before="143"/>
        <w:ind w:left="122" w:right="118"/>
        <w:jc w:val="both"/>
      </w:pPr>
      <w:r>
        <w:rPr/>
        <w:t>Altenburg et al. (1998). Clasifican la definición de competitividad en cuatro niveles jerárquicos (Figura 11).</w:t>
      </w:r>
    </w:p>
    <w:p>
      <w:pPr>
        <w:pStyle w:val="BodyText"/>
        <w:rPr>
          <w:sz w:val="20"/>
        </w:rPr>
      </w:pPr>
    </w:p>
    <w:p>
      <w:pPr>
        <w:pStyle w:val="BodyText"/>
        <w:spacing w:before="5"/>
        <w:rPr>
          <w:sz w:val="13"/>
        </w:rPr>
      </w:pPr>
      <w:r>
        <w:rPr/>
        <w:pict>
          <v:group style="position:absolute;margin-left:85.669998pt;margin-top:9.680753pt;width:440.1pt;height:322.25pt;mso-position-horizontal-relative:page;mso-position-vertical-relative:paragraph;z-index:2560;mso-wrap-distance-left:0;mso-wrap-distance-right:0" coordorigin="1713,194" coordsize="8802,6445">
            <v:rect style="position:absolute;left:1718;top:199;width:8791;height:6434" filled="false" stroked="true" strokeweight=".48pt" strokecolor="#000000"/>
            <v:shape style="position:absolute;left:3084;top:5135;width:5774;height:689" type="#_x0000_t75" stroked="false">
              <v:imagedata r:id="rId76" o:title=""/>
            </v:shape>
            <v:shape style="position:absolute;left:3421;top:5192;width:5350;height:519" coordorigin="3421,5192" coordsize="5350,519" path="m3480,5710l3428,5651,3421,5611,3426,5592,3474,5535,3532,5498,3609,5462,3705,5428,3820,5395,3883,5380,3951,5364,4024,5349,4100,5335,4180,5321,4264,5308,4352,5295,4443,5283,4538,5272,4637,5261,4738,5251,4843,5242,4952,5233,5063,5225,5177,5218,5294,5211,5414,5206,5537,5201,5642,5198,5748,5195,5853,5193,5958,5192,6062,5192,6166,5192,6269,5193,6371,5194,6473,5196,6574,5199,6673,5202,6772,5206,6869,5210,6965,5215,7060,5220,7153,5227,7244,5233,7334,5240,7422,5248,7508,5256,7592,5265,7674,5274,7754,5284,7831,5294,7906,5305,7979,5316,8049,5327,8117,5339,8182,5352,8244,5365,8303,5378,8412,5406,8508,5435,8590,5465,8659,5497,8712,5531,8770,5612,8763,5653,8731,5694e" filled="false" stroked="true" strokeweight="2.04pt" strokecolor="#4f81bc">
              <v:path arrowok="t"/>
            </v:shape>
            <v:rect style="position:absolute;left:4858;top:5599;width:2182;height:482" filled="true" fillcolor="#ffffff" stroked="false">
              <v:fill type="solid"/>
            </v:rect>
            <v:rect style="position:absolute;left:5808;top:6026;width:2546;height:482" filled="true" fillcolor="#ffffff" stroked="false">
              <v:fill type="solid"/>
            </v:rect>
            <v:shape style="position:absolute;left:2834;top:3537;width:6259;height:809" type="#_x0000_t75" stroked="false">
              <v:imagedata r:id="rId77" o:title=""/>
            </v:shape>
            <v:shape style="position:absolute;left:3167;top:3593;width:5839;height:640" coordorigin="3167,3593" coordsize="5839,640" path="m3215,4233l3195,4210,3181,4188,3171,4165,3167,4143,3167,4121,3197,4055,3241,4013,3302,3971,3381,3931,3476,3892,3588,3855,3649,3837,3714,3819,3783,3802,3856,3786,3931,3769,4011,3754,4093,3739,4179,3725,4268,3711,4361,3698,4456,3686,4554,3674,4655,3663,4759,3652,4865,3643,4974,3634,5086,3626,5200,3619,5316,3613,5435,3607,5556,3602,5664,3599,5772,3597,5879,3595,5986,3594,6092,3593,6198,3594,6303,3595,6408,3597,6511,3599,6614,3602,6715,3606,6816,3610,6915,3615,7013,3621,7110,3628,7205,3635,7298,3642,7391,3650,7481,3659,7570,3668,7657,3678,7741,3689,7824,3700,7905,3711,7984,3723,8060,3736,8134,3749,8206,3762,8275,3776,8342,3791,8406,3806,8467,3821,8525,3837,8633,3870,8729,3904,8812,3940,8881,3978,8936,4016,8991,4081,9006,4126,9000,4171,8974,4215e" filled="false" stroked="true" strokeweight="2.04pt" strokecolor="#4f81bc">
              <v:path arrowok="t"/>
            </v:shape>
            <v:shape style="position:absolute;left:2522;top:1799;width:6854;height:821" type="#_x0000_t75" stroked="false">
              <v:imagedata r:id="rId78" o:title=""/>
            </v:shape>
            <v:shape style="position:absolute;left:2895;top:1856;width:6394;height:650" coordorigin="2895,1856" coordsize="6394,650" path="m2959,2506l2906,2443,2895,2401,2897,2381,2928,2320,2999,2261,3067,2223,3152,2185,3252,2149,3366,2115,3429,2098,3496,2082,3566,2066,3639,2050,3715,2035,3795,2021,3878,2007,3965,1993,4054,1980,4146,1968,4241,1956,4339,1945,4440,1934,4543,1924,4649,1914,4758,1905,4869,1897,4983,1890,5099,1883,5217,1877,5337,1871,5460,1867,5566,1863,5671,1861,5777,1858,5882,1857,5987,1856,6091,1856,6195,1856,6298,1857,6401,1858,6503,1860,6604,1863,6704,1866,6804,1869,6902,1873,7000,1878,7096,1883,7191,1889,7285,1895,7378,1902,7469,1909,7559,1916,7647,1924,7734,1933,7819,1942,7902,1951,7984,1961,8064,1971,8142,1982,8218,1993,8292,2005,8364,2016,8434,2029,8501,2041,8566,2054,8629,2068,8690,2082,8803,2110,8906,2140,8998,2172,9079,2204,9147,2238,9203,2273,9270,2339,9289,2388,9281,2437,9247,2486e" filled="false" stroked="true" strokeweight="2.04pt" strokecolor="#4f81bc">
              <v:path arrowok="t"/>
            </v:shape>
            <v:rect style="position:absolute;left:5640;top:3775;width:955;height:482" filled="true" fillcolor="#ffffff" stroked="false">
              <v:fill type="solid"/>
            </v:rect>
            <v:rect style="position:absolute;left:3278;top:4144;width:1697;height:485" filled="true" fillcolor="#ffffff" stroked="false">
              <v:fill type="solid"/>
            </v:rect>
            <v:rect style="position:absolute;left:7411;top:4264;width:1956;height:485" filled="true" fillcolor="#ffffff" stroked="false">
              <v:fill type="solid"/>
            </v:rect>
            <v:rect style="position:absolute;left:6725;top:4696;width:2455;height:482" filled="true" fillcolor="#ffffff" stroked="false">
              <v:fill type="solid"/>
            </v:rect>
            <v:shape style="position:absolute;left:2011;top:275;width:7877;height:838" type="#_x0000_t75" stroked="false">
              <v:imagedata r:id="rId79" o:title=""/>
            </v:shape>
            <v:shape style="position:absolute;left:2461;top:332;width:7339;height:665" coordorigin="2461,332" coordsize="7339,665" path="m2556,997l2507,959,2466,904,2461,867,2464,849,2500,795,2571,742,2638,708,2720,674,2816,642,2926,610,2986,595,3049,580,3116,565,3186,551,3259,536,3335,523,3415,509,3497,496,3582,484,3670,472,3761,460,3855,449,3951,438,4051,427,4152,417,4257,408,4364,399,4473,390,4585,382,4699,375,4815,368,4934,361,5054,356,5177,350,5302,346,5408,342,5514,340,5619,337,5725,335,5830,334,5935,333,6040,332,6144,332,6248,332,6351,333,6454,334,6556,335,6658,337,6759,340,6859,342,6959,346,7057,349,7155,353,7252,358,7348,362,7443,368,7536,373,7629,379,7720,385,7810,392,7899,399,7987,406,8073,414,8158,422,8241,430,8322,439,8402,448,8481,458,8557,467,8632,477,8705,488,8776,498,8845,509,8913,520,8978,532,9041,544,9102,556,9161,568,9272,594,9374,620,9466,648,9548,676,9619,706,9680,736,9772,807,9800,863,9788,919,9737,975e" filled="false" stroked="true" strokeweight="2.04pt" strokecolor="#4f81bc">
              <v:path arrowok="t"/>
            </v:shape>
            <v:rect style="position:absolute;left:5594;top:412;width:1042;height:485" filled="true" fillcolor="#ffffff" stroked="false">
              <v:fill type="solid"/>
            </v:rect>
            <v:rect style="position:absolute;left:5033;top:959;width:2182;height:826" filled="true" fillcolor="#ffffff" stroked="false">
              <v:fill type="solid"/>
            </v:rect>
            <v:rect style="position:absolute;left:7303;top:652;width:1956;height:482" filled="true" fillcolor="#ffffff" stroked="false">
              <v:fill type="solid"/>
            </v:rect>
            <v:rect style="position:absolute;left:7202;top:1139;width:2446;height:701" filled="true" fillcolor="#ffffff" stroked="false">
              <v:fill type="solid"/>
            </v:rect>
            <v:shape style="position:absolute;left:5744;top:522;width:532;height:240" type="#_x0000_t202" filled="false" stroked="false">
              <v:textbox inset="0,0,0,0">
                <w:txbxContent>
                  <w:p>
                    <w:pPr>
                      <w:spacing w:line="240" w:lineRule="exact" w:before="0"/>
                      <w:ind w:left="0" w:right="-17" w:firstLine="0"/>
                      <w:jc w:val="left"/>
                      <w:rPr>
                        <w:b/>
                        <w:sz w:val="24"/>
                      </w:rPr>
                    </w:pPr>
                    <w:r>
                      <w:rPr>
                        <w:b/>
                        <w:spacing w:val="-1"/>
                        <w:sz w:val="24"/>
                      </w:rPr>
                      <w:t>Meta</w:t>
                    </w:r>
                  </w:p>
                </w:txbxContent>
              </v:textbox>
              <w10:wrap type="none"/>
            </v:shape>
            <v:shape style="position:absolute;left:7453;top:752;width:1003;height:200" type="#_x0000_t202" filled="false" stroked="false">
              <v:textbox inset="0,0,0,0">
                <w:txbxContent>
                  <w:p>
                    <w:pPr>
                      <w:spacing w:line="199" w:lineRule="exact" w:before="0"/>
                      <w:ind w:left="0" w:right="-16" w:firstLine="0"/>
                      <w:jc w:val="left"/>
                      <w:rPr>
                        <w:sz w:val="20"/>
                      </w:rPr>
                    </w:pPr>
                    <w:r>
                      <w:rPr>
                        <w:sz w:val="20"/>
                      </w:rPr>
                      <w:t>Cultura</w:t>
                    </w:r>
                    <w:r>
                      <w:rPr>
                        <w:spacing w:val="-7"/>
                        <w:sz w:val="20"/>
                      </w:rPr>
                      <w:t> </w:t>
                    </w:r>
                    <w:r>
                      <w:rPr>
                        <w:sz w:val="20"/>
                      </w:rPr>
                      <w:t>civil</w:t>
                    </w:r>
                  </w:p>
                </w:txbxContent>
              </v:textbox>
              <w10:wrap type="none"/>
            </v:shape>
            <v:shape style="position:absolute;left:2727;top:1285;width:1269;height:200" type="#_x0000_t202" filled="false" stroked="false">
              <v:textbox inset="0,0,0,0">
                <w:txbxContent>
                  <w:p>
                    <w:pPr>
                      <w:spacing w:line="199" w:lineRule="exact" w:before="0"/>
                      <w:ind w:left="0" w:right="-17" w:firstLine="0"/>
                      <w:jc w:val="left"/>
                      <w:rPr>
                        <w:sz w:val="20"/>
                      </w:rPr>
                    </w:pPr>
                    <w:r>
                      <w:rPr>
                        <w:sz w:val="20"/>
                      </w:rPr>
                      <w:t>Cohesión</w:t>
                    </w:r>
                    <w:r>
                      <w:rPr>
                        <w:spacing w:val="-7"/>
                        <w:sz w:val="20"/>
                      </w:rPr>
                      <w:t> </w:t>
                    </w:r>
                    <w:r>
                      <w:rPr>
                        <w:sz w:val="20"/>
                      </w:rPr>
                      <w:t>social</w:t>
                    </w:r>
                  </w:p>
                </w:txbxContent>
              </v:textbox>
              <w10:wrap type="none"/>
            </v:shape>
            <v:shape style="position:absolute;left:5185;top:1057;width:1791;height:437" type="#_x0000_t202" filled="false" stroked="false">
              <v:textbox inset="0,0,0,0">
                <w:txbxContent>
                  <w:p>
                    <w:pPr>
                      <w:spacing w:line="204" w:lineRule="exact" w:before="0"/>
                      <w:ind w:left="0" w:right="-15" w:firstLine="0"/>
                      <w:jc w:val="left"/>
                      <w:rPr>
                        <w:sz w:val="20"/>
                      </w:rPr>
                    </w:pPr>
                    <w:r>
                      <w:rPr>
                        <w:sz w:val="20"/>
                      </w:rPr>
                      <w:t>Aptitudes y valores</w:t>
                    </w:r>
                    <w:r>
                      <w:rPr>
                        <w:spacing w:val="-9"/>
                        <w:sz w:val="20"/>
                      </w:rPr>
                      <w:t> </w:t>
                    </w:r>
                    <w:r>
                      <w:rPr>
                        <w:sz w:val="20"/>
                      </w:rPr>
                      <w:t>de</w:t>
                    </w:r>
                  </w:p>
                  <w:p>
                    <w:pPr>
                      <w:spacing w:line="226" w:lineRule="exact" w:before="7"/>
                      <w:ind w:left="0" w:right="-15" w:firstLine="0"/>
                      <w:jc w:val="left"/>
                      <w:rPr>
                        <w:sz w:val="20"/>
                      </w:rPr>
                    </w:pPr>
                    <w:r>
                      <w:rPr>
                        <w:sz w:val="20"/>
                      </w:rPr>
                      <w:t>aprendizaje</w:t>
                    </w:r>
                  </w:p>
                </w:txbxContent>
              </v:textbox>
              <w10:wrap type="none"/>
            </v:shape>
            <v:shape style="position:absolute;left:7353;top:1239;width:1929;height:464" type="#_x0000_t202" filled="false" stroked="false">
              <v:textbox inset="0,0,0,0">
                <w:txbxContent>
                  <w:p>
                    <w:pPr>
                      <w:spacing w:line="204" w:lineRule="exact" w:before="0"/>
                      <w:ind w:left="0" w:right="-16" w:firstLine="0"/>
                      <w:jc w:val="left"/>
                      <w:rPr>
                        <w:sz w:val="20"/>
                      </w:rPr>
                    </w:pPr>
                    <w:r>
                      <w:rPr>
                        <w:sz w:val="20"/>
                      </w:rPr>
                      <w:t>Habilidad para</w:t>
                    </w:r>
                    <w:r>
                      <w:rPr>
                        <w:spacing w:val="-8"/>
                        <w:sz w:val="20"/>
                      </w:rPr>
                      <w:t> </w:t>
                    </w:r>
                    <w:r>
                      <w:rPr>
                        <w:sz w:val="20"/>
                      </w:rPr>
                      <w:t>formular</w:t>
                    </w:r>
                  </w:p>
                  <w:p>
                    <w:pPr>
                      <w:spacing w:line="226" w:lineRule="exact" w:before="34"/>
                      <w:ind w:left="0" w:right="-16" w:firstLine="0"/>
                      <w:jc w:val="left"/>
                      <w:rPr>
                        <w:sz w:val="20"/>
                      </w:rPr>
                    </w:pPr>
                    <w:r>
                      <w:rPr>
                        <w:sz w:val="20"/>
                      </w:rPr>
                      <w:t>estrategias y políticas</w:t>
                    </w:r>
                  </w:p>
                </w:txbxContent>
              </v:textbox>
              <w10:wrap type="none"/>
            </v:shape>
            <v:shape style="position:absolute;left:5744;top:2150;width:677;height:240" type="#_x0000_t202" filled="false" stroked="false">
              <v:textbox inset="0,0,0,0">
                <w:txbxContent>
                  <w:p>
                    <w:pPr>
                      <w:spacing w:line="240" w:lineRule="exact" w:before="0"/>
                      <w:ind w:left="0" w:right="-18" w:firstLine="0"/>
                      <w:jc w:val="left"/>
                      <w:rPr>
                        <w:b/>
                        <w:sz w:val="24"/>
                      </w:rPr>
                    </w:pPr>
                    <w:r>
                      <w:rPr>
                        <w:b/>
                        <w:spacing w:val="-1"/>
                        <w:sz w:val="24"/>
                      </w:rPr>
                      <w:t>Macro</w:t>
                    </w:r>
                  </w:p>
                </w:txbxContent>
              </v:textbox>
              <w10:wrap type="none"/>
            </v:shape>
            <v:shape style="position:absolute;left:3588;top:2517;width:1458;height:200" type="#_x0000_t202" filled="false" stroked="false">
              <v:textbox inset="0,0,0,0">
                <w:txbxContent>
                  <w:p>
                    <w:pPr>
                      <w:spacing w:line="199" w:lineRule="exact" w:before="0"/>
                      <w:ind w:left="0" w:right="-16" w:firstLine="0"/>
                      <w:jc w:val="left"/>
                      <w:rPr>
                        <w:sz w:val="20"/>
                      </w:rPr>
                    </w:pPr>
                    <w:r>
                      <w:rPr>
                        <w:sz w:val="20"/>
                      </w:rPr>
                      <w:t>Política</w:t>
                    </w:r>
                    <w:r>
                      <w:rPr>
                        <w:spacing w:val="-7"/>
                        <w:sz w:val="20"/>
                      </w:rPr>
                      <w:t> </w:t>
                    </w:r>
                    <w:r>
                      <w:rPr>
                        <w:sz w:val="20"/>
                      </w:rPr>
                      <w:t>monetaria</w:t>
                    </w:r>
                  </w:p>
                </w:txbxContent>
              </v:textbox>
              <w10:wrap type="none"/>
            </v:shape>
            <v:shape style="position:absolute;left:7720;top:2641;width:1092;height:200" type="#_x0000_t202" filled="false" stroked="false">
              <v:textbox inset="0,0,0,0">
                <w:txbxContent>
                  <w:p>
                    <w:pPr>
                      <w:spacing w:line="199" w:lineRule="exact" w:before="0"/>
                      <w:ind w:left="0" w:right="-16" w:firstLine="0"/>
                      <w:jc w:val="left"/>
                      <w:rPr>
                        <w:sz w:val="20"/>
                      </w:rPr>
                    </w:pPr>
                    <w:r>
                      <w:rPr>
                        <w:sz w:val="20"/>
                      </w:rPr>
                      <w:t>Política</w:t>
                    </w:r>
                    <w:r>
                      <w:rPr>
                        <w:spacing w:val="-7"/>
                        <w:sz w:val="20"/>
                      </w:rPr>
                      <w:t> </w:t>
                    </w:r>
                    <w:r>
                      <w:rPr>
                        <w:sz w:val="20"/>
                      </w:rPr>
                      <w:t>fiscal</w:t>
                    </w:r>
                  </w:p>
                </w:txbxContent>
              </v:textbox>
              <w10:wrap type="none"/>
            </v:shape>
            <v:shape style="position:absolute;left:2902;top:2946;width:1906;height:200" type="#_x0000_t202" filled="false" stroked="false">
              <v:textbox inset="0,0,0,0">
                <w:txbxContent>
                  <w:p>
                    <w:pPr>
                      <w:spacing w:line="199" w:lineRule="exact" w:before="0"/>
                      <w:ind w:left="0" w:right="-16" w:firstLine="0"/>
                      <w:jc w:val="left"/>
                      <w:rPr>
                        <w:sz w:val="20"/>
                      </w:rPr>
                    </w:pPr>
                    <w:r>
                      <w:rPr>
                        <w:sz w:val="20"/>
                      </w:rPr>
                      <w:t>Política de</w:t>
                    </w:r>
                    <w:r>
                      <w:rPr>
                        <w:spacing w:val="-9"/>
                        <w:sz w:val="20"/>
                      </w:rPr>
                      <w:t> </w:t>
                    </w:r>
                    <w:r>
                      <w:rPr>
                        <w:sz w:val="20"/>
                      </w:rPr>
                      <w:t>competencia</w:t>
                    </w:r>
                  </w:p>
                </w:txbxContent>
              </v:textbox>
              <w10:wrap type="none"/>
            </v:shape>
            <v:shape style="position:absolute;left:5384;top:2718;width:3095;height:663" type="#_x0000_t202" filled="false" stroked="false">
              <v:textbox inset="0,0,0,0">
                <w:txbxContent>
                  <w:p>
                    <w:pPr>
                      <w:spacing w:line="204" w:lineRule="exact" w:before="0"/>
                      <w:ind w:left="0" w:right="0" w:firstLine="0"/>
                      <w:jc w:val="left"/>
                      <w:rPr>
                        <w:sz w:val="20"/>
                      </w:rPr>
                    </w:pPr>
                    <w:r>
                      <w:rPr>
                        <w:sz w:val="20"/>
                      </w:rPr>
                      <w:t>Marco económico</w:t>
                    </w:r>
                  </w:p>
                  <w:p>
                    <w:pPr>
                      <w:spacing w:line="176" w:lineRule="exact" w:before="0"/>
                      <w:ind w:left="0" w:right="0" w:firstLine="0"/>
                      <w:jc w:val="left"/>
                      <w:rPr>
                        <w:sz w:val="20"/>
                      </w:rPr>
                    </w:pPr>
                    <w:r>
                      <w:rPr>
                        <w:sz w:val="20"/>
                      </w:rPr>
                      <w:t>político y jurídico</w:t>
                    </w:r>
                  </w:p>
                  <w:p>
                    <w:pPr>
                      <w:tabs>
                        <w:tab w:pos="1649" w:val="left" w:leader="none"/>
                      </w:tabs>
                      <w:spacing w:line="282" w:lineRule="exact" w:before="0"/>
                      <w:ind w:left="0" w:right="0" w:firstLine="0"/>
                      <w:jc w:val="left"/>
                      <w:rPr>
                        <w:sz w:val="20"/>
                      </w:rPr>
                    </w:pPr>
                    <w:r>
                      <w:rPr>
                        <w:position w:val="-10"/>
                        <w:sz w:val="20"/>
                      </w:rPr>
                      <w:t>estable</w:t>
                    </w:r>
                    <w:r>
                      <w:rPr>
                        <w:spacing w:val="1"/>
                        <w:position w:val="-10"/>
                        <w:sz w:val="20"/>
                      </w:rPr>
                      <w:t> </w:t>
                    </w:r>
                    <w:r>
                      <w:rPr>
                        <w:position w:val="-10"/>
                        <w:sz w:val="20"/>
                      </w:rPr>
                      <w:t>y</w:t>
                    </w:r>
                    <w:r>
                      <w:rPr>
                        <w:spacing w:val="-5"/>
                        <w:position w:val="-10"/>
                        <w:sz w:val="20"/>
                      </w:rPr>
                      <w:t> </w:t>
                    </w:r>
                    <w:r>
                      <w:rPr>
                        <w:position w:val="-10"/>
                        <w:sz w:val="20"/>
                      </w:rPr>
                      <w:t>claro</w:t>
                      <w:tab/>
                    </w:r>
                    <w:r>
                      <w:rPr>
                        <w:sz w:val="20"/>
                      </w:rPr>
                      <w:t>Política</w:t>
                    </w:r>
                    <w:r>
                      <w:rPr>
                        <w:spacing w:val="-6"/>
                        <w:sz w:val="20"/>
                      </w:rPr>
                      <w:t> </w:t>
                    </w:r>
                    <w:r>
                      <w:rPr>
                        <w:sz w:val="20"/>
                      </w:rPr>
                      <w:t>comercial</w:t>
                    </w:r>
                  </w:p>
                </w:txbxContent>
              </v:textbox>
              <w10:wrap type="none"/>
            </v:shape>
            <v:shape style="position:absolute;left:5790;top:3883;width:545;height:240" type="#_x0000_t202" filled="false" stroked="false">
              <v:textbox inset="0,0,0,0">
                <w:txbxContent>
                  <w:p>
                    <w:pPr>
                      <w:spacing w:line="240" w:lineRule="exact" w:before="0"/>
                      <w:ind w:left="0" w:right="-18" w:firstLine="0"/>
                      <w:jc w:val="left"/>
                      <w:rPr>
                        <w:b/>
                        <w:sz w:val="24"/>
                      </w:rPr>
                    </w:pPr>
                    <w:r>
                      <w:rPr>
                        <w:b/>
                        <w:spacing w:val="-1"/>
                        <w:sz w:val="24"/>
                      </w:rPr>
                      <w:t>Meso</w:t>
                    </w:r>
                  </w:p>
                </w:txbxContent>
              </v:textbox>
              <w10:wrap type="none"/>
            </v:shape>
            <v:shape style="position:absolute;left:3428;top:4245;width:1175;height:200" type="#_x0000_t202" filled="false" stroked="false">
              <v:textbox inset="0,0,0,0">
                <w:txbxContent>
                  <w:p>
                    <w:pPr>
                      <w:spacing w:line="199" w:lineRule="exact" w:before="0"/>
                      <w:ind w:left="0" w:right="0" w:firstLine="0"/>
                      <w:jc w:val="left"/>
                      <w:rPr>
                        <w:sz w:val="20"/>
                      </w:rPr>
                    </w:pPr>
                    <w:r>
                      <w:rPr>
                        <w:w w:val="95"/>
                        <w:sz w:val="20"/>
                      </w:rPr>
                      <w:t>Infraestructura</w:t>
                    </w:r>
                  </w:p>
                </w:txbxContent>
              </v:textbox>
              <w10:wrap type="none"/>
            </v:shape>
            <v:shape style="position:absolute;left:5125;top:4461;width:1581;height:200" type="#_x0000_t202" filled="false" stroked="false">
              <v:textbox inset="0,0,0,0">
                <w:txbxContent>
                  <w:p>
                    <w:pPr>
                      <w:spacing w:line="199" w:lineRule="exact" w:before="0"/>
                      <w:ind w:left="0" w:right="-14" w:firstLine="0"/>
                      <w:jc w:val="left"/>
                      <w:rPr>
                        <w:sz w:val="20"/>
                      </w:rPr>
                    </w:pPr>
                    <w:r>
                      <w:rPr>
                        <w:sz w:val="20"/>
                      </w:rPr>
                      <w:t>Políticas</w:t>
                    </w:r>
                    <w:r>
                      <w:rPr>
                        <w:spacing w:val="-8"/>
                        <w:sz w:val="20"/>
                      </w:rPr>
                      <w:t> </w:t>
                    </w:r>
                    <w:r>
                      <w:rPr>
                        <w:sz w:val="20"/>
                      </w:rPr>
                      <w:t>sectoriales</w:t>
                    </w:r>
                  </w:p>
                </w:txbxContent>
              </v:textbox>
              <w10:wrap type="none"/>
            </v:shape>
            <v:shape style="position:absolute;left:7561;top:4365;width:1149;height:200" type="#_x0000_t202" filled="false" stroked="false">
              <v:textbox inset="0,0,0,0">
                <w:txbxContent>
                  <w:p>
                    <w:pPr>
                      <w:spacing w:line="199" w:lineRule="exact" w:before="0"/>
                      <w:ind w:left="0" w:right="-17" w:firstLine="0"/>
                      <w:jc w:val="left"/>
                      <w:rPr>
                        <w:sz w:val="20"/>
                      </w:rPr>
                    </w:pPr>
                    <w:r>
                      <w:rPr>
                        <w:sz w:val="20"/>
                      </w:rPr>
                      <w:t>Fuerza</w:t>
                    </w:r>
                    <w:r>
                      <w:rPr>
                        <w:spacing w:val="-4"/>
                        <w:sz w:val="20"/>
                      </w:rPr>
                      <w:t> </w:t>
                    </w:r>
                    <w:r>
                      <w:rPr>
                        <w:sz w:val="20"/>
                      </w:rPr>
                      <w:t>laboral</w:t>
                    </w:r>
                  </w:p>
                </w:txbxContent>
              </v:textbox>
              <w10:wrap type="none"/>
            </v:shape>
            <v:shape style="position:absolute;left:3644;top:4729;width:843;height:200" type="#_x0000_t202" filled="false" stroked="false">
              <v:textbox inset="0,0,0,0">
                <w:txbxContent>
                  <w:p>
                    <w:pPr>
                      <w:spacing w:line="199" w:lineRule="exact" w:before="0"/>
                      <w:ind w:left="0" w:right="0" w:firstLine="0"/>
                      <w:jc w:val="left"/>
                      <w:rPr>
                        <w:sz w:val="20"/>
                      </w:rPr>
                    </w:pPr>
                    <w:r>
                      <w:rPr>
                        <w:w w:val="95"/>
                        <w:sz w:val="20"/>
                      </w:rPr>
                      <w:t>Educación</w:t>
                    </w:r>
                  </w:p>
                </w:txbxContent>
              </v:textbox>
              <w10:wrap type="none"/>
            </v:shape>
            <v:shape style="position:absolute;left:6875;top:4797;width:900;height:200" type="#_x0000_t202" filled="false" stroked="false">
              <v:textbox inset="0,0,0,0">
                <w:txbxContent>
                  <w:p>
                    <w:pPr>
                      <w:spacing w:line="199" w:lineRule="exact" w:before="0"/>
                      <w:ind w:left="0" w:right="0" w:firstLine="0"/>
                      <w:jc w:val="left"/>
                      <w:rPr>
                        <w:sz w:val="20"/>
                      </w:rPr>
                    </w:pPr>
                    <w:r>
                      <w:rPr>
                        <w:w w:val="95"/>
                        <w:sz w:val="20"/>
                      </w:rPr>
                      <w:t>Tecnología</w:t>
                    </w:r>
                  </w:p>
                </w:txbxContent>
              </v:textbox>
              <w10:wrap type="none"/>
            </v:shape>
            <v:shape style="position:absolute;left:5007;top:5381;width:1588;height:518" type="#_x0000_t202" filled="false" stroked="false">
              <v:textbox inset="0,0,0,0">
                <w:txbxContent>
                  <w:p>
                    <w:pPr>
                      <w:spacing w:line="245" w:lineRule="exact" w:before="0"/>
                      <w:ind w:left="0" w:right="-15" w:firstLine="632"/>
                      <w:jc w:val="left"/>
                      <w:rPr>
                        <w:b/>
                        <w:sz w:val="24"/>
                      </w:rPr>
                    </w:pPr>
                    <w:r>
                      <w:rPr>
                        <w:b/>
                        <w:sz w:val="24"/>
                        <w:shd w:fill="FFFFFF" w:color="auto" w:val="clear"/>
                      </w:rPr>
                      <w:t>  Micro </w:t>
                    </w:r>
                  </w:p>
                  <w:p>
                    <w:pPr>
                      <w:spacing w:line="226" w:lineRule="exact" w:before="47"/>
                      <w:ind w:left="0" w:right="-15" w:firstLine="0"/>
                      <w:jc w:val="left"/>
                      <w:rPr>
                        <w:sz w:val="20"/>
                      </w:rPr>
                    </w:pPr>
                    <w:r>
                      <w:rPr>
                        <w:sz w:val="20"/>
                      </w:rPr>
                      <w:t>Eficiencia colectiva</w:t>
                    </w:r>
                  </w:p>
                </w:txbxContent>
              </v:textbox>
              <w10:wrap type="none"/>
            </v:shape>
            <v:shape style="position:absolute;left:3783;top:6189;width:898;height:200" type="#_x0000_t202" filled="false" stroked="false">
              <v:textbox inset="0,0,0,0">
                <w:txbxContent>
                  <w:p>
                    <w:pPr>
                      <w:spacing w:line="199" w:lineRule="exact" w:before="0"/>
                      <w:ind w:left="0" w:right="0" w:firstLine="0"/>
                      <w:jc w:val="left"/>
                      <w:rPr>
                        <w:sz w:val="20"/>
                      </w:rPr>
                    </w:pPr>
                    <w:r>
                      <w:rPr>
                        <w:w w:val="95"/>
                        <w:sz w:val="20"/>
                      </w:rPr>
                      <w:t>Innovación</w:t>
                    </w:r>
                  </w:p>
                </w:txbxContent>
              </v:textbox>
              <w10:wrap type="none"/>
            </v:shape>
            <v:shape style="position:absolute;left:5958;top:6127;width:1840;height:200" type="#_x0000_t202" filled="false" stroked="false">
              <v:textbox inset="0,0,0,0">
                <w:txbxContent>
                  <w:p>
                    <w:pPr>
                      <w:spacing w:line="199" w:lineRule="exact" w:before="0"/>
                      <w:ind w:left="0" w:right="-14" w:firstLine="0"/>
                      <w:jc w:val="left"/>
                      <w:rPr>
                        <w:sz w:val="20"/>
                      </w:rPr>
                    </w:pPr>
                    <w:r>
                      <w:rPr>
                        <w:sz w:val="20"/>
                      </w:rPr>
                      <w:t>Eficiencia de</w:t>
                    </w:r>
                    <w:r>
                      <w:rPr>
                        <w:spacing w:val="-10"/>
                        <w:sz w:val="20"/>
                      </w:rPr>
                      <w:t> </w:t>
                    </w:r>
                    <w:r>
                      <w:rPr>
                        <w:sz w:val="20"/>
                      </w:rPr>
                      <w:t>empresas</w:t>
                    </w:r>
                  </w:p>
                </w:txbxContent>
              </v:textbox>
              <w10:wrap type="none"/>
            </v:shape>
            <w10:wrap type="topAndBottom"/>
          </v:group>
        </w:pict>
      </w:r>
    </w:p>
    <w:p>
      <w:pPr>
        <w:spacing w:before="146"/>
        <w:ind w:left="0" w:right="119" w:firstLine="0"/>
        <w:jc w:val="right"/>
        <w:rPr>
          <w:sz w:val="20"/>
        </w:rPr>
      </w:pPr>
      <w:r>
        <w:rPr>
          <w:sz w:val="20"/>
        </w:rPr>
        <w:t>Fuente: Altenburg et al., 1998</w:t>
      </w:r>
    </w:p>
    <w:p>
      <w:pPr>
        <w:pStyle w:val="BodyText"/>
        <w:rPr>
          <w:sz w:val="20"/>
        </w:rPr>
      </w:pPr>
    </w:p>
    <w:p>
      <w:pPr>
        <w:pStyle w:val="BodyText"/>
        <w:spacing w:before="11"/>
        <w:rPr>
          <w:sz w:val="19"/>
        </w:rPr>
      </w:pPr>
    </w:p>
    <w:p>
      <w:pPr>
        <w:spacing w:before="0"/>
        <w:ind w:left="122" w:right="0" w:firstLine="0"/>
        <w:jc w:val="both"/>
        <w:rPr>
          <w:sz w:val="24"/>
        </w:rPr>
      </w:pPr>
      <w:r>
        <w:rPr/>
        <w:pict>
          <v:line style="position:absolute;mso-position-horizontal-relative:page;mso-position-vertical-relative:paragraph;z-index:-461200" from="85.139999pt,.247122pt" to="526.789999pt,.247122pt" stroked="true" strokeweight="2.04pt" strokecolor="#000000">
            <w10:wrap type="none"/>
          </v:line>
        </w:pict>
      </w:r>
      <w:r>
        <w:rPr>
          <w:b/>
          <w:sz w:val="24"/>
        </w:rPr>
        <w:t>Figura 11. </w:t>
      </w:r>
      <w:r>
        <w:rPr>
          <w:sz w:val="24"/>
        </w:rPr>
        <w:t>Competitividad sistémica.</w:t>
      </w:r>
    </w:p>
    <w:p>
      <w:pPr>
        <w:spacing w:after="0"/>
        <w:jc w:val="both"/>
        <w:rPr>
          <w:sz w:val="24"/>
        </w:rPr>
        <w:sectPr>
          <w:pgSz w:w="12240" w:h="15840"/>
          <w:pgMar w:header="0" w:footer="657" w:top="1360" w:bottom="840" w:left="1580" w:right="1580"/>
        </w:sectPr>
      </w:pPr>
    </w:p>
    <w:p>
      <w:pPr>
        <w:pStyle w:val="BodyText"/>
        <w:spacing w:line="360" w:lineRule="auto" w:before="50"/>
        <w:ind w:left="102" w:right="115"/>
        <w:jc w:val="both"/>
      </w:pPr>
      <w:r>
        <w:rPr/>
        <w:t>En</w:t>
      </w:r>
      <w:r>
        <w:rPr>
          <w:spacing w:val="-9"/>
        </w:rPr>
        <w:t> </w:t>
      </w:r>
      <w:r>
        <w:rPr/>
        <w:t>la</w:t>
      </w:r>
      <w:r>
        <w:rPr>
          <w:spacing w:val="-9"/>
        </w:rPr>
        <w:t> </w:t>
      </w:r>
      <w:r>
        <w:rPr/>
        <w:t>Figura</w:t>
      </w:r>
      <w:r>
        <w:rPr>
          <w:spacing w:val="-10"/>
        </w:rPr>
        <w:t> </w:t>
      </w:r>
      <w:r>
        <w:rPr/>
        <w:t>11,</w:t>
      </w:r>
      <w:r>
        <w:rPr>
          <w:spacing w:val="-9"/>
        </w:rPr>
        <w:t> </w:t>
      </w:r>
      <w:r>
        <w:rPr/>
        <w:t>se</w:t>
      </w:r>
      <w:r>
        <w:rPr>
          <w:spacing w:val="-7"/>
        </w:rPr>
        <w:t> </w:t>
      </w:r>
      <w:r>
        <w:rPr/>
        <w:t>aprecian</w:t>
      </w:r>
      <w:r>
        <w:rPr>
          <w:spacing w:val="-9"/>
        </w:rPr>
        <w:t> </w:t>
      </w:r>
      <w:r>
        <w:rPr/>
        <w:t>niveles</w:t>
      </w:r>
      <w:r>
        <w:rPr>
          <w:spacing w:val="-8"/>
        </w:rPr>
        <w:t> </w:t>
      </w:r>
      <w:r>
        <w:rPr/>
        <w:t>de</w:t>
      </w:r>
      <w:r>
        <w:rPr>
          <w:spacing w:val="-10"/>
        </w:rPr>
        <w:t> </w:t>
      </w:r>
      <w:r>
        <w:rPr/>
        <w:t>análisis</w:t>
      </w:r>
      <w:r>
        <w:rPr>
          <w:spacing w:val="-6"/>
        </w:rPr>
        <w:t> </w:t>
      </w:r>
      <w:r>
        <w:rPr/>
        <w:t>micro</w:t>
      </w:r>
      <w:r>
        <w:rPr>
          <w:spacing w:val="-9"/>
        </w:rPr>
        <w:t> </w:t>
      </w:r>
      <w:r>
        <w:rPr/>
        <w:t>(la</w:t>
      </w:r>
      <w:r>
        <w:rPr>
          <w:spacing w:val="-10"/>
        </w:rPr>
        <w:t> </w:t>
      </w:r>
      <w:r>
        <w:rPr/>
        <w:t>empresa</w:t>
      </w:r>
      <w:r>
        <w:rPr>
          <w:spacing w:val="-9"/>
        </w:rPr>
        <w:t> </w:t>
      </w:r>
      <w:r>
        <w:rPr/>
        <w:t>o</w:t>
      </w:r>
      <w:r>
        <w:rPr>
          <w:spacing w:val="-9"/>
        </w:rPr>
        <w:t> </w:t>
      </w:r>
      <w:r>
        <w:rPr/>
        <w:t>firma),</w:t>
      </w:r>
      <w:r>
        <w:rPr>
          <w:spacing w:val="-7"/>
        </w:rPr>
        <w:t> </w:t>
      </w:r>
      <w:r>
        <w:rPr/>
        <w:t>meso</w:t>
      </w:r>
      <w:r>
        <w:rPr>
          <w:spacing w:val="-9"/>
        </w:rPr>
        <w:t> </w:t>
      </w:r>
      <w:r>
        <w:rPr/>
        <w:t>(la</w:t>
      </w:r>
      <w:r>
        <w:rPr>
          <w:spacing w:val="-10"/>
        </w:rPr>
        <w:t> </w:t>
      </w:r>
      <w:r>
        <w:rPr/>
        <w:t>industria y la región) y macro (el país). De acuerdo con Abdel y Romo (2004) la competitividad de la empresa se ve afectada por las condiciones que imperan a nivel de la industria y región. Al mismo tiempo, la competitividad de empresas, industrias y regiones se ve afectada por las condiciones prevalecientes a nivel</w:t>
      </w:r>
      <w:r>
        <w:rPr>
          <w:spacing w:val="-6"/>
        </w:rPr>
        <w:t> </w:t>
      </w:r>
      <w:r>
        <w:rPr/>
        <w:t>nacional.</w:t>
      </w:r>
    </w:p>
    <w:p>
      <w:pPr>
        <w:pStyle w:val="BodyText"/>
      </w:pPr>
    </w:p>
    <w:p>
      <w:pPr>
        <w:pStyle w:val="Heading2"/>
        <w:numPr>
          <w:ilvl w:val="2"/>
          <w:numId w:val="13"/>
        </w:numPr>
        <w:tabs>
          <w:tab w:pos="642" w:val="left" w:leader="none"/>
        </w:tabs>
        <w:spacing w:line="240" w:lineRule="auto" w:before="148" w:after="0"/>
        <w:ind w:left="642" w:right="0" w:hanging="540"/>
        <w:jc w:val="both"/>
        <w:rPr>
          <w:i/>
        </w:rPr>
      </w:pPr>
      <w:bookmarkStart w:name="_TOC_250032" w:id="10"/>
      <w:r>
        <w:rPr>
          <w:i/>
        </w:rPr>
        <w:t>El nivel de la</w:t>
      </w:r>
      <w:r>
        <w:rPr>
          <w:i/>
          <w:spacing w:val="-5"/>
        </w:rPr>
        <w:t> </w:t>
      </w:r>
      <w:bookmarkEnd w:id="10"/>
      <w:r>
        <w:rPr>
          <w:i/>
        </w:rPr>
        <w:t>empresa</w:t>
      </w:r>
    </w:p>
    <w:p>
      <w:pPr>
        <w:pStyle w:val="BodyText"/>
        <w:rPr>
          <w:b/>
          <w:i/>
        </w:rPr>
      </w:pPr>
    </w:p>
    <w:p>
      <w:pPr>
        <w:pStyle w:val="BodyText"/>
        <w:spacing w:before="6"/>
        <w:rPr>
          <w:b/>
          <w:i/>
          <w:sz w:val="23"/>
        </w:rPr>
      </w:pPr>
    </w:p>
    <w:p>
      <w:pPr>
        <w:pStyle w:val="BodyText"/>
        <w:spacing w:line="360" w:lineRule="auto"/>
        <w:ind w:left="102" w:right="114"/>
        <w:jc w:val="both"/>
      </w:pPr>
      <w:r>
        <w:rPr/>
        <w:t>El significado de competitividad de la empresa es bastante claro y directo. Éste deriva de la ventaja competitiva que tiene una empresa a través </w:t>
      </w:r>
      <w:r>
        <w:rPr>
          <w:spacing w:val="3"/>
        </w:rPr>
        <w:t>de </w:t>
      </w:r>
      <w:r>
        <w:rPr/>
        <w:t>sus métodos de producción y organización</w:t>
      </w:r>
      <w:r>
        <w:rPr>
          <w:spacing w:val="-7"/>
        </w:rPr>
        <w:t> </w:t>
      </w:r>
      <w:r>
        <w:rPr/>
        <w:t>(reflejados</w:t>
      </w:r>
      <w:r>
        <w:rPr>
          <w:spacing w:val="-8"/>
        </w:rPr>
        <w:t> </w:t>
      </w:r>
      <w:r>
        <w:rPr/>
        <w:t>en</w:t>
      </w:r>
      <w:r>
        <w:rPr>
          <w:spacing w:val="-7"/>
        </w:rPr>
        <w:t> </w:t>
      </w:r>
      <w:r>
        <w:rPr/>
        <w:t>el</w:t>
      </w:r>
      <w:r>
        <w:rPr>
          <w:spacing w:val="-7"/>
        </w:rPr>
        <w:t> </w:t>
      </w:r>
      <w:r>
        <w:rPr/>
        <w:t>precio</w:t>
      </w:r>
      <w:r>
        <w:rPr>
          <w:spacing w:val="-4"/>
        </w:rPr>
        <w:t> </w:t>
      </w:r>
      <w:r>
        <w:rPr/>
        <w:t>y</w:t>
      </w:r>
      <w:r>
        <w:rPr>
          <w:spacing w:val="-12"/>
        </w:rPr>
        <w:t> </w:t>
      </w:r>
      <w:r>
        <w:rPr/>
        <w:t>en</w:t>
      </w:r>
      <w:r>
        <w:rPr>
          <w:spacing w:val="-7"/>
        </w:rPr>
        <w:t> </w:t>
      </w:r>
      <w:r>
        <w:rPr/>
        <w:t>la</w:t>
      </w:r>
      <w:r>
        <w:rPr>
          <w:spacing w:val="-8"/>
        </w:rPr>
        <w:t> </w:t>
      </w:r>
      <w:r>
        <w:rPr/>
        <w:t>calidad</w:t>
      </w:r>
      <w:r>
        <w:rPr>
          <w:spacing w:val="-7"/>
        </w:rPr>
        <w:t> </w:t>
      </w:r>
      <w:r>
        <w:rPr/>
        <w:t>del</w:t>
      </w:r>
      <w:r>
        <w:rPr>
          <w:spacing w:val="-7"/>
        </w:rPr>
        <w:t> </w:t>
      </w:r>
      <w:r>
        <w:rPr/>
        <w:t>producto</w:t>
      </w:r>
      <w:r>
        <w:rPr>
          <w:spacing w:val="-7"/>
        </w:rPr>
        <w:t> </w:t>
      </w:r>
      <w:r>
        <w:rPr/>
        <w:t>final)</w:t>
      </w:r>
      <w:r>
        <w:rPr>
          <w:spacing w:val="-8"/>
        </w:rPr>
        <w:t> </w:t>
      </w:r>
      <w:r>
        <w:rPr/>
        <w:t>con</w:t>
      </w:r>
      <w:r>
        <w:rPr>
          <w:spacing w:val="-7"/>
        </w:rPr>
        <w:t> </w:t>
      </w:r>
      <w:r>
        <w:rPr/>
        <w:t>relación</w:t>
      </w:r>
      <w:r>
        <w:rPr>
          <w:spacing w:val="-7"/>
        </w:rPr>
        <w:t> </w:t>
      </w:r>
      <w:r>
        <w:rPr/>
        <w:t>al</w:t>
      </w:r>
      <w:r>
        <w:rPr>
          <w:spacing w:val="-7"/>
        </w:rPr>
        <w:t> </w:t>
      </w:r>
      <w:r>
        <w:rPr/>
        <w:t>de</w:t>
      </w:r>
      <w:r>
        <w:rPr>
          <w:spacing w:val="-8"/>
        </w:rPr>
        <w:t> </w:t>
      </w:r>
      <w:r>
        <w:rPr/>
        <w:t>sus rivales en un mercado</w:t>
      </w:r>
      <w:r>
        <w:rPr>
          <w:spacing w:val="-6"/>
        </w:rPr>
        <w:t> </w:t>
      </w:r>
      <w:r>
        <w:rPr/>
        <w:t>específico.</w:t>
      </w:r>
    </w:p>
    <w:p>
      <w:pPr>
        <w:pStyle w:val="BodyText"/>
      </w:pPr>
    </w:p>
    <w:p>
      <w:pPr>
        <w:pStyle w:val="BodyText"/>
        <w:spacing w:line="360" w:lineRule="auto" w:before="143"/>
        <w:ind w:left="102" w:right="114"/>
        <w:jc w:val="both"/>
      </w:pPr>
      <w:r>
        <w:rPr/>
        <w:t>En la Figura 11, se observa la empresa rodeada de otras variables. Esto implica que la competitividad</w:t>
      </w:r>
      <w:r>
        <w:rPr>
          <w:spacing w:val="-4"/>
        </w:rPr>
        <w:t> </w:t>
      </w:r>
      <w:r>
        <w:rPr/>
        <w:t>de</w:t>
      </w:r>
      <w:r>
        <w:rPr>
          <w:spacing w:val="-5"/>
        </w:rPr>
        <w:t> </w:t>
      </w:r>
      <w:r>
        <w:rPr/>
        <w:t>una</w:t>
      </w:r>
      <w:r>
        <w:rPr>
          <w:spacing w:val="-5"/>
        </w:rPr>
        <w:t> </w:t>
      </w:r>
      <w:r>
        <w:rPr/>
        <w:t>empresa</w:t>
      </w:r>
      <w:r>
        <w:rPr>
          <w:spacing w:val="-5"/>
        </w:rPr>
        <w:t> </w:t>
      </w:r>
      <w:r>
        <w:rPr/>
        <w:t>no</w:t>
      </w:r>
      <w:r>
        <w:rPr>
          <w:spacing w:val="-4"/>
        </w:rPr>
        <w:t> </w:t>
      </w:r>
      <w:r>
        <w:rPr/>
        <w:t>solo</w:t>
      </w:r>
      <w:r>
        <w:rPr>
          <w:spacing w:val="-3"/>
        </w:rPr>
        <w:t> </w:t>
      </w:r>
      <w:r>
        <w:rPr/>
        <w:t>depende</w:t>
      </w:r>
      <w:r>
        <w:rPr>
          <w:spacing w:val="-2"/>
        </w:rPr>
        <w:t> </w:t>
      </w:r>
      <w:r>
        <w:rPr/>
        <w:t>de</w:t>
      </w:r>
      <w:r>
        <w:rPr>
          <w:spacing w:val="-5"/>
        </w:rPr>
        <w:t> </w:t>
      </w:r>
      <w:r>
        <w:rPr/>
        <w:t>variables</w:t>
      </w:r>
      <w:r>
        <w:rPr>
          <w:spacing w:val="-4"/>
        </w:rPr>
        <w:t> </w:t>
      </w:r>
      <w:r>
        <w:rPr/>
        <w:t>internas</w:t>
      </w:r>
      <w:r>
        <w:rPr>
          <w:spacing w:val="-4"/>
        </w:rPr>
        <w:t> </w:t>
      </w:r>
      <w:r>
        <w:rPr/>
        <w:t>(costos</w:t>
      </w:r>
      <w:r>
        <w:rPr>
          <w:spacing w:val="-3"/>
        </w:rPr>
        <w:t> </w:t>
      </w:r>
      <w:r>
        <w:rPr/>
        <w:t>de</w:t>
      </w:r>
      <w:r>
        <w:rPr>
          <w:spacing w:val="-5"/>
        </w:rPr>
        <w:t> </w:t>
      </w:r>
      <w:r>
        <w:rPr/>
        <w:t>producción, precio de insumos, comercialización y aprovechamiento de recursos) sino también de variables externas que tienen un impacto en la competitividad de la misma, como; concentración</w:t>
      </w:r>
      <w:r>
        <w:rPr>
          <w:spacing w:val="-12"/>
        </w:rPr>
        <w:t> </w:t>
      </w:r>
      <w:r>
        <w:rPr/>
        <w:t>de</w:t>
      </w:r>
      <w:r>
        <w:rPr>
          <w:spacing w:val="-11"/>
        </w:rPr>
        <w:t> </w:t>
      </w:r>
      <w:r>
        <w:rPr/>
        <w:t>mercado,</w:t>
      </w:r>
      <w:r>
        <w:rPr>
          <w:spacing w:val="-11"/>
        </w:rPr>
        <w:t> </w:t>
      </w:r>
      <w:r>
        <w:rPr/>
        <w:t>diferenciación</w:t>
      </w:r>
      <w:r>
        <w:rPr>
          <w:spacing w:val="-12"/>
        </w:rPr>
        <w:t> </w:t>
      </w:r>
      <w:r>
        <w:rPr/>
        <w:t>de</w:t>
      </w:r>
      <w:r>
        <w:rPr>
          <w:spacing w:val="-13"/>
        </w:rPr>
        <w:t> </w:t>
      </w:r>
      <w:r>
        <w:rPr/>
        <w:t>productos,</w:t>
      </w:r>
      <w:r>
        <w:rPr>
          <w:spacing w:val="-10"/>
        </w:rPr>
        <w:t> </w:t>
      </w:r>
      <w:r>
        <w:rPr/>
        <w:t>precios</w:t>
      </w:r>
      <w:r>
        <w:rPr>
          <w:spacing w:val="-11"/>
        </w:rPr>
        <w:t> </w:t>
      </w:r>
      <w:r>
        <w:rPr/>
        <w:t>internacionales</w:t>
      </w:r>
      <w:r>
        <w:rPr>
          <w:spacing w:val="-12"/>
        </w:rPr>
        <w:t> </w:t>
      </w:r>
      <w:r>
        <w:rPr/>
        <w:t>de</w:t>
      </w:r>
      <w:r>
        <w:rPr>
          <w:spacing w:val="-13"/>
        </w:rPr>
        <w:t> </w:t>
      </w:r>
      <w:r>
        <w:rPr/>
        <w:t>los</w:t>
      </w:r>
      <w:r>
        <w:rPr>
          <w:spacing w:val="-11"/>
        </w:rPr>
        <w:t> </w:t>
      </w:r>
      <w:r>
        <w:rPr/>
        <w:t>bienes producidos, así como la existencia de una política industrial</w:t>
      </w:r>
      <w:r>
        <w:rPr>
          <w:spacing w:val="-13"/>
        </w:rPr>
        <w:t> </w:t>
      </w:r>
      <w:r>
        <w:rPr/>
        <w:t>explícita.</w:t>
      </w:r>
    </w:p>
    <w:p>
      <w:pPr>
        <w:pStyle w:val="BodyText"/>
      </w:pPr>
    </w:p>
    <w:p>
      <w:pPr>
        <w:pStyle w:val="Heading2"/>
        <w:numPr>
          <w:ilvl w:val="2"/>
          <w:numId w:val="13"/>
        </w:numPr>
        <w:tabs>
          <w:tab w:pos="642" w:val="left" w:leader="none"/>
        </w:tabs>
        <w:spacing w:line="240" w:lineRule="auto" w:before="148" w:after="0"/>
        <w:ind w:left="642" w:right="0" w:hanging="540"/>
        <w:jc w:val="both"/>
        <w:rPr>
          <w:i/>
        </w:rPr>
      </w:pPr>
      <w:bookmarkStart w:name="_TOC_250031" w:id="11"/>
      <w:r>
        <w:rPr>
          <w:i/>
        </w:rPr>
        <w:t>El nivel de la</w:t>
      </w:r>
      <w:r>
        <w:rPr>
          <w:i/>
          <w:spacing w:val="-3"/>
        </w:rPr>
        <w:t> </w:t>
      </w:r>
      <w:bookmarkEnd w:id="11"/>
      <w:r>
        <w:rPr>
          <w:i/>
        </w:rPr>
        <w:t>industria</w:t>
      </w:r>
    </w:p>
    <w:p>
      <w:pPr>
        <w:pStyle w:val="BodyText"/>
        <w:rPr>
          <w:b/>
          <w:i/>
        </w:rPr>
      </w:pPr>
    </w:p>
    <w:p>
      <w:pPr>
        <w:pStyle w:val="BodyText"/>
        <w:spacing w:before="6"/>
        <w:rPr>
          <w:b/>
          <w:i/>
          <w:sz w:val="23"/>
        </w:rPr>
      </w:pPr>
    </w:p>
    <w:p>
      <w:pPr>
        <w:pStyle w:val="BodyText"/>
        <w:spacing w:line="360" w:lineRule="auto"/>
        <w:ind w:left="102" w:right="120"/>
        <w:jc w:val="both"/>
      </w:pPr>
      <w:r>
        <w:rPr/>
        <w:t>La competitividad de una industria deriva de una productividad superior, </w:t>
      </w:r>
      <w:r>
        <w:rPr>
          <w:spacing w:val="-3"/>
        </w:rPr>
        <w:t>ya </w:t>
      </w:r>
      <w:r>
        <w:rPr/>
        <w:t>sea</w:t>
      </w:r>
      <w:r>
        <w:rPr>
          <w:spacing w:val="-30"/>
        </w:rPr>
        <w:t> </w:t>
      </w:r>
      <w:r>
        <w:rPr/>
        <w:t>enfrentando costos menores a los de sus rivales internacionales en la misma actividad, o mediante la capacidad de ofrecer productos con un valor más</w:t>
      </w:r>
      <w:r>
        <w:rPr>
          <w:spacing w:val="-13"/>
        </w:rPr>
        <w:t> </w:t>
      </w:r>
      <w:r>
        <w:rPr/>
        <w:t>elevado.</w:t>
      </w:r>
    </w:p>
    <w:p>
      <w:pPr>
        <w:pStyle w:val="BodyText"/>
      </w:pPr>
    </w:p>
    <w:p>
      <w:pPr>
        <w:pStyle w:val="BodyText"/>
        <w:spacing w:line="360" w:lineRule="auto" w:before="143"/>
        <w:ind w:left="102" w:right="117"/>
        <w:jc w:val="both"/>
      </w:pPr>
      <w:r>
        <w:rPr/>
        <w:t>La competitividad industrial es diferenciada ya que no todas las industrias son iguales, por lo que distintas características jugarán diversos papeles para determinar su competitividad, entre estos podemos citar: la naturaleza de los bienes producidos (intermedios, bienes perecederos o no duraderos, y bienes duraderos); concentración del mercado y barreras de entrada (para determinar la naturaleza y el vigor de las fuerzas competitivas); intensidad  de</w:t>
      </w:r>
    </w:p>
    <w:p>
      <w:pPr>
        <w:spacing w:after="0" w:line="360" w:lineRule="auto"/>
        <w:jc w:val="both"/>
        <w:sectPr>
          <w:pgSz w:w="12240" w:h="15840"/>
          <w:pgMar w:header="0" w:footer="657" w:top="1360" w:bottom="840" w:left="1600" w:right="1580"/>
        </w:sectPr>
      </w:pPr>
    </w:p>
    <w:p>
      <w:pPr>
        <w:pStyle w:val="BodyText"/>
        <w:spacing w:line="360" w:lineRule="auto" w:before="50"/>
        <w:ind w:left="102" w:right="115"/>
        <w:jc w:val="both"/>
      </w:pPr>
      <w:r>
        <w:rPr/>
        <w:t>capital</w:t>
      </w:r>
      <w:r>
        <w:rPr>
          <w:spacing w:val="-8"/>
        </w:rPr>
        <w:t> </w:t>
      </w:r>
      <w:r>
        <w:rPr/>
        <w:t>y</w:t>
      </w:r>
      <w:r>
        <w:rPr>
          <w:spacing w:val="-18"/>
        </w:rPr>
        <w:t> </w:t>
      </w:r>
      <w:r>
        <w:rPr/>
        <w:t>complejidad</w:t>
      </w:r>
      <w:r>
        <w:rPr>
          <w:spacing w:val="-13"/>
        </w:rPr>
        <w:t> </w:t>
      </w:r>
      <w:r>
        <w:rPr/>
        <w:t>técnica;</w:t>
      </w:r>
      <w:r>
        <w:rPr>
          <w:spacing w:val="-13"/>
        </w:rPr>
        <w:t> </w:t>
      </w:r>
      <w:r>
        <w:rPr/>
        <w:t>madurez</w:t>
      </w:r>
      <w:r>
        <w:rPr>
          <w:spacing w:val="-12"/>
        </w:rPr>
        <w:t> </w:t>
      </w:r>
      <w:r>
        <w:rPr/>
        <w:t>de</w:t>
      </w:r>
      <w:r>
        <w:rPr>
          <w:spacing w:val="-14"/>
        </w:rPr>
        <w:t> </w:t>
      </w:r>
      <w:r>
        <w:rPr/>
        <w:t>la</w:t>
      </w:r>
      <w:r>
        <w:rPr>
          <w:spacing w:val="-14"/>
        </w:rPr>
        <w:t> </w:t>
      </w:r>
      <w:r>
        <w:rPr/>
        <w:t>tecnología</w:t>
      </w:r>
      <w:r>
        <w:rPr>
          <w:spacing w:val="-14"/>
        </w:rPr>
        <w:t> </w:t>
      </w:r>
      <w:r>
        <w:rPr/>
        <w:t>utilizada</w:t>
      </w:r>
      <w:r>
        <w:rPr>
          <w:spacing w:val="-14"/>
        </w:rPr>
        <w:t> </w:t>
      </w:r>
      <w:r>
        <w:rPr/>
        <w:t>(con</w:t>
      </w:r>
      <w:r>
        <w:rPr>
          <w:spacing w:val="-11"/>
        </w:rPr>
        <w:t> </w:t>
      </w:r>
      <w:r>
        <w:rPr/>
        <w:t>el</w:t>
      </w:r>
      <w:r>
        <w:rPr>
          <w:spacing w:val="-13"/>
        </w:rPr>
        <w:t> </w:t>
      </w:r>
      <w:r>
        <w:rPr/>
        <w:t>objeto</w:t>
      </w:r>
      <w:r>
        <w:rPr>
          <w:spacing w:val="-13"/>
        </w:rPr>
        <w:t> </w:t>
      </w:r>
      <w:r>
        <w:rPr/>
        <w:t>de</w:t>
      </w:r>
      <w:r>
        <w:rPr>
          <w:spacing w:val="-14"/>
        </w:rPr>
        <w:t> </w:t>
      </w:r>
      <w:r>
        <w:rPr/>
        <w:t>determinar el dinamismo tecnológico del sector); potencial de exportación (la participación en los mercados internacionales actúa como un incentivo adicional para mejorar la competitividad de la industria); presencia extranjera (que puede funcionar como un mecanismo de transferencia de tecnología); y la estrategia seguida por los inversionistas extranjeros, búsqueda de mercado, eficiencia y búsqueda de recursos naturales (Abdel y Romo,</w:t>
      </w:r>
      <w:r>
        <w:rPr>
          <w:spacing w:val="-9"/>
        </w:rPr>
        <w:t> </w:t>
      </w:r>
      <w:r>
        <w:rPr/>
        <w:t>2004).</w:t>
      </w:r>
    </w:p>
    <w:p>
      <w:pPr>
        <w:pStyle w:val="BodyText"/>
      </w:pPr>
    </w:p>
    <w:p>
      <w:pPr>
        <w:pStyle w:val="Heading2"/>
        <w:numPr>
          <w:ilvl w:val="2"/>
          <w:numId w:val="13"/>
        </w:numPr>
        <w:tabs>
          <w:tab w:pos="642" w:val="left" w:leader="none"/>
        </w:tabs>
        <w:spacing w:line="240" w:lineRule="auto" w:before="148" w:after="0"/>
        <w:ind w:left="642" w:right="0" w:hanging="540"/>
        <w:jc w:val="both"/>
        <w:rPr>
          <w:i/>
        </w:rPr>
      </w:pPr>
      <w:r>
        <w:rPr>
          <w:i/>
        </w:rPr>
        <w:t>Nivel</w:t>
      </w:r>
      <w:r>
        <w:rPr>
          <w:i/>
          <w:spacing w:val="-3"/>
        </w:rPr>
        <w:t> </w:t>
      </w:r>
      <w:r>
        <w:rPr>
          <w:i/>
        </w:rPr>
        <w:t>regional</w:t>
      </w:r>
    </w:p>
    <w:p>
      <w:pPr>
        <w:pStyle w:val="BodyText"/>
        <w:rPr>
          <w:b/>
          <w:i/>
        </w:rPr>
      </w:pPr>
    </w:p>
    <w:p>
      <w:pPr>
        <w:pStyle w:val="BodyText"/>
        <w:spacing w:before="7"/>
        <w:rPr>
          <w:b/>
          <w:i/>
          <w:sz w:val="23"/>
        </w:rPr>
      </w:pPr>
    </w:p>
    <w:p>
      <w:pPr>
        <w:pStyle w:val="BodyText"/>
        <w:spacing w:line="360" w:lineRule="auto"/>
        <w:ind w:left="102" w:right="118"/>
        <w:jc w:val="both"/>
      </w:pPr>
      <w:r>
        <w:rPr/>
        <w:t>La competitividad de una región depende de un diverso número de factores. Cada uno de estos factores interactúa con los demás para crear un entorno en el que las empresas desarrollarán y acumularán activos o habilidades especializadas para incrementar su ventaja competitiva a nivel regional.</w:t>
      </w:r>
    </w:p>
    <w:p>
      <w:pPr>
        <w:pStyle w:val="BodyText"/>
      </w:pPr>
    </w:p>
    <w:p>
      <w:pPr>
        <w:pStyle w:val="BodyText"/>
        <w:spacing w:line="360" w:lineRule="auto" w:before="143"/>
        <w:ind w:left="102" w:right="120"/>
        <w:jc w:val="both"/>
      </w:pPr>
      <w:r>
        <w:rPr/>
        <w:t>Porter (1990) define un “diamante” con cuatro factores determinantes de la ventaja competitiva nacional que también puede aplicarse a la ventaja comparativa regional:</w:t>
      </w:r>
    </w:p>
    <w:p>
      <w:pPr>
        <w:pStyle w:val="BodyText"/>
      </w:pPr>
    </w:p>
    <w:p>
      <w:pPr>
        <w:pStyle w:val="ListParagraph"/>
        <w:numPr>
          <w:ilvl w:val="3"/>
          <w:numId w:val="13"/>
        </w:numPr>
        <w:tabs>
          <w:tab w:pos="822" w:val="left" w:leader="none"/>
        </w:tabs>
        <w:spacing w:line="360" w:lineRule="auto" w:before="143" w:after="0"/>
        <w:ind w:left="822" w:right="117" w:hanging="360"/>
        <w:jc w:val="both"/>
        <w:rPr>
          <w:sz w:val="24"/>
        </w:rPr>
      </w:pPr>
      <w:r>
        <w:rPr>
          <w:b/>
          <w:sz w:val="24"/>
        </w:rPr>
        <w:t>Condiciones de los factores</w:t>
      </w:r>
      <w:r>
        <w:rPr>
          <w:sz w:val="24"/>
        </w:rPr>
        <w:t>. Incluye los factores de producción (mano de obra calificada, infraestructura, financiamiento) necesarios para competir en una</w:t>
      </w:r>
      <w:r>
        <w:rPr>
          <w:spacing w:val="-22"/>
          <w:sz w:val="24"/>
        </w:rPr>
        <w:t> </w:t>
      </w:r>
      <w:r>
        <w:rPr>
          <w:sz w:val="24"/>
        </w:rPr>
        <w:t>industria determinada.</w:t>
      </w:r>
    </w:p>
    <w:p>
      <w:pPr>
        <w:pStyle w:val="BodyText"/>
      </w:pPr>
    </w:p>
    <w:p>
      <w:pPr>
        <w:pStyle w:val="ListParagraph"/>
        <w:numPr>
          <w:ilvl w:val="3"/>
          <w:numId w:val="13"/>
        </w:numPr>
        <w:tabs>
          <w:tab w:pos="822" w:val="left" w:leader="none"/>
        </w:tabs>
        <w:spacing w:line="360" w:lineRule="auto" w:before="143" w:after="0"/>
        <w:ind w:left="822" w:right="121" w:hanging="360"/>
        <w:jc w:val="both"/>
        <w:rPr>
          <w:sz w:val="24"/>
        </w:rPr>
      </w:pPr>
      <w:r>
        <w:rPr>
          <w:b/>
          <w:sz w:val="24"/>
        </w:rPr>
        <w:t>Condiciones de la demanda. </w:t>
      </w:r>
      <w:r>
        <w:rPr>
          <w:sz w:val="24"/>
        </w:rPr>
        <w:t>Esto se refiere a la naturaleza (esto es, al grado de sofisticación) de la demanda en el mercado doméstico para los bienes o servicios producidos por una industria</w:t>
      </w:r>
      <w:r>
        <w:rPr>
          <w:spacing w:val="-9"/>
          <w:sz w:val="24"/>
        </w:rPr>
        <w:t> </w:t>
      </w:r>
      <w:r>
        <w:rPr>
          <w:sz w:val="24"/>
        </w:rPr>
        <w:t>determinada.</w:t>
      </w:r>
    </w:p>
    <w:p>
      <w:pPr>
        <w:pStyle w:val="BodyText"/>
      </w:pPr>
    </w:p>
    <w:p>
      <w:pPr>
        <w:pStyle w:val="ListParagraph"/>
        <w:numPr>
          <w:ilvl w:val="3"/>
          <w:numId w:val="13"/>
        </w:numPr>
        <w:tabs>
          <w:tab w:pos="822" w:val="left" w:leader="none"/>
        </w:tabs>
        <w:spacing w:line="360" w:lineRule="auto" w:before="143" w:after="0"/>
        <w:ind w:left="822" w:right="121" w:hanging="360"/>
        <w:jc w:val="both"/>
        <w:rPr>
          <w:sz w:val="24"/>
        </w:rPr>
      </w:pPr>
      <w:r>
        <w:rPr>
          <w:b/>
          <w:sz w:val="24"/>
        </w:rPr>
        <w:t>Industrias</w:t>
      </w:r>
      <w:r>
        <w:rPr>
          <w:b/>
          <w:spacing w:val="-8"/>
          <w:sz w:val="24"/>
        </w:rPr>
        <w:t> </w:t>
      </w:r>
      <w:r>
        <w:rPr>
          <w:b/>
          <w:sz w:val="24"/>
        </w:rPr>
        <w:t>relacionadas</w:t>
      </w:r>
      <w:r>
        <w:rPr>
          <w:b/>
          <w:spacing w:val="-8"/>
          <w:sz w:val="24"/>
        </w:rPr>
        <w:t> </w:t>
      </w:r>
      <w:r>
        <w:rPr>
          <w:b/>
          <w:sz w:val="24"/>
        </w:rPr>
        <w:t>y</w:t>
      </w:r>
      <w:r>
        <w:rPr>
          <w:b/>
          <w:spacing w:val="-9"/>
          <w:sz w:val="24"/>
        </w:rPr>
        <w:t> </w:t>
      </w:r>
      <w:r>
        <w:rPr>
          <w:b/>
          <w:sz w:val="24"/>
        </w:rPr>
        <w:t>de</w:t>
      </w:r>
      <w:r>
        <w:rPr>
          <w:b/>
          <w:spacing w:val="-10"/>
          <w:sz w:val="24"/>
        </w:rPr>
        <w:t> </w:t>
      </w:r>
      <w:r>
        <w:rPr>
          <w:b/>
          <w:sz w:val="24"/>
        </w:rPr>
        <w:t>apoyo.</w:t>
      </w:r>
      <w:r>
        <w:rPr>
          <w:b/>
          <w:spacing w:val="-6"/>
          <w:sz w:val="24"/>
        </w:rPr>
        <w:t> </w:t>
      </w:r>
      <w:r>
        <w:rPr>
          <w:sz w:val="24"/>
        </w:rPr>
        <w:t>Se</w:t>
      </w:r>
      <w:r>
        <w:rPr>
          <w:spacing w:val="-7"/>
          <w:sz w:val="24"/>
        </w:rPr>
        <w:t> </w:t>
      </w:r>
      <w:r>
        <w:rPr>
          <w:sz w:val="24"/>
        </w:rPr>
        <w:t>refiere</w:t>
      </w:r>
      <w:r>
        <w:rPr>
          <w:spacing w:val="-8"/>
          <w:sz w:val="24"/>
        </w:rPr>
        <w:t> </w:t>
      </w:r>
      <w:r>
        <w:rPr>
          <w:sz w:val="24"/>
        </w:rPr>
        <w:t>a</w:t>
      </w:r>
      <w:r>
        <w:rPr>
          <w:spacing w:val="-10"/>
          <w:sz w:val="24"/>
        </w:rPr>
        <w:t> </w:t>
      </w:r>
      <w:r>
        <w:rPr>
          <w:sz w:val="24"/>
        </w:rPr>
        <w:t>la</w:t>
      </w:r>
      <w:r>
        <w:rPr>
          <w:spacing w:val="-10"/>
          <w:sz w:val="24"/>
        </w:rPr>
        <w:t> </w:t>
      </w:r>
      <w:r>
        <w:rPr>
          <w:sz w:val="24"/>
        </w:rPr>
        <w:t>presencia</w:t>
      </w:r>
      <w:r>
        <w:rPr>
          <w:spacing w:val="-7"/>
          <w:sz w:val="24"/>
        </w:rPr>
        <w:t> </w:t>
      </w:r>
      <w:r>
        <w:rPr>
          <w:sz w:val="24"/>
        </w:rPr>
        <w:t>de</w:t>
      </w:r>
      <w:r>
        <w:rPr>
          <w:spacing w:val="-7"/>
          <w:sz w:val="24"/>
        </w:rPr>
        <w:t> </w:t>
      </w:r>
      <w:r>
        <w:rPr>
          <w:sz w:val="24"/>
        </w:rPr>
        <w:t>proveedores</w:t>
      </w:r>
      <w:r>
        <w:rPr>
          <w:spacing w:val="-4"/>
          <w:sz w:val="24"/>
        </w:rPr>
        <w:t> </w:t>
      </w:r>
      <w:r>
        <w:rPr>
          <w:sz w:val="24"/>
        </w:rPr>
        <w:t>y</w:t>
      </w:r>
      <w:r>
        <w:rPr>
          <w:spacing w:val="-13"/>
          <w:sz w:val="24"/>
        </w:rPr>
        <w:t> </w:t>
      </w:r>
      <w:r>
        <w:rPr>
          <w:sz w:val="24"/>
        </w:rPr>
        <w:t>otras industrias relacionadas competitivas a nivel</w:t>
      </w:r>
      <w:r>
        <w:rPr>
          <w:spacing w:val="-12"/>
          <w:sz w:val="24"/>
        </w:rPr>
        <w:t> </w:t>
      </w:r>
      <w:r>
        <w:rPr>
          <w:sz w:val="24"/>
        </w:rPr>
        <w:t>internacional.</w:t>
      </w:r>
    </w:p>
    <w:p>
      <w:pPr>
        <w:pStyle w:val="BodyText"/>
      </w:pPr>
    </w:p>
    <w:p>
      <w:pPr>
        <w:pStyle w:val="BodyText"/>
        <w:spacing w:before="4"/>
        <w:rPr>
          <w:sz w:val="21"/>
        </w:rPr>
      </w:pPr>
    </w:p>
    <w:p>
      <w:pPr>
        <w:pStyle w:val="ListParagraph"/>
        <w:numPr>
          <w:ilvl w:val="3"/>
          <w:numId w:val="13"/>
        </w:numPr>
        <w:tabs>
          <w:tab w:pos="822" w:val="left" w:leader="none"/>
        </w:tabs>
        <w:spacing w:line="360" w:lineRule="auto" w:before="1" w:after="0"/>
        <w:ind w:left="822" w:right="119" w:hanging="360"/>
        <w:jc w:val="both"/>
        <w:rPr>
          <w:sz w:val="24"/>
        </w:rPr>
      </w:pPr>
      <w:r>
        <w:rPr>
          <w:b/>
          <w:sz w:val="24"/>
        </w:rPr>
        <w:t>Estrategia de la empresa, estructura y rivalidad. </w:t>
      </w:r>
      <w:r>
        <w:rPr>
          <w:sz w:val="24"/>
        </w:rPr>
        <w:t>Esto refleja las condiciones generales que rigen como se crean, organizan y administran las empresas, así como la naturaleza de la competencia entre las</w:t>
      </w:r>
      <w:r>
        <w:rPr>
          <w:spacing w:val="-10"/>
          <w:sz w:val="24"/>
        </w:rPr>
        <w:t> </w:t>
      </w:r>
      <w:r>
        <w:rPr>
          <w:sz w:val="24"/>
        </w:rPr>
        <w:t>mismas.</w:t>
      </w:r>
    </w:p>
    <w:p>
      <w:pPr>
        <w:spacing w:after="0" w:line="360" w:lineRule="auto"/>
        <w:jc w:val="both"/>
        <w:rPr>
          <w:sz w:val="24"/>
        </w:rPr>
        <w:sectPr>
          <w:pgSz w:w="12240" w:h="15840"/>
          <w:pgMar w:header="0" w:footer="657" w:top="1360" w:bottom="840" w:left="1600" w:right="1580"/>
        </w:sectPr>
      </w:pPr>
    </w:p>
    <w:p>
      <w:pPr>
        <w:pStyle w:val="Heading2"/>
        <w:numPr>
          <w:ilvl w:val="2"/>
          <w:numId w:val="13"/>
        </w:numPr>
        <w:tabs>
          <w:tab w:pos="642" w:val="left" w:leader="none"/>
        </w:tabs>
        <w:spacing w:line="240" w:lineRule="auto" w:before="55" w:after="0"/>
        <w:ind w:left="642" w:right="0" w:hanging="540"/>
        <w:jc w:val="both"/>
        <w:rPr>
          <w:i/>
        </w:rPr>
      </w:pPr>
      <w:bookmarkStart w:name="_TOC_250030" w:id="12"/>
      <w:r>
        <w:rPr>
          <w:i/>
        </w:rPr>
        <w:t>El nivel</w:t>
      </w:r>
      <w:r>
        <w:rPr>
          <w:i/>
          <w:spacing w:val="-1"/>
        </w:rPr>
        <w:t> </w:t>
      </w:r>
      <w:bookmarkEnd w:id="12"/>
      <w:r>
        <w:rPr>
          <w:i/>
        </w:rPr>
        <w:t>nacional</w:t>
      </w:r>
    </w:p>
    <w:p>
      <w:pPr>
        <w:pStyle w:val="BodyText"/>
        <w:rPr>
          <w:b/>
          <w:i/>
        </w:rPr>
      </w:pPr>
    </w:p>
    <w:p>
      <w:pPr>
        <w:pStyle w:val="BodyText"/>
        <w:spacing w:before="7"/>
        <w:rPr>
          <w:b/>
          <w:i/>
          <w:sz w:val="23"/>
        </w:rPr>
      </w:pPr>
    </w:p>
    <w:p>
      <w:pPr>
        <w:pStyle w:val="BodyText"/>
        <w:spacing w:line="360" w:lineRule="auto"/>
        <w:ind w:left="102" w:right="119"/>
        <w:jc w:val="both"/>
      </w:pPr>
      <w:r>
        <w:rPr/>
        <w:t>El nivel de competitividad nacional es crucial, ya que determina en gran medida la competitividad de los demás niveles inferiores (Figura 11). Un asunto fundamental con respecto a la competitividad nacional es si los países realmente compiten entre sí, o si el término competitividad es una forma inadecuada de evaluar la “salud” general de una economía. Ciertamente, se puede argumentar que los países compiten por atraer inversiones extranjeras, pero tal como señala Siggel (2003), los atributos que atraen la inversión extranjera son la estabilidad, el buen gobierno y las oportunidades de inversión rentables.</w:t>
      </w:r>
    </w:p>
    <w:p>
      <w:pPr>
        <w:pStyle w:val="BodyText"/>
      </w:pPr>
    </w:p>
    <w:p>
      <w:pPr>
        <w:pStyle w:val="BodyText"/>
        <w:spacing w:line="360" w:lineRule="auto" w:before="143"/>
        <w:ind w:left="102" w:right="118"/>
        <w:jc w:val="both"/>
      </w:pPr>
      <w:r>
        <w:rPr/>
        <w:t>Las diferencias en valores, cultura, estructuras económicas, instituciones e historias de los distintos países contribuyen a sus respectivos éxitos competitivos. Existen diferencias abismales en las estructuras de competitividad de cada país; ningún país puede o será competitivo en todas o incluso en la mayoría de las industrias. En última instancia, las naciones tienen éxito en industrias específicas debido a que su entorno interno se percibe como el más avanzado, dinámico, y el que presenta más desafíos (Porter, 1990).</w:t>
      </w:r>
    </w:p>
    <w:p>
      <w:pPr>
        <w:pStyle w:val="BodyText"/>
      </w:pPr>
    </w:p>
    <w:p>
      <w:pPr>
        <w:pStyle w:val="BodyText"/>
        <w:spacing w:line="360" w:lineRule="auto" w:before="143"/>
        <w:ind w:left="102" w:right="117"/>
        <w:jc w:val="both"/>
      </w:pPr>
      <w:r>
        <w:rPr/>
        <w:t>El concepto de competitividad a menudo se confunde con los conceptos de ventaja comparativa y competitiva, por ello, un primer paso para aclarar el concepto de competitividad es diferenciar con claridad los conceptos de ventaja comparativa y ventaja competitiva.</w:t>
      </w:r>
    </w:p>
    <w:p>
      <w:pPr>
        <w:pStyle w:val="BodyText"/>
      </w:pPr>
    </w:p>
    <w:p>
      <w:pPr>
        <w:pStyle w:val="Heading1"/>
        <w:numPr>
          <w:ilvl w:val="1"/>
          <w:numId w:val="14"/>
        </w:numPr>
        <w:tabs>
          <w:tab w:pos="462" w:val="left" w:leader="none"/>
        </w:tabs>
        <w:spacing w:line="240" w:lineRule="auto" w:before="148" w:after="0"/>
        <w:ind w:left="462" w:right="0" w:hanging="360"/>
        <w:jc w:val="both"/>
      </w:pPr>
      <w:bookmarkStart w:name="_TOC_250029" w:id="13"/>
      <w:r>
        <w:rPr/>
        <w:t>Ventaja</w:t>
      </w:r>
      <w:r>
        <w:rPr>
          <w:spacing w:val="-6"/>
        </w:rPr>
        <w:t> </w:t>
      </w:r>
      <w:bookmarkEnd w:id="13"/>
      <w:r>
        <w:rPr/>
        <w:t>comparativa</w:t>
      </w:r>
    </w:p>
    <w:p>
      <w:pPr>
        <w:pStyle w:val="BodyText"/>
        <w:rPr>
          <w:b/>
        </w:rPr>
      </w:pPr>
    </w:p>
    <w:p>
      <w:pPr>
        <w:pStyle w:val="BodyText"/>
        <w:spacing w:before="6"/>
        <w:rPr>
          <w:b/>
          <w:sz w:val="23"/>
        </w:rPr>
      </w:pPr>
    </w:p>
    <w:p>
      <w:pPr>
        <w:pStyle w:val="BodyText"/>
        <w:spacing w:line="360" w:lineRule="auto"/>
        <w:ind w:left="102" w:right="118"/>
        <w:jc w:val="both"/>
      </w:pPr>
      <w:r>
        <w:rPr/>
        <w:t>Se ubica entre los conceptos más antiguos y fundamentales de la ciencia económica a partir del trabajo de David Ricardo a principios del siglo XIX. Podemos decir que “un país tiene una ventaja comparativa en la producción de un bien” si el costo de oportunidad de</w:t>
      </w:r>
      <w:r>
        <w:rPr>
          <w:spacing w:val="-33"/>
        </w:rPr>
        <w:t> </w:t>
      </w:r>
      <w:r>
        <w:rPr/>
        <w:t>producir ese bien en términos de otros bienes es menor en ese país que en otros países (Krugman y Obstfeld,</w:t>
      </w:r>
      <w:r>
        <w:rPr>
          <w:spacing w:val="-4"/>
        </w:rPr>
        <w:t> </w:t>
      </w:r>
      <w:r>
        <w:rPr/>
        <w:t>2000).</w:t>
      </w:r>
    </w:p>
    <w:p>
      <w:pPr>
        <w:spacing w:after="0" w:line="360" w:lineRule="auto"/>
        <w:jc w:val="both"/>
        <w:sectPr>
          <w:pgSz w:w="12240" w:h="15840"/>
          <w:pgMar w:header="0" w:footer="657" w:top="1360" w:bottom="840" w:left="1600" w:right="1580"/>
        </w:sectPr>
      </w:pPr>
    </w:p>
    <w:p>
      <w:pPr>
        <w:pStyle w:val="BodyText"/>
        <w:spacing w:line="360" w:lineRule="auto" w:before="50"/>
        <w:ind w:left="102" w:right="118"/>
        <w:jc w:val="both"/>
      </w:pPr>
      <w:r>
        <w:rPr/>
        <w:t>El concepto de ventaja comparativa tiene una relación estrecha con el término de costo de oportunidad. Este se puede definir como el costo económico de utilizar los recursos disponibles</w:t>
      </w:r>
      <w:r>
        <w:rPr>
          <w:spacing w:val="-5"/>
        </w:rPr>
        <w:t> </w:t>
      </w:r>
      <w:r>
        <w:rPr/>
        <w:t>en</w:t>
      </w:r>
      <w:r>
        <w:rPr>
          <w:spacing w:val="-5"/>
        </w:rPr>
        <w:t> </w:t>
      </w:r>
      <w:r>
        <w:rPr/>
        <w:t>su</w:t>
      </w:r>
      <w:r>
        <w:rPr>
          <w:spacing w:val="-5"/>
        </w:rPr>
        <w:t> </w:t>
      </w:r>
      <w:r>
        <w:rPr/>
        <w:t>mejor</w:t>
      </w:r>
      <w:r>
        <w:rPr>
          <w:spacing w:val="-6"/>
        </w:rPr>
        <w:t> </w:t>
      </w:r>
      <w:r>
        <w:rPr/>
        <w:t>uso</w:t>
      </w:r>
      <w:r>
        <w:rPr>
          <w:spacing w:val="-5"/>
        </w:rPr>
        <w:t> </w:t>
      </w:r>
      <w:r>
        <w:rPr/>
        <w:t>alternativo,</w:t>
      </w:r>
      <w:r>
        <w:rPr>
          <w:spacing w:val="-5"/>
        </w:rPr>
        <w:t> </w:t>
      </w:r>
      <w:r>
        <w:rPr/>
        <w:t>es</w:t>
      </w:r>
      <w:r>
        <w:rPr>
          <w:spacing w:val="-5"/>
        </w:rPr>
        <w:t> </w:t>
      </w:r>
      <w:r>
        <w:rPr/>
        <w:t>decir,</w:t>
      </w:r>
      <w:r>
        <w:rPr>
          <w:spacing w:val="-5"/>
        </w:rPr>
        <w:t> </w:t>
      </w:r>
      <w:r>
        <w:rPr/>
        <w:t>la</w:t>
      </w:r>
      <w:r>
        <w:rPr>
          <w:spacing w:val="-3"/>
        </w:rPr>
        <w:t> </w:t>
      </w:r>
      <w:r>
        <w:rPr/>
        <w:t>alternativa</w:t>
      </w:r>
      <w:r>
        <w:rPr>
          <w:spacing w:val="-6"/>
        </w:rPr>
        <w:t> </w:t>
      </w:r>
      <w:r>
        <w:rPr/>
        <w:t>que</w:t>
      </w:r>
      <w:r>
        <w:rPr>
          <w:spacing w:val="-3"/>
        </w:rPr>
        <w:t> </w:t>
      </w:r>
      <w:r>
        <w:rPr/>
        <w:t>genere</w:t>
      </w:r>
      <w:r>
        <w:rPr>
          <w:spacing w:val="-7"/>
        </w:rPr>
        <w:t> </w:t>
      </w:r>
      <w:r>
        <w:rPr/>
        <w:t>mayores</w:t>
      </w:r>
      <w:r>
        <w:rPr>
          <w:spacing w:val="-5"/>
        </w:rPr>
        <w:t> </w:t>
      </w:r>
      <w:r>
        <w:rPr/>
        <w:t>ingresos.</w:t>
      </w:r>
    </w:p>
    <w:p>
      <w:pPr>
        <w:pStyle w:val="BodyText"/>
      </w:pPr>
    </w:p>
    <w:p>
      <w:pPr>
        <w:pStyle w:val="BodyText"/>
        <w:spacing w:line="360" w:lineRule="auto" w:before="143"/>
        <w:ind w:left="102" w:right="118"/>
        <w:jc w:val="both"/>
      </w:pPr>
      <w:r>
        <w:rPr/>
        <w:t>La ventaja comparativa indica que el costo de oportunidad debe de ser comparado con el precio internacional, de esta premisa, se desprende la conclusión fundamental de importar los bienes para los cuales sea menor el precio internacional en comparación con el costo de oportunidad, que resulta de producir el bien dentro del país y en consecuencia exportar los bienes cuyo precio internacional sea mayor que el costo de oportunidad, resultado de producirlo internamente (Hernández-Martínez, 2008; Magdaleno, 2012).</w:t>
      </w:r>
    </w:p>
    <w:p>
      <w:pPr>
        <w:pStyle w:val="BodyText"/>
      </w:pPr>
    </w:p>
    <w:p>
      <w:pPr>
        <w:pStyle w:val="BodyText"/>
        <w:spacing w:line="360" w:lineRule="auto" w:before="143"/>
        <w:ind w:left="102" w:right="117"/>
        <w:jc w:val="both"/>
      </w:pPr>
      <w:r>
        <w:rPr/>
        <w:t>Es</w:t>
      </w:r>
      <w:r>
        <w:rPr>
          <w:spacing w:val="-9"/>
        </w:rPr>
        <w:t> </w:t>
      </w:r>
      <w:r>
        <w:rPr/>
        <w:t>evidente</w:t>
      </w:r>
      <w:r>
        <w:rPr>
          <w:spacing w:val="-9"/>
        </w:rPr>
        <w:t> </w:t>
      </w:r>
      <w:r>
        <w:rPr/>
        <w:t>que</w:t>
      </w:r>
      <w:r>
        <w:rPr>
          <w:spacing w:val="-10"/>
        </w:rPr>
        <w:t> </w:t>
      </w:r>
      <w:r>
        <w:rPr/>
        <w:t>el</w:t>
      </w:r>
      <w:r>
        <w:rPr>
          <w:spacing w:val="-8"/>
        </w:rPr>
        <w:t> </w:t>
      </w:r>
      <w:r>
        <w:rPr/>
        <w:t>costo</w:t>
      </w:r>
      <w:r>
        <w:rPr>
          <w:spacing w:val="-7"/>
        </w:rPr>
        <w:t> </w:t>
      </w:r>
      <w:r>
        <w:rPr/>
        <w:t>de</w:t>
      </w:r>
      <w:r>
        <w:rPr>
          <w:spacing w:val="-10"/>
        </w:rPr>
        <w:t> </w:t>
      </w:r>
      <w:r>
        <w:rPr/>
        <w:t>oportunidad</w:t>
      </w:r>
      <w:r>
        <w:rPr>
          <w:spacing w:val="-9"/>
        </w:rPr>
        <w:t> </w:t>
      </w:r>
      <w:r>
        <w:rPr/>
        <w:t>es</w:t>
      </w:r>
      <w:r>
        <w:rPr>
          <w:spacing w:val="-8"/>
        </w:rPr>
        <w:t> </w:t>
      </w:r>
      <w:r>
        <w:rPr/>
        <w:t>el</w:t>
      </w:r>
      <w:r>
        <w:rPr>
          <w:spacing w:val="-8"/>
        </w:rPr>
        <w:t> </w:t>
      </w:r>
      <w:r>
        <w:rPr/>
        <w:t>fundamento</w:t>
      </w:r>
      <w:r>
        <w:rPr>
          <w:spacing w:val="-9"/>
        </w:rPr>
        <w:t> </w:t>
      </w:r>
      <w:r>
        <w:rPr/>
        <w:t>de</w:t>
      </w:r>
      <w:r>
        <w:rPr>
          <w:spacing w:val="-10"/>
        </w:rPr>
        <w:t> </w:t>
      </w:r>
      <w:r>
        <w:rPr/>
        <w:t>la</w:t>
      </w:r>
      <w:r>
        <w:rPr>
          <w:spacing w:val="-10"/>
        </w:rPr>
        <w:t> </w:t>
      </w:r>
      <w:r>
        <w:rPr/>
        <w:t>ventaja</w:t>
      </w:r>
      <w:r>
        <w:rPr>
          <w:spacing w:val="-9"/>
        </w:rPr>
        <w:t> </w:t>
      </w:r>
      <w:r>
        <w:rPr/>
        <w:t>comparativa,</w:t>
      </w:r>
      <w:r>
        <w:rPr>
          <w:spacing w:val="-9"/>
        </w:rPr>
        <w:t> </w:t>
      </w:r>
      <w:r>
        <w:rPr/>
        <w:t>que</w:t>
      </w:r>
      <w:r>
        <w:rPr>
          <w:spacing w:val="-10"/>
        </w:rPr>
        <w:t> </w:t>
      </w:r>
      <w:r>
        <w:rPr/>
        <w:t>será más grande en la medida que se resalten las diferencias de clima, ubicación geográfica, cantidad de recursos, y tecnología disponible entre los</w:t>
      </w:r>
      <w:r>
        <w:rPr>
          <w:spacing w:val="-10"/>
        </w:rPr>
        <w:t> </w:t>
      </w:r>
      <w:r>
        <w:rPr/>
        <w:t>países.</w:t>
      </w:r>
    </w:p>
    <w:p>
      <w:pPr>
        <w:pStyle w:val="BodyText"/>
      </w:pPr>
    </w:p>
    <w:p>
      <w:pPr>
        <w:pStyle w:val="BodyText"/>
        <w:spacing w:line="360" w:lineRule="auto" w:before="143"/>
        <w:ind w:left="102" w:right="118"/>
        <w:jc w:val="both"/>
      </w:pPr>
      <w:r>
        <w:rPr/>
        <w:t>El principio de la ventaja comparativa se manifiesta de manera simétrica, es decir, si un</w:t>
      </w:r>
      <w:r>
        <w:rPr>
          <w:spacing w:val="-34"/>
        </w:rPr>
        <w:t> </w:t>
      </w:r>
      <w:r>
        <w:rPr/>
        <w:t>país o región goza de ventajas comparativas en la producción de dos o más bienes, entonces, también</w:t>
      </w:r>
      <w:r>
        <w:rPr>
          <w:spacing w:val="-7"/>
        </w:rPr>
        <w:t> </w:t>
      </w:r>
      <w:r>
        <w:rPr/>
        <w:t>tiene</w:t>
      </w:r>
      <w:r>
        <w:rPr>
          <w:spacing w:val="-7"/>
        </w:rPr>
        <w:t> </w:t>
      </w:r>
      <w:r>
        <w:rPr/>
        <w:t>desventajas</w:t>
      </w:r>
      <w:r>
        <w:rPr>
          <w:spacing w:val="-6"/>
        </w:rPr>
        <w:t> </w:t>
      </w:r>
      <w:r>
        <w:rPr/>
        <w:t>comparativas</w:t>
      </w:r>
      <w:r>
        <w:rPr>
          <w:spacing w:val="-6"/>
        </w:rPr>
        <w:t> </w:t>
      </w:r>
      <w:r>
        <w:rPr/>
        <w:t>en</w:t>
      </w:r>
      <w:r>
        <w:rPr>
          <w:spacing w:val="-4"/>
        </w:rPr>
        <w:t> </w:t>
      </w:r>
      <w:r>
        <w:rPr/>
        <w:t>la</w:t>
      </w:r>
      <w:r>
        <w:rPr>
          <w:spacing w:val="-7"/>
        </w:rPr>
        <w:t> </w:t>
      </w:r>
      <w:r>
        <w:rPr/>
        <w:t>producción</w:t>
      </w:r>
      <w:r>
        <w:rPr>
          <w:spacing w:val="-6"/>
        </w:rPr>
        <w:t> </w:t>
      </w:r>
      <w:r>
        <w:rPr/>
        <w:t>de</w:t>
      </w:r>
      <w:r>
        <w:rPr>
          <w:spacing w:val="-5"/>
        </w:rPr>
        <w:t> </w:t>
      </w:r>
      <w:r>
        <w:rPr/>
        <w:t>otros</w:t>
      </w:r>
      <w:r>
        <w:rPr>
          <w:spacing w:val="-6"/>
        </w:rPr>
        <w:t> </w:t>
      </w:r>
      <w:r>
        <w:rPr/>
        <w:t>bienes.</w:t>
      </w:r>
      <w:r>
        <w:rPr>
          <w:spacing w:val="-4"/>
        </w:rPr>
        <w:t> </w:t>
      </w:r>
      <w:r>
        <w:rPr/>
        <w:t>La</w:t>
      </w:r>
      <w:r>
        <w:rPr>
          <w:spacing w:val="-7"/>
        </w:rPr>
        <w:t> </w:t>
      </w:r>
      <w:r>
        <w:rPr/>
        <w:t>conclusión</w:t>
      </w:r>
      <w:r>
        <w:rPr>
          <w:spacing w:val="-6"/>
        </w:rPr>
        <w:t> </w:t>
      </w:r>
      <w:r>
        <w:rPr/>
        <w:t>más importante es que ningún país puede tener ventajas o desventajas comparativas en la producción de todos los bienes (Magdaleno,</w:t>
      </w:r>
      <w:r>
        <w:rPr>
          <w:spacing w:val="-7"/>
        </w:rPr>
        <w:t> </w:t>
      </w:r>
      <w:r>
        <w:rPr/>
        <w:t>2012).</w:t>
      </w:r>
    </w:p>
    <w:p>
      <w:pPr>
        <w:pStyle w:val="BodyText"/>
      </w:pPr>
    </w:p>
    <w:p>
      <w:pPr>
        <w:pStyle w:val="Heading1"/>
        <w:numPr>
          <w:ilvl w:val="1"/>
          <w:numId w:val="14"/>
        </w:numPr>
        <w:tabs>
          <w:tab w:pos="462" w:val="left" w:leader="none"/>
        </w:tabs>
        <w:spacing w:line="240" w:lineRule="auto" w:before="148" w:after="0"/>
        <w:ind w:left="462" w:right="0" w:hanging="360"/>
        <w:jc w:val="both"/>
      </w:pPr>
      <w:bookmarkStart w:name="_TOC_250028" w:id="14"/>
      <w:r>
        <w:rPr/>
        <w:t>Ventaja</w:t>
      </w:r>
      <w:r>
        <w:rPr>
          <w:spacing w:val="-7"/>
        </w:rPr>
        <w:t> </w:t>
      </w:r>
      <w:bookmarkEnd w:id="14"/>
      <w:r>
        <w:rPr/>
        <w:t>competitiva</w:t>
      </w:r>
    </w:p>
    <w:p>
      <w:pPr>
        <w:pStyle w:val="BodyText"/>
        <w:rPr>
          <w:b/>
        </w:rPr>
      </w:pPr>
    </w:p>
    <w:p>
      <w:pPr>
        <w:pStyle w:val="BodyText"/>
        <w:spacing w:before="6"/>
        <w:rPr>
          <w:b/>
          <w:sz w:val="23"/>
        </w:rPr>
      </w:pPr>
    </w:p>
    <w:p>
      <w:pPr>
        <w:pStyle w:val="BodyText"/>
        <w:spacing w:line="360" w:lineRule="auto"/>
        <w:ind w:left="102" w:right="117"/>
        <w:jc w:val="both"/>
      </w:pPr>
      <w:r>
        <w:rPr/>
        <w:t>El</w:t>
      </w:r>
      <w:r>
        <w:rPr>
          <w:spacing w:val="-6"/>
        </w:rPr>
        <w:t> </w:t>
      </w:r>
      <w:r>
        <w:rPr/>
        <w:t>concepto</w:t>
      </w:r>
      <w:r>
        <w:rPr>
          <w:spacing w:val="-6"/>
        </w:rPr>
        <w:t> </w:t>
      </w:r>
      <w:r>
        <w:rPr/>
        <w:t>de</w:t>
      </w:r>
      <w:r>
        <w:rPr>
          <w:spacing w:val="-7"/>
        </w:rPr>
        <w:t> </w:t>
      </w:r>
      <w:r>
        <w:rPr/>
        <w:t>ventaja</w:t>
      </w:r>
      <w:r>
        <w:rPr>
          <w:spacing w:val="-5"/>
        </w:rPr>
        <w:t> </w:t>
      </w:r>
      <w:r>
        <w:rPr/>
        <w:t>competitiva</w:t>
      </w:r>
      <w:r>
        <w:rPr>
          <w:spacing w:val="-7"/>
        </w:rPr>
        <w:t> </w:t>
      </w:r>
      <w:r>
        <w:rPr/>
        <w:t>está</w:t>
      </w:r>
      <w:r>
        <w:rPr>
          <w:spacing w:val="-6"/>
        </w:rPr>
        <w:t> </w:t>
      </w:r>
      <w:r>
        <w:rPr/>
        <w:t>relacionado</w:t>
      </w:r>
      <w:r>
        <w:rPr>
          <w:spacing w:val="-6"/>
        </w:rPr>
        <w:t> </w:t>
      </w:r>
      <w:r>
        <w:rPr/>
        <w:t>con</w:t>
      </w:r>
      <w:r>
        <w:rPr>
          <w:spacing w:val="-6"/>
        </w:rPr>
        <w:t> </w:t>
      </w:r>
      <w:r>
        <w:rPr/>
        <w:t>la</w:t>
      </w:r>
      <w:r>
        <w:rPr>
          <w:spacing w:val="-7"/>
        </w:rPr>
        <w:t> </w:t>
      </w:r>
      <w:r>
        <w:rPr/>
        <w:t>competitividad</w:t>
      </w:r>
      <w:r>
        <w:rPr>
          <w:spacing w:val="-4"/>
        </w:rPr>
        <w:t> </w:t>
      </w:r>
      <w:r>
        <w:rPr/>
        <w:t>y</w:t>
      </w:r>
      <w:r>
        <w:rPr>
          <w:spacing w:val="-5"/>
        </w:rPr>
        <w:t> </w:t>
      </w:r>
      <w:r>
        <w:rPr/>
        <w:t>explica</w:t>
      </w:r>
      <w:r>
        <w:rPr>
          <w:spacing w:val="-7"/>
        </w:rPr>
        <w:t> </w:t>
      </w:r>
      <w:r>
        <w:rPr/>
        <w:t>la</w:t>
      </w:r>
      <w:r>
        <w:rPr>
          <w:spacing w:val="-7"/>
        </w:rPr>
        <w:t> </w:t>
      </w:r>
      <w:r>
        <w:rPr/>
        <w:t>teoría de</w:t>
      </w:r>
      <w:r>
        <w:rPr>
          <w:spacing w:val="-12"/>
        </w:rPr>
        <w:t> </w:t>
      </w:r>
      <w:r>
        <w:rPr/>
        <w:t>que</w:t>
      </w:r>
      <w:r>
        <w:rPr>
          <w:spacing w:val="-12"/>
        </w:rPr>
        <w:t> </w:t>
      </w:r>
      <w:r>
        <w:rPr/>
        <w:t>los</w:t>
      </w:r>
      <w:r>
        <w:rPr>
          <w:spacing w:val="-10"/>
        </w:rPr>
        <w:t> </w:t>
      </w:r>
      <w:r>
        <w:rPr/>
        <w:t>mercados</w:t>
      </w:r>
      <w:r>
        <w:rPr>
          <w:spacing w:val="-11"/>
        </w:rPr>
        <w:t> </w:t>
      </w:r>
      <w:r>
        <w:rPr/>
        <w:t>no</w:t>
      </w:r>
      <w:r>
        <w:rPr>
          <w:spacing w:val="-11"/>
        </w:rPr>
        <w:t> </w:t>
      </w:r>
      <w:r>
        <w:rPr/>
        <w:t>son</w:t>
      </w:r>
      <w:r>
        <w:rPr>
          <w:spacing w:val="-11"/>
        </w:rPr>
        <w:t> </w:t>
      </w:r>
      <w:r>
        <w:rPr/>
        <w:t>perfectamente</w:t>
      </w:r>
      <w:r>
        <w:rPr>
          <w:spacing w:val="-9"/>
        </w:rPr>
        <w:t> </w:t>
      </w:r>
      <w:r>
        <w:rPr/>
        <w:t>competitivos</w:t>
      </w:r>
      <w:r>
        <w:rPr>
          <w:spacing w:val="-10"/>
        </w:rPr>
        <w:t> </w:t>
      </w:r>
      <w:r>
        <w:rPr/>
        <w:t>si</w:t>
      </w:r>
      <w:r>
        <w:rPr>
          <w:spacing w:val="-10"/>
        </w:rPr>
        <w:t> </w:t>
      </w:r>
      <w:r>
        <w:rPr/>
        <w:t>no</w:t>
      </w:r>
      <w:r>
        <w:rPr>
          <w:spacing w:val="-11"/>
        </w:rPr>
        <w:t> </w:t>
      </w:r>
      <w:r>
        <w:rPr/>
        <w:t>distorsionados</w:t>
      </w:r>
      <w:r>
        <w:rPr>
          <w:spacing w:val="-11"/>
        </w:rPr>
        <w:t> </w:t>
      </w:r>
      <w:r>
        <w:rPr/>
        <w:t>por</w:t>
      </w:r>
      <w:r>
        <w:rPr>
          <w:spacing w:val="-12"/>
        </w:rPr>
        <w:t> </w:t>
      </w:r>
      <w:r>
        <w:rPr/>
        <w:t>la</w:t>
      </w:r>
      <w:r>
        <w:rPr>
          <w:spacing w:val="-12"/>
        </w:rPr>
        <w:t> </w:t>
      </w:r>
      <w:r>
        <w:rPr/>
        <w:t>influencia del gobierno. La ventaja competitiva es determinada por costos de producción, políticas, instituciones de gobierno que distorsionan la movilidad de los factores sus precios relativos y los niveles de inversión, políticas que afectan la distribución del ingreso y políticas comerciales y de tipo de</w:t>
      </w:r>
      <w:r>
        <w:rPr>
          <w:spacing w:val="-7"/>
        </w:rPr>
        <w:t> </w:t>
      </w:r>
      <w:r>
        <w:rPr/>
        <w:t>cambio.</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La ventaja comparativa es impulsada por las diferencias en los costos de los insumos como la mano de obra o el capital. La ventaja competitiva, por otra parte, es impulsada por las diferencias en la capacidad de transformar los insumos en bienes y servicios para obtener la máxima utilidad (Kogut, 1985). Este concepto claramente incluye la noción de otros activos tangibles e intangibles en la forma de tecnología y habilidades administrativas que, en su conjunto, actúan para incrementar la eficiencia en el uso de los insumos, así como en la creación de productos y procesos de producción más sofisticados.</w:t>
      </w:r>
    </w:p>
    <w:p>
      <w:pPr>
        <w:pStyle w:val="BodyText"/>
      </w:pPr>
    </w:p>
    <w:p>
      <w:pPr>
        <w:pStyle w:val="BodyText"/>
        <w:spacing w:line="360" w:lineRule="auto" w:before="143"/>
        <w:ind w:left="102" w:right="117"/>
        <w:jc w:val="both"/>
      </w:pPr>
      <w:r>
        <w:rPr/>
        <w:t>La forma de calcular la ventaja comparativa es más fácil que la ventaja competitiva, </w:t>
      </w:r>
      <w:r>
        <w:rPr>
          <w:spacing w:val="-3"/>
        </w:rPr>
        <w:t>ya </w:t>
      </w:r>
      <w:r>
        <w:rPr/>
        <w:t>que la primera se mide por la participación en el mercado, las comparaciones de precios de insumos</w:t>
      </w:r>
      <w:r>
        <w:rPr>
          <w:spacing w:val="-13"/>
        </w:rPr>
        <w:t> </w:t>
      </w:r>
      <w:r>
        <w:rPr/>
        <w:t>y</w:t>
      </w:r>
      <w:r>
        <w:rPr>
          <w:spacing w:val="-21"/>
        </w:rPr>
        <w:t> </w:t>
      </w:r>
      <w:r>
        <w:rPr/>
        <w:t>costos</w:t>
      </w:r>
      <w:r>
        <w:rPr>
          <w:spacing w:val="-15"/>
        </w:rPr>
        <w:t> </w:t>
      </w:r>
      <w:r>
        <w:rPr/>
        <w:t>de</w:t>
      </w:r>
      <w:r>
        <w:rPr>
          <w:spacing w:val="-17"/>
        </w:rPr>
        <w:t> </w:t>
      </w:r>
      <w:r>
        <w:rPr/>
        <w:t>producción.</w:t>
      </w:r>
      <w:r>
        <w:rPr>
          <w:spacing w:val="-13"/>
        </w:rPr>
        <w:t> </w:t>
      </w:r>
      <w:r>
        <w:rPr/>
        <w:t>La</w:t>
      </w:r>
      <w:r>
        <w:rPr>
          <w:spacing w:val="-15"/>
        </w:rPr>
        <w:t> </w:t>
      </w:r>
      <w:r>
        <w:rPr/>
        <w:t>segunda</w:t>
      </w:r>
      <w:r>
        <w:rPr>
          <w:spacing w:val="-16"/>
        </w:rPr>
        <w:t> </w:t>
      </w:r>
      <w:r>
        <w:rPr/>
        <w:t>se</w:t>
      </w:r>
      <w:r>
        <w:rPr>
          <w:spacing w:val="-17"/>
        </w:rPr>
        <w:t> </w:t>
      </w:r>
      <w:r>
        <w:rPr/>
        <w:t>mide</w:t>
      </w:r>
      <w:r>
        <w:rPr>
          <w:spacing w:val="-17"/>
        </w:rPr>
        <w:t> </w:t>
      </w:r>
      <w:r>
        <w:rPr/>
        <w:t>por</w:t>
      </w:r>
      <w:r>
        <w:rPr>
          <w:spacing w:val="-17"/>
        </w:rPr>
        <w:t> </w:t>
      </w:r>
      <w:r>
        <w:rPr/>
        <w:t>la</w:t>
      </w:r>
      <w:r>
        <w:rPr>
          <w:spacing w:val="-16"/>
        </w:rPr>
        <w:t> </w:t>
      </w:r>
      <w:r>
        <w:rPr/>
        <w:t>diferencia</w:t>
      </w:r>
      <w:r>
        <w:rPr>
          <w:spacing w:val="-16"/>
        </w:rPr>
        <w:t> </w:t>
      </w:r>
      <w:r>
        <w:rPr/>
        <w:t>de</w:t>
      </w:r>
      <w:r>
        <w:rPr>
          <w:spacing w:val="-17"/>
        </w:rPr>
        <w:t> </w:t>
      </w:r>
      <w:r>
        <w:rPr/>
        <w:t>precios</w:t>
      </w:r>
      <w:r>
        <w:rPr>
          <w:spacing w:val="-13"/>
        </w:rPr>
        <w:t> </w:t>
      </w:r>
      <w:r>
        <w:rPr/>
        <w:t>en</w:t>
      </w:r>
      <w:r>
        <w:rPr>
          <w:spacing w:val="-16"/>
        </w:rPr>
        <w:t> </w:t>
      </w:r>
      <w:r>
        <w:rPr/>
        <w:t>productos exportados, lo cual involucra variables macroeconómicas para su</w:t>
      </w:r>
      <w:r>
        <w:rPr>
          <w:spacing w:val="-10"/>
        </w:rPr>
        <w:t> </w:t>
      </w:r>
      <w:r>
        <w:rPr/>
        <w:t>análisis.</w:t>
      </w:r>
    </w:p>
    <w:p>
      <w:pPr>
        <w:pStyle w:val="BodyText"/>
      </w:pPr>
    </w:p>
    <w:p>
      <w:pPr>
        <w:pStyle w:val="Heading1"/>
        <w:numPr>
          <w:ilvl w:val="1"/>
          <w:numId w:val="14"/>
        </w:numPr>
        <w:tabs>
          <w:tab w:pos="462" w:val="left" w:leader="none"/>
        </w:tabs>
        <w:spacing w:line="240" w:lineRule="auto" w:before="148" w:after="0"/>
        <w:ind w:left="462" w:right="0" w:hanging="360"/>
        <w:jc w:val="both"/>
      </w:pPr>
      <w:bookmarkStart w:name="_TOC_250027" w:id="15"/>
      <w:bookmarkEnd w:id="15"/>
      <w:r>
        <w:rPr/>
        <w:t>Rentabilidad</w:t>
      </w:r>
    </w:p>
    <w:p>
      <w:pPr>
        <w:pStyle w:val="BodyText"/>
        <w:rPr>
          <w:b/>
        </w:rPr>
      </w:pPr>
    </w:p>
    <w:p>
      <w:pPr>
        <w:pStyle w:val="BodyText"/>
        <w:spacing w:before="6"/>
        <w:rPr>
          <w:b/>
          <w:sz w:val="23"/>
        </w:rPr>
      </w:pPr>
    </w:p>
    <w:p>
      <w:pPr>
        <w:pStyle w:val="BodyText"/>
        <w:spacing w:line="360" w:lineRule="auto"/>
        <w:ind w:left="102" w:right="116"/>
        <w:jc w:val="both"/>
      </w:pPr>
      <w:r>
        <w:rPr/>
        <w:t>Zamora</w:t>
      </w:r>
      <w:r>
        <w:rPr>
          <w:spacing w:val="-8"/>
        </w:rPr>
        <w:t> </w:t>
      </w:r>
      <w:r>
        <w:rPr/>
        <w:t>(2008)</w:t>
      </w:r>
      <w:r>
        <w:rPr>
          <w:spacing w:val="-7"/>
        </w:rPr>
        <w:t> </w:t>
      </w:r>
      <w:r>
        <w:rPr/>
        <w:t>define</w:t>
      </w:r>
      <w:r>
        <w:rPr>
          <w:spacing w:val="-4"/>
        </w:rPr>
        <w:t> </w:t>
      </w:r>
      <w:r>
        <w:rPr/>
        <w:t>rentabilidad</w:t>
      </w:r>
      <w:r>
        <w:rPr>
          <w:spacing w:val="-6"/>
        </w:rPr>
        <w:t> </w:t>
      </w:r>
      <w:r>
        <w:rPr/>
        <w:t>como</w:t>
      </w:r>
      <w:r>
        <w:rPr>
          <w:spacing w:val="-6"/>
        </w:rPr>
        <w:t> </w:t>
      </w:r>
      <w:r>
        <w:rPr/>
        <w:t>un</w:t>
      </w:r>
      <w:r>
        <w:rPr>
          <w:spacing w:val="-6"/>
        </w:rPr>
        <w:t> </w:t>
      </w:r>
      <w:r>
        <w:rPr/>
        <w:t>concepto</w:t>
      </w:r>
      <w:r>
        <w:rPr>
          <w:spacing w:val="-6"/>
        </w:rPr>
        <w:t> </w:t>
      </w:r>
      <w:r>
        <w:rPr/>
        <w:t>que</w:t>
      </w:r>
      <w:r>
        <w:rPr>
          <w:spacing w:val="-7"/>
        </w:rPr>
        <w:t> </w:t>
      </w:r>
      <w:r>
        <w:rPr/>
        <w:t>ha</w:t>
      </w:r>
      <w:r>
        <w:rPr>
          <w:spacing w:val="-7"/>
        </w:rPr>
        <w:t> </w:t>
      </w:r>
      <w:r>
        <w:rPr/>
        <w:t>cambiado</w:t>
      </w:r>
      <w:r>
        <w:rPr>
          <w:spacing w:val="-6"/>
        </w:rPr>
        <w:t> </w:t>
      </w:r>
      <w:r>
        <w:rPr/>
        <w:t>con</w:t>
      </w:r>
      <w:r>
        <w:rPr>
          <w:spacing w:val="-6"/>
        </w:rPr>
        <w:t> </w:t>
      </w:r>
      <w:r>
        <w:rPr/>
        <w:t>el</w:t>
      </w:r>
      <w:r>
        <w:rPr>
          <w:spacing w:val="-6"/>
        </w:rPr>
        <w:t> </w:t>
      </w:r>
      <w:r>
        <w:rPr/>
        <w:t>tiempo</w:t>
      </w:r>
      <w:r>
        <w:rPr>
          <w:spacing w:val="-3"/>
        </w:rPr>
        <w:t> </w:t>
      </w:r>
      <w:r>
        <w:rPr/>
        <w:t>y</w:t>
      </w:r>
      <w:r>
        <w:rPr>
          <w:spacing w:val="-10"/>
        </w:rPr>
        <w:t> </w:t>
      </w:r>
      <w:r>
        <w:rPr/>
        <w:t>se</w:t>
      </w:r>
      <w:r>
        <w:rPr>
          <w:spacing w:val="-7"/>
        </w:rPr>
        <w:t> </w:t>
      </w:r>
      <w:r>
        <w:rPr/>
        <w:t>ha utilizado</w:t>
      </w:r>
      <w:r>
        <w:rPr>
          <w:spacing w:val="-6"/>
        </w:rPr>
        <w:t> </w:t>
      </w:r>
      <w:r>
        <w:rPr/>
        <w:t>de</w:t>
      </w:r>
      <w:r>
        <w:rPr>
          <w:spacing w:val="-7"/>
        </w:rPr>
        <w:t> </w:t>
      </w:r>
      <w:r>
        <w:rPr/>
        <w:t>distintas</w:t>
      </w:r>
      <w:r>
        <w:rPr>
          <w:spacing w:val="-6"/>
        </w:rPr>
        <w:t> </w:t>
      </w:r>
      <w:r>
        <w:rPr/>
        <w:t>formas,</w:t>
      </w:r>
      <w:r>
        <w:rPr>
          <w:spacing w:val="-7"/>
        </w:rPr>
        <w:t> </w:t>
      </w:r>
      <w:r>
        <w:rPr/>
        <w:t>siendo</w:t>
      </w:r>
      <w:r>
        <w:rPr>
          <w:spacing w:val="-6"/>
        </w:rPr>
        <w:t> </w:t>
      </w:r>
      <w:r>
        <w:rPr/>
        <w:t>éste</w:t>
      </w:r>
      <w:r>
        <w:rPr>
          <w:spacing w:val="-6"/>
        </w:rPr>
        <w:t> </w:t>
      </w:r>
      <w:r>
        <w:rPr/>
        <w:t>uno</w:t>
      </w:r>
      <w:r>
        <w:rPr>
          <w:spacing w:val="-6"/>
        </w:rPr>
        <w:t> </w:t>
      </w:r>
      <w:r>
        <w:rPr/>
        <w:t>de</w:t>
      </w:r>
      <w:r>
        <w:rPr>
          <w:spacing w:val="-7"/>
        </w:rPr>
        <w:t> </w:t>
      </w:r>
      <w:r>
        <w:rPr/>
        <w:t>los</w:t>
      </w:r>
      <w:r>
        <w:rPr>
          <w:spacing w:val="-6"/>
        </w:rPr>
        <w:t> </w:t>
      </w:r>
      <w:r>
        <w:rPr/>
        <w:t>indicadores</w:t>
      </w:r>
      <w:r>
        <w:rPr>
          <w:spacing w:val="-6"/>
        </w:rPr>
        <w:t> </w:t>
      </w:r>
      <w:r>
        <w:rPr/>
        <w:t>más</w:t>
      </w:r>
      <w:r>
        <w:rPr>
          <w:spacing w:val="-7"/>
        </w:rPr>
        <w:t> </w:t>
      </w:r>
      <w:r>
        <w:rPr/>
        <w:t>relevantes</w:t>
      </w:r>
      <w:r>
        <w:rPr>
          <w:spacing w:val="-6"/>
        </w:rPr>
        <w:t> </w:t>
      </w:r>
      <w:r>
        <w:rPr/>
        <w:t>para</w:t>
      </w:r>
      <w:r>
        <w:rPr>
          <w:spacing w:val="-8"/>
        </w:rPr>
        <w:t> </w:t>
      </w:r>
      <w:r>
        <w:rPr/>
        <w:t>medir</w:t>
      </w:r>
      <w:r>
        <w:rPr>
          <w:spacing w:val="-7"/>
        </w:rPr>
        <w:t> </w:t>
      </w:r>
      <w:r>
        <w:rPr/>
        <w:t>el éxito de un sector, subsector o</w:t>
      </w:r>
      <w:r>
        <w:rPr>
          <w:spacing w:val="-9"/>
        </w:rPr>
        <w:t> </w:t>
      </w:r>
      <w:r>
        <w:rPr/>
        <w:t>negocio.</w:t>
      </w:r>
    </w:p>
    <w:p>
      <w:pPr>
        <w:pStyle w:val="BodyText"/>
      </w:pPr>
    </w:p>
    <w:p>
      <w:pPr>
        <w:pStyle w:val="BodyText"/>
        <w:spacing w:line="360" w:lineRule="auto" w:before="143"/>
        <w:ind w:left="102" w:right="117"/>
        <w:jc w:val="both"/>
      </w:pPr>
      <w:r>
        <w:rPr/>
        <w:t>La</w:t>
      </w:r>
      <w:r>
        <w:rPr>
          <w:spacing w:val="-15"/>
        </w:rPr>
        <w:t> </w:t>
      </w:r>
      <w:r>
        <w:rPr/>
        <w:t>rentabilidad</w:t>
      </w:r>
      <w:r>
        <w:rPr>
          <w:spacing w:val="-14"/>
        </w:rPr>
        <w:t> </w:t>
      </w:r>
      <w:r>
        <w:rPr/>
        <w:t>es</w:t>
      </w:r>
      <w:r>
        <w:rPr>
          <w:spacing w:val="-14"/>
        </w:rPr>
        <w:t> </w:t>
      </w:r>
      <w:r>
        <w:rPr/>
        <w:t>la</w:t>
      </w:r>
      <w:r>
        <w:rPr>
          <w:spacing w:val="-15"/>
        </w:rPr>
        <w:t> </w:t>
      </w:r>
      <w:r>
        <w:rPr/>
        <w:t>relación</w:t>
      </w:r>
      <w:r>
        <w:rPr>
          <w:spacing w:val="-14"/>
        </w:rPr>
        <w:t> </w:t>
      </w:r>
      <w:r>
        <w:rPr/>
        <w:t>que</w:t>
      </w:r>
      <w:r>
        <w:rPr>
          <w:spacing w:val="-15"/>
        </w:rPr>
        <w:t> </w:t>
      </w:r>
      <w:r>
        <w:rPr/>
        <w:t>existe</w:t>
      </w:r>
      <w:r>
        <w:rPr>
          <w:spacing w:val="-15"/>
        </w:rPr>
        <w:t> </w:t>
      </w:r>
      <w:r>
        <w:rPr/>
        <w:t>entre</w:t>
      </w:r>
      <w:r>
        <w:rPr>
          <w:spacing w:val="-16"/>
        </w:rPr>
        <w:t> </w:t>
      </w:r>
      <w:r>
        <w:rPr/>
        <w:t>la</w:t>
      </w:r>
      <w:r>
        <w:rPr>
          <w:spacing w:val="-15"/>
        </w:rPr>
        <w:t> </w:t>
      </w:r>
      <w:r>
        <w:rPr/>
        <w:t>utilidad</w:t>
      </w:r>
      <w:r>
        <w:rPr>
          <w:spacing w:val="-13"/>
        </w:rPr>
        <w:t> </w:t>
      </w:r>
      <w:r>
        <w:rPr/>
        <w:t>y</w:t>
      </w:r>
      <w:r>
        <w:rPr>
          <w:spacing w:val="-21"/>
        </w:rPr>
        <w:t> </w:t>
      </w:r>
      <w:r>
        <w:rPr/>
        <w:t>la</w:t>
      </w:r>
      <w:r>
        <w:rPr>
          <w:spacing w:val="-15"/>
        </w:rPr>
        <w:t> </w:t>
      </w:r>
      <w:r>
        <w:rPr/>
        <w:t>inversión</w:t>
      </w:r>
      <w:r>
        <w:rPr>
          <w:spacing w:val="-14"/>
        </w:rPr>
        <w:t> </w:t>
      </w:r>
      <w:r>
        <w:rPr/>
        <w:t>necesaria</w:t>
      </w:r>
      <w:r>
        <w:rPr>
          <w:spacing w:val="-16"/>
        </w:rPr>
        <w:t> </w:t>
      </w:r>
      <w:r>
        <w:rPr/>
        <w:t>para</w:t>
      </w:r>
      <w:r>
        <w:rPr>
          <w:spacing w:val="-16"/>
        </w:rPr>
        <w:t> </w:t>
      </w:r>
      <w:r>
        <w:rPr/>
        <w:t>lograrla, mide la efectividad de la gerencia demostrada por las utilidades obtenidas de las ventas. Las utilidades son la conclusión de una administración competente, </w:t>
      </w:r>
      <w:r>
        <w:rPr>
          <w:spacing w:val="2"/>
        </w:rPr>
        <w:t>una </w:t>
      </w:r>
      <w:r>
        <w:rPr/>
        <w:t>planeación integral de costos y gastos y en general cualquier medida tendiente a la obtención de utilidades. La rentabilidad también es entendida como una noción que se aplica a toda acción económica en la que se movilizan los medios, materiales, humanos y financieros con el fin de obtener ingreso por actividades de producción y</w:t>
      </w:r>
      <w:r>
        <w:rPr>
          <w:spacing w:val="-9"/>
        </w:rPr>
        <w:t> </w:t>
      </w:r>
      <w:r>
        <w:rPr/>
        <w:t>servicios.</w:t>
      </w:r>
    </w:p>
    <w:p>
      <w:pPr>
        <w:spacing w:after="0" w:line="360" w:lineRule="auto"/>
        <w:jc w:val="both"/>
        <w:sectPr>
          <w:pgSz w:w="12240" w:h="15840"/>
          <w:pgMar w:header="0" w:footer="657" w:top="1360" w:bottom="840" w:left="1600" w:right="1580"/>
        </w:sectPr>
      </w:pPr>
    </w:p>
    <w:p>
      <w:pPr>
        <w:pStyle w:val="Heading1"/>
        <w:numPr>
          <w:ilvl w:val="1"/>
          <w:numId w:val="14"/>
        </w:numPr>
        <w:tabs>
          <w:tab w:pos="462" w:val="left" w:leader="none"/>
        </w:tabs>
        <w:spacing w:line="240" w:lineRule="auto" w:before="55" w:after="0"/>
        <w:ind w:left="462" w:right="0" w:hanging="360"/>
        <w:jc w:val="both"/>
      </w:pPr>
      <w:bookmarkStart w:name="_TOC_250026" w:id="16"/>
      <w:r>
        <w:rPr/>
        <w:t>Metodología para analizar la competitividad utilizada en este</w:t>
      </w:r>
      <w:r>
        <w:rPr>
          <w:spacing w:val="-9"/>
        </w:rPr>
        <w:t> </w:t>
      </w:r>
      <w:bookmarkEnd w:id="16"/>
      <w:r>
        <w:rPr/>
        <w:t>estudio</w:t>
      </w:r>
    </w:p>
    <w:p>
      <w:pPr>
        <w:pStyle w:val="BodyText"/>
        <w:rPr>
          <w:b/>
        </w:rPr>
      </w:pPr>
    </w:p>
    <w:p>
      <w:pPr>
        <w:pStyle w:val="BodyText"/>
        <w:rPr>
          <w:b/>
        </w:rPr>
      </w:pPr>
    </w:p>
    <w:p>
      <w:pPr>
        <w:pStyle w:val="BodyText"/>
        <w:spacing w:before="7"/>
        <w:rPr>
          <w:b/>
          <w:sz w:val="23"/>
        </w:rPr>
      </w:pPr>
    </w:p>
    <w:p>
      <w:pPr>
        <w:pStyle w:val="BodyText"/>
        <w:spacing w:line="360" w:lineRule="auto"/>
        <w:ind w:left="102" w:right="114"/>
        <w:jc w:val="both"/>
      </w:pPr>
      <w:r>
        <w:rPr/>
        <w:t>Con</w:t>
      </w:r>
      <w:r>
        <w:rPr>
          <w:spacing w:val="-12"/>
        </w:rPr>
        <w:t> </w:t>
      </w:r>
      <w:r>
        <w:rPr/>
        <w:t>base</w:t>
      </w:r>
      <w:r>
        <w:rPr>
          <w:spacing w:val="-13"/>
        </w:rPr>
        <w:t> </w:t>
      </w:r>
      <w:r>
        <w:rPr/>
        <w:t>en</w:t>
      </w:r>
      <w:r>
        <w:rPr>
          <w:spacing w:val="-12"/>
        </w:rPr>
        <w:t> </w:t>
      </w:r>
      <w:r>
        <w:rPr/>
        <w:t>la</w:t>
      </w:r>
      <w:r>
        <w:rPr>
          <w:spacing w:val="-13"/>
        </w:rPr>
        <w:t> </w:t>
      </w:r>
      <w:r>
        <w:rPr/>
        <w:t>revisión</w:t>
      </w:r>
      <w:r>
        <w:rPr>
          <w:spacing w:val="-12"/>
        </w:rPr>
        <w:t> </w:t>
      </w:r>
      <w:r>
        <w:rPr/>
        <w:t>de</w:t>
      </w:r>
      <w:r>
        <w:rPr>
          <w:spacing w:val="-13"/>
        </w:rPr>
        <w:t> </w:t>
      </w:r>
      <w:r>
        <w:rPr/>
        <w:t>la</w:t>
      </w:r>
      <w:r>
        <w:rPr>
          <w:spacing w:val="-13"/>
        </w:rPr>
        <w:t> </w:t>
      </w:r>
      <w:r>
        <w:rPr/>
        <w:t>literatura,</w:t>
      </w:r>
      <w:r>
        <w:rPr>
          <w:spacing w:val="-12"/>
        </w:rPr>
        <w:t> </w:t>
      </w:r>
      <w:r>
        <w:rPr/>
        <w:t>el</w:t>
      </w:r>
      <w:r>
        <w:rPr>
          <w:spacing w:val="-12"/>
        </w:rPr>
        <w:t> </w:t>
      </w:r>
      <w:r>
        <w:rPr/>
        <w:t>método</w:t>
      </w:r>
      <w:r>
        <w:rPr>
          <w:spacing w:val="-12"/>
        </w:rPr>
        <w:t> </w:t>
      </w:r>
      <w:r>
        <w:rPr/>
        <w:t>más</w:t>
      </w:r>
      <w:r>
        <w:rPr>
          <w:spacing w:val="-12"/>
        </w:rPr>
        <w:t> </w:t>
      </w:r>
      <w:r>
        <w:rPr/>
        <w:t>adecuado</w:t>
      </w:r>
      <w:r>
        <w:rPr>
          <w:spacing w:val="-12"/>
        </w:rPr>
        <w:t> </w:t>
      </w:r>
      <w:r>
        <w:rPr/>
        <w:t>para</w:t>
      </w:r>
      <w:r>
        <w:rPr>
          <w:spacing w:val="-14"/>
        </w:rPr>
        <w:t> </w:t>
      </w:r>
      <w:r>
        <w:rPr/>
        <w:t>medir</w:t>
      </w:r>
      <w:r>
        <w:rPr>
          <w:spacing w:val="-11"/>
        </w:rPr>
        <w:t> </w:t>
      </w:r>
      <w:r>
        <w:rPr/>
        <w:t>la</w:t>
      </w:r>
      <w:r>
        <w:rPr>
          <w:spacing w:val="-13"/>
        </w:rPr>
        <w:t> </w:t>
      </w:r>
      <w:r>
        <w:rPr/>
        <w:t>competitividad en la producción lechera de pequeña escala y en el espectro completo de su cadena agroalimentaria</w:t>
      </w:r>
      <w:r>
        <w:rPr>
          <w:spacing w:val="-7"/>
        </w:rPr>
        <w:t> </w:t>
      </w:r>
      <w:r>
        <w:rPr/>
        <w:t>de</w:t>
      </w:r>
      <w:r>
        <w:rPr>
          <w:spacing w:val="-7"/>
        </w:rPr>
        <w:t> </w:t>
      </w:r>
      <w:r>
        <w:rPr/>
        <w:t>acuerdo</w:t>
      </w:r>
      <w:r>
        <w:rPr>
          <w:spacing w:val="-9"/>
        </w:rPr>
        <w:t> </w:t>
      </w:r>
      <w:r>
        <w:rPr/>
        <w:t>a</w:t>
      </w:r>
      <w:r>
        <w:rPr>
          <w:spacing w:val="-10"/>
        </w:rPr>
        <w:t> </w:t>
      </w:r>
      <w:r>
        <w:rPr/>
        <w:t>los</w:t>
      </w:r>
      <w:r>
        <w:rPr>
          <w:spacing w:val="-8"/>
        </w:rPr>
        <w:t> </w:t>
      </w:r>
      <w:r>
        <w:rPr/>
        <w:t>objetivos</w:t>
      </w:r>
      <w:r>
        <w:rPr>
          <w:spacing w:val="-8"/>
        </w:rPr>
        <w:t> </w:t>
      </w:r>
      <w:r>
        <w:rPr/>
        <w:t>de</w:t>
      </w:r>
      <w:r>
        <w:rPr>
          <w:spacing w:val="-7"/>
        </w:rPr>
        <w:t> </w:t>
      </w:r>
      <w:r>
        <w:rPr/>
        <w:t>este</w:t>
      </w:r>
      <w:r>
        <w:rPr>
          <w:spacing w:val="-5"/>
        </w:rPr>
        <w:t> </w:t>
      </w:r>
      <w:r>
        <w:rPr/>
        <w:t>estudio</w:t>
      </w:r>
      <w:r>
        <w:rPr>
          <w:spacing w:val="-9"/>
        </w:rPr>
        <w:t> </w:t>
      </w:r>
      <w:r>
        <w:rPr/>
        <w:t>se</w:t>
      </w:r>
      <w:r>
        <w:rPr>
          <w:spacing w:val="-9"/>
        </w:rPr>
        <w:t> </w:t>
      </w:r>
      <w:r>
        <w:rPr/>
        <w:t>considera</w:t>
      </w:r>
      <w:r>
        <w:rPr>
          <w:spacing w:val="-10"/>
        </w:rPr>
        <w:t> </w:t>
      </w:r>
      <w:r>
        <w:rPr/>
        <w:t>que</w:t>
      </w:r>
      <w:r>
        <w:rPr>
          <w:spacing w:val="-7"/>
        </w:rPr>
        <w:t> </w:t>
      </w:r>
      <w:r>
        <w:rPr/>
        <w:t>es</w:t>
      </w:r>
      <w:r>
        <w:rPr>
          <w:spacing w:val="-8"/>
        </w:rPr>
        <w:t> </w:t>
      </w:r>
      <w:r>
        <w:rPr/>
        <w:t>la</w:t>
      </w:r>
      <w:r>
        <w:rPr>
          <w:spacing w:val="-9"/>
        </w:rPr>
        <w:t> </w:t>
      </w:r>
      <w:r>
        <w:rPr/>
        <w:t>metodología de la</w:t>
      </w:r>
      <w:r>
        <w:rPr>
          <w:spacing w:val="-3"/>
        </w:rPr>
        <w:t> </w:t>
      </w:r>
      <w:r>
        <w:rPr/>
        <w:t>MAP.</w:t>
      </w:r>
    </w:p>
    <w:p>
      <w:pPr>
        <w:pStyle w:val="BodyText"/>
      </w:pPr>
    </w:p>
    <w:p>
      <w:pPr>
        <w:pStyle w:val="BodyText"/>
      </w:pPr>
    </w:p>
    <w:p>
      <w:pPr>
        <w:pStyle w:val="BodyText"/>
        <w:spacing w:line="360" w:lineRule="auto" w:before="170"/>
        <w:ind w:left="102" w:right="114"/>
        <w:jc w:val="both"/>
      </w:pPr>
      <w:r>
        <w:rPr/>
        <w:t>El</w:t>
      </w:r>
      <w:r>
        <w:rPr>
          <w:spacing w:val="-16"/>
        </w:rPr>
        <w:t> </w:t>
      </w:r>
      <w:r>
        <w:rPr/>
        <w:t>modelo</w:t>
      </w:r>
      <w:r>
        <w:rPr>
          <w:spacing w:val="-16"/>
        </w:rPr>
        <w:t> </w:t>
      </w:r>
      <w:r>
        <w:rPr/>
        <w:t>de</w:t>
      </w:r>
      <w:r>
        <w:rPr>
          <w:spacing w:val="-17"/>
        </w:rPr>
        <w:t> </w:t>
      </w:r>
      <w:r>
        <w:rPr/>
        <w:t>diamante</w:t>
      </w:r>
      <w:r>
        <w:rPr>
          <w:spacing w:val="-16"/>
        </w:rPr>
        <w:t> </w:t>
      </w:r>
      <w:r>
        <w:rPr/>
        <w:t>de</w:t>
      </w:r>
      <w:r>
        <w:rPr>
          <w:spacing w:val="-15"/>
        </w:rPr>
        <w:t> </w:t>
      </w:r>
      <w:r>
        <w:rPr/>
        <w:t>Porter,</w:t>
      </w:r>
      <w:r>
        <w:rPr>
          <w:spacing w:val="-17"/>
        </w:rPr>
        <w:t> </w:t>
      </w:r>
      <w:r>
        <w:rPr/>
        <w:t>es</w:t>
      </w:r>
      <w:r>
        <w:rPr>
          <w:spacing w:val="-16"/>
        </w:rPr>
        <w:t> </w:t>
      </w:r>
      <w:r>
        <w:rPr/>
        <w:t>un</w:t>
      </w:r>
      <w:r>
        <w:rPr>
          <w:spacing w:val="-16"/>
        </w:rPr>
        <w:t> </w:t>
      </w:r>
      <w:r>
        <w:rPr/>
        <w:t>método</w:t>
      </w:r>
      <w:r>
        <w:rPr>
          <w:spacing w:val="-16"/>
        </w:rPr>
        <w:t> </w:t>
      </w:r>
      <w:r>
        <w:rPr/>
        <w:t>analítico</w:t>
      </w:r>
      <w:r>
        <w:rPr>
          <w:spacing w:val="-16"/>
        </w:rPr>
        <w:t> </w:t>
      </w:r>
      <w:r>
        <w:rPr/>
        <w:t>que</w:t>
      </w:r>
      <w:r>
        <w:rPr>
          <w:spacing w:val="-15"/>
        </w:rPr>
        <w:t> </w:t>
      </w:r>
      <w:r>
        <w:rPr/>
        <w:t>determina</w:t>
      </w:r>
      <w:r>
        <w:rPr>
          <w:spacing w:val="-17"/>
        </w:rPr>
        <w:t> </w:t>
      </w:r>
      <w:r>
        <w:rPr/>
        <w:t>la</w:t>
      </w:r>
      <w:r>
        <w:rPr>
          <w:spacing w:val="-16"/>
        </w:rPr>
        <w:t> </w:t>
      </w:r>
      <w:r>
        <w:rPr/>
        <w:t>ventaja</w:t>
      </w:r>
      <w:r>
        <w:rPr>
          <w:spacing w:val="-17"/>
        </w:rPr>
        <w:t> </w:t>
      </w:r>
      <w:r>
        <w:rPr/>
        <w:t>competitiva de una empresa o industria, sin embargo, no define claramente el impacto de políticas agrícolas en la competitividad. Los métodos macroeconómicos necesitan datos de producción</w:t>
      </w:r>
      <w:r>
        <w:rPr>
          <w:spacing w:val="-11"/>
        </w:rPr>
        <w:t> </w:t>
      </w:r>
      <w:r>
        <w:rPr/>
        <w:t>agregados</w:t>
      </w:r>
      <w:r>
        <w:rPr>
          <w:spacing w:val="-6"/>
        </w:rPr>
        <w:t> </w:t>
      </w:r>
      <w:r>
        <w:rPr/>
        <w:t>y</w:t>
      </w:r>
      <w:r>
        <w:rPr>
          <w:spacing w:val="-16"/>
        </w:rPr>
        <w:t> </w:t>
      </w:r>
      <w:r>
        <w:rPr/>
        <w:t>comercio</w:t>
      </w:r>
      <w:r>
        <w:rPr>
          <w:spacing w:val="-11"/>
        </w:rPr>
        <w:t> </w:t>
      </w:r>
      <w:r>
        <w:rPr/>
        <w:t>que</w:t>
      </w:r>
      <w:r>
        <w:rPr>
          <w:spacing w:val="-12"/>
        </w:rPr>
        <w:t> </w:t>
      </w:r>
      <w:r>
        <w:rPr/>
        <w:t>no</w:t>
      </w:r>
      <w:r>
        <w:rPr>
          <w:spacing w:val="-11"/>
        </w:rPr>
        <w:t> </w:t>
      </w:r>
      <w:r>
        <w:rPr/>
        <w:t>están</w:t>
      </w:r>
      <w:r>
        <w:rPr>
          <w:spacing w:val="-11"/>
        </w:rPr>
        <w:t> </w:t>
      </w:r>
      <w:r>
        <w:rPr/>
        <w:t>disponibles</w:t>
      </w:r>
      <w:r>
        <w:rPr>
          <w:spacing w:val="-11"/>
        </w:rPr>
        <w:t> </w:t>
      </w:r>
      <w:r>
        <w:rPr/>
        <w:t>para</w:t>
      </w:r>
      <w:r>
        <w:rPr>
          <w:spacing w:val="-13"/>
        </w:rPr>
        <w:t> </w:t>
      </w:r>
      <w:r>
        <w:rPr/>
        <w:t>el</w:t>
      </w:r>
      <w:r>
        <w:rPr>
          <w:spacing w:val="-11"/>
        </w:rPr>
        <w:t> </w:t>
      </w:r>
      <w:r>
        <w:rPr/>
        <w:t>área</w:t>
      </w:r>
      <w:r>
        <w:rPr>
          <w:spacing w:val="-12"/>
        </w:rPr>
        <w:t> </w:t>
      </w:r>
      <w:r>
        <w:rPr/>
        <w:t>de</w:t>
      </w:r>
      <w:r>
        <w:rPr>
          <w:spacing w:val="-10"/>
        </w:rPr>
        <w:t> </w:t>
      </w:r>
      <w:r>
        <w:rPr/>
        <w:t>estudio.</w:t>
      </w:r>
      <w:r>
        <w:rPr>
          <w:spacing w:val="-11"/>
        </w:rPr>
        <w:t> </w:t>
      </w:r>
      <w:r>
        <w:rPr/>
        <w:t>El</w:t>
      </w:r>
      <w:r>
        <w:rPr>
          <w:spacing w:val="-11"/>
        </w:rPr>
        <w:t> </w:t>
      </w:r>
      <w:r>
        <w:rPr/>
        <w:t>método de UCR, desarrollado por Siggel y Cockburn (1995), es un método de análisis microeconómico que permite analizar la competitividad a nivel individual (productor) muy parecido</w:t>
      </w:r>
      <w:r>
        <w:rPr>
          <w:spacing w:val="-3"/>
        </w:rPr>
        <w:t> </w:t>
      </w:r>
      <w:r>
        <w:rPr/>
        <w:t>al</w:t>
      </w:r>
      <w:r>
        <w:rPr>
          <w:spacing w:val="-6"/>
        </w:rPr>
        <w:t> </w:t>
      </w:r>
      <w:r>
        <w:rPr/>
        <w:t>análisis</w:t>
      </w:r>
      <w:r>
        <w:rPr>
          <w:spacing w:val="-6"/>
        </w:rPr>
        <w:t> </w:t>
      </w:r>
      <w:r>
        <w:rPr/>
        <w:t>del</w:t>
      </w:r>
      <w:r>
        <w:rPr>
          <w:spacing w:val="-6"/>
        </w:rPr>
        <w:t> </w:t>
      </w:r>
      <w:r>
        <w:rPr/>
        <w:t>primer</w:t>
      </w:r>
      <w:r>
        <w:rPr>
          <w:spacing w:val="-7"/>
        </w:rPr>
        <w:t> </w:t>
      </w:r>
      <w:r>
        <w:rPr/>
        <w:t>renglón</w:t>
      </w:r>
      <w:r>
        <w:rPr>
          <w:spacing w:val="-6"/>
        </w:rPr>
        <w:t> </w:t>
      </w:r>
      <w:r>
        <w:rPr/>
        <w:t>de</w:t>
      </w:r>
      <w:r>
        <w:rPr>
          <w:spacing w:val="-7"/>
        </w:rPr>
        <w:t> </w:t>
      </w:r>
      <w:r>
        <w:rPr/>
        <w:t>la</w:t>
      </w:r>
      <w:r>
        <w:rPr>
          <w:spacing w:val="-7"/>
        </w:rPr>
        <w:t> </w:t>
      </w:r>
      <w:r>
        <w:rPr/>
        <w:t>MAP.</w:t>
      </w:r>
      <w:r>
        <w:rPr>
          <w:spacing w:val="-3"/>
        </w:rPr>
        <w:t> </w:t>
      </w:r>
      <w:r>
        <w:rPr/>
        <w:t>No</w:t>
      </w:r>
      <w:r>
        <w:rPr>
          <w:spacing w:val="-7"/>
        </w:rPr>
        <w:t> </w:t>
      </w:r>
      <w:r>
        <w:rPr/>
        <w:t>obstante,</w:t>
      </w:r>
      <w:r>
        <w:rPr>
          <w:spacing w:val="-6"/>
        </w:rPr>
        <w:t> </w:t>
      </w:r>
      <w:r>
        <w:rPr/>
        <w:t>se</w:t>
      </w:r>
      <w:r>
        <w:rPr>
          <w:spacing w:val="-7"/>
        </w:rPr>
        <w:t> </w:t>
      </w:r>
      <w:r>
        <w:rPr/>
        <w:t>prefiere</w:t>
      </w:r>
      <w:r>
        <w:rPr>
          <w:spacing w:val="-6"/>
        </w:rPr>
        <w:t> </w:t>
      </w:r>
      <w:r>
        <w:rPr/>
        <w:t>el</w:t>
      </w:r>
      <w:r>
        <w:rPr>
          <w:spacing w:val="-6"/>
        </w:rPr>
        <w:t> </w:t>
      </w:r>
      <w:r>
        <w:rPr/>
        <w:t>uso</w:t>
      </w:r>
      <w:r>
        <w:rPr>
          <w:spacing w:val="-6"/>
        </w:rPr>
        <w:t> </w:t>
      </w:r>
      <w:r>
        <w:rPr/>
        <w:t>de</w:t>
      </w:r>
      <w:r>
        <w:rPr>
          <w:spacing w:val="-7"/>
        </w:rPr>
        <w:t> </w:t>
      </w:r>
      <w:r>
        <w:rPr/>
        <w:t>la</w:t>
      </w:r>
      <w:r>
        <w:rPr>
          <w:spacing w:val="-7"/>
        </w:rPr>
        <w:t> </w:t>
      </w:r>
      <w:r>
        <w:rPr/>
        <w:t>MAP porque este método es capaz de medir la competitividad a nivel individual (productor) y a nivel</w:t>
      </w:r>
      <w:r>
        <w:rPr>
          <w:spacing w:val="-3"/>
        </w:rPr>
        <w:t> </w:t>
      </w:r>
      <w:r>
        <w:rPr/>
        <w:t>finca.</w:t>
      </w:r>
    </w:p>
    <w:p>
      <w:pPr>
        <w:pStyle w:val="BodyText"/>
      </w:pPr>
    </w:p>
    <w:p>
      <w:pPr>
        <w:pStyle w:val="BodyText"/>
      </w:pPr>
    </w:p>
    <w:p>
      <w:pPr>
        <w:pStyle w:val="BodyText"/>
        <w:spacing w:before="3"/>
        <w:rPr>
          <w:sz w:val="23"/>
        </w:rPr>
      </w:pPr>
    </w:p>
    <w:p>
      <w:pPr>
        <w:pStyle w:val="BodyText"/>
        <w:spacing w:line="360" w:lineRule="auto"/>
        <w:ind w:left="102" w:right="122"/>
        <w:jc w:val="both"/>
      </w:pPr>
      <w:r>
        <w:rPr/>
        <w:t>La MAP, es un modelo de equilibrio parcial del comercio internacional enfocado a patrones eficientes de producción y precios, que permite conocer y evaluar tres aspectos fundamentalmente (Monke y Pearson, 1989; Hernández et al., 2008):</w:t>
      </w:r>
    </w:p>
    <w:p>
      <w:pPr>
        <w:pStyle w:val="BodyText"/>
      </w:pPr>
    </w:p>
    <w:p>
      <w:pPr>
        <w:pStyle w:val="BodyText"/>
      </w:pPr>
    </w:p>
    <w:p>
      <w:pPr>
        <w:pStyle w:val="BodyText"/>
        <w:spacing w:before="1"/>
        <w:rPr>
          <w:sz w:val="23"/>
        </w:rPr>
      </w:pPr>
    </w:p>
    <w:p>
      <w:pPr>
        <w:pStyle w:val="ListParagraph"/>
        <w:numPr>
          <w:ilvl w:val="2"/>
          <w:numId w:val="14"/>
        </w:numPr>
        <w:tabs>
          <w:tab w:pos="822" w:val="left" w:leader="none"/>
        </w:tabs>
        <w:spacing w:line="362" w:lineRule="auto" w:before="0" w:after="0"/>
        <w:ind w:left="822" w:right="123" w:hanging="360"/>
        <w:jc w:val="left"/>
        <w:rPr>
          <w:sz w:val="24"/>
        </w:rPr>
      </w:pPr>
      <w:r>
        <w:rPr>
          <w:sz w:val="24"/>
        </w:rPr>
        <w:t>El impacto de las políticas en la competitividad y en las ganancias a nivel de productor,</w:t>
      </w:r>
    </w:p>
    <w:p>
      <w:pPr>
        <w:pStyle w:val="ListParagraph"/>
        <w:numPr>
          <w:ilvl w:val="2"/>
          <w:numId w:val="14"/>
        </w:numPr>
        <w:tabs>
          <w:tab w:pos="822" w:val="left" w:leader="none"/>
        </w:tabs>
        <w:spacing w:line="240" w:lineRule="auto" w:before="203" w:after="0"/>
        <w:ind w:left="822" w:right="0" w:hanging="360"/>
        <w:jc w:val="left"/>
        <w:rPr>
          <w:sz w:val="24"/>
        </w:rPr>
      </w:pPr>
      <w:r>
        <w:rPr>
          <w:sz w:val="24"/>
        </w:rPr>
        <w:t>El impacto de inversiones en la eficacia económica y en las ventajas comparativas,</w:t>
      </w:r>
      <w:r>
        <w:rPr>
          <w:spacing w:val="-20"/>
          <w:sz w:val="24"/>
        </w:rPr>
        <w:t> </w:t>
      </w:r>
      <w:r>
        <w:rPr>
          <w:sz w:val="24"/>
        </w:rPr>
        <w:t>y</w:t>
      </w:r>
    </w:p>
    <w:p>
      <w:pPr>
        <w:pStyle w:val="BodyText"/>
        <w:spacing w:before="2"/>
        <w:rPr>
          <w:sz w:val="29"/>
        </w:rPr>
      </w:pPr>
    </w:p>
    <w:p>
      <w:pPr>
        <w:pStyle w:val="ListParagraph"/>
        <w:numPr>
          <w:ilvl w:val="2"/>
          <w:numId w:val="14"/>
        </w:numPr>
        <w:tabs>
          <w:tab w:pos="822" w:val="left" w:leader="none"/>
        </w:tabs>
        <w:spacing w:line="360" w:lineRule="auto" w:before="0" w:after="0"/>
        <w:ind w:left="822" w:right="126" w:hanging="360"/>
        <w:jc w:val="left"/>
        <w:rPr>
          <w:sz w:val="24"/>
        </w:rPr>
      </w:pPr>
      <w:r>
        <w:rPr>
          <w:sz w:val="24"/>
        </w:rPr>
        <w:t>Los efectos de las investigaciones potenciales sobre el cambio en las tecnologías actuales.</w:t>
      </w:r>
    </w:p>
    <w:p>
      <w:pPr>
        <w:spacing w:after="0" w:line="360" w:lineRule="auto"/>
        <w:jc w:val="left"/>
        <w:rPr>
          <w:sz w:val="24"/>
        </w:rPr>
        <w:sectPr>
          <w:pgSz w:w="12240" w:h="15840"/>
          <w:pgMar w:header="0" w:footer="657" w:top="1360" w:bottom="840" w:left="1600" w:right="1580"/>
        </w:sectPr>
      </w:pPr>
    </w:p>
    <w:p>
      <w:pPr>
        <w:pStyle w:val="BodyText"/>
        <w:spacing w:line="360" w:lineRule="auto" w:before="50"/>
        <w:ind w:left="102" w:right="116"/>
        <w:jc w:val="both"/>
      </w:pPr>
      <w:r>
        <w:rPr/>
        <w:t>La MAP, está apoyada en gran medida en la teoría de ventaja comparativa aunque se perfecciona con la metodología de análisis de ingreso e inversión del Instituto de Desarrollo Económico del Banco Mundial (Zamora, 2008). </w:t>
      </w:r>
      <w:r>
        <w:rPr>
          <w:spacing w:val="-3"/>
        </w:rPr>
        <w:t>La </w:t>
      </w:r>
      <w:r>
        <w:rPr/>
        <w:t>MAP se basa en un sistema de contabilidad</w:t>
      </w:r>
      <w:r>
        <w:rPr>
          <w:spacing w:val="-6"/>
        </w:rPr>
        <w:t> </w:t>
      </w:r>
      <w:r>
        <w:rPr/>
        <w:t>de</w:t>
      </w:r>
      <w:r>
        <w:rPr>
          <w:spacing w:val="-7"/>
        </w:rPr>
        <w:t> </w:t>
      </w:r>
      <w:r>
        <w:rPr/>
        <w:t>doble</w:t>
      </w:r>
      <w:r>
        <w:rPr>
          <w:spacing w:val="-7"/>
        </w:rPr>
        <w:t> </w:t>
      </w:r>
      <w:r>
        <w:rPr/>
        <w:t>entrada,</w:t>
      </w:r>
      <w:r>
        <w:rPr>
          <w:spacing w:val="-6"/>
        </w:rPr>
        <w:t> </w:t>
      </w:r>
      <w:r>
        <w:rPr/>
        <w:t>el</w:t>
      </w:r>
      <w:r>
        <w:rPr>
          <w:spacing w:val="-3"/>
        </w:rPr>
        <w:t> </w:t>
      </w:r>
      <w:r>
        <w:rPr/>
        <w:t>cual</w:t>
      </w:r>
      <w:r>
        <w:rPr>
          <w:spacing w:val="-6"/>
        </w:rPr>
        <w:t> </w:t>
      </w:r>
      <w:r>
        <w:rPr/>
        <w:t>proporciona</w:t>
      </w:r>
      <w:r>
        <w:rPr>
          <w:spacing w:val="-4"/>
        </w:rPr>
        <w:t> </w:t>
      </w:r>
      <w:r>
        <w:rPr/>
        <w:t>una</w:t>
      </w:r>
      <w:r>
        <w:rPr>
          <w:spacing w:val="-7"/>
        </w:rPr>
        <w:t> </w:t>
      </w:r>
      <w:r>
        <w:rPr/>
        <w:t>completa</w:t>
      </w:r>
      <w:r>
        <w:rPr>
          <w:spacing w:val="-1"/>
        </w:rPr>
        <w:t> </w:t>
      </w:r>
      <w:r>
        <w:rPr/>
        <w:t>y</w:t>
      </w:r>
      <w:r>
        <w:rPr>
          <w:spacing w:val="-12"/>
        </w:rPr>
        <w:t> </w:t>
      </w:r>
      <w:r>
        <w:rPr/>
        <w:t>consistente</w:t>
      </w:r>
      <w:r>
        <w:rPr>
          <w:spacing w:val="-7"/>
        </w:rPr>
        <w:t> </w:t>
      </w:r>
      <w:r>
        <w:rPr/>
        <w:t>cobertura</w:t>
      </w:r>
      <w:r>
        <w:rPr>
          <w:spacing w:val="-7"/>
        </w:rPr>
        <w:t> </w:t>
      </w:r>
      <w:r>
        <w:rPr/>
        <w:t>para todos los efectos que tienen las diferentes políticas sobre la rentabilidad y costos de producción. Analiza desde una respuesta a un precio de producto o insumo hasta los efectos de una restricción cuantitativa al comercio exterior o fluctuaciones en el tipo de cambio real y de equilibrio (Monke y Pearson,</w:t>
      </w:r>
      <w:r>
        <w:rPr>
          <w:spacing w:val="-7"/>
        </w:rPr>
        <w:t> </w:t>
      </w:r>
      <w:r>
        <w:rPr/>
        <w:t>1989).</w:t>
      </w:r>
    </w:p>
    <w:p>
      <w:pPr>
        <w:pStyle w:val="BodyText"/>
      </w:pPr>
    </w:p>
    <w:p>
      <w:pPr>
        <w:pStyle w:val="BodyText"/>
      </w:pPr>
    </w:p>
    <w:p>
      <w:pPr>
        <w:pStyle w:val="BodyText"/>
        <w:spacing w:before="1"/>
        <w:rPr>
          <w:sz w:val="23"/>
        </w:rPr>
      </w:pPr>
    </w:p>
    <w:p>
      <w:pPr>
        <w:pStyle w:val="BodyText"/>
        <w:spacing w:line="360" w:lineRule="auto"/>
        <w:ind w:left="102" w:right="120"/>
        <w:jc w:val="both"/>
      </w:pPr>
      <w:r>
        <w:rPr/>
        <w:t>Para obtener la MAP se construyen las matrices de ingresos, costos y ganancias tanto a precios privados como a precios económicos. Los precios privados son aquellos precios que se encuentran en el mercado actualmente; es decir, los precios a los que el productor se enfrenta en las diferentes transacciones que realiza en tiempo real. Los precios de eficiencia económica o también conocidos como sociales señalan los efectos de las políticas, que dan lugar al uso ineficiente de los recursos; por lo que muestran el valor de escasez.</w:t>
      </w:r>
    </w:p>
    <w:p>
      <w:pPr>
        <w:pStyle w:val="BodyText"/>
      </w:pPr>
    </w:p>
    <w:p>
      <w:pPr>
        <w:pStyle w:val="BodyText"/>
      </w:pPr>
    </w:p>
    <w:p>
      <w:pPr>
        <w:pStyle w:val="BodyText"/>
        <w:spacing w:before="8"/>
        <w:rPr>
          <w:sz w:val="23"/>
        </w:rPr>
      </w:pPr>
    </w:p>
    <w:p>
      <w:pPr>
        <w:pStyle w:val="Heading1"/>
        <w:numPr>
          <w:ilvl w:val="1"/>
          <w:numId w:val="14"/>
        </w:numPr>
        <w:tabs>
          <w:tab w:pos="462" w:val="left" w:leader="none"/>
        </w:tabs>
        <w:spacing w:line="240" w:lineRule="auto" w:before="0" w:after="0"/>
        <w:ind w:left="462" w:right="0" w:hanging="360"/>
        <w:jc w:val="both"/>
      </w:pPr>
      <w:bookmarkStart w:name="_TOC_250025" w:id="17"/>
      <w:r>
        <w:rPr/>
        <w:t>Riesgo e</w:t>
      </w:r>
      <w:r>
        <w:rPr>
          <w:spacing w:val="-6"/>
        </w:rPr>
        <w:t> </w:t>
      </w:r>
      <w:bookmarkEnd w:id="17"/>
      <w:r>
        <w:rPr/>
        <w:t>incertidumbre</w:t>
      </w:r>
    </w:p>
    <w:p>
      <w:pPr>
        <w:pStyle w:val="BodyText"/>
        <w:rPr>
          <w:b/>
        </w:rPr>
      </w:pPr>
    </w:p>
    <w:p>
      <w:pPr>
        <w:pStyle w:val="BodyText"/>
        <w:rPr>
          <w:b/>
        </w:rPr>
      </w:pPr>
    </w:p>
    <w:p>
      <w:pPr>
        <w:pStyle w:val="BodyText"/>
        <w:spacing w:before="2"/>
        <w:rPr>
          <w:b/>
          <w:sz w:val="34"/>
        </w:rPr>
      </w:pPr>
    </w:p>
    <w:p>
      <w:pPr>
        <w:pStyle w:val="BodyText"/>
        <w:spacing w:line="360" w:lineRule="auto"/>
        <w:ind w:left="102" w:right="111"/>
        <w:jc w:val="both"/>
      </w:pPr>
      <w:r>
        <w:rPr/>
        <w:t>La incertidumbre y el riesgo son inherentes en todas las empresas y negocios (Hardaker y Lien, 2010), la incertidumbre se denomina como un conocimiento imperfecto, mientras que el riesgo se define como una consecuencia incierta, particularmente expuesto a escenarios desfavorables (Hardaker et al. 2004a). Roberst et al. (2004) añaden que la incertidumbre no tiene una probabilidad estimada de que un evento ocurra pero el riesgo sí. La incertidumbre y el riesgo son dos variables sumamente importantes en la toma de decisiones de cualquier negocio por pequeño que este sea (Danielle, 2008).</w:t>
      </w:r>
    </w:p>
    <w:p>
      <w:pPr>
        <w:pStyle w:val="BodyText"/>
      </w:pPr>
    </w:p>
    <w:p>
      <w:pPr>
        <w:pStyle w:val="BodyText"/>
        <w:spacing w:before="8"/>
        <w:rPr>
          <w:sz w:val="29"/>
        </w:rPr>
      </w:pPr>
    </w:p>
    <w:p>
      <w:pPr>
        <w:pStyle w:val="BodyText"/>
        <w:spacing w:line="360" w:lineRule="auto" w:before="1"/>
        <w:ind w:left="102" w:right="119"/>
        <w:jc w:val="both"/>
      </w:pPr>
      <w:r>
        <w:rPr/>
        <w:t>El riesgo en la agricultura es un fenómeno generalizado y complejo, sobre todo en la producción agrícola (Lien, 2003; Hardaker et al., 2004b). Los agricultores se enfrentan a</w:t>
      </w:r>
    </w:p>
    <w:p>
      <w:pPr>
        <w:spacing w:after="0" w:line="360" w:lineRule="auto"/>
        <w:jc w:val="both"/>
        <w:sectPr>
          <w:footerReference w:type="default" r:id="rId80"/>
          <w:pgSz w:w="12240" w:h="15840"/>
          <w:pgMar w:footer="657" w:header="0" w:top="1360" w:bottom="840" w:left="1600" w:right="1580"/>
        </w:sectPr>
      </w:pPr>
    </w:p>
    <w:p>
      <w:pPr>
        <w:pStyle w:val="BodyText"/>
        <w:spacing w:line="360" w:lineRule="auto" w:before="50"/>
        <w:ind w:left="102" w:right="115"/>
        <w:jc w:val="both"/>
      </w:pPr>
      <w:r>
        <w:rPr/>
        <w:t>precios de insumos inestables, cambio en la producción y tecnología como resultado inherente a sus operaciones agrícolas. Estos cambios afectan la fluctuación de rentabilidad en la finca de una estación a otra y de un año a otro.</w:t>
      </w:r>
    </w:p>
    <w:p>
      <w:pPr>
        <w:pStyle w:val="BodyText"/>
      </w:pPr>
    </w:p>
    <w:p>
      <w:pPr>
        <w:pStyle w:val="BodyText"/>
        <w:spacing w:line="360" w:lineRule="auto" w:before="143"/>
        <w:ind w:left="102" w:right="114"/>
        <w:jc w:val="both"/>
      </w:pPr>
      <w:r>
        <w:rPr/>
        <w:t>Las fuentes de riesgo y el nivel de su severidad pueden variar de acuerdo con el sistema de cultivo,</w:t>
      </w:r>
      <w:r>
        <w:rPr>
          <w:spacing w:val="-12"/>
        </w:rPr>
        <w:t> </w:t>
      </w:r>
      <w:r>
        <w:rPr/>
        <w:t>la</w:t>
      </w:r>
      <w:r>
        <w:rPr>
          <w:spacing w:val="-13"/>
        </w:rPr>
        <w:t> </w:t>
      </w:r>
      <w:r>
        <w:rPr/>
        <w:t>ubicación</w:t>
      </w:r>
      <w:r>
        <w:rPr>
          <w:spacing w:val="-9"/>
        </w:rPr>
        <w:t> </w:t>
      </w:r>
      <w:r>
        <w:rPr/>
        <w:t>geográfica,</w:t>
      </w:r>
      <w:r>
        <w:rPr>
          <w:spacing w:val="-12"/>
        </w:rPr>
        <w:t> </w:t>
      </w:r>
      <w:r>
        <w:rPr/>
        <w:t>las</w:t>
      </w:r>
      <w:r>
        <w:rPr>
          <w:spacing w:val="-12"/>
        </w:rPr>
        <w:t> </w:t>
      </w:r>
      <w:r>
        <w:rPr/>
        <w:t>condiciones</w:t>
      </w:r>
      <w:r>
        <w:rPr>
          <w:spacing w:val="-12"/>
        </w:rPr>
        <w:t> </w:t>
      </w:r>
      <w:r>
        <w:rPr/>
        <w:t>climáticas,</w:t>
      </w:r>
      <w:r>
        <w:rPr>
          <w:spacing w:val="-12"/>
        </w:rPr>
        <w:t> </w:t>
      </w:r>
      <w:r>
        <w:rPr/>
        <w:t>el</w:t>
      </w:r>
      <w:r>
        <w:rPr>
          <w:spacing w:val="-12"/>
        </w:rPr>
        <w:t> </w:t>
      </w:r>
      <w:r>
        <w:rPr/>
        <w:t>apoyo</w:t>
      </w:r>
      <w:r>
        <w:rPr>
          <w:spacing w:val="-10"/>
        </w:rPr>
        <w:t> </w:t>
      </w:r>
      <w:r>
        <w:rPr/>
        <w:t>de</w:t>
      </w:r>
      <w:r>
        <w:rPr>
          <w:spacing w:val="-13"/>
        </w:rPr>
        <w:t> </w:t>
      </w:r>
      <w:r>
        <w:rPr/>
        <w:t>políticas</w:t>
      </w:r>
      <w:r>
        <w:rPr>
          <w:spacing w:val="-12"/>
        </w:rPr>
        <w:t> </w:t>
      </w:r>
      <w:r>
        <w:rPr/>
        <w:t>de</w:t>
      </w:r>
      <w:r>
        <w:rPr>
          <w:spacing w:val="-10"/>
        </w:rPr>
        <w:t> </w:t>
      </w:r>
      <w:r>
        <w:rPr/>
        <w:t>gobierno y los tipos de fincas. El riesgo es una de las principales preocupaciones de los países en vías de</w:t>
      </w:r>
      <w:r>
        <w:rPr>
          <w:spacing w:val="-7"/>
        </w:rPr>
        <w:t> </w:t>
      </w:r>
      <w:r>
        <w:rPr/>
        <w:t>desarrollo</w:t>
      </w:r>
      <w:r>
        <w:rPr>
          <w:spacing w:val="-6"/>
        </w:rPr>
        <w:t> </w:t>
      </w:r>
      <w:r>
        <w:rPr/>
        <w:t>donde</w:t>
      </w:r>
      <w:r>
        <w:rPr>
          <w:spacing w:val="-7"/>
        </w:rPr>
        <w:t> </w:t>
      </w:r>
      <w:r>
        <w:rPr/>
        <w:t>los</w:t>
      </w:r>
      <w:r>
        <w:rPr>
          <w:spacing w:val="-3"/>
        </w:rPr>
        <w:t> </w:t>
      </w:r>
      <w:r>
        <w:rPr/>
        <w:t>agricultores</w:t>
      </w:r>
      <w:r>
        <w:rPr>
          <w:spacing w:val="-6"/>
        </w:rPr>
        <w:t> </w:t>
      </w:r>
      <w:r>
        <w:rPr/>
        <w:t>tienen</w:t>
      </w:r>
      <w:r>
        <w:rPr>
          <w:spacing w:val="-4"/>
        </w:rPr>
        <w:t> </w:t>
      </w:r>
      <w:r>
        <w:rPr/>
        <w:t>información</w:t>
      </w:r>
      <w:r>
        <w:rPr>
          <w:spacing w:val="-6"/>
        </w:rPr>
        <w:t> </w:t>
      </w:r>
      <w:r>
        <w:rPr/>
        <w:t>imperfecta</w:t>
      </w:r>
      <w:r>
        <w:rPr>
          <w:spacing w:val="-5"/>
        </w:rPr>
        <w:t> </w:t>
      </w:r>
      <w:r>
        <w:rPr/>
        <w:t>para</w:t>
      </w:r>
      <w:r>
        <w:rPr>
          <w:spacing w:val="-7"/>
        </w:rPr>
        <w:t> </w:t>
      </w:r>
      <w:r>
        <w:rPr/>
        <w:t>predecir</w:t>
      </w:r>
      <w:r>
        <w:rPr>
          <w:spacing w:val="-4"/>
        </w:rPr>
        <w:t> </w:t>
      </w:r>
      <w:r>
        <w:rPr/>
        <w:t>el</w:t>
      </w:r>
      <w:r>
        <w:rPr>
          <w:spacing w:val="-6"/>
        </w:rPr>
        <w:t> </w:t>
      </w:r>
      <w:r>
        <w:rPr/>
        <w:t>precio</w:t>
      </w:r>
      <w:r>
        <w:rPr>
          <w:spacing w:val="-5"/>
        </w:rPr>
        <w:t> </w:t>
      </w:r>
      <w:r>
        <w:rPr/>
        <w:t>de los insumos agrícolas, productos, y las condiciones meteorológicas, que pueden afectar a</w:t>
      </w:r>
      <w:r>
        <w:rPr>
          <w:spacing w:val="-36"/>
        </w:rPr>
        <w:t> </w:t>
      </w:r>
      <w:r>
        <w:rPr/>
        <w:t>las fincas en el futuro (Aditto,</w:t>
      </w:r>
      <w:r>
        <w:rPr>
          <w:spacing w:val="-6"/>
        </w:rPr>
        <w:t> </w:t>
      </w:r>
      <w:r>
        <w:rPr/>
        <w:t>2011).</w:t>
      </w:r>
    </w:p>
    <w:p>
      <w:pPr>
        <w:pStyle w:val="BodyText"/>
      </w:pPr>
    </w:p>
    <w:p>
      <w:pPr>
        <w:pStyle w:val="BodyText"/>
        <w:spacing w:line="360" w:lineRule="auto" w:before="143"/>
        <w:ind w:left="102" w:right="115"/>
        <w:jc w:val="both"/>
      </w:pPr>
      <w:r>
        <w:rPr/>
        <w:t>El riesgo en la agricultura se clasifica en riesgo de negocio y riesgo financiero (Hardaker et al.,</w:t>
      </w:r>
      <w:r>
        <w:rPr>
          <w:spacing w:val="-7"/>
        </w:rPr>
        <w:t> </w:t>
      </w:r>
      <w:r>
        <w:rPr/>
        <w:t>2004a;</w:t>
      </w:r>
      <w:r>
        <w:rPr>
          <w:spacing w:val="-7"/>
        </w:rPr>
        <w:t> </w:t>
      </w:r>
      <w:r>
        <w:rPr/>
        <w:t>Harwood</w:t>
      </w:r>
      <w:r>
        <w:rPr>
          <w:spacing w:val="-5"/>
        </w:rPr>
        <w:t> </w:t>
      </w:r>
      <w:r>
        <w:rPr/>
        <w:t>et</w:t>
      </w:r>
      <w:r>
        <w:rPr>
          <w:spacing w:val="-7"/>
        </w:rPr>
        <w:t> </w:t>
      </w:r>
      <w:r>
        <w:rPr/>
        <w:t>al.,</w:t>
      </w:r>
      <w:r>
        <w:rPr>
          <w:spacing w:val="-7"/>
        </w:rPr>
        <w:t> </w:t>
      </w:r>
      <w:r>
        <w:rPr/>
        <w:t>1999).</w:t>
      </w:r>
      <w:r>
        <w:rPr>
          <w:spacing w:val="-7"/>
        </w:rPr>
        <w:t> </w:t>
      </w:r>
      <w:r>
        <w:rPr/>
        <w:t>El</w:t>
      </w:r>
      <w:r>
        <w:rPr>
          <w:spacing w:val="-7"/>
        </w:rPr>
        <w:t> </w:t>
      </w:r>
      <w:r>
        <w:rPr/>
        <w:t>riesgo</w:t>
      </w:r>
      <w:r>
        <w:rPr>
          <w:spacing w:val="-7"/>
        </w:rPr>
        <w:t> </w:t>
      </w:r>
      <w:r>
        <w:rPr/>
        <w:t>de</w:t>
      </w:r>
      <w:r>
        <w:rPr>
          <w:spacing w:val="-8"/>
        </w:rPr>
        <w:t> </w:t>
      </w:r>
      <w:r>
        <w:rPr/>
        <w:t>negocio</w:t>
      </w:r>
      <w:r>
        <w:rPr>
          <w:spacing w:val="-7"/>
        </w:rPr>
        <w:t> </w:t>
      </w:r>
      <w:r>
        <w:rPr/>
        <w:t>afecta</w:t>
      </w:r>
      <w:r>
        <w:rPr>
          <w:spacing w:val="-7"/>
        </w:rPr>
        <w:t> </w:t>
      </w:r>
      <w:r>
        <w:rPr/>
        <w:t>directamente</w:t>
      </w:r>
      <w:r>
        <w:rPr>
          <w:spacing w:val="-6"/>
        </w:rPr>
        <w:t> </w:t>
      </w:r>
      <w:r>
        <w:rPr/>
        <w:t>la</w:t>
      </w:r>
      <w:r>
        <w:rPr>
          <w:spacing w:val="-8"/>
        </w:rPr>
        <w:t> </w:t>
      </w:r>
      <w:r>
        <w:rPr/>
        <w:t>rentabilidad</w:t>
      </w:r>
      <w:r>
        <w:rPr>
          <w:spacing w:val="-7"/>
        </w:rPr>
        <w:t> </w:t>
      </w:r>
      <w:r>
        <w:rPr/>
        <w:t>de las</w:t>
      </w:r>
      <w:r>
        <w:rPr>
          <w:spacing w:val="-10"/>
        </w:rPr>
        <w:t> </w:t>
      </w:r>
      <w:r>
        <w:rPr/>
        <w:t>granjas</w:t>
      </w:r>
      <w:r>
        <w:rPr>
          <w:spacing w:val="-10"/>
        </w:rPr>
        <w:t> </w:t>
      </w:r>
      <w:r>
        <w:rPr/>
        <w:t>incluye</w:t>
      </w:r>
      <w:r>
        <w:rPr>
          <w:spacing w:val="-8"/>
        </w:rPr>
        <w:t> </w:t>
      </w:r>
      <w:r>
        <w:rPr/>
        <w:t>factores</w:t>
      </w:r>
      <w:r>
        <w:rPr>
          <w:spacing w:val="-9"/>
        </w:rPr>
        <w:t> </w:t>
      </w:r>
      <w:r>
        <w:rPr/>
        <w:t>como</w:t>
      </w:r>
      <w:r>
        <w:rPr>
          <w:spacing w:val="-9"/>
        </w:rPr>
        <w:t> </w:t>
      </w:r>
      <w:r>
        <w:rPr/>
        <w:t>el</w:t>
      </w:r>
      <w:r>
        <w:rPr>
          <w:spacing w:val="-9"/>
        </w:rPr>
        <w:t> </w:t>
      </w:r>
      <w:r>
        <w:rPr/>
        <w:t>cambio</w:t>
      </w:r>
      <w:r>
        <w:rPr>
          <w:spacing w:val="-8"/>
        </w:rPr>
        <w:t> </w:t>
      </w:r>
      <w:r>
        <w:rPr/>
        <w:t>climático,</w:t>
      </w:r>
      <w:r>
        <w:rPr>
          <w:spacing w:val="-10"/>
        </w:rPr>
        <w:t> </w:t>
      </w:r>
      <w:r>
        <w:rPr/>
        <w:t>sequías,</w:t>
      </w:r>
      <w:r>
        <w:rPr>
          <w:spacing w:val="-9"/>
        </w:rPr>
        <w:t> </w:t>
      </w:r>
      <w:r>
        <w:rPr/>
        <w:t>enfermedades</w:t>
      </w:r>
      <w:r>
        <w:rPr>
          <w:spacing w:val="-6"/>
        </w:rPr>
        <w:t> </w:t>
      </w:r>
      <w:r>
        <w:rPr/>
        <w:t>y</w:t>
      </w:r>
      <w:r>
        <w:rPr>
          <w:spacing w:val="-14"/>
        </w:rPr>
        <w:t> </w:t>
      </w:r>
      <w:r>
        <w:rPr/>
        <w:t>la</w:t>
      </w:r>
      <w:r>
        <w:rPr>
          <w:spacing w:val="-10"/>
        </w:rPr>
        <w:t> </w:t>
      </w:r>
      <w:r>
        <w:rPr/>
        <w:t>volatilidad en el precio de insumos y productos. El riesgo en el precio de insumos y productos se puede describir como su fluctuación en el mercado, proveniente por la oferta y demanda. Estos incluyen la imprevisibilidad de la oferta agrícola, cambios en el comportamiento de los consumidores</w:t>
      </w:r>
      <w:r>
        <w:rPr>
          <w:spacing w:val="-7"/>
        </w:rPr>
        <w:t> </w:t>
      </w:r>
      <w:r>
        <w:rPr/>
        <w:t>y</w:t>
      </w:r>
      <w:r>
        <w:rPr>
          <w:spacing w:val="-16"/>
        </w:rPr>
        <w:t> </w:t>
      </w:r>
      <w:r>
        <w:rPr/>
        <w:t>de</w:t>
      </w:r>
      <w:r>
        <w:rPr>
          <w:spacing w:val="-12"/>
        </w:rPr>
        <w:t> </w:t>
      </w:r>
      <w:r>
        <w:rPr/>
        <w:t>los</w:t>
      </w:r>
      <w:r>
        <w:rPr>
          <w:spacing w:val="-10"/>
        </w:rPr>
        <w:t> </w:t>
      </w:r>
      <w:r>
        <w:rPr/>
        <w:t>ingresos,</w:t>
      </w:r>
      <w:r>
        <w:rPr>
          <w:spacing w:val="-11"/>
        </w:rPr>
        <w:t> </w:t>
      </w:r>
      <w:r>
        <w:rPr/>
        <w:t>las</w:t>
      </w:r>
      <w:r>
        <w:rPr>
          <w:spacing w:val="-11"/>
        </w:rPr>
        <w:t> </w:t>
      </w:r>
      <w:r>
        <w:rPr/>
        <w:t>barreras</w:t>
      </w:r>
      <w:r>
        <w:rPr>
          <w:spacing w:val="-9"/>
        </w:rPr>
        <w:t> </w:t>
      </w:r>
      <w:r>
        <w:rPr/>
        <w:t>al</w:t>
      </w:r>
      <w:r>
        <w:rPr>
          <w:spacing w:val="-11"/>
        </w:rPr>
        <w:t> </w:t>
      </w:r>
      <w:r>
        <w:rPr/>
        <w:t>comercio</w:t>
      </w:r>
      <w:r>
        <w:rPr>
          <w:spacing w:val="-11"/>
        </w:rPr>
        <w:t> </w:t>
      </w:r>
      <w:r>
        <w:rPr/>
        <w:t>internacional</w:t>
      </w:r>
      <w:r>
        <w:rPr>
          <w:spacing w:val="-9"/>
        </w:rPr>
        <w:t> </w:t>
      </w:r>
      <w:r>
        <w:rPr/>
        <w:t>e</w:t>
      </w:r>
      <w:r>
        <w:rPr>
          <w:spacing w:val="-10"/>
        </w:rPr>
        <w:t> </w:t>
      </w:r>
      <w:r>
        <w:rPr/>
        <w:t>inestabilidad</w:t>
      </w:r>
      <w:r>
        <w:rPr>
          <w:spacing w:val="-12"/>
        </w:rPr>
        <w:t> </w:t>
      </w:r>
      <w:r>
        <w:rPr/>
        <w:t>del</w:t>
      </w:r>
      <w:r>
        <w:rPr>
          <w:spacing w:val="-11"/>
        </w:rPr>
        <w:t> </w:t>
      </w:r>
      <w:r>
        <w:rPr/>
        <w:t>tipo de cambio (Hardaker et al., 2004a). Así mismo, los productores agropecuarios se enfrentan a</w:t>
      </w:r>
      <w:r>
        <w:rPr>
          <w:spacing w:val="-10"/>
        </w:rPr>
        <w:t> </w:t>
      </w:r>
      <w:r>
        <w:rPr/>
        <w:t>riesgos</w:t>
      </w:r>
      <w:r>
        <w:rPr>
          <w:spacing w:val="-8"/>
        </w:rPr>
        <w:t> </w:t>
      </w:r>
      <w:r>
        <w:rPr/>
        <w:t>internos</w:t>
      </w:r>
      <w:r>
        <w:rPr>
          <w:spacing w:val="-9"/>
        </w:rPr>
        <w:t> </w:t>
      </w:r>
      <w:r>
        <w:rPr/>
        <w:t>como,</w:t>
      </w:r>
      <w:r>
        <w:rPr>
          <w:spacing w:val="-7"/>
        </w:rPr>
        <w:t> </w:t>
      </w:r>
      <w:r>
        <w:rPr/>
        <w:t>disponibilidad</w:t>
      </w:r>
      <w:r>
        <w:rPr>
          <w:spacing w:val="-9"/>
        </w:rPr>
        <w:t> </w:t>
      </w:r>
      <w:r>
        <w:rPr/>
        <w:t>de</w:t>
      </w:r>
      <w:r>
        <w:rPr>
          <w:spacing w:val="-10"/>
        </w:rPr>
        <w:t> </w:t>
      </w:r>
      <w:r>
        <w:rPr/>
        <w:t>mano</w:t>
      </w:r>
      <w:r>
        <w:rPr>
          <w:spacing w:val="-9"/>
        </w:rPr>
        <w:t> </w:t>
      </w:r>
      <w:r>
        <w:rPr/>
        <w:t>de</w:t>
      </w:r>
      <w:r>
        <w:rPr>
          <w:spacing w:val="-10"/>
        </w:rPr>
        <w:t> </w:t>
      </w:r>
      <w:r>
        <w:rPr/>
        <w:t>obra,</w:t>
      </w:r>
      <w:r>
        <w:rPr>
          <w:spacing w:val="-9"/>
        </w:rPr>
        <w:t> </w:t>
      </w:r>
      <w:r>
        <w:rPr/>
        <w:t>salud</w:t>
      </w:r>
      <w:r>
        <w:rPr>
          <w:spacing w:val="-8"/>
        </w:rPr>
        <w:t> </w:t>
      </w:r>
      <w:r>
        <w:rPr/>
        <w:t>de</w:t>
      </w:r>
      <w:r>
        <w:rPr>
          <w:spacing w:val="-10"/>
        </w:rPr>
        <w:t> </w:t>
      </w:r>
      <w:r>
        <w:rPr/>
        <w:t>los</w:t>
      </w:r>
      <w:r>
        <w:rPr>
          <w:spacing w:val="-8"/>
        </w:rPr>
        <w:t> </w:t>
      </w:r>
      <w:r>
        <w:rPr/>
        <w:t>miembros</w:t>
      </w:r>
      <w:r>
        <w:rPr>
          <w:spacing w:val="-9"/>
        </w:rPr>
        <w:t> </w:t>
      </w:r>
      <w:r>
        <w:rPr/>
        <w:t>de</w:t>
      </w:r>
      <w:r>
        <w:rPr>
          <w:spacing w:val="-10"/>
        </w:rPr>
        <w:t> </w:t>
      </w:r>
      <w:r>
        <w:rPr/>
        <w:t>la</w:t>
      </w:r>
      <w:r>
        <w:rPr>
          <w:spacing w:val="-9"/>
        </w:rPr>
        <w:t> </w:t>
      </w:r>
      <w:r>
        <w:rPr/>
        <w:t>familia y crisis económicas que pueden afectar seriamente la estabilidad económica de una</w:t>
      </w:r>
      <w:r>
        <w:rPr>
          <w:spacing w:val="-15"/>
        </w:rPr>
        <w:t> </w:t>
      </w:r>
      <w:r>
        <w:rPr/>
        <w:t>granja.</w:t>
      </w:r>
    </w:p>
    <w:p>
      <w:pPr>
        <w:pStyle w:val="BodyText"/>
      </w:pPr>
    </w:p>
    <w:p>
      <w:pPr>
        <w:pStyle w:val="BodyText"/>
        <w:spacing w:line="360" w:lineRule="auto" w:before="143"/>
        <w:ind w:left="102" w:right="115"/>
        <w:jc w:val="both"/>
      </w:pPr>
      <w:r>
        <w:rPr/>
        <w:t>El riesgo financiero se presenta cuando los agricultores son financiados o piden prestado efectivo para llevar acabo sus actividades agrícolas (Aditto, 2011). En este sentido, el</w:t>
      </w:r>
      <w:r>
        <w:rPr>
          <w:spacing w:val="-23"/>
        </w:rPr>
        <w:t> </w:t>
      </w:r>
      <w:r>
        <w:rPr/>
        <w:t>riesgo financiero se puede describir como la variabilidad en los ingresos netos de los agricultores, sujeto al monto de crédito o deuda, variaciones en la tasa de interés del préstamo, insuficiencia de efectivo para pagos de deuda, que pueden influir tanto en la rentabilidad</w:t>
      </w:r>
      <w:r>
        <w:rPr>
          <w:spacing w:val="-36"/>
        </w:rPr>
        <w:t> </w:t>
      </w:r>
      <w:r>
        <w:rPr/>
        <w:t>del sistema como en la permanencia del</w:t>
      </w:r>
      <w:r>
        <w:rPr>
          <w:spacing w:val="-6"/>
        </w:rPr>
        <w:t> </w:t>
      </w:r>
      <w:r>
        <w:rPr/>
        <w:t>mismo.</w:t>
      </w:r>
    </w:p>
    <w:p>
      <w:pPr>
        <w:pStyle w:val="BodyText"/>
      </w:pPr>
    </w:p>
    <w:p>
      <w:pPr>
        <w:pStyle w:val="BodyText"/>
        <w:spacing w:line="360" w:lineRule="auto" w:before="140"/>
        <w:ind w:left="102" w:right="117"/>
        <w:jc w:val="both"/>
      </w:pPr>
      <w:r>
        <w:rPr/>
        <w:t>El riesgo puede ser modelado de varias maneras, dependiendo de la visión y objetivos del investigador. El análisis de sensibilidad y simulación probabilística en economía se han</w:t>
      </w:r>
    </w:p>
    <w:p>
      <w:pPr>
        <w:spacing w:after="0" w:line="360" w:lineRule="auto"/>
        <w:jc w:val="both"/>
        <w:sectPr>
          <w:footerReference w:type="default" r:id="rId81"/>
          <w:pgSz w:w="12240" w:h="15840"/>
          <w:pgMar w:footer="657" w:header="0" w:top="1360" w:bottom="840" w:left="1600" w:right="1580"/>
          <w:pgNumType w:start="41"/>
        </w:sectPr>
      </w:pPr>
    </w:p>
    <w:p>
      <w:pPr>
        <w:pStyle w:val="BodyText"/>
        <w:spacing w:line="360" w:lineRule="auto" w:before="50"/>
        <w:ind w:left="102" w:right="119"/>
        <w:jc w:val="both"/>
      </w:pPr>
      <w:r>
        <w:rPr/>
        <w:t>empleado para evaluar el riesgo en los sistemas económicos. Ambos métodos estiman la probabilidad de resultados, sin embargo, son diferentes en el enfoque adoptado para llegar a la información utilizada en la toma de decisiones (Danielle, 2008).</w:t>
      </w:r>
    </w:p>
    <w:p>
      <w:pPr>
        <w:pStyle w:val="BodyText"/>
      </w:pPr>
    </w:p>
    <w:p>
      <w:pPr>
        <w:pStyle w:val="BodyText"/>
        <w:spacing w:line="360" w:lineRule="auto" w:before="143"/>
        <w:ind w:left="102" w:right="116"/>
        <w:jc w:val="both"/>
      </w:pPr>
      <w:r>
        <w:rPr/>
        <w:t>El análisis de sensibilidad se utiliza para determinar las variables clave que son fundamentales en un modelo (Richardson, 2007) como los ingresos y ganancias netas. Los resultados proporcionados por el método de sensibilidad ofrecen estimaciones puntuales, o valores individuales, es decir, valores asimétricos. Estos resultados ofrecen una visión incompleta en la valoración de un sistema-producto, ocultando el grado de riesgo de una decisión (Reutlinger, 1970; Hardaker et al., 2004a), es decir, el método de sensibilidad tiene una alta probabilidad de proporcionar resultados inexactos e incompletos.</w:t>
      </w:r>
    </w:p>
    <w:p>
      <w:pPr>
        <w:pStyle w:val="BodyText"/>
      </w:pPr>
    </w:p>
    <w:p>
      <w:pPr>
        <w:pStyle w:val="BodyText"/>
        <w:spacing w:line="360" w:lineRule="auto" w:before="143"/>
        <w:ind w:left="102" w:right="117"/>
        <w:jc w:val="both"/>
      </w:pPr>
      <w:r>
        <w:rPr/>
        <w:t>En</w:t>
      </w:r>
      <w:r>
        <w:rPr>
          <w:spacing w:val="-11"/>
        </w:rPr>
        <w:t> </w:t>
      </w:r>
      <w:r>
        <w:rPr/>
        <w:t>contraste</w:t>
      </w:r>
      <w:r>
        <w:rPr>
          <w:spacing w:val="-11"/>
        </w:rPr>
        <w:t> </w:t>
      </w:r>
      <w:r>
        <w:rPr/>
        <w:t>con</w:t>
      </w:r>
      <w:r>
        <w:rPr>
          <w:spacing w:val="-9"/>
        </w:rPr>
        <w:t> </w:t>
      </w:r>
      <w:r>
        <w:rPr/>
        <w:t>el</w:t>
      </w:r>
      <w:r>
        <w:rPr>
          <w:spacing w:val="-11"/>
        </w:rPr>
        <w:t> </w:t>
      </w:r>
      <w:r>
        <w:rPr/>
        <w:t>análisis</w:t>
      </w:r>
      <w:r>
        <w:rPr>
          <w:spacing w:val="-10"/>
        </w:rPr>
        <w:t> </w:t>
      </w:r>
      <w:r>
        <w:rPr/>
        <w:t>de</w:t>
      </w:r>
      <w:r>
        <w:rPr>
          <w:spacing w:val="-12"/>
        </w:rPr>
        <w:t> </w:t>
      </w:r>
      <w:r>
        <w:rPr/>
        <w:t>sensibilidad,</w:t>
      </w:r>
      <w:r>
        <w:rPr>
          <w:spacing w:val="-11"/>
        </w:rPr>
        <w:t> </w:t>
      </w:r>
      <w:r>
        <w:rPr/>
        <w:t>la</w:t>
      </w:r>
      <w:r>
        <w:rPr>
          <w:spacing w:val="-12"/>
        </w:rPr>
        <w:t> </w:t>
      </w:r>
      <w:r>
        <w:rPr/>
        <w:t>simulación</w:t>
      </w:r>
      <w:r>
        <w:rPr>
          <w:spacing w:val="-11"/>
        </w:rPr>
        <w:t> </w:t>
      </w:r>
      <w:r>
        <w:rPr/>
        <w:t>probabilística</w:t>
      </w:r>
      <w:r>
        <w:rPr>
          <w:spacing w:val="-12"/>
        </w:rPr>
        <w:t> </w:t>
      </w:r>
      <w:r>
        <w:rPr/>
        <w:t>utiliza</w:t>
      </w:r>
      <w:r>
        <w:rPr>
          <w:spacing w:val="-12"/>
        </w:rPr>
        <w:t> </w:t>
      </w:r>
      <w:r>
        <w:rPr/>
        <w:t>distribuciones de probabilidad para cada variable estocástica (Hardaker et al., 2004a; Richardson et al., 2007a y 2007b; Outlaw et al., 2007). Los datos históricos de las variables estocásticas son analizados y validados para estimar los parámetros de simulación y sus distribuciones asociadas</w:t>
      </w:r>
      <w:r>
        <w:rPr>
          <w:spacing w:val="-11"/>
        </w:rPr>
        <w:t> </w:t>
      </w:r>
      <w:r>
        <w:rPr/>
        <w:t>(Reutlinger,</w:t>
      </w:r>
      <w:r>
        <w:rPr>
          <w:spacing w:val="-13"/>
        </w:rPr>
        <w:t> </w:t>
      </w:r>
      <w:r>
        <w:rPr/>
        <w:t>1970).</w:t>
      </w:r>
      <w:r>
        <w:rPr>
          <w:spacing w:val="-14"/>
        </w:rPr>
        <w:t> </w:t>
      </w:r>
      <w:r>
        <w:rPr/>
        <w:t>El</w:t>
      </w:r>
      <w:r>
        <w:rPr>
          <w:spacing w:val="-13"/>
        </w:rPr>
        <w:t> </w:t>
      </w:r>
      <w:r>
        <w:rPr/>
        <w:t>uso</w:t>
      </w:r>
      <w:r>
        <w:rPr>
          <w:spacing w:val="-13"/>
        </w:rPr>
        <w:t> </w:t>
      </w:r>
      <w:r>
        <w:rPr/>
        <w:t>de</w:t>
      </w:r>
      <w:r>
        <w:rPr>
          <w:spacing w:val="-14"/>
        </w:rPr>
        <w:t> </w:t>
      </w:r>
      <w:r>
        <w:rPr/>
        <w:t>simulación</w:t>
      </w:r>
      <w:r>
        <w:rPr>
          <w:spacing w:val="-11"/>
        </w:rPr>
        <w:t> </w:t>
      </w:r>
      <w:r>
        <w:rPr/>
        <w:t>genera</w:t>
      </w:r>
      <w:r>
        <w:rPr>
          <w:spacing w:val="-12"/>
        </w:rPr>
        <w:t> </w:t>
      </w:r>
      <w:r>
        <w:rPr/>
        <w:t>diferentes</w:t>
      </w:r>
      <w:r>
        <w:rPr>
          <w:spacing w:val="-11"/>
        </w:rPr>
        <w:t> </w:t>
      </w:r>
      <w:r>
        <w:rPr/>
        <w:t>escenarios</w:t>
      </w:r>
      <w:r>
        <w:rPr>
          <w:spacing w:val="-13"/>
        </w:rPr>
        <w:t> </w:t>
      </w:r>
      <w:r>
        <w:rPr/>
        <w:t>que</w:t>
      </w:r>
      <w:r>
        <w:rPr>
          <w:spacing w:val="-14"/>
        </w:rPr>
        <w:t> </w:t>
      </w:r>
      <w:r>
        <w:rPr/>
        <w:t>permiten al</w:t>
      </w:r>
      <w:r>
        <w:rPr>
          <w:spacing w:val="-4"/>
        </w:rPr>
        <w:t> </w:t>
      </w:r>
      <w:r>
        <w:rPr/>
        <w:t>actor</w:t>
      </w:r>
      <w:r>
        <w:rPr>
          <w:spacing w:val="-3"/>
        </w:rPr>
        <w:t> </w:t>
      </w:r>
      <w:r>
        <w:rPr/>
        <w:t>elegir,</w:t>
      </w:r>
      <w:r>
        <w:rPr>
          <w:spacing w:val="-5"/>
        </w:rPr>
        <w:t> </w:t>
      </w:r>
      <w:r>
        <w:rPr/>
        <w:t>aquel,</w:t>
      </w:r>
      <w:r>
        <w:rPr>
          <w:spacing w:val="-5"/>
        </w:rPr>
        <w:t> </w:t>
      </w:r>
      <w:r>
        <w:rPr/>
        <w:t>que</w:t>
      </w:r>
      <w:r>
        <w:rPr>
          <w:spacing w:val="-4"/>
        </w:rPr>
        <w:t> </w:t>
      </w:r>
      <w:r>
        <w:rPr/>
        <w:t>represente</w:t>
      </w:r>
      <w:r>
        <w:rPr>
          <w:spacing w:val="-2"/>
        </w:rPr>
        <w:t> </w:t>
      </w:r>
      <w:r>
        <w:rPr/>
        <w:t>el</w:t>
      </w:r>
      <w:r>
        <w:rPr>
          <w:spacing w:val="-4"/>
        </w:rPr>
        <w:t> </w:t>
      </w:r>
      <w:r>
        <w:rPr/>
        <w:t>menor</w:t>
      </w:r>
      <w:r>
        <w:rPr>
          <w:spacing w:val="-6"/>
        </w:rPr>
        <w:t> </w:t>
      </w:r>
      <w:r>
        <w:rPr/>
        <w:t>riesgo</w:t>
      </w:r>
      <w:r>
        <w:rPr>
          <w:spacing w:val="-5"/>
        </w:rPr>
        <w:t> </w:t>
      </w:r>
      <w:r>
        <w:rPr/>
        <w:t>o</w:t>
      </w:r>
      <w:r>
        <w:rPr>
          <w:spacing w:val="-5"/>
        </w:rPr>
        <w:t> </w:t>
      </w:r>
      <w:r>
        <w:rPr/>
        <w:t>la</w:t>
      </w:r>
      <w:r>
        <w:rPr>
          <w:spacing w:val="-3"/>
        </w:rPr>
        <w:t> </w:t>
      </w:r>
      <w:r>
        <w:rPr/>
        <w:t>mayor</w:t>
      </w:r>
      <w:r>
        <w:rPr>
          <w:spacing w:val="-2"/>
        </w:rPr>
        <w:t> </w:t>
      </w:r>
      <w:r>
        <w:rPr/>
        <w:t>ganancia</w:t>
      </w:r>
      <w:r>
        <w:rPr>
          <w:spacing w:val="-6"/>
        </w:rPr>
        <w:t> </w:t>
      </w:r>
      <w:r>
        <w:rPr/>
        <w:t>dependiendo</w:t>
      </w:r>
      <w:r>
        <w:rPr>
          <w:spacing w:val="-5"/>
        </w:rPr>
        <w:t> </w:t>
      </w:r>
      <w:r>
        <w:rPr/>
        <w:t>de su aversión al</w:t>
      </w:r>
      <w:r>
        <w:rPr>
          <w:spacing w:val="-5"/>
        </w:rPr>
        <w:t> </w:t>
      </w:r>
      <w:r>
        <w:rPr/>
        <w:t>riesgo.</w:t>
      </w:r>
    </w:p>
    <w:p>
      <w:pPr>
        <w:pStyle w:val="BodyText"/>
      </w:pPr>
    </w:p>
    <w:p>
      <w:pPr>
        <w:pStyle w:val="Heading1"/>
        <w:numPr>
          <w:ilvl w:val="1"/>
          <w:numId w:val="14"/>
        </w:numPr>
        <w:tabs>
          <w:tab w:pos="462" w:val="left" w:leader="none"/>
        </w:tabs>
        <w:spacing w:line="240" w:lineRule="auto" w:before="148" w:after="0"/>
        <w:ind w:left="462" w:right="0" w:hanging="360"/>
        <w:jc w:val="both"/>
      </w:pPr>
      <w:r>
        <w:rPr/>
        <w:t>Simulación Monte Carlo</w:t>
      </w:r>
      <w:r>
        <w:rPr>
          <w:spacing w:val="-8"/>
        </w:rPr>
        <w:t> </w:t>
      </w:r>
      <w:r>
        <w:rPr/>
        <w:t>(SMC)</w:t>
      </w:r>
    </w:p>
    <w:p>
      <w:pPr>
        <w:pStyle w:val="BodyText"/>
        <w:rPr>
          <w:b/>
        </w:rPr>
      </w:pPr>
    </w:p>
    <w:p>
      <w:pPr>
        <w:pStyle w:val="BodyText"/>
        <w:spacing w:before="6"/>
        <w:rPr>
          <w:b/>
          <w:sz w:val="23"/>
        </w:rPr>
      </w:pPr>
    </w:p>
    <w:p>
      <w:pPr>
        <w:pStyle w:val="BodyText"/>
        <w:spacing w:line="360" w:lineRule="auto"/>
        <w:ind w:left="102" w:right="118"/>
        <w:jc w:val="both"/>
      </w:pPr>
      <w:r>
        <w:rPr/>
        <w:t>La SMC es un método que ha ganado una gran popularidad para estimar el riesgo y la incertidumbre</w:t>
      </w:r>
      <w:r>
        <w:rPr>
          <w:spacing w:val="-16"/>
        </w:rPr>
        <w:t> </w:t>
      </w:r>
      <w:r>
        <w:rPr/>
        <w:t>en</w:t>
      </w:r>
      <w:r>
        <w:rPr>
          <w:spacing w:val="-12"/>
        </w:rPr>
        <w:t> </w:t>
      </w:r>
      <w:r>
        <w:rPr/>
        <w:t>empresas</w:t>
      </w:r>
      <w:r>
        <w:rPr>
          <w:spacing w:val="-14"/>
        </w:rPr>
        <w:t> </w:t>
      </w:r>
      <w:r>
        <w:rPr/>
        <w:t>agropecuarias</w:t>
      </w:r>
      <w:r>
        <w:rPr>
          <w:spacing w:val="-12"/>
        </w:rPr>
        <w:t> </w:t>
      </w:r>
      <w:r>
        <w:rPr/>
        <w:t>y</w:t>
      </w:r>
      <w:r>
        <w:rPr>
          <w:spacing w:val="-17"/>
        </w:rPr>
        <w:t> </w:t>
      </w:r>
      <w:r>
        <w:rPr/>
        <w:t>a</w:t>
      </w:r>
      <w:r>
        <w:rPr>
          <w:spacing w:val="-15"/>
        </w:rPr>
        <w:t> </w:t>
      </w:r>
      <w:r>
        <w:rPr/>
        <w:t>nivel</w:t>
      </w:r>
      <w:r>
        <w:rPr>
          <w:spacing w:val="-12"/>
        </w:rPr>
        <w:t> </w:t>
      </w:r>
      <w:r>
        <w:rPr/>
        <w:t>finca</w:t>
      </w:r>
      <w:r>
        <w:rPr>
          <w:spacing w:val="-15"/>
        </w:rPr>
        <w:t> </w:t>
      </w:r>
      <w:r>
        <w:rPr/>
        <w:t>(Richardson</w:t>
      </w:r>
      <w:r>
        <w:rPr>
          <w:spacing w:val="-15"/>
        </w:rPr>
        <w:t> </w:t>
      </w:r>
      <w:r>
        <w:rPr/>
        <w:t>et</w:t>
      </w:r>
      <w:r>
        <w:rPr>
          <w:spacing w:val="-14"/>
        </w:rPr>
        <w:t> </w:t>
      </w:r>
      <w:r>
        <w:rPr/>
        <w:t>al.,</w:t>
      </w:r>
      <w:r>
        <w:rPr>
          <w:spacing w:val="-12"/>
        </w:rPr>
        <w:t> </w:t>
      </w:r>
      <w:r>
        <w:rPr/>
        <w:t>2000;</w:t>
      </w:r>
      <w:r>
        <w:rPr>
          <w:spacing w:val="-12"/>
        </w:rPr>
        <w:t> </w:t>
      </w:r>
      <w:r>
        <w:rPr/>
        <w:t>Lien,</w:t>
      </w:r>
      <w:r>
        <w:rPr>
          <w:spacing w:val="-15"/>
        </w:rPr>
        <w:t> </w:t>
      </w:r>
      <w:r>
        <w:rPr/>
        <w:t>2003; Richardson, 2007). La SMC es el nombre con que se designa a un procedimiento de simulación basado en la utilización de números aleatorios. Es una técnica numérica para la resolución de problemas de tipo general, cuya estructura de cálculo tiene la forma de un proceso estocástico, entendiendo como tal, una secuencia de estados cuya evolución está determinada por sucesos aleatorios (Giner,</w:t>
      </w:r>
      <w:r>
        <w:rPr>
          <w:spacing w:val="-10"/>
        </w:rPr>
        <w:t> </w:t>
      </w:r>
      <w:r>
        <w:rPr/>
        <w:t>1997).</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De</w:t>
      </w:r>
      <w:r>
        <w:rPr>
          <w:spacing w:val="-8"/>
        </w:rPr>
        <w:t> </w:t>
      </w:r>
      <w:r>
        <w:rPr/>
        <w:t>acuerdo</w:t>
      </w:r>
      <w:r>
        <w:rPr>
          <w:spacing w:val="-7"/>
        </w:rPr>
        <w:t> </w:t>
      </w:r>
      <w:r>
        <w:rPr/>
        <w:t>con</w:t>
      </w:r>
      <w:r>
        <w:rPr>
          <w:spacing w:val="-6"/>
        </w:rPr>
        <w:t> </w:t>
      </w:r>
      <w:r>
        <w:rPr/>
        <w:t>Cal</w:t>
      </w:r>
      <w:r>
        <w:rPr>
          <w:spacing w:val="-1"/>
        </w:rPr>
        <w:t> </w:t>
      </w:r>
      <w:r>
        <w:rPr/>
        <w:t>y</w:t>
      </w:r>
      <w:r>
        <w:rPr>
          <w:spacing w:val="-11"/>
        </w:rPr>
        <w:t> </w:t>
      </w:r>
      <w:r>
        <w:rPr/>
        <w:t>Udías</w:t>
      </w:r>
      <w:r>
        <w:rPr>
          <w:spacing w:val="-7"/>
        </w:rPr>
        <w:t> </w:t>
      </w:r>
      <w:r>
        <w:rPr/>
        <w:t>(2010),</w:t>
      </w:r>
      <w:r>
        <w:rPr>
          <w:spacing w:val="-7"/>
        </w:rPr>
        <w:t> </w:t>
      </w:r>
      <w:r>
        <w:rPr/>
        <w:t>una</w:t>
      </w:r>
      <w:r>
        <w:rPr>
          <w:spacing w:val="-7"/>
        </w:rPr>
        <w:t> </w:t>
      </w:r>
      <w:r>
        <w:rPr/>
        <w:t>secuencia</w:t>
      </w:r>
      <w:r>
        <w:rPr>
          <w:spacing w:val="-5"/>
        </w:rPr>
        <w:t> </w:t>
      </w:r>
      <w:r>
        <w:rPr/>
        <w:t>de</w:t>
      </w:r>
      <w:r>
        <w:rPr>
          <w:spacing w:val="-7"/>
        </w:rPr>
        <w:t> </w:t>
      </w:r>
      <w:r>
        <w:rPr/>
        <w:t>número</w:t>
      </w:r>
      <w:r>
        <w:rPr>
          <w:spacing w:val="-6"/>
        </w:rPr>
        <w:t> </w:t>
      </w:r>
      <w:r>
        <w:rPr/>
        <w:t>aleatorios</w:t>
      </w:r>
      <w:r>
        <w:rPr>
          <w:spacing w:val="-6"/>
        </w:rPr>
        <w:t> </w:t>
      </w:r>
      <w:r>
        <w:rPr/>
        <w:t>es</w:t>
      </w:r>
      <w:r>
        <w:rPr>
          <w:spacing w:val="-4"/>
        </w:rPr>
        <w:t> </w:t>
      </w:r>
      <w:r>
        <w:rPr/>
        <w:t>aquella</w:t>
      </w:r>
      <w:r>
        <w:rPr>
          <w:spacing w:val="-7"/>
        </w:rPr>
        <w:t> </w:t>
      </w:r>
      <w:r>
        <w:rPr/>
        <w:t>en</w:t>
      </w:r>
      <w:r>
        <w:rPr>
          <w:spacing w:val="-6"/>
        </w:rPr>
        <w:t> </w:t>
      </w:r>
      <w:r>
        <w:rPr/>
        <w:t>la</w:t>
      </w:r>
      <w:r>
        <w:rPr>
          <w:spacing w:val="-7"/>
        </w:rPr>
        <w:t> </w:t>
      </w:r>
      <w:r>
        <w:rPr/>
        <w:t>cual es imposible predecir cuál será el siguiente número de la secuencia. En computación las secuencias de números aleatorios que se usan son en realidad pseudo-aleatorios, puesto que son generados por un algoritmo que se encarga que la secuencia sea lo suficientemente impredecible y que no se repita en ciclos. Esta secuencia de números aleatorios se</w:t>
      </w:r>
      <w:r>
        <w:rPr>
          <w:spacing w:val="-34"/>
        </w:rPr>
        <w:t> </w:t>
      </w:r>
      <w:r>
        <w:rPr/>
        <w:t>construye con distribución uniforme dentro del intervalo (0,1), es decir, si se escoge una cantidad suficientemente grande de números de la secuencia se obtendrá la misma densidad de ellos en cada fracción de dicho</w:t>
      </w:r>
      <w:r>
        <w:rPr>
          <w:spacing w:val="-6"/>
        </w:rPr>
        <w:t> </w:t>
      </w:r>
      <w:r>
        <w:rPr/>
        <w:t>intervalo.</w:t>
      </w:r>
    </w:p>
    <w:p>
      <w:pPr>
        <w:pStyle w:val="BodyText"/>
      </w:pPr>
    </w:p>
    <w:p>
      <w:pPr>
        <w:pStyle w:val="BodyText"/>
        <w:spacing w:line="357" w:lineRule="auto" w:before="143"/>
        <w:ind w:left="102" w:right="117"/>
        <w:jc w:val="both"/>
      </w:pPr>
      <w:r>
        <w:rPr/>
        <w:t>Zacarías</w:t>
      </w:r>
      <w:r>
        <w:rPr>
          <w:spacing w:val="-16"/>
        </w:rPr>
        <w:t> </w:t>
      </w:r>
      <w:r>
        <w:rPr/>
        <w:t>(2006)</w:t>
      </w:r>
      <w:r>
        <w:rPr>
          <w:spacing w:val="-17"/>
        </w:rPr>
        <w:t> </w:t>
      </w:r>
      <w:r>
        <w:rPr/>
        <w:t>menciona</w:t>
      </w:r>
      <w:r>
        <w:rPr>
          <w:spacing w:val="-17"/>
        </w:rPr>
        <w:t> </w:t>
      </w:r>
      <w:r>
        <w:rPr/>
        <w:t>que</w:t>
      </w:r>
      <w:r>
        <w:rPr>
          <w:spacing w:val="-17"/>
        </w:rPr>
        <w:t> </w:t>
      </w:r>
      <w:r>
        <w:rPr/>
        <w:t>una</w:t>
      </w:r>
      <w:r>
        <w:rPr>
          <w:spacing w:val="-17"/>
        </w:rPr>
        <w:t> </w:t>
      </w:r>
      <w:r>
        <w:rPr/>
        <w:t>de</w:t>
      </w:r>
      <w:r>
        <w:rPr>
          <w:spacing w:val="-17"/>
        </w:rPr>
        <w:t> </w:t>
      </w:r>
      <w:r>
        <w:rPr/>
        <w:t>las</w:t>
      </w:r>
      <w:r>
        <w:rPr>
          <w:spacing w:val="-16"/>
        </w:rPr>
        <w:t> </w:t>
      </w:r>
      <w:r>
        <w:rPr/>
        <w:t>más</w:t>
      </w:r>
      <w:r>
        <w:rPr>
          <w:spacing w:val="-16"/>
        </w:rPr>
        <w:t> </w:t>
      </w:r>
      <w:r>
        <w:rPr/>
        <w:t>comunes</w:t>
      </w:r>
      <w:r>
        <w:rPr>
          <w:spacing w:val="-16"/>
        </w:rPr>
        <w:t> </w:t>
      </w:r>
      <w:r>
        <w:rPr/>
        <w:t>aproximaciones</w:t>
      </w:r>
      <w:r>
        <w:rPr>
          <w:spacing w:val="-16"/>
        </w:rPr>
        <w:t> </w:t>
      </w:r>
      <w:r>
        <w:rPr/>
        <w:t>para</w:t>
      </w:r>
      <w:r>
        <w:rPr>
          <w:spacing w:val="-15"/>
        </w:rPr>
        <w:t> </w:t>
      </w:r>
      <w:r>
        <w:rPr/>
        <w:t>generar</w:t>
      </w:r>
      <w:r>
        <w:rPr>
          <w:spacing w:val="-17"/>
        </w:rPr>
        <w:t> </w:t>
      </w:r>
      <w:r>
        <w:rPr/>
        <w:t>números </w:t>
      </w:r>
      <w:r>
        <w:rPr>
          <w:position w:val="2"/>
        </w:rPr>
        <w:t>pseudo-aleatorios</w:t>
      </w:r>
      <w:r>
        <w:rPr>
          <w:spacing w:val="-8"/>
          <w:position w:val="2"/>
        </w:rPr>
        <w:t> </w:t>
      </w:r>
      <w:r>
        <w:rPr>
          <w:position w:val="2"/>
        </w:rPr>
        <w:t>inicia</w:t>
      </w:r>
      <w:r>
        <w:rPr>
          <w:spacing w:val="-9"/>
          <w:position w:val="2"/>
        </w:rPr>
        <w:t> </w:t>
      </w:r>
      <w:r>
        <w:rPr>
          <w:position w:val="2"/>
        </w:rPr>
        <w:t>con</w:t>
      </w:r>
      <w:r>
        <w:rPr>
          <w:spacing w:val="-9"/>
          <w:position w:val="2"/>
        </w:rPr>
        <w:t> </w:t>
      </w:r>
      <w:r>
        <w:rPr>
          <w:position w:val="2"/>
        </w:rPr>
        <w:t>un</w:t>
      </w:r>
      <w:r>
        <w:rPr>
          <w:spacing w:val="-9"/>
          <w:position w:val="2"/>
        </w:rPr>
        <w:t> </w:t>
      </w:r>
      <w:r>
        <w:rPr>
          <w:position w:val="2"/>
        </w:rPr>
        <w:t>valor</w:t>
      </w:r>
      <w:r>
        <w:rPr>
          <w:spacing w:val="-9"/>
          <w:position w:val="2"/>
        </w:rPr>
        <w:t> </w:t>
      </w:r>
      <w:r>
        <w:rPr>
          <w:position w:val="2"/>
        </w:rPr>
        <w:t>inicial</w:t>
      </w:r>
      <w:r>
        <w:rPr>
          <w:spacing w:val="-9"/>
          <w:position w:val="2"/>
        </w:rPr>
        <w:t> </w:t>
      </w:r>
      <w:r>
        <w:rPr>
          <w:position w:val="2"/>
        </w:rPr>
        <w:t>x</w:t>
      </w:r>
      <w:r>
        <w:rPr>
          <w:sz w:val="16"/>
        </w:rPr>
        <w:t>0</w:t>
      </w:r>
      <w:r>
        <w:rPr>
          <w:position w:val="2"/>
        </w:rPr>
        <w:t>,</w:t>
      </w:r>
      <w:r>
        <w:rPr>
          <w:spacing w:val="43"/>
          <w:position w:val="2"/>
        </w:rPr>
        <w:t> </w:t>
      </w:r>
      <w:r>
        <w:rPr>
          <w:position w:val="2"/>
        </w:rPr>
        <w:t>llamado</w:t>
      </w:r>
      <w:r>
        <w:rPr>
          <w:spacing w:val="-9"/>
          <w:position w:val="2"/>
        </w:rPr>
        <w:t> </w:t>
      </w:r>
      <w:r>
        <w:rPr>
          <w:position w:val="2"/>
        </w:rPr>
        <w:t>la</w:t>
      </w:r>
      <w:r>
        <w:rPr>
          <w:spacing w:val="-9"/>
          <w:position w:val="2"/>
        </w:rPr>
        <w:t> </w:t>
      </w:r>
      <w:r>
        <w:rPr>
          <w:position w:val="2"/>
        </w:rPr>
        <w:t>semilla,</w:t>
      </w:r>
      <w:r>
        <w:rPr>
          <w:spacing w:val="-6"/>
          <w:position w:val="2"/>
        </w:rPr>
        <w:t> </w:t>
      </w:r>
      <w:r>
        <w:rPr>
          <w:position w:val="2"/>
        </w:rPr>
        <w:t>y</w:t>
      </w:r>
      <w:r>
        <w:rPr>
          <w:spacing w:val="-13"/>
          <w:position w:val="2"/>
        </w:rPr>
        <w:t> </w:t>
      </w:r>
      <w:r>
        <w:rPr>
          <w:position w:val="2"/>
        </w:rPr>
        <w:t>con</w:t>
      </w:r>
      <w:r>
        <w:rPr>
          <w:spacing w:val="-9"/>
          <w:position w:val="2"/>
        </w:rPr>
        <w:t> </w:t>
      </w:r>
      <w:r>
        <w:rPr>
          <w:position w:val="2"/>
        </w:rPr>
        <w:t>cálculos</w:t>
      </w:r>
      <w:r>
        <w:rPr>
          <w:spacing w:val="-9"/>
          <w:position w:val="2"/>
        </w:rPr>
        <w:t> </w:t>
      </w:r>
      <w:r>
        <w:rPr>
          <w:position w:val="2"/>
        </w:rPr>
        <w:t>recursivos de sucesivos valores </w:t>
      </w:r>
      <w:r>
        <w:rPr>
          <w:i/>
          <w:position w:val="2"/>
        </w:rPr>
        <w:t>x</w:t>
      </w:r>
      <w:r>
        <w:rPr>
          <w:i/>
          <w:sz w:val="16"/>
        </w:rPr>
        <w:t>n</w:t>
      </w:r>
      <w:r>
        <w:rPr>
          <w:i/>
          <w:position w:val="2"/>
        </w:rPr>
        <w:t>= ax</w:t>
      </w:r>
      <w:r>
        <w:rPr>
          <w:i/>
          <w:sz w:val="16"/>
        </w:rPr>
        <w:t>n</w:t>
      </w:r>
      <w:r>
        <w:rPr>
          <w:rFonts w:ascii="Cambria Math" w:hAnsi="Cambria Math"/>
          <w:position w:val="2"/>
        </w:rPr>
        <w:t>≥</w:t>
      </w:r>
      <w:r>
        <w:rPr>
          <w:i/>
          <w:position w:val="2"/>
        </w:rPr>
        <w:t>1 </w:t>
      </w:r>
      <w:r>
        <w:rPr>
          <w:position w:val="2"/>
        </w:rPr>
        <w:t>se</w:t>
      </w:r>
      <w:r>
        <w:rPr>
          <w:spacing w:val="-6"/>
          <w:position w:val="2"/>
        </w:rPr>
        <w:t> </w:t>
      </w:r>
      <w:r>
        <w:rPr>
          <w:position w:val="2"/>
        </w:rPr>
        <w:t>tiene:</w:t>
      </w:r>
    </w:p>
    <w:p>
      <w:pPr>
        <w:pStyle w:val="BodyText"/>
      </w:pPr>
    </w:p>
    <w:p>
      <w:pPr>
        <w:tabs>
          <w:tab w:pos="8750" w:val="left" w:leader="none"/>
        </w:tabs>
        <w:spacing w:before="148"/>
        <w:ind w:left="3258" w:right="0" w:firstLine="0"/>
        <w:jc w:val="left"/>
        <w:rPr>
          <w:sz w:val="24"/>
        </w:rPr>
      </w:pPr>
      <w:r>
        <w:rPr>
          <w:rFonts w:ascii="Cambria Math" w:hAnsi="Cambria Math" w:eastAsia="Cambria Math"/>
          <w:spacing w:val="-14"/>
          <w:sz w:val="24"/>
        </w:rPr>
        <w:t>𝑥</w:t>
      </w:r>
      <w:r>
        <w:rPr>
          <w:rFonts w:ascii="Cambria Math" w:hAnsi="Cambria Math" w:eastAsia="Cambria Math"/>
          <w:spacing w:val="-14"/>
          <w:position w:val="-4"/>
          <w:sz w:val="17"/>
        </w:rPr>
        <w:t>� </w:t>
      </w:r>
      <w:r>
        <w:rPr>
          <w:rFonts w:ascii="Cambria Math" w:hAnsi="Cambria Math" w:eastAsia="Cambria Math"/>
          <w:spacing w:val="-14"/>
          <w:sz w:val="24"/>
        </w:rPr>
        <w:t>=</w:t>
      </w:r>
      <w:r>
        <w:rPr>
          <w:rFonts w:ascii="Cambria Math" w:hAnsi="Cambria Math" w:eastAsia="Cambria Math"/>
          <w:spacing w:val="-20"/>
          <w:sz w:val="24"/>
        </w:rPr>
        <w:t> </w:t>
      </w:r>
      <w:r>
        <w:rPr>
          <w:rFonts w:ascii="Cambria Math" w:hAnsi="Cambria Math" w:eastAsia="Cambria Math"/>
          <w:spacing w:val="-14"/>
          <w:sz w:val="24"/>
        </w:rPr>
        <w:t>�𝑥</w:t>
      </w:r>
      <w:r>
        <w:rPr>
          <w:rFonts w:ascii="Cambria Math" w:hAnsi="Cambria Math" w:eastAsia="Cambria Math"/>
          <w:spacing w:val="-14"/>
          <w:position w:val="-4"/>
          <w:sz w:val="17"/>
        </w:rPr>
        <w:t>�−1</w:t>
      </w:r>
      <w:r>
        <w:rPr>
          <w:rFonts w:ascii="Cambria Math" w:hAnsi="Cambria Math" w:eastAsia="Cambria Math"/>
          <w:spacing w:val="-14"/>
          <w:sz w:val="24"/>
        </w:rPr>
        <w:t>(���</w:t>
      </w:r>
      <w:r>
        <w:rPr>
          <w:rFonts w:ascii="Cambria Math" w:hAnsi="Cambria Math" w:eastAsia="Cambria Math"/>
          <w:spacing w:val="-30"/>
          <w:sz w:val="24"/>
        </w:rPr>
        <w:t> </w:t>
      </w:r>
      <w:r>
        <w:rPr>
          <w:rFonts w:ascii="Cambria Math" w:hAnsi="Cambria Math" w:eastAsia="Cambria Math"/>
          <w:spacing w:val="-14"/>
          <w:sz w:val="24"/>
        </w:rPr>
        <w:t>�)</w:t>
        <w:tab/>
      </w:r>
      <w:r>
        <w:rPr>
          <w:sz w:val="24"/>
        </w:rPr>
        <w:t>1)</w:t>
      </w:r>
    </w:p>
    <w:p>
      <w:pPr>
        <w:pStyle w:val="BodyText"/>
        <w:rPr>
          <w:sz w:val="28"/>
        </w:rPr>
      </w:pPr>
    </w:p>
    <w:p>
      <w:pPr>
        <w:pStyle w:val="BodyText"/>
        <w:spacing w:before="195"/>
        <w:ind w:left="102"/>
        <w:jc w:val="both"/>
      </w:pPr>
      <w:r>
        <w:rPr/>
        <w:t>Donde, </w:t>
      </w:r>
      <w:r>
        <w:rPr>
          <w:i/>
        </w:rPr>
        <w:t>a </w:t>
      </w:r>
      <w:r>
        <w:rPr/>
        <w:t>y </w:t>
      </w:r>
      <w:r>
        <w:rPr>
          <w:i/>
        </w:rPr>
        <w:t>m </w:t>
      </w:r>
      <w:r>
        <w:rPr/>
        <w:t>son enteros positivos, y significa que </w:t>
      </w:r>
      <w:r>
        <w:rPr>
          <w:rFonts w:ascii="Cambria Math" w:hAnsi="Cambria Math" w:eastAsia="Cambria Math"/>
        </w:rPr>
        <w:t>�𝑥</w:t>
      </w:r>
      <w:r>
        <w:rPr>
          <w:rFonts w:ascii="Cambria Math" w:hAnsi="Cambria Math" w:eastAsia="Cambria Math"/>
          <w:position w:val="-4"/>
          <w:sz w:val="17"/>
        </w:rPr>
        <w:t>�−1  </w:t>
      </w:r>
      <w:r>
        <w:rPr/>
        <w:t>se divide por </w:t>
      </w:r>
      <w:r>
        <w:rPr>
          <w:i/>
        </w:rPr>
        <w:t>m </w:t>
      </w:r>
      <w:r>
        <w:rPr/>
        <w:t>y el restante es</w:t>
      </w:r>
    </w:p>
    <w:p>
      <w:pPr>
        <w:spacing w:line="109" w:lineRule="exact" w:before="70"/>
        <w:ind w:left="0" w:right="1065" w:firstLine="0"/>
        <w:jc w:val="right"/>
        <w:rPr>
          <w:rFonts w:ascii="Cambria Math" w:eastAsia="Cambria Math"/>
          <w:sz w:val="17"/>
        </w:rPr>
      </w:pPr>
      <w:r>
        <w:rPr>
          <w:rFonts w:ascii="Cambria Math" w:eastAsia="Cambria Math"/>
          <w:w w:val="90"/>
          <w:sz w:val="17"/>
        </w:rPr>
        <w:t>��</w:t>
      </w:r>
    </w:p>
    <w:p>
      <w:pPr>
        <w:spacing w:after="0" w:line="109" w:lineRule="exact"/>
        <w:jc w:val="right"/>
        <w:rPr>
          <w:rFonts w:ascii="Cambria Math" w:eastAsia="Cambria Math"/>
          <w:sz w:val="17"/>
        </w:rPr>
        <w:sectPr>
          <w:pgSz w:w="12240" w:h="15840"/>
          <w:pgMar w:header="0" w:footer="657" w:top="1360" w:bottom="840" w:left="1600" w:right="1580"/>
        </w:sectPr>
      </w:pPr>
    </w:p>
    <w:p>
      <w:pPr>
        <w:pStyle w:val="BodyText"/>
        <w:spacing w:line="282" w:lineRule="exact"/>
        <w:ind w:left="102"/>
      </w:pPr>
      <w:r>
        <w:rPr/>
        <w:t>tomado como el valor de </w:t>
      </w:r>
      <w:r>
        <w:rPr>
          <w:rFonts w:ascii="Cambria Math" w:hAnsi="Cambria Math" w:eastAsia="Cambria Math"/>
        </w:rPr>
        <w:t>𝑥</w:t>
      </w:r>
      <w:r>
        <w:rPr>
          <w:rFonts w:ascii="Cambria Math" w:hAnsi="Cambria Math" w:eastAsia="Cambria Math"/>
          <w:position w:val="-4"/>
          <w:sz w:val="17"/>
        </w:rPr>
        <w:t>�</w:t>
      </w:r>
      <w:r>
        <w:rPr/>
        <w:t>. Entonces cada </w:t>
      </w:r>
      <w:r>
        <w:rPr>
          <w:rFonts w:ascii="Cambria Math" w:hAnsi="Cambria Math" w:eastAsia="Cambria Math"/>
        </w:rPr>
        <w:t>𝑥</w:t>
      </w:r>
      <w:r>
        <w:rPr>
          <w:rFonts w:ascii="Cambria Math" w:hAnsi="Cambria Math" w:eastAsia="Cambria Math"/>
          <w:position w:val="-4"/>
          <w:sz w:val="17"/>
        </w:rPr>
        <w:t>� </w:t>
      </w:r>
      <w:r>
        <w:rPr/>
        <w:t>es 0,1…..</w:t>
      </w:r>
      <w:r>
        <w:rPr>
          <w:i/>
        </w:rPr>
        <w:t>m-1 </w:t>
      </w:r>
      <w:r>
        <w:rPr/>
        <w:t>y la cantidad</w:t>
      </w:r>
    </w:p>
    <w:p>
      <w:pPr>
        <w:pStyle w:val="BodyText"/>
        <w:spacing w:line="200" w:lineRule="exact"/>
        <w:ind w:left="363"/>
      </w:pPr>
      <w:r>
        <w:rPr/>
        <w:br w:type="column"/>
      </w:r>
      <w:r>
        <w:rPr/>
        <w:t>(llamado</w:t>
      </w:r>
    </w:p>
    <w:p>
      <w:pPr>
        <w:spacing w:line="153" w:lineRule="exact" w:before="0"/>
        <w:ind w:left="82" w:right="0" w:firstLine="0"/>
        <w:jc w:val="left"/>
        <w:rPr>
          <w:rFonts w:ascii="Cambria Math" w:eastAsia="Cambria Math"/>
          <w:sz w:val="17"/>
        </w:rPr>
      </w:pPr>
      <w:r>
        <w:rPr/>
        <w:pict>
          <v:line style="position:absolute;mso-position-horizontal-relative:page;mso-position-vertical-relative:paragraph;z-index:2608" from="469.059998pt,-3.689523pt" to="479.739998pt,-3.689523pt" stroked="true" strokeweight=".84pt" strokecolor="#000000">
            <w10:wrap type="none"/>
          </v:line>
        </w:pict>
      </w:r>
      <w:r>
        <w:rPr>
          <w:rFonts w:ascii="Cambria Math" w:eastAsia="Cambria Math"/>
          <w:w w:val="142"/>
          <w:sz w:val="17"/>
        </w:rPr>
        <w:t>�</w:t>
      </w:r>
    </w:p>
    <w:p>
      <w:pPr>
        <w:spacing w:after="0" w:line="153" w:lineRule="exact"/>
        <w:jc w:val="left"/>
        <w:rPr>
          <w:rFonts w:ascii="Cambria Math" w:eastAsia="Cambria Math"/>
          <w:sz w:val="17"/>
        </w:rPr>
        <w:sectPr>
          <w:type w:val="continuous"/>
          <w:pgSz w:w="12240" w:h="15840"/>
          <w:pgMar w:top="1360" w:bottom="280" w:left="1600" w:right="1580"/>
          <w:cols w:num="2" w:equalWidth="0">
            <w:col w:w="7686" w:space="40"/>
            <w:col w:w="1334"/>
          </w:cols>
        </w:sectPr>
      </w:pPr>
    </w:p>
    <w:p>
      <w:pPr>
        <w:pStyle w:val="BodyText"/>
        <w:spacing w:line="360" w:lineRule="auto" w:before="100"/>
        <w:ind w:left="102" w:right="122"/>
        <w:jc w:val="both"/>
      </w:pPr>
      <w:r>
        <w:rPr/>
        <w:t>número pseudo-aleatorio) es tomado como una aproximación al valor de una variable aleatoria uniforme en (0,1).</w:t>
      </w:r>
    </w:p>
    <w:p>
      <w:pPr>
        <w:pStyle w:val="BodyText"/>
      </w:pPr>
    </w:p>
    <w:p>
      <w:pPr>
        <w:pStyle w:val="BodyText"/>
        <w:spacing w:line="360" w:lineRule="auto" w:before="143"/>
        <w:ind w:left="102" w:right="120"/>
        <w:jc w:val="both"/>
      </w:pPr>
      <w:r>
        <w:rPr/>
        <w:t>Esta técnica puede aplicarse tanto a problemas determinísticos (la solución, si existe, es exacta) como a problemas estadísticos o no determinísticos (la solución, si existe, viene caracterizada por un valor medio, una varianza, etc.). De cualquier manera la solución que aporta este método, sea cual sea el problema considerado, es de tipo aproximado y por lo tanto susceptible de caracterizarse como cualquier variable estadística.</w:t>
      </w:r>
    </w:p>
    <w:p>
      <w:pPr>
        <w:pStyle w:val="BodyText"/>
      </w:pPr>
    </w:p>
    <w:p>
      <w:pPr>
        <w:pStyle w:val="BodyText"/>
        <w:spacing w:line="360" w:lineRule="auto" w:before="143"/>
        <w:ind w:left="102" w:right="117"/>
        <w:jc w:val="both"/>
      </w:pPr>
      <w:r>
        <w:rPr/>
        <w:t>La SMC se ha utilizado ampliamente en análisis económicos en la industria del etanol (Outlaw et al., 2007; Richardson et al., 2007a y 2007b) en la industria lechera (Lien, 2003; Herbst, 2010 y 2011) en la gestión de riesgo de seguros (Williams et al., 2011) entre otros. Los avances en la modelización mediante software han aumentado la precisión de sus estimaciones y han hecho de la SMC un método popular en la estimación de riesgo.</w:t>
      </w:r>
    </w:p>
    <w:p>
      <w:pPr>
        <w:spacing w:after="0" w:line="360" w:lineRule="auto"/>
        <w:jc w:val="both"/>
        <w:sectPr>
          <w:type w:val="continuous"/>
          <w:pgSz w:w="12240" w:h="15840"/>
          <w:pgMar w:top="1360" w:bottom="280" w:left="1600" w:right="1580"/>
        </w:sectPr>
      </w:pPr>
    </w:p>
    <w:p>
      <w:pPr>
        <w:pStyle w:val="BodyText"/>
        <w:spacing w:line="360" w:lineRule="auto" w:before="50"/>
        <w:ind w:left="102" w:right="114"/>
        <w:jc w:val="both"/>
      </w:pPr>
      <w:r>
        <w:rPr/>
        <w:t>Una ventaja de la SMC es que requiere un menor número de observaciones, muestras, hatos o unidades agropecuarias, para obtener una estimación precisa de la función de distribución de probabilidad (FDP) para las variables de salida claves (VSC) (Hardaker et al., 2004b), como ingresos netos (IN), reservas en efectivo finales (REF), relación beneficio costo (B/C) y el valor actual neto (VAN). El resultado de estas variables es crucial para la toma de decisiones a nivel granja, empresa y de política.</w:t>
      </w:r>
    </w:p>
    <w:p>
      <w:pPr>
        <w:pStyle w:val="BodyText"/>
      </w:pPr>
    </w:p>
    <w:p>
      <w:pPr>
        <w:pStyle w:val="BodyText"/>
        <w:spacing w:line="357" w:lineRule="auto" w:before="143"/>
        <w:ind w:left="102" w:right="117"/>
        <w:jc w:val="both"/>
      </w:pPr>
      <w:r>
        <w:rPr/>
        <w:t>La FDP de una variable x es la función que contiene la probabilidad de acierto dentro del </w:t>
      </w:r>
      <w:r>
        <w:rPr>
          <w:position w:val="2"/>
        </w:rPr>
        <w:t>intervalo [x</w:t>
      </w:r>
      <w:r>
        <w:rPr>
          <w:sz w:val="16"/>
        </w:rPr>
        <w:t>min</w:t>
      </w:r>
      <w:r>
        <w:rPr>
          <w:position w:val="2"/>
        </w:rPr>
        <w:t>, x]. Es por tanto una función monótona creciente con valor inicial P(x</w:t>
      </w:r>
      <w:r>
        <w:rPr>
          <w:sz w:val="16"/>
        </w:rPr>
        <w:t>min</w:t>
      </w:r>
      <w:r>
        <w:rPr>
          <w:position w:val="2"/>
        </w:rPr>
        <w:t>) = 0 y P(x</w:t>
      </w:r>
      <w:r>
        <w:rPr>
          <w:sz w:val="16"/>
        </w:rPr>
        <w:t>max</w:t>
      </w:r>
      <w:r>
        <w:rPr>
          <w:position w:val="2"/>
        </w:rPr>
        <w:t>) = 1 (Cal y Udías, 2010).</w:t>
      </w:r>
    </w:p>
    <w:p>
      <w:pPr>
        <w:pStyle w:val="BodyText"/>
      </w:pPr>
    </w:p>
    <w:p>
      <w:pPr>
        <w:pStyle w:val="Heading1"/>
        <w:numPr>
          <w:ilvl w:val="1"/>
          <w:numId w:val="14"/>
        </w:numPr>
        <w:tabs>
          <w:tab w:pos="522" w:val="left" w:leader="none"/>
        </w:tabs>
        <w:spacing w:line="240" w:lineRule="auto" w:before="147" w:after="0"/>
        <w:ind w:left="522" w:right="0" w:hanging="360"/>
        <w:jc w:val="both"/>
      </w:pPr>
      <w:bookmarkStart w:name="_TOC_250024" w:id="18"/>
      <w:r>
        <w:rPr/>
        <w:t>Metodología para analizar el riesgo utilizada en este</w:t>
      </w:r>
      <w:r>
        <w:rPr>
          <w:spacing w:val="-12"/>
        </w:rPr>
        <w:t> </w:t>
      </w:r>
      <w:bookmarkEnd w:id="18"/>
      <w:r>
        <w:rPr/>
        <w:t>estudio</w:t>
      </w:r>
    </w:p>
    <w:p>
      <w:pPr>
        <w:pStyle w:val="BodyText"/>
        <w:rPr>
          <w:b/>
        </w:rPr>
      </w:pPr>
    </w:p>
    <w:p>
      <w:pPr>
        <w:pStyle w:val="BodyText"/>
        <w:spacing w:before="6"/>
        <w:rPr>
          <w:b/>
          <w:sz w:val="23"/>
        </w:rPr>
      </w:pPr>
    </w:p>
    <w:p>
      <w:pPr>
        <w:pStyle w:val="BodyText"/>
        <w:spacing w:line="360" w:lineRule="auto"/>
        <w:ind w:left="102" w:right="116"/>
        <w:jc w:val="both"/>
      </w:pPr>
      <w:r>
        <w:rPr/>
        <w:t>Se han desarrollado varios enfoques teóricos para incorporar el riesgo en la gestión y toma de decisiones a nivel granja (Richardson y Nixon, 1982; Richardson et al., 2000; Hardaker et al., 2004b). El nivel de complejidad y el detalle de cada enfoque dependen del interés y</w:t>
      </w:r>
      <w:r>
        <w:rPr>
          <w:spacing w:val="-22"/>
        </w:rPr>
        <w:t> </w:t>
      </w:r>
      <w:r>
        <w:rPr/>
        <w:t>la disponibilidad de</w:t>
      </w:r>
      <w:r>
        <w:rPr>
          <w:spacing w:val="-3"/>
        </w:rPr>
        <w:t> </w:t>
      </w:r>
      <w:r>
        <w:rPr/>
        <w:t>datos.</w:t>
      </w:r>
    </w:p>
    <w:p>
      <w:pPr>
        <w:pStyle w:val="BodyText"/>
      </w:pPr>
    </w:p>
    <w:p>
      <w:pPr>
        <w:pStyle w:val="BodyText"/>
        <w:spacing w:line="357" w:lineRule="auto" w:before="143"/>
        <w:ind w:left="102" w:right="118"/>
        <w:jc w:val="both"/>
      </w:pPr>
      <w:r>
        <w:rPr/>
        <w:t>En este estudio se utilizó el modelo de simulación econométrica y análisis de riesgo, (MexSim</w:t>
      </w:r>
      <w:r>
        <w:rPr>
          <w:position w:val="9"/>
          <w:sz w:val="16"/>
        </w:rPr>
        <w:t>©</w:t>
      </w:r>
      <w:r>
        <w:rPr/>
        <w:t>) para determinar la viabilidad económica y financiera del sistema lechero de pequeña escala. Se optó por esta metodología debido a que fue desarrollada para proyectar el estándar económico y financiero de los sistemas agropecuarios mexicanos, lo cual ofrece diversas ventajas en la estimación, proyección, y análisis económico, en comparación con otros modelos, los cuales hay que ajustarlos y esto genera gastos económicos y de tiempo.</w:t>
      </w:r>
    </w:p>
    <w:p>
      <w:pPr>
        <w:pStyle w:val="BodyText"/>
      </w:pPr>
    </w:p>
    <w:p>
      <w:pPr>
        <w:pStyle w:val="Heading1"/>
        <w:numPr>
          <w:ilvl w:val="1"/>
          <w:numId w:val="14"/>
        </w:numPr>
        <w:tabs>
          <w:tab w:pos="462" w:val="left" w:leader="none"/>
        </w:tabs>
        <w:spacing w:line="240" w:lineRule="auto" w:before="151" w:after="0"/>
        <w:ind w:left="462" w:right="0" w:hanging="360"/>
        <w:jc w:val="both"/>
      </w:pPr>
      <w:r>
        <w:rPr/>
        <w:t>Antecedentes de cadenas de</w:t>
      </w:r>
      <w:r>
        <w:rPr>
          <w:spacing w:val="-7"/>
        </w:rPr>
        <w:t> </w:t>
      </w:r>
      <w:r>
        <w:rPr/>
        <w:t>valor</w:t>
      </w:r>
    </w:p>
    <w:p>
      <w:pPr>
        <w:pStyle w:val="BodyText"/>
        <w:rPr>
          <w:b/>
        </w:rPr>
      </w:pPr>
    </w:p>
    <w:p>
      <w:pPr>
        <w:pStyle w:val="BodyText"/>
        <w:spacing w:before="6"/>
        <w:rPr>
          <w:b/>
          <w:sz w:val="23"/>
        </w:rPr>
      </w:pPr>
    </w:p>
    <w:p>
      <w:pPr>
        <w:pStyle w:val="BodyText"/>
        <w:spacing w:line="360" w:lineRule="auto"/>
        <w:ind w:left="102" w:right="118"/>
        <w:jc w:val="both"/>
      </w:pPr>
      <w:r>
        <w:rPr/>
        <w:t>El</w:t>
      </w:r>
      <w:r>
        <w:rPr>
          <w:spacing w:val="-6"/>
        </w:rPr>
        <w:t> </w:t>
      </w:r>
      <w:r>
        <w:rPr/>
        <w:t>concepto</w:t>
      </w:r>
      <w:r>
        <w:rPr>
          <w:spacing w:val="-6"/>
        </w:rPr>
        <w:t> </w:t>
      </w:r>
      <w:r>
        <w:rPr/>
        <w:t>de</w:t>
      </w:r>
      <w:r>
        <w:rPr>
          <w:spacing w:val="-7"/>
        </w:rPr>
        <w:t> </w:t>
      </w:r>
      <w:r>
        <w:rPr/>
        <w:t>cadena</w:t>
      </w:r>
      <w:r>
        <w:rPr>
          <w:spacing w:val="-7"/>
        </w:rPr>
        <w:t> </w:t>
      </w:r>
      <w:r>
        <w:rPr/>
        <w:t>de</w:t>
      </w:r>
      <w:r>
        <w:rPr>
          <w:spacing w:val="-5"/>
        </w:rPr>
        <w:t> </w:t>
      </w:r>
      <w:r>
        <w:rPr/>
        <w:t>valor</w:t>
      </w:r>
      <w:r>
        <w:rPr>
          <w:spacing w:val="-7"/>
        </w:rPr>
        <w:t> </w:t>
      </w:r>
      <w:r>
        <w:rPr/>
        <w:t>es</w:t>
      </w:r>
      <w:r>
        <w:rPr>
          <w:spacing w:val="-6"/>
        </w:rPr>
        <w:t> </w:t>
      </w:r>
      <w:r>
        <w:rPr/>
        <w:t>relativamente</w:t>
      </w:r>
      <w:r>
        <w:rPr>
          <w:spacing w:val="-7"/>
        </w:rPr>
        <w:t> </w:t>
      </w:r>
      <w:r>
        <w:rPr/>
        <w:t>nuevo</w:t>
      </w:r>
      <w:r>
        <w:rPr>
          <w:spacing w:val="-6"/>
        </w:rPr>
        <w:t> </w:t>
      </w:r>
      <w:r>
        <w:rPr/>
        <w:t>en</w:t>
      </w:r>
      <w:r>
        <w:rPr>
          <w:spacing w:val="-6"/>
        </w:rPr>
        <w:t> </w:t>
      </w:r>
      <w:r>
        <w:rPr/>
        <w:t>el</w:t>
      </w:r>
      <w:r>
        <w:rPr>
          <w:spacing w:val="-6"/>
        </w:rPr>
        <w:t> </w:t>
      </w:r>
      <w:r>
        <w:rPr/>
        <w:t>sector</w:t>
      </w:r>
      <w:r>
        <w:rPr>
          <w:spacing w:val="-7"/>
        </w:rPr>
        <w:t> </w:t>
      </w:r>
      <w:r>
        <w:rPr/>
        <w:t>agroalimentario</w:t>
      </w:r>
      <w:r>
        <w:rPr>
          <w:spacing w:val="-6"/>
        </w:rPr>
        <w:t> </w:t>
      </w:r>
      <w:r>
        <w:rPr/>
        <w:t>mundial, quizás los ejemplos más ilustrativos de formación de cadenas de valor como una estrategia provienen de Holanda, con la formación de la Fundación para la Competencia de  </w:t>
      </w:r>
      <w:r>
        <w:rPr>
          <w:spacing w:val="48"/>
        </w:rPr>
        <w:t> </w:t>
      </w:r>
      <w:r>
        <w:rPr/>
        <w:t>Cadenas</w:t>
      </w:r>
    </w:p>
    <w:p>
      <w:pPr>
        <w:spacing w:after="0" w:line="360" w:lineRule="auto"/>
        <w:jc w:val="both"/>
        <w:sectPr>
          <w:pgSz w:w="12240" w:h="15840"/>
          <w:pgMar w:header="0" w:footer="657" w:top="1360" w:bottom="840" w:left="1600" w:right="1580"/>
        </w:sectPr>
      </w:pPr>
    </w:p>
    <w:p>
      <w:pPr>
        <w:pStyle w:val="BodyText"/>
        <w:spacing w:line="362" w:lineRule="auto" w:before="50"/>
        <w:ind w:left="102" w:right="122"/>
        <w:jc w:val="both"/>
      </w:pPr>
      <w:r>
        <w:rPr/>
        <w:t>Agroalimentarias en 1995, iniciando más de 60 proyectos pilotos. Su director ejecutivo Jan van Roekel, mencionó:</w:t>
      </w:r>
    </w:p>
    <w:p>
      <w:pPr>
        <w:pStyle w:val="BodyText"/>
      </w:pPr>
    </w:p>
    <w:p>
      <w:pPr>
        <w:spacing w:line="360" w:lineRule="auto" w:before="140"/>
        <w:ind w:left="810" w:right="120" w:firstLine="0"/>
        <w:jc w:val="both"/>
        <w:rPr>
          <w:i/>
          <w:sz w:val="24"/>
        </w:rPr>
      </w:pPr>
      <w:r>
        <w:rPr>
          <w:sz w:val="24"/>
        </w:rPr>
        <w:t>“</w:t>
      </w:r>
      <w:r>
        <w:rPr>
          <w:i/>
          <w:sz w:val="24"/>
        </w:rPr>
        <w:t>En el futuro los productores agroalimentarios, procesadores, proveedores de </w:t>
      </w:r>
      <w:r>
        <w:rPr>
          <w:i/>
          <w:sz w:val="24"/>
        </w:rPr>
        <w:t>servicios</w:t>
      </w:r>
      <w:r>
        <w:rPr>
          <w:i/>
          <w:spacing w:val="-14"/>
          <w:sz w:val="24"/>
        </w:rPr>
        <w:t> </w:t>
      </w:r>
      <w:r>
        <w:rPr>
          <w:i/>
          <w:sz w:val="24"/>
        </w:rPr>
        <w:t>logísticos,</w:t>
      </w:r>
      <w:r>
        <w:rPr>
          <w:i/>
          <w:spacing w:val="-14"/>
          <w:sz w:val="24"/>
        </w:rPr>
        <w:t> </w:t>
      </w:r>
      <w:r>
        <w:rPr>
          <w:i/>
          <w:sz w:val="24"/>
        </w:rPr>
        <w:t>y</w:t>
      </w:r>
      <w:r>
        <w:rPr>
          <w:i/>
          <w:spacing w:val="-14"/>
          <w:sz w:val="24"/>
        </w:rPr>
        <w:t> </w:t>
      </w:r>
      <w:r>
        <w:rPr>
          <w:i/>
          <w:sz w:val="24"/>
        </w:rPr>
        <w:t>distribuidores</w:t>
      </w:r>
      <w:r>
        <w:rPr>
          <w:i/>
          <w:spacing w:val="-14"/>
          <w:sz w:val="24"/>
        </w:rPr>
        <w:t> </w:t>
      </w:r>
      <w:r>
        <w:rPr>
          <w:i/>
          <w:sz w:val="24"/>
        </w:rPr>
        <w:t>no</w:t>
      </w:r>
      <w:r>
        <w:rPr>
          <w:i/>
          <w:spacing w:val="-14"/>
          <w:sz w:val="24"/>
        </w:rPr>
        <w:t> </w:t>
      </w:r>
      <w:r>
        <w:rPr>
          <w:i/>
          <w:sz w:val="24"/>
        </w:rPr>
        <w:t>competirán</w:t>
      </w:r>
      <w:r>
        <w:rPr>
          <w:i/>
          <w:spacing w:val="-14"/>
          <w:sz w:val="24"/>
        </w:rPr>
        <w:t> </w:t>
      </w:r>
      <w:r>
        <w:rPr>
          <w:i/>
          <w:sz w:val="24"/>
        </w:rPr>
        <w:t>más</w:t>
      </w:r>
      <w:r>
        <w:rPr>
          <w:i/>
          <w:spacing w:val="-14"/>
          <w:sz w:val="24"/>
        </w:rPr>
        <w:t> </w:t>
      </w:r>
      <w:r>
        <w:rPr>
          <w:i/>
          <w:sz w:val="24"/>
        </w:rPr>
        <w:t>como</w:t>
      </w:r>
      <w:r>
        <w:rPr>
          <w:i/>
          <w:spacing w:val="-14"/>
          <w:sz w:val="24"/>
        </w:rPr>
        <w:t> </w:t>
      </w:r>
      <w:r>
        <w:rPr>
          <w:i/>
          <w:sz w:val="24"/>
        </w:rPr>
        <w:t>entidades</w:t>
      </w:r>
      <w:r>
        <w:rPr>
          <w:i/>
          <w:spacing w:val="-14"/>
          <w:sz w:val="24"/>
        </w:rPr>
        <w:t> </w:t>
      </w:r>
      <w:r>
        <w:rPr>
          <w:i/>
          <w:sz w:val="24"/>
        </w:rPr>
        <w:t>individuales; sino</w:t>
      </w:r>
      <w:r>
        <w:rPr>
          <w:i/>
          <w:spacing w:val="-14"/>
          <w:sz w:val="24"/>
        </w:rPr>
        <w:t> </w:t>
      </w:r>
      <w:r>
        <w:rPr>
          <w:i/>
          <w:sz w:val="24"/>
        </w:rPr>
        <w:t>que</w:t>
      </w:r>
      <w:r>
        <w:rPr>
          <w:i/>
          <w:spacing w:val="-16"/>
          <w:sz w:val="24"/>
        </w:rPr>
        <w:t> </w:t>
      </w:r>
      <w:r>
        <w:rPr>
          <w:i/>
          <w:sz w:val="24"/>
        </w:rPr>
        <w:t>ellos</w:t>
      </w:r>
      <w:r>
        <w:rPr>
          <w:i/>
          <w:spacing w:val="-15"/>
          <w:sz w:val="24"/>
        </w:rPr>
        <w:t> </w:t>
      </w:r>
      <w:r>
        <w:rPr>
          <w:i/>
          <w:sz w:val="24"/>
        </w:rPr>
        <w:t>colaboraran</w:t>
      </w:r>
      <w:r>
        <w:rPr>
          <w:i/>
          <w:spacing w:val="-15"/>
          <w:sz w:val="24"/>
        </w:rPr>
        <w:t> </w:t>
      </w:r>
      <w:r>
        <w:rPr>
          <w:i/>
          <w:sz w:val="24"/>
        </w:rPr>
        <w:t>en</w:t>
      </w:r>
      <w:r>
        <w:rPr>
          <w:i/>
          <w:spacing w:val="-15"/>
          <w:sz w:val="24"/>
        </w:rPr>
        <w:t> </w:t>
      </w:r>
      <w:r>
        <w:rPr>
          <w:i/>
          <w:sz w:val="24"/>
        </w:rPr>
        <w:t>una</w:t>
      </w:r>
      <w:r>
        <w:rPr>
          <w:i/>
          <w:spacing w:val="-15"/>
          <w:sz w:val="24"/>
        </w:rPr>
        <w:t> </w:t>
      </w:r>
      <w:r>
        <w:rPr>
          <w:i/>
          <w:sz w:val="24"/>
        </w:rPr>
        <w:t>“cadena</w:t>
      </w:r>
      <w:r>
        <w:rPr>
          <w:i/>
          <w:spacing w:val="-15"/>
          <w:sz w:val="24"/>
        </w:rPr>
        <w:t> </w:t>
      </w:r>
      <w:r>
        <w:rPr>
          <w:i/>
          <w:sz w:val="24"/>
        </w:rPr>
        <w:t>de</w:t>
      </w:r>
      <w:r>
        <w:rPr>
          <w:i/>
          <w:spacing w:val="-16"/>
          <w:sz w:val="24"/>
        </w:rPr>
        <w:t> </w:t>
      </w:r>
      <w:r>
        <w:rPr>
          <w:i/>
          <w:sz w:val="24"/>
        </w:rPr>
        <w:t>valor”</w:t>
      </w:r>
      <w:r>
        <w:rPr>
          <w:i/>
          <w:spacing w:val="-14"/>
          <w:sz w:val="24"/>
        </w:rPr>
        <w:t> </w:t>
      </w:r>
      <w:r>
        <w:rPr>
          <w:i/>
          <w:sz w:val="24"/>
        </w:rPr>
        <w:t>estratégica,</w:t>
      </w:r>
      <w:r>
        <w:rPr>
          <w:i/>
          <w:spacing w:val="-15"/>
          <w:sz w:val="24"/>
        </w:rPr>
        <w:t> </w:t>
      </w:r>
      <w:r>
        <w:rPr>
          <w:i/>
          <w:sz w:val="24"/>
        </w:rPr>
        <w:t>compitiendo</w:t>
      </w:r>
      <w:r>
        <w:rPr>
          <w:i/>
          <w:spacing w:val="-15"/>
          <w:sz w:val="24"/>
        </w:rPr>
        <w:t> </w:t>
      </w:r>
      <w:r>
        <w:rPr>
          <w:i/>
          <w:sz w:val="24"/>
        </w:rPr>
        <w:t>contra otras cadenas de valor en el</w:t>
      </w:r>
      <w:r>
        <w:rPr>
          <w:i/>
          <w:spacing w:val="-6"/>
          <w:sz w:val="24"/>
        </w:rPr>
        <w:t> </w:t>
      </w:r>
      <w:r>
        <w:rPr>
          <w:i/>
          <w:sz w:val="24"/>
        </w:rPr>
        <w:t>mercado.”</w:t>
      </w:r>
    </w:p>
    <w:p>
      <w:pPr>
        <w:pStyle w:val="BodyText"/>
        <w:rPr>
          <w:i/>
        </w:rPr>
      </w:pPr>
    </w:p>
    <w:p>
      <w:pPr>
        <w:pStyle w:val="BodyText"/>
        <w:spacing w:line="360" w:lineRule="auto" w:before="143"/>
        <w:ind w:left="102" w:right="121"/>
        <w:jc w:val="both"/>
      </w:pPr>
      <w:r>
        <w:rPr/>
        <w:t>El surgimiento de las “cadenas de valor” como una estructura organizacional refleja la continua evolución de la economía de mercado, representan un cambio marcado en el comportamiento del “management” y estrategias organizacionales (Iglesias, 2002).</w:t>
      </w:r>
    </w:p>
    <w:p>
      <w:pPr>
        <w:pStyle w:val="BodyText"/>
      </w:pPr>
    </w:p>
    <w:p>
      <w:pPr>
        <w:pStyle w:val="Heading1"/>
        <w:numPr>
          <w:ilvl w:val="1"/>
          <w:numId w:val="14"/>
        </w:numPr>
        <w:tabs>
          <w:tab w:pos="582" w:val="left" w:leader="none"/>
        </w:tabs>
        <w:spacing w:line="240" w:lineRule="auto" w:before="148" w:after="0"/>
        <w:ind w:left="582" w:right="0" w:hanging="480"/>
        <w:jc w:val="both"/>
      </w:pPr>
      <w:bookmarkStart w:name="_TOC_250023" w:id="19"/>
      <w:r>
        <w:rPr/>
        <w:t>La cadena de valor: aspectos teóricos y</w:t>
      </w:r>
      <w:r>
        <w:rPr>
          <w:spacing w:val="-13"/>
        </w:rPr>
        <w:t> </w:t>
      </w:r>
      <w:bookmarkEnd w:id="19"/>
      <w:r>
        <w:rPr/>
        <w:t>conceptuales</w:t>
      </w:r>
    </w:p>
    <w:p>
      <w:pPr>
        <w:pStyle w:val="BodyText"/>
        <w:rPr>
          <w:b/>
        </w:rPr>
      </w:pPr>
    </w:p>
    <w:p>
      <w:pPr>
        <w:pStyle w:val="BodyText"/>
        <w:spacing w:before="6"/>
        <w:rPr>
          <w:b/>
          <w:sz w:val="23"/>
        </w:rPr>
      </w:pPr>
    </w:p>
    <w:p>
      <w:pPr>
        <w:pStyle w:val="BodyText"/>
        <w:spacing w:line="360" w:lineRule="auto"/>
        <w:ind w:left="102" w:right="120"/>
        <w:jc w:val="both"/>
      </w:pPr>
      <w:r>
        <w:rPr/>
        <w:t>Algunos autores usan las expresiones “cadena agroalimentaria” y “cadena de valor” como sinónimos, otros en cambio usan cada vocablo para describir diferentes procesos (Iglesias, 2002).</w:t>
      </w:r>
    </w:p>
    <w:p>
      <w:pPr>
        <w:pStyle w:val="BodyText"/>
      </w:pPr>
    </w:p>
    <w:p>
      <w:pPr>
        <w:pStyle w:val="BodyText"/>
        <w:spacing w:line="360" w:lineRule="auto" w:before="143"/>
        <w:ind w:left="102" w:right="119"/>
        <w:jc w:val="both"/>
      </w:pPr>
      <w:r>
        <w:rPr/>
        <w:t>La cadena agroalimentaria se refiere a toda cadena vertical de actividades, desde la producción en el establecimiento agropecuario, pasando por la etapa de procesamiento y distribución mayorista y minorista en otras palabras el espectro completo del potrero a la mesa, sin importar cómo se organiza o cómo funciona la cadena (Hobbs et al., 2000).</w:t>
      </w:r>
    </w:p>
    <w:p>
      <w:pPr>
        <w:pStyle w:val="BodyText"/>
      </w:pPr>
    </w:p>
    <w:p>
      <w:pPr>
        <w:pStyle w:val="BodyText"/>
        <w:spacing w:line="360" w:lineRule="auto" w:before="143"/>
        <w:ind w:left="102" w:right="117"/>
        <w:jc w:val="both"/>
      </w:pPr>
      <w:r>
        <w:rPr/>
        <w:t>No obstante, la “cadena de valor” se define como la colaboración estratégica de empresas con el propósito de satisfacer objetivos específicos de mercado en el largo plazo, y lograr beneficios mutuos para todos los “eslabones” de la cadena. Así mismo, el término “cadena de valor” también se refiere a una red de alianzas verticales o estratégicas entre varias empresas de negocios independientes dentro de una cadena agroalimentaria, facilita la creación de alianzas productivas, permitiendo el uso más eficiente de recursos, resaltando el papel de la distribución y el mercadeo como factores claves de una mayor competitividad, facilita el flujo de información entre los actores, ayuda al desarrollo de soluciones de una</w:t>
      </w:r>
    </w:p>
    <w:p>
      <w:pPr>
        <w:spacing w:after="0" w:line="360" w:lineRule="auto"/>
        <w:jc w:val="both"/>
        <w:sectPr>
          <w:pgSz w:w="12240" w:h="15840"/>
          <w:pgMar w:header="0" w:footer="657" w:top="1360" w:bottom="840" w:left="1600" w:right="1580"/>
        </w:sectPr>
      </w:pPr>
    </w:p>
    <w:p>
      <w:pPr>
        <w:pStyle w:val="BodyText"/>
        <w:spacing w:line="360" w:lineRule="auto" w:before="50"/>
        <w:ind w:left="102" w:right="123"/>
        <w:jc w:val="both"/>
      </w:pPr>
      <w:r>
        <w:rPr/>
        <w:t>manera conjunta con la identificación de problemas y cuellos de botella a lo largo de la cadena y, por último, permite analizar de manera independiente y conjunta cada eslabón de la cadena (Peña et al., 2008).</w:t>
      </w:r>
    </w:p>
    <w:p>
      <w:pPr>
        <w:pStyle w:val="BodyText"/>
      </w:pPr>
    </w:p>
    <w:p>
      <w:pPr>
        <w:pStyle w:val="Heading2"/>
        <w:numPr>
          <w:ilvl w:val="1"/>
          <w:numId w:val="14"/>
        </w:numPr>
        <w:tabs>
          <w:tab w:pos="582" w:val="left" w:leader="none"/>
        </w:tabs>
        <w:spacing w:line="240" w:lineRule="auto" w:before="148" w:after="0"/>
        <w:ind w:left="582" w:right="0" w:hanging="480"/>
        <w:jc w:val="both"/>
        <w:rPr>
          <w:i/>
        </w:rPr>
      </w:pPr>
      <w:bookmarkStart w:name="_TOC_250022" w:id="20"/>
      <w:r>
        <w:rPr>
          <w:i/>
        </w:rPr>
        <w:t>Diferencia entre cadena de valor y cadena</w:t>
      </w:r>
      <w:r>
        <w:rPr>
          <w:i/>
          <w:spacing w:val="-7"/>
        </w:rPr>
        <w:t> </w:t>
      </w:r>
      <w:bookmarkEnd w:id="20"/>
      <w:r>
        <w:rPr>
          <w:i/>
        </w:rPr>
        <w:t>agroalimentaria</w:t>
      </w:r>
    </w:p>
    <w:p>
      <w:pPr>
        <w:pStyle w:val="BodyText"/>
        <w:rPr>
          <w:b/>
          <w:i/>
        </w:rPr>
      </w:pPr>
    </w:p>
    <w:p>
      <w:pPr>
        <w:pStyle w:val="BodyText"/>
        <w:spacing w:before="6"/>
        <w:rPr>
          <w:b/>
          <w:i/>
          <w:sz w:val="23"/>
        </w:rPr>
      </w:pPr>
    </w:p>
    <w:p>
      <w:pPr>
        <w:pStyle w:val="BodyText"/>
        <w:spacing w:line="360" w:lineRule="auto"/>
        <w:ind w:left="102" w:right="122"/>
        <w:jc w:val="both"/>
      </w:pPr>
      <w:r>
        <w:rPr/>
        <w:t>Como hemos visto anteriormente, el término “cadena del valor” se refiere a una red de alianzas</w:t>
      </w:r>
      <w:r>
        <w:rPr>
          <w:spacing w:val="-7"/>
        </w:rPr>
        <w:t> </w:t>
      </w:r>
      <w:r>
        <w:rPr/>
        <w:t>verticales</w:t>
      </w:r>
      <w:r>
        <w:rPr>
          <w:spacing w:val="-8"/>
        </w:rPr>
        <w:t> </w:t>
      </w:r>
      <w:r>
        <w:rPr/>
        <w:t>o</w:t>
      </w:r>
      <w:r>
        <w:rPr>
          <w:spacing w:val="-7"/>
        </w:rPr>
        <w:t> </w:t>
      </w:r>
      <w:r>
        <w:rPr/>
        <w:t>estratégicas</w:t>
      </w:r>
      <w:r>
        <w:rPr>
          <w:spacing w:val="-7"/>
        </w:rPr>
        <w:t> </w:t>
      </w:r>
      <w:r>
        <w:rPr/>
        <w:t>entre</w:t>
      </w:r>
      <w:r>
        <w:rPr>
          <w:spacing w:val="-8"/>
        </w:rPr>
        <w:t> </w:t>
      </w:r>
      <w:r>
        <w:rPr/>
        <w:t>varias</w:t>
      </w:r>
      <w:r>
        <w:rPr>
          <w:spacing w:val="-7"/>
        </w:rPr>
        <w:t> </w:t>
      </w:r>
      <w:r>
        <w:rPr/>
        <w:t>empresas</w:t>
      </w:r>
      <w:r>
        <w:rPr>
          <w:spacing w:val="-7"/>
        </w:rPr>
        <w:t> </w:t>
      </w:r>
      <w:r>
        <w:rPr/>
        <w:t>de</w:t>
      </w:r>
      <w:r>
        <w:rPr>
          <w:spacing w:val="-8"/>
        </w:rPr>
        <w:t> </w:t>
      </w:r>
      <w:r>
        <w:rPr/>
        <w:t>negocios</w:t>
      </w:r>
      <w:r>
        <w:rPr>
          <w:spacing w:val="-7"/>
        </w:rPr>
        <w:t> </w:t>
      </w:r>
      <w:r>
        <w:rPr/>
        <w:t>independientes</w:t>
      </w:r>
      <w:r>
        <w:rPr>
          <w:spacing w:val="-7"/>
        </w:rPr>
        <w:t> </w:t>
      </w:r>
      <w:r>
        <w:rPr/>
        <w:t>dentro</w:t>
      </w:r>
      <w:r>
        <w:rPr>
          <w:spacing w:val="-7"/>
        </w:rPr>
        <w:t> </w:t>
      </w:r>
      <w:r>
        <w:rPr/>
        <w:t>de una cadena</w:t>
      </w:r>
      <w:r>
        <w:rPr>
          <w:spacing w:val="-3"/>
        </w:rPr>
        <w:t> </w:t>
      </w:r>
      <w:r>
        <w:rPr/>
        <w:t>agroalimentaria.</w:t>
      </w:r>
    </w:p>
    <w:p>
      <w:pPr>
        <w:pStyle w:val="BodyText"/>
      </w:pPr>
    </w:p>
    <w:p>
      <w:pPr>
        <w:pStyle w:val="BodyText"/>
        <w:spacing w:line="360" w:lineRule="auto" w:before="143"/>
        <w:ind w:left="102" w:right="115"/>
        <w:jc w:val="both"/>
      </w:pPr>
      <w:r>
        <w:rPr/>
        <w:t>La cadena de valor se crea cuándo las empresas tienen una visión compartida y metas comunes, se forma para reunir objetivos específicos de mercado para satisfacer las necesidades de los consumidores. Esto permite tomar decisiones en conjunto así como también compartir los riesgos y beneficios. También permite realizar una inteligencia cooperativa: estructura de costos, marketing e información organizacional que se</w:t>
      </w:r>
      <w:r>
        <w:rPr>
          <w:spacing w:val="-22"/>
        </w:rPr>
        <w:t> </w:t>
      </w:r>
      <w:r>
        <w:rPr/>
        <w:t>comparten para aumentar la ganancia y competitividad de la</w:t>
      </w:r>
      <w:r>
        <w:rPr>
          <w:spacing w:val="-11"/>
        </w:rPr>
        <w:t> </w:t>
      </w:r>
      <w:r>
        <w:rPr/>
        <w:t>cadena.</w:t>
      </w:r>
    </w:p>
    <w:p>
      <w:pPr>
        <w:pStyle w:val="BodyText"/>
      </w:pPr>
    </w:p>
    <w:p>
      <w:pPr>
        <w:pStyle w:val="BodyText"/>
        <w:spacing w:line="360" w:lineRule="auto" w:before="143"/>
        <w:ind w:left="102" w:right="114"/>
        <w:jc w:val="both"/>
      </w:pPr>
      <w:r>
        <w:rPr/>
        <w:t>La cadena de valor a menudo abarca el espectro completo de la cadena agroalimentaria, del consumidor</w:t>
      </w:r>
      <w:r>
        <w:rPr>
          <w:spacing w:val="-7"/>
        </w:rPr>
        <w:t> </w:t>
      </w:r>
      <w:r>
        <w:rPr/>
        <w:t>al</w:t>
      </w:r>
      <w:r>
        <w:rPr>
          <w:spacing w:val="-6"/>
        </w:rPr>
        <w:t> </w:t>
      </w:r>
      <w:r>
        <w:rPr/>
        <w:t>productor.</w:t>
      </w:r>
      <w:r>
        <w:rPr>
          <w:spacing w:val="-4"/>
        </w:rPr>
        <w:t> </w:t>
      </w:r>
      <w:r>
        <w:rPr/>
        <w:t>Por</w:t>
      </w:r>
      <w:r>
        <w:rPr>
          <w:spacing w:val="-7"/>
        </w:rPr>
        <w:t> </w:t>
      </w:r>
      <w:r>
        <w:rPr/>
        <w:t>lo</w:t>
      </w:r>
      <w:r>
        <w:rPr>
          <w:spacing w:val="-6"/>
        </w:rPr>
        <w:t> </w:t>
      </w:r>
      <w:r>
        <w:rPr/>
        <w:t>tanto,</w:t>
      </w:r>
      <w:r>
        <w:rPr>
          <w:spacing w:val="-6"/>
        </w:rPr>
        <w:t> </w:t>
      </w:r>
      <w:r>
        <w:rPr/>
        <w:t>proporciona</w:t>
      </w:r>
      <w:r>
        <w:rPr>
          <w:spacing w:val="-5"/>
        </w:rPr>
        <w:t> </w:t>
      </w:r>
      <w:r>
        <w:rPr/>
        <w:t>el</w:t>
      </w:r>
      <w:r>
        <w:rPr>
          <w:spacing w:val="-6"/>
        </w:rPr>
        <w:t> </w:t>
      </w:r>
      <w:r>
        <w:rPr/>
        <w:t>marco</w:t>
      </w:r>
      <w:r>
        <w:rPr>
          <w:spacing w:val="-6"/>
        </w:rPr>
        <w:t> </w:t>
      </w:r>
      <w:r>
        <w:rPr/>
        <w:t>de</w:t>
      </w:r>
      <w:r>
        <w:rPr>
          <w:spacing w:val="-7"/>
        </w:rPr>
        <w:t> </w:t>
      </w:r>
      <w:r>
        <w:rPr/>
        <w:t>referencia</w:t>
      </w:r>
      <w:r>
        <w:rPr>
          <w:spacing w:val="-7"/>
        </w:rPr>
        <w:t> </w:t>
      </w:r>
      <w:r>
        <w:rPr/>
        <w:t>para</w:t>
      </w:r>
      <w:r>
        <w:rPr>
          <w:spacing w:val="-8"/>
        </w:rPr>
        <w:t> </w:t>
      </w:r>
      <w:r>
        <w:rPr/>
        <w:t>la</w:t>
      </w:r>
      <w:r>
        <w:rPr>
          <w:spacing w:val="-5"/>
        </w:rPr>
        <w:t> </w:t>
      </w:r>
      <w:r>
        <w:rPr/>
        <w:t>realización de las transacciones de negocios, dando respuesta a las necesidades del consumidor;</w:t>
      </w:r>
      <w:r>
        <w:rPr>
          <w:spacing w:val="-29"/>
        </w:rPr>
        <w:t> </w:t>
      </w:r>
      <w:r>
        <w:rPr/>
        <w:t>implica confianza y abre la comunicación entre sus participantes y los resultados son mutuamente beneficiosos para todas las partes que</w:t>
      </w:r>
      <w:r>
        <w:rPr>
          <w:spacing w:val="-12"/>
        </w:rPr>
        <w:t> </w:t>
      </w:r>
      <w:r>
        <w:rPr/>
        <w:t>intervienen.</w:t>
      </w:r>
    </w:p>
    <w:p>
      <w:pPr>
        <w:pStyle w:val="BodyText"/>
      </w:pPr>
    </w:p>
    <w:p>
      <w:pPr>
        <w:pStyle w:val="BodyText"/>
        <w:spacing w:line="360" w:lineRule="auto" w:before="143"/>
        <w:ind w:left="102" w:right="114"/>
        <w:jc w:val="both"/>
      </w:pPr>
      <w:r>
        <w:rPr/>
        <w:t>Para entender mejor que es una cadena de valor, muchas veces resulta útil determinar lo</w:t>
      </w:r>
      <w:r>
        <w:rPr>
          <w:spacing w:val="-21"/>
        </w:rPr>
        <w:t> </w:t>
      </w:r>
      <w:r>
        <w:rPr/>
        <w:t>que no es. De acuerdo con Iglesias (2002) una cadena de valor no es integración vertical; la integración vertical ocurre cuando una sola firma posee varias etapas en la cadena agroalimentaria. Una empresa como Bimbo, por ejemplo, posee tantos molinos de harina como venta al por menor, en distintos expendios está integrada verticalmente. En una empresa</w:t>
      </w:r>
      <w:r>
        <w:rPr>
          <w:spacing w:val="-8"/>
        </w:rPr>
        <w:t> </w:t>
      </w:r>
      <w:r>
        <w:rPr/>
        <w:t>verticalmente</w:t>
      </w:r>
      <w:r>
        <w:rPr>
          <w:spacing w:val="-8"/>
        </w:rPr>
        <w:t> </w:t>
      </w:r>
      <w:r>
        <w:rPr/>
        <w:t>integrada,</w:t>
      </w:r>
      <w:r>
        <w:rPr>
          <w:spacing w:val="-7"/>
        </w:rPr>
        <w:t> </w:t>
      </w:r>
      <w:r>
        <w:rPr/>
        <w:t>los</w:t>
      </w:r>
      <w:r>
        <w:rPr>
          <w:spacing w:val="-7"/>
        </w:rPr>
        <w:t> </w:t>
      </w:r>
      <w:r>
        <w:rPr/>
        <w:t>productos</w:t>
      </w:r>
      <w:r>
        <w:rPr>
          <w:spacing w:val="-7"/>
        </w:rPr>
        <w:t> </w:t>
      </w:r>
      <w:r>
        <w:rPr/>
        <w:t>se</w:t>
      </w:r>
      <w:r>
        <w:rPr>
          <w:spacing w:val="-6"/>
        </w:rPr>
        <w:t> </w:t>
      </w:r>
      <w:r>
        <w:rPr/>
        <w:t>mueven</w:t>
      </w:r>
      <w:r>
        <w:rPr>
          <w:spacing w:val="-7"/>
        </w:rPr>
        <w:t> </w:t>
      </w:r>
      <w:r>
        <w:rPr/>
        <w:t>entre</w:t>
      </w:r>
      <w:r>
        <w:rPr>
          <w:spacing w:val="-8"/>
        </w:rPr>
        <w:t> </w:t>
      </w:r>
      <w:r>
        <w:rPr/>
        <w:t>las</w:t>
      </w:r>
      <w:r>
        <w:rPr>
          <w:spacing w:val="-8"/>
        </w:rPr>
        <w:t> </w:t>
      </w:r>
      <w:r>
        <w:rPr/>
        <w:t>etapas</w:t>
      </w:r>
      <w:r>
        <w:rPr>
          <w:spacing w:val="-7"/>
        </w:rPr>
        <w:t> </w:t>
      </w:r>
      <w:r>
        <w:rPr/>
        <w:t>de</w:t>
      </w:r>
      <w:r>
        <w:rPr>
          <w:spacing w:val="-8"/>
        </w:rPr>
        <w:t> </w:t>
      </w:r>
      <w:r>
        <w:rPr/>
        <w:t>producción,</w:t>
      </w:r>
      <w:r>
        <w:rPr>
          <w:spacing w:val="-7"/>
        </w:rPr>
        <w:t> </w:t>
      </w:r>
      <w:r>
        <w:rPr/>
        <w:t>de transformación y distribución como resultado de decisiones de manejo dentro de una sola firma.</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En cambio, en una cadena de valor los productos se mueven entre empresas independientes que trabajan juntas en una alianza vertical. Por supuesto, una empresa verticalmente integrada podría formar parte de una cadena del valor con otras empresas independientes en la</w:t>
      </w:r>
      <w:r>
        <w:rPr>
          <w:spacing w:val="-4"/>
        </w:rPr>
        <w:t> </w:t>
      </w:r>
      <w:r>
        <w:rPr/>
        <w:t>cadena</w:t>
      </w:r>
      <w:r>
        <w:rPr>
          <w:spacing w:val="-5"/>
        </w:rPr>
        <w:t> </w:t>
      </w:r>
      <w:r>
        <w:rPr/>
        <w:t>agroalimentaria,</w:t>
      </w:r>
      <w:r>
        <w:rPr>
          <w:spacing w:val="-1"/>
        </w:rPr>
        <w:t> </w:t>
      </w:r>
      <w:r>
        <w:rPr/>
        <w:t>y</w:t>
      </w:r>
      <w:r>
        <w:rPr>
          <w:spacing w:val="-9"/>
        </w:rPr>
        <w:t> </w:t>
      </w:r>
      <w:r>
        <w:rPr/>
        <w:t>participar</w:t>
      </w:r>
      <w:r>
        <w:rPr>
          <w:spacing w:val="-5"/>
        </w:rPr>
        <w:t> </w:t>
      </w:r>
      <w:r>
        <w:rPr/>
        <w:t>como</w:t>
      </w:r>
      <w:r>
        <w:rPr>
          <w:spacing w:val="-3"/>
        </w:rPr>
        <w:t> </w:t>
      </w:r>
      <w:r>
        <w:rPr/>
        <w:t>lo</w:t>
      </w:r>
      <w:r>
        <w:rPr>
          <w:spacing w:val="-3"/>
        </w:rPr>
        <w:t> </w:t>
      </w:r>
      <w:r>
        <w:rPr/>
        <w:t>hace</w:t>
      </w:r>
      <w:r>
        <w:rPr>
          <w:spacing w:val="-5"/>
        </w:rPr>
        <w:t> </w:t>
      </w:r>
      <w:r>
        <w:rPr/>
        <w:t>cualquier</w:t>
      </w:r>
      <w:r>
        <w:rPr>
          <w:spacing w:val="-5"/>
        </w:rPr>
        <w:t> </w:t>
      </w:r>
      <w:r>
        <w:rPr/>
        <w:t>otro</w:t>
      </w:r>
      <w:r>
        <w:rPr>
          <w:spacing w:val="-4"/>
        </w:rPr>
        <w:t> </w:t>
      </w:r>
      <w:r>
        <w:rPr/>
        <w:t>miembro</w:t>
      </w:r>
      <w:r>
        <w:rPr>
          <w:spacing w:val="-4"/>
        </w:rPr>
        <w:t> </w:t>
      </w:r>
      <w:r>
        <w:rPr/>
        <w:t>de</w:t>
      </w:r>
      <w:r>
        <w:rPr>
          <w:spacing w:val="-5"/>
        </w:rPr>
        <w:t> </w:t>
      </w:r>
      <w:r>
        <w:rPr/>
        <w:t>la</w:t>
      </w:r>
      <w:r>
        <w:rPr>
          <w:spacing w:val="-4"/>
        </w:rPr>
        <w:t> </w:t>
      </w:r>
      <w:r>
        <w:rPr/>
        <w:t>cadena</w:t>
      </w:r>
      <w:r>
        <w:rPr>
          <w:spacing w:val="-5"/>
        </w:rPr>
        <w:t> </w:t>
      </w:r>
      <w:r>
        <w:rPr/>
        <w:t>de valor.</w:t>
      </w:r>
    </w:p>
    <w:p>
      <w:pPr>
        <w:pStyle w:val="BodyText"/>
      </w:pPr>
    </w:p>
    <w:p>
      <w:pPr>
        <w:pStyle w:val="BodyText"/>
        <w:spacing w:line="360" w:lineRule="auto" w:before="143"/>
        <w:ind w:left="102" w:right="117"/>
        <w:jc w:val="both"/>
      </w:pPr>
      <w:r>
        <w:rPr/>
        <w:t>Una cadena de valor no es una cooperativa, una cooperativa es una alianza horizontal generalmente a través de un nivel de la cadena agroalimentaria. En el sector agrícola, esto a menudo implica un grupo de productores que colabora para lograr un objetivo que provea beneficios mutuos, tal como el procesamiento, almacenamiento o la comercialización de granos, lácteos entre otros. Una cooperativa quizás sea responsable de más de una función de la cadena agroalimentaria; suministro de insumos </w:t>
      </w:r>
      <w:r>
        <w:rPr>
          <w:spacing w:val="-3"/>
        </w:rPr>
        <w:t>y/o </w:t>
      </w:r>
      <w:r>
        <w:rPr/>
        <w:t>marketing, por ejemplo pero esto no</w:t>
      </w:r>
      <w:r>
        <w:rPr>
          <w:spacing w:val="-4"/>
        </w:rPr>
        <w:t> </w:t>
      </w:r>
      <w:r>
        <w:rPr/>
        <w:t>la</w:t>
      </w:r>
      <w:r>
        <w:rPr>
          <w:spacing w:val="-4"/>
        </w:rPr>
        <w:t> </w:t>
      </w:r>
      <w:r>
        <w:rPr/>
        <w:t>hace</w:t>
      </w:r>
      <w:r>
        <w:rPr>
          <w:spacing w:val="-5"/>
        </w:rPr>
        <w:t> </w:t>
      </w:r>
      <w:r>
        <w:rPr/>
        <w:t>una</w:t>
      </w:r>
      <w:r>
        <w:rPr>
          <w:spacing w:val="-5"/>
        </w:rPr>
        <w:t> </w:t>
      </w:r>
      <w:r>
        <w:rPr/>
        <w:t>cadena</w:t>
      </w:r>
      <w:r>
        <w:rPr>
          <w:spacing w:val="-5"/>
        </w:rPr>
        <w:t> </w:t>
      </w:r>
      <w:r>
        <w:rPr/>
        <w:t>de</w:t>
      </w:r>
      <w:r>
        <w:rPr>
          <w:spacing w:val="-2"/>
        </w:rPr>
        <w:t> </w:t>
      </w:r>
      <w:r>
        <w:rPr/>
        <w:t>valor.</w:t>
      </w:r>
      <w:r>
        <w:rPr>
          <w:spacing w:val="-4"/>
        </w:rPr>
        <w:t> </w:t>
      </w:r>
      <w:r>
        <w:rPr/>
        <w:t>Como</w:t>
      </w:r>
      <w:r>
        <w:rPr>
          <w:spacing w:val="-3"/>
        </w:rPr>
        <w:t> </w:t>
      </w:r>
      <w:r>
        <w:rPr/>
        <w:t>en</w:t>
      </w:r>
      <w:r>
        <w:rPr>
          <w:spacing w:val="-4"/>
        </w:rPr>
        <w:t> </w:t>
      </w:r>
      <w:r>
        <w:rPr/>
        <w:t>el</w:t>
      </w:r>
      <w:r>
        <w:rPr>
          <w:spacing w:val="-3"/>
        </w:rPr>
        <w:t> </w:t>
      </w:r>
      <w:r>
        <w:rPr/>
        <w:t>caso</w:t>
      </w:r>
      <w:r>
        <w:rPr>
          <w:spacing w:val="-4"/>
        </w:rPr>
        <w:t> </w:t>
      </w:r>
      <w:r>
        <w:rPr/>
        <w:t>de</w:t>
      </w:r>
      <w:r>
        <w:rPr>
          <w:spacing w:val="-5"/>
        </w:rPr>
        <w:t> </w:t>
      </w:r>
      <w:r>
        <w:rPr/>
        <w:t>una</w:t>
      </w:r>
      <w:r>
        <w:rPr>
          <w:spacing w:val="-5"/>
        </w:rPr>
        <w:t> </w:t>
      </w:r>
      <w:r>
        <w:rPr/>
        <w:t>empresa</w:t>
      </w:r>
      <w:r>
        <w:rPr>
          <w:spacing w:val="-5"/>
        </w:rPr>
        <w:t> </w:t>
      </w:r>
      <w:r>
        <w:rPr/>
        <w:t>verticalmente</w:t>
      </w:r>
      <w:r>
        <w:rPr>
          <w:spacing w:val="-4"/>
        </w:rPr>
        <w:t> </w:t>
      </w:r>
      <w:r>
        <w:rPr/>
        <w:t>integrada,</w:t>
      </w:r>
      <w:r>
        <w:rPr>
          <w:spacing w:val="-4"/>
        </w:rPr>
        <w:t> </w:t>
      </w:r>
      <w:r>
        <w:rPr/>
        <w:t>no hay razón para que una cooperativa no pueda formar parte de una red vertical más extensa de cadena de valor, pero los dos conceptos son</w:t>
      </w:r>
      <w:r>
        <w:rPr>
          <w:spacing w:val="-9"/>
        </w:rPr>
        <w:t> </w:t>
      </w:r>
      <w:r>
        <w:rPr/>
        <w:t>diferentes.</w:t>
      </w:r>
    </w:p>
    <w:p>
      <w:pPr>
        <w:pStyle w:val="BodyText"/>
      </w:pPr>
    </w:p>
    <w:p>
      <w:pPr>
        <w:pStyle w:val="BodyText"/>
        <w:spacing w:line="360" w:lineRule="auto" w:before="143"/>
        <w:ind w:left="102" w:right="117"/>
        <w:jc w:val="both"/>
      </w:pPr>
      <w:r>
        <w:rPr/>
        <w:t>Una cadena de valor no es una serie de transacciones comerciales tradicionales, una transacción comercial a través del mercado implica múltiples compradores y vendedores y ocurre</w:t>
      </w:r>
      <w:r>
        <w:rPr>
          <w:spacing w:val="-8"/>
        </w:rPr>
        <w:t> </w:t>
      </w:r>
      <w:r>
        <w:rPr/>
        <w:t>dentro</w:t>
      </w:r>
      <w:r>
        <w:rPr>
          <w:spacing w:val="-7"/>
        </w:rPr>
        <w:t> </w:t>
      </w:r>
      <w:r>
        <w:rPr/>
        <w:t>de</w:t>
      </w:r>
      <w:r>
        <w:rPr>
          <w:spacing w:val="-8"/>
        </w:rPr>
        <w:t> </w:t>
      </w:r>
      <w:r>
        <w:rPr/>
        <w:t>un</w:t>
      </w:r>
      <w:r>
        <w:rPr>
          <w:spacing w:val="-7"/>
        </w:rPr>
        <w:t> </w:t>
      </w:r>
      <w:r>
        <w:rPr/>
        <w:t>cierto</w:t>
      </w:r>
      <w:r>
        <w:rPr>
          <w:spacing w:val="-7"/>
        </w:rPr>
        <w:t> </w:t>
      </w:r>
      <w:r>
        <w:rPr/>
        <w:t>período</w:t>
      </w:r>
      <w:r>
        <w:rPr>
          <w:spacing w:val="-7"/>
        </w:rPr>
        <w:t> </w:t>
      </w:r>
      <w:r>
        <w:rPr/>
        <w:t>de</w:t>
      </w:r>
      <w:r>
        <w:rPr>
          <w:spacing w:val="-8"/>
        </w:rPr>
        <w:t> </w:t>
      </w:r>
      <w:r>
        <w:rPr/>
        <w:t>tiempo.</w:t>
      </w:r>
      <w:r>
        <w:rPr>
          <w:spacing w:val="-4"/>
        </w:rPr>
        <w:t> </w:t>
      </w:r>
      <w:r>
        <w:rPr/>
        <w:t>Los</w:t>
      </w:r>
      <w:r>
        <w:rPr>
          <w:spacing w:val="-5"/>
        </w:rPr>
        <w:t> </w:t>
      </w:r>
      <w:r>
        <w:rPr/>
        <w:t>productos</w:t>
      </w:r>
      <w:r>
        <w:rPr>
          <w:spacing w:val="-7"/>
        </w:rPr>
        <w:t> </w:t>
      </w:r>
      <w:r>
        <w:rPr/>
        <w:t>se</w:t>
      </w:r>
      <w:r>
        <w:rPr>
          <w:spacing w:val="-8"/>
        </w:rPr>
        <w:t> </w:t>
      </w:r>
      <w:r>
        <w:rPr/>
        <w:t>mueven</w:t>
      </w:r>
      <w:r>
        <w:rPr>
          <w:spacing w:val="-7"/>
        </w:rPr>
        <w:t> </w:t>
      </w:r>
      <w:r>
        <w:rPr/>
        <w:t>a</w:t>
      </w:r>
      <w:r>
        <w:rPr>
          <w:spacing w:val="-8"/>
        </w:rPr>
        <w:t> </w:t>
      </w:r>
      <w:r>
        <w:rPr/>
        <w:t>través</w:t>
      </w:r>
      <w:r>
        <w:rPr>
          <w:spacing w:val="-7"/>
        </w:rPr>
        <w:t> </w:t>
      </w:r>
      <w:r>
        <w:rPr/>
        <w:t>de</w:t>
      </w:r>
      <w:r>
        <w:rPr>
          <w:spacing w:val="-8"/>
        </w:rPr>
        <w:t> </w:t>
      </w:r>
      <w:r>
        <w:rPr/>
        <w:t>las</w:t>
      </w:r>
      <w:r>
        <w:rPr>
          <w:spacing w:val="-8"/>
        </w:rPr>
        <w:t> </w:t>
      </w:r>
      <w:r>
        <w:rPr/>
        <w:t>etapas de la producción, procesamiento y distribución en respuesta a las señales del mercado; no hay</w:t>
      </w:r>
      <w:r>
        <w:rPr>
          <w:spacing w:val="-11"/>
        </w:rPr>
        <w:t> </w:t>
      </w:r>
      <w:r>
        <w:rPr/>
        <w:t>una</w:t>
      </w:r>
      <w:r>
        <w:rPr>
          <w:spacing w:val="-7"/>
        </w:rPr>
        <w:t> </w:t>
      </w:r>
      <w:r>
        <w:rPr/>
        <w:t>relación</w:t>
      </w:r>
      <w:r>
        <w:rPr>
          <w:spacing w:val="-6"/>
        </w:rPr>
        <w:t> </w:t>
      </w:r>
      <w:r>
        <w:rPr/>
        <w:t>de</w:t>
      </w:r>
      <w:r>
        <w:rPr>
          <w:spacing w:val="-7"/>
        </w:rPr>
        <w:t> </w:t>
      </w:r>
      <w:r>
        <w:rPr/>
        <w:t>compromiso</w:t>
      </w:r>
      <w:r>
        <w:rPr>
          <w:spacing w:val="-6"/>
        </w:rPr>
        <w:t> </w:t>
      </w:r>
      <w:r>
        <w:rPr/>
        <w:t>a</w:t>
      </w:r>
      <w:r>
        <w:rPr>
          <w:spacing w:val="-7"/>
        </w:rPr>
        <w:t> </w:t>
      </w:r>
      <w:r>
        <w:rPr/>
        <w:t>largo</w:t>
      </w:r>
      <w:r>
        <w:rPr>
          <w:spacing w:val="-6"/>
        </w:rPr>
        <w:t> </w:t>
      </w:r>
      <w:r>
        <w:rPr/>
        <w:t>plazo</w:t>
      </w:r>
      <w:r>
        <w:rPr>
          <w:spacing w:val="-6"/>
        </w:rPr>
        <w:t> </w:t>
      </w:r>
      <w:r>
        <w:rPr/>
        <w:t>entre</w:t>
      </w:r>
      <w:r>
        <w:rPr>
          <w:spacing w:val="-7"/>
        </w:rPr>
        <w:t> </w:t>
      </w:r>
      <w:r>
        <w:rPr/>
        <w:t>compradores</w:t>
      </w:r>
      <w:r>
        <w:rPr>
          <w:spacing w:val="-1"/>
        </w:rPr>
        <w:t> </w:t>
      </w:r>
      <w:r>
        <w:rPr/>
        <w:t>y</w:t>
      </w:r>
      <w:r>
        <w:rPr>
          <w:spacing w:val="-11"/>
        </w:rPr>
        <w:t> </w:t>
      </w:r>
      <w:r>
        <w:rPr/>
        <w:t>vendedores</w:t>
      </w:r>
      <w:r>
        <w:rPr>
          <w:spacing w:val="-6"/>
        </w:rPr>
        <w:t> </w:t>
      </w:r>
      <w:r>
        <w:rPr/>
        <w:t>individuales. El</w:t>
      </w:r>
      <w:r>
        <w:rPr>
          <w:spacing w:val="-5"/>
        </w:rPr>
        <w:t> </w:t>
      </w:r>
      <w:r>
        <w:rPr/>
        <w:t>precio</w:t>
      </w:r>
      <w:r>
        <w:rPr>
          <w:spacing w:val="-2"/>
        </w:rPr>
        <w:t> </w:t>
      </w:r>
      <w:r>
        <w:rPr/>
        <w:t>es</w:t>
      </w:r>
      <w:r>
        <w:rPr>
          <w:spacing w:val="-3"/>
        </w:rPr>
        <w:t> </w:t>
      </w:r>
      <w:r>
        <w:rPr/>
        <w:t>el</w:t>
      </w:r>
      <w:r>
        <w:rPr>
          <w:spacing w:val="-5"/>
        </w:rPr>
        <w:t> </w:t>
      </w:r>
      <w:r>
        <w:rPr/>
        <w:t>determinante</w:t>
      </w:r>
      <w:r>
        <w:rPr>
          <w:spacing w:val="-6"/>
        </w:rPr>
        <w:t> </w:t>
      </w:r>
      <w:r>
        <w:rPr/>
        <w:t>principal</w:t>
      </w:r>
      <w:r>
        <w:rPr>
          <w:spacing w:val="-5"/>
        </w:rPr>
        <w:t> </w:t>
      </w:r>
      <w:r>
        <w:rPr/>
        <w:t>de</w:t>
      </w:r>
      <w:r>
        <w:rPr>
          <w:spacing w:val="-6"/>
        </w:rPr>
        <w:t> </w:t>
      </w:r>
      <w:r>
        <w:rPr/>
        <w:t>la</w:t>
      </w:r>
      <w:r>
        <w:rPr>
          <w:spacing w:val="-4"/>
        </w:rPr>
        <w:t> </w:t>
      </w:r>
      <w:r>
        <w:rPr/>
        <w:t>venta;</w:t>
      </w:r>
      <w:r>
        <w:rPr>
          <w:spacing w:val="-3"/>
        </w:rPr>
        <w:t> </w:t>
      </w:r>
      <w:r>
        <w:rPr/>
        <w:t>existe</w:t>
      </w:r>
      <w:r>
        <w:rPr>
          <w:spacing w:val="-6"/>
        </w:rPr>
        <w:t> </w:t>
      </w:r>
      <w:r>
        <w:rPr/>
        <w:t>muy</w:t>
      </w:r>
      <w:r>
        <w:rPr>
          <w:spacing w:val="-10"/>
        </w:rPr>
        <w:t> </w:t>
      </w:r>
      <w:r>
        <w:rPr/>
        <w:t>poca</w:t>
      </w:r>
      <w:r>
        <w:rPr>
          <w:spacing w:val="-6"/>
        </w:rPr>
        <w:t> </w:t>
      </w:r>
      <w:r>
        <w:rPr/>
        <w:t>o</w:t>
      </w:r>
      <w:r>
        <w:rPr>
          <w:spacing w:val="-5"/>
        </w:rPr>
        <w:t> </w:t>
      </w:r>
      <w:r>
        <w:rPr/>
        <w:t>ninguna</w:t>
      </w:r>
      <w:r>
        <w:rPr>
          <w:spacing w:val="-6"/>
        </w:rPr>
        <w:t> </w:t>
      </w:r>
      <w:r>
        <w:rPr/>
        <w:t>negociación</w:t>
      </w:r>
      <w:r>
        <w:rPr>
          <w:spacing w:val="-5"/>
        </w:rPr>
        <w:t> </w:t>
      </w:r>
      <w:r>
        <w:rPr/>
        <w:t>de la calidad, la cual es especificada generalmente por un sistema de graduación muy amplio. Al</w:t>
      </w:r>
      <w:r>
        <w:rPr>
          <w:spacing w:val="-9"/>
        </w:rPr>
        <w:t> </w:t>
      </w:r>
      <w:r>
        <w:rPr/>
        <w:t>igual</w:t>
      </w:r>
      <w:r>
        <w:rPr>
          <w:spacing w:val="-8"/>
        </w:rPr>
        <w:t> </w:t>
      </w:r>
      <w:r>
        <w:rPr/>
        <w:t>que</w:t>
      </w:r>
      <w:r>
        <w:rPr>
          <w:spacing w:val="-10"/>
        </w:rPr>
        <w:t> </w:t>
      </w:r>
      <w:r>
        <w:rPr/>
        <w:t>existe</w:t>
      </w:r>
      <w:r>
        <w:rPr>
          <w:spacing w:val="-9"/>
        </w:rPr>
        <w:t> </w:t>
      </w:r>
      <w:r>
        <w:rPr/>
        <w:t>muy</w:t>
      </w:r>
      <w:r>
        <w:rPr>
          <w:spacing w:val="-13"/>
        </w:rPr>
        <w:t> </w:t>
      </w:r>
      <w:r>
        <w:rPr/>
        <w:t>escasa</w:t>
      </w:r>
      <w:r>
        <w:rPr>
          <w:spacing w:val="-9"/>
        </w:rPr>
        <w:t> </w:t>
      </w:r>
      <w:r>
        <w:rPr/>
        <w:t>retroalimentación</w:t>
      </w:r>
      <w:r>
        <w:rPr>
          <w:spacing w:val="-8"/>
        </w:rPr>
        <w:t> </w:t>
      </w:r>
      <w:r>
        <w:rPr/>
        <w:t>a</w:t>
      </w:r>
      <w:r>
        <w:rPr>
          <w:spacing w:val="-7"/>
        </w:rPr>
        <w:t> </w:t>
      </w:r>
      <w:r>
        <w:rPr/>
        <w:t>través</w:t>
      </w:r>
      <w:r>
        <w:rPr>
          <w:spacing w:val="-8"/>
        </w:rPr>
        <w:t> </w:t>
      </w:r>
      <w:r>
        <w:rPr/>
        <w:t>de</w:t>
      </w:r>
      <w:r>
        <w:rPr>
          <w:spacing w:val="-10"/>
        </w:rPr>
        <w:t> </w:t>
      </w:r>
      <w:r>
        <w:rPr/>
        <w:t>la</w:t>
      </w:r>
      <w:r>
        <w:rPr>
          <w:spacing w:val="-7"/>
        </w:rPr>
        <w:t> </w:t>
      </w:r>
      <w:r>
        <w:rPr/>
        <w:t>cadena</w:t>
      </w:r>
      <w:r>
        <w:rPr>
          <w:spacing w:val="-7"/>
        </w:rPr>
        <w:t> </w:t>
      </w:r>
      <w:r>
        <w:rPr/>
        <w:t>agroalimentaria</w:t>
      </w:r>
      <w:r>
        <w:rPr>
          <w:spacing w:val="-8"/>
        </w:rPr>
        <w:t> </w:t>
      </w:r>
      <w:r>
        <w:rPr/>
        <w:t>desde los consumidores hacia los productores, esto nos muestra que las relaciones en estos mercados son substancialmente diferentes a las relaciones en una cadena de</w:t>
      </w:r>
      <w:r>
        <w:rPr>
          <w:spacing w:val="-12"/>
        </w:rPr>
        <w:t> </w:t>
      </w:r>
      <w:r>
        <w:rPr/>
        <w:t>valor.</w:t>
      </w:r>
    </w:p>
    <w:p>
      <w:pPr>
        <w:pStyle w:val="BodyText"/>
      </w:pPr>
    </w:p>
    <w:p>
      <w:pPr>
        <w:pStyle w:val="BodyText"/>
        <w:spacing w:line="360" w:lineRule="auto" w:before="143"/>
        <w:ind w:left="102" w:right="123"/>
        <w:jc w:val="both"/>
      </w:pPr>
      <w:r>
        <w:rPr/>
        <w:t>Una cadena de valor también difiere de la relación de rivalidad en los negocios que se encuentra en muchas partes del sector agroalimentario. En las relaciones tradicionales el objetivo es maximizar las ganancias de la empresa individual, a menudo se basa en comprar</w:t>
      </w:r>
    </w:p>
    <w:p>
      <w:pPr>
        <w:spacing w:after="0" w:line="360" w:lineRule="auto"/>
        <w:jc w:val="both"/>
        <w:sectPr>
          <w:pgSz w:w="12240" w:h="15840"/>
          <w:pgMar w:header="0" w:footer="657" w:top="1360" w:bottom="840" w:left="1600" w:right="1580"/>
        </w:sectPr>
      </w:pPr>
    </w:p>
    <w:p>
      <w:pPr>
        <w:pStyle w:val="BodyText"/>
        <w:spacing w:line="362" w:lineRule="auto" w:before="50"/>
        <w:ind w:left="102" w:right="122"/>
        <w:jc w:val="both"/>
      </w:pPr>
      <w:r>
        <w:rPr/>
        <w:t>en</w:t>
      </w:r>
      <w:r>
        <w:rPr>
          <w:spacing w:val="-16"/>
        </w:rPr>
        <w:t> </w:t>
      </w:r>
      <w:r>
        <w:rPr/>
        <w:t>el</w:t>
      </w:r>
      <w:r>
        <w:rPr>
          <w:spacing w:val="-15"/>
        </w:rPr>
        <w:t> </w:t>
      </w:r>
      <w:r>
        <w:rPr/>
        <w:t>menor</w:t>
      </w:r>
      <w:r>
        <w:rPr>
          <w:spacing w:val="-15"/>
        </w:rPr>
        <w:t> </w:t>
      </w:r>
      <w:r>
        <w:rPr/>
        <w:t>precio</w:t>
      </w:r>
      <w:r>
        <w:rPr>
          <w:spacing w:val="-15"/>
        </w:rPr>
        <w:t> </w:t>
      </w:r>
      <w:r>
        <w:rPr/>
        <w:t>posible</w:t>
      </w:r>
      <w:r>
        <w:rPr>
          <w:spacing w:val="-11"/>
        </w:rPr>
        <w:t> </w:t>
      </w:r>
      <w:r>
        <w:rPr/>
        <w:t>y</w:t>
      </w:r>
      <w:r>
        <w:rPr>
          <w:spacing w:val="-21"/>
        </w:rPr>
        <w:t> </w:t>
      </w:r>
      <w:r>
        <w:rPr/>
        <w:t>vender</w:t>
      </w:r>
      <w:r>
        <w:rPr>
          <w:spacing w:val="-17"/>
        </w:rPr>
        <w:t> </w:t>
      </w:r>
      <w:r>
        <w:rPr/>
        <w:t>en</w:t>
      </w:r>
      <w:r>
        <w:rPr>
          <w:spacing w:val="-13"/>
        </w:rPr>
        <w:t> </w:t>
      </w:r>
      <w:r>
        <w:rPr/>
        <w:t>el</w:t>
      </w:r>
      <w:r>
        <w:rPr>
          <w:spacing w:val="-15"/>
        </w:rPr>
        <w:t> </w:t>
      </w:r>
      <w:r>
        <w:rPr/>
        <w:t>precio</w:t>
      </w:r>
      <w:r>
        <w:rPr>
          <w:spacing w:val="-15"/>
        </w:rPr>
        <w:t> </w:t>
      </w:r>
      <w:r>
        <w:rPr/>
        <w:t>más</w:t>
      </w:r>
      <w:r>
        <w:rPr>
          <w:spacing w:val="-16"/>
        </w:rPr>
        <w:t> </w:t>
      </w:r>
      <w:r>
        <w:rPr/>
        <w:t>alto,</w:t>
      </w:r>
      <w:r>
        <w:rPr>
          <w:spacing w:val="-16"/>
        </w:rPr>
        <w:t> </w:t>
      </w:r>
      <w:r>
        <w:rPr/>
        <w:t>existe</w:t>
      </w:r>
      <w:r>
        <w:rPr>
          <w:spacing w:val="-17"/>
        </w:rPr>
        <w:t> </w:t>
      </w:r>
      <w:r>
        <w:rPr/>
        <w:t>muy</w:t>
      </w:r>
      <w:r>
        <w:rPr>
          <w:spacing w:val="-21"/>
        </w:rPr>
        <w:t> </w:t>
      </w:r>
      <w:r>
        <w:rPr/>
        <w:t>poca</w:t>
      </w:r>
      <w:r>
        <w:rPr>
          <w:spacing w:val="-14"/>
        </w:rPr>
        <w:t> </w:t>
      </w:r>
      <w:r>
        <w:rPr/>
        <w:t>confianza</w:t>
      </w:r>
      <w:r>
        <w:rPr>
          <w:spacing w:val="-17"/>
        </w:rPr>
        <w:t> </w:t>
      </w:r>
      <w:r>
        <w:rPr/>
        <w:t>e</w:t>
      </w:r>
      <w:r>
        <w:rPr>
          <w:spacing w:val="-17"/>
        </w:rPr>
        <w:t> </w:t>
      </w:r>
      <w:r>
        <w:rPr/>
        <w:t>incluso no se comparte información entre los</w:t>
      </w:r>
      <w:r>
        <w:rPr>
          <w:spacing w:val="-12"/>
        </w:rPr>
        <w:t> </w:t>
      </w:r>
      <w:r>
        <w:rPr/>
        <w:t>directivos.</w:t>
      </w:r>
    </w:p>
    <w:p>
      <w:pPr>
        <w:pStyle w:val="BodyText"/>
      </w:pPr>
    </w:p>
    <w:p>
      <w:pPr>
        <w:pStyle w:val="BodyText"/>
        <w:spacing w:line="360" w:lineRule="auto" w:before="140"/>
        <w:ind w:left="102" w:right="117"/>
        <w:jc w:val="both"/>
      </w:pPr>
      <w:r>
        <w:rPr/>
        <w:t>Por su parte, los miembros de una cadena de valor, reconocen que todos los participantes deben crear una situación de ganar-ganar, por lo cual todos ellos se benefician financieramente y son todos partes del proceso de tomar decisiones y compartir la información. Las cadenas de valor se construyen más con cooperación en el negocio, antes que con rivalidades.</w:t>
      </w:r>
    </w:p>
    <w:p>
      <w:pPr>
        <w:spacing w:after="0" w:line="360" w:lineRule="auto"/>
        <w:jc w:val="both"/>
        <w:sectPr>
          <w:pgSz w:w="12240" w:h="15840"/>
          <w:pgMar w:header="0" w:footer="657" w:top="1360" w:bottom="840" w:left="1600" w:right="1580"/>
        </w:sectPr>
      </w:pPr>
    </w:p>
    <w:p>
      <w:pPr>
        <w:pStyle w:val="Heading1"/>
        <w:spacing w:before="15"/>
        <w:ind w:left="2923" w:right="2923"/>
        <w:jc w:val="center"/>
        <w:rPr>
          <w:sz w:val="50"/>
        </w:rPr>
      </w:pPr>
      <w:bookmarkStart w:name="_TOC_250021" w:id="21"/>
      <w:r>
        <w:rPr/>
        <w:t>CAPÍTULO </w:t>
      </w:r>
      <w:bookmarkEnd w:id="21"/>
      <w:r>
        <w:rPr>
          <w:sz w:val="50"/>
        </w:rPr>
        <w:t>4</w:t>
      </w:r>
    </w:p>
    <w:p>
      <w:pPr>
        <w:pStyle w:val="Heading1"/>
        <w:spacing w:before="289"/>
        <w:ind w:left="2982" w:right="2923"/>
        <w:jc w:val="center"/>
      </w:pPr>
      <w:bookmarkStart w:name="_TOC_250020" w:id="22"/>
      <w:bookmarkEnd w:id="22"/>
      <w:r>
        <w:rPr/>
        <w:t>MATERIALES Y MÉTODOS</w:t>
      </w:r>
    </w:p>
    <w:p>
      <w:pPr>
        <w:pStyle w:val="BodyText"/>
        <w:rPr>
          <w:b/>
          <w:sz w:val="20"/>
        </w:rPr>
      </w:pPr>
    </w:p>
    <w:p>
      <w:pPr>
        <w:pStyle w:val="BodyText"/>
        <w:rPr>
          <w:b/>
          <w:sz w:val="22"/>
        </w:rPr>
      </w:pPr>
    </w:p>
    <w:p>
      <w:pPr>
        <w:pStyle w:val="Heading1"/>
        <w:numPr>
          <w:ilvl w:val="1"/>
          <w:numId w:val="15"/>
        </w:numPr>
        <w:tabs>
          <w:tab w:pos="482" w:val="left" w:leader="none"/>
        </w:tabs>
        <w:spacing w:line="240" w:lineRule="auto" w:before="69" w:after="0"/>
        <w:ind w:left="102" w:right="0" w:firstLine="20"/>
        <w:jc w:val="both"/>
      </w:pPr>
      <w:bookmarkStart w:name="_TOC_250019" w:id="23"/>
      <w:r>
        <w:rPr/>
        <w:t>Área de</w:t>
      </w:r>
      <w:r>
        <w:rPr>
          <w:spacing w:val="-4"/>
        </w:rPr>
        <w:t> </w:t>
      </w:r>
      <w:bookmarkEnd w:id="23"/>
      <w:r>
        <w:rPr/>
        <w:t>estudio</w:t>
      </w:r>
    </w:p>
    <w:p>
      <w:pPr>
        <w:pStyle w:val="BodyText"/>
        <w:rPr>
          <w:b/>
        </w:rPr>
      </w:pPr>
    </w:p>
    <w:p>
      <w:pPr>
        <w:pStyle w:val="BodyText"/>
        <w:spacing w:before="6"/>
        <w:rPr>
          <w:b/>
          <w:sz w:val="23"/>
        </w:rPr>
      </w:pPr>
    </w:p>
    <w:p>
      <w:pPr>
        <w:pStyle w:val="BodyText"/>
        <w:spacing w:line="360" w:lineRule="auto"/>
        <w:ind w:left="122" w:right="117"/>
        <w:jc w:val="both"/>
      </w:pPr>
      <w:r>
        <w:rPr/>
        <w:t>El</w:t>
      </w:r>
      <w:r>
        <w:rPr>
          <w:spacing w:val="-12"/>
        </w:rPr>
        <w:t> </w:t>
      </w:r>
      <w:r>
        <w:rPr/>
        <w:t>trabajo</w:t>
      </w:r>
      <w:r>
        <w:rPr>
          <w:spacing w:val="-12"/>
        </w:rPr>
        <w:t> </w:t>
      </w:r>
      <w:r>
        <w:rPr/>
        <w:t>se</w:t>
      </w:r>
      <w:r>
        <w:rPr>
          <w:spacing w:val="-13"/>
        </w:rPr>
        <w:t> </w:t>
      </w:r>
      <w:r>
        <w:rPr/>
        <w:t>realizó</w:t>
      </w:r>
      <w:r>
        <w:rPr>
          <w:spacing w:val="-12"/>
        </w:rPr>
        <w:t> </w:t>
      </w:r>
      <w:r>
        <w:rPr/>
        <w:t>en</w:t>
      </w:r>
      <w:r>
        <w:rPr>
          <w:spacing w:val="-12"/>
        </w:rPr>
        <w:t> </w:t>
      </w:r>
      <w:r>
        <w:rPr/>
        <w:t>siete</w:t>
      </w:r>
      <w:r>
        <w:rPr>
          <w:spacing w:val="-13"/>
        </w:rPr>
        <w:t> </w:t>
      </w:r>
      <w:r>
        <w:rPr/>
        <w:t>comunidades;</w:t>
      </w:r>
      <w:r>
        <w:rPr>
          <w:spacing w:val="-11"/>
        </w:rPr>
        <w:t> </w:t>
      </w:r>
      <w:r>
        <w:rPr/>
        <w:t>San</w:t>
      </w:r>
      <w:r>
        <w:rPr>
          <w:spacing w:val="-12"/>
        </w:rPr>
        <w:t> </w:t>
      </w:r>
      <w:r>
        <w:rPr/>
        <w:t>Miguel</w:t>
      </w:r>
      <w:r>
        <w:rPr>
          <w:spacing w:val="-12"/>
        </w:rPr>
        <w:t> </w:t>
      </w:r>
      <w:r>
        <w:rPr/>
        <w:t>Coatlinchan,</w:t>
      </w:r>
      <w:r>
        <w:rPr>
          <w:spacing w:val="-12"/>
        </w:rPr>
        <w:t> </w:t>
      </w:r>
      <w:r>
        <w:rPr/>
        <w:t>Sta.</w:t>
      </w:r>
      <w:r>
        <w:rPr>
          <w:spacing w:val="-13"/>
        </w:rPr>
        <w:t> </w:t>
      </w:r>
      <w:r>
        <w:rPr/>
        <w:t>Cruz,</w:t>
      </w:r>
      <w:r>
        <w:rPr>
          <w:spacing w:val="-12"/>
        </w:rPr>
        <w:t> </w:t>
      </w:r>
      <w:r>
        <w:rPr/>
        <w:t>Cuahutlalpan, Tocuila, Huexotla, Palmillas y La Trinidad, ubicadas en el DDRT, situado al noreste del Estado de México y el noreste de la ciudad de México. El Estado de México, es el séptimo Estado en producción de leche a nivel nacional y el DDRT se posiciona como el segundo Distrito</w:t>
      </w:r>
      <w:r>
        <w:rPr>
          <w:spacing w:val="-13"/>
        </w:rPr>
        <w:t> </w:t>
      </w:r>
      <w:r>
        <w:rPr/>
        <w:t>en</w:t>
      </w:r>
      <w:r>
        <w:rPr>
          <w:spacing w:val="-13"/>
        </w:rPr>
        <w:t> </w:t>
      </w:r>
      <w:r>
        <w:rPr/>
        <w:t>producción</w:t>
      </w:r>
      <w:r>
        <w:rPr>
          <w:spacing w:val="-13"/>
        </w:rPr>
        <w:t> </w:t>
      </w:r>
      <w:r>
        <w:rPr/>
        <w:t>de</w:t>
      </w:r>
      <w:r>
        <w:rPr>
          <w:spacing w:val="-12"/>
        </w:rPr>
        <w:t> </w:t>
      </w:r>
      <w:r>
        <w:rPr/>
        <w:t>leche</w:t>
      </w:r>
      <w:r>
        <w:rPr>
          <w:spacing w:val="-14"/>
        </w:rPr>
        <w:t> </w:t>
      </w:r>
      <w:r>
        <w:rPr/>
        <w:t>en</w:t>
      </w:r>
      <w:r>
        <w:rPr>
          <w:spacing w:val="-11"/>
        </w:rPr>
        <w:t> </w:t>
      </w:r>
      <w:r>
        <w:rPr/>
        <w:t>el</w:t>
      </w:r>
      <w:r>
        <w:rPr>
          <w:spacing w:val="-13"/>
        </w:rPr>
        <w:t> </w:t>
      </w:r>
      <w:r>
        <w:rPr/>
        <w:t>Estado</w:t>
      </w:r>
      <w:r>
        <w:rPr>
          <w:spacing w:val="-14"/>
        </w:rPr>
        <w:t> </w:t>
      </w:r>
      <w:r>
        <w:rPr/>
        <w:t>de</w:t>
      </w:r>
      <w:r>
        <w:rPr>
          <w:spacing w:val="-14"/>
        </w:rPr>
        <w:t> </w:t>
      </w:r>
      <w:r>
        <w:rPr/>
        <w:t>México</w:t>
      </w:r>
      <w:r>
        <w:rPr>
          <w:spacing w:val="-14"/>
        </w:rPr>
        <w:t> </w:t>
      </w:r>
      <w:r>
        <w:rPr/>
        <w:t>(SIAP,</w:t>
      </w:r>
      <w:r>
        <w:rPr>
          <w:spacing w:val="-13"/>
        </w:rPr>
        <w:t> </w:t>
      </w:r>
      <w:r>
        <w:rPr/>
        <w:t>2013a).</w:t>
      </w:r>
      <w:r>
        <w:rPr>
          <w:spacing w:val="-11"/>
        </w:rPr>
        <w:t> </w:t>
      </w:r>
      <w:r>
        <w:rPr/>
        <w:t>La</w:t>
      </w:r>
      <w:r>
        <w:rPr>
          <w:spacing w:val="-12"/>
        </w:rPr>
        <w:t> </w:t>
      </w:r>
      <w:r>
        <w:rPr/>
        <w:t>ciudad</w:t>
      </w:r>
      <w:r>
        <w:rPr>
          <w:spacing w:val="-13"/>
        </w:rPr>
        <w:t> </w:t>
      </w:r>
      <w:r>
        <w:rPr/>
        <w:t>de</w:t>
      </w:r>
      <w:r>
        <w:rPr>
          <w:spacing w:val="-14"/>
        </w:rPr>
        <w:t> </w:t>
      </w:r>
      <w:r>
        <w:rPr/>
        <w:t>Texcoco está situada en 19° 30'43 "N y 98° 52'54" W, a una altitud de 2,250 msnm clima templado semi-seco, con una temperatura media anual de 15,9° C y una precipitación media de 686 mm/año (INEGI,</w:t>
      </w:r>
      <w:r>
        <w:rPr>
          <w:spacing w:val="-9"/>
        </w:rPr>
        <w:t> </w:t>
      </w:r>
      <w:r>
        <w:rPr/>
        <w:t>2013).</w:t>
      </w:r>
    </w:p>
    <w:p>
      <w:pPr>
        <w:pStyle w:val="BodyText"/>
        <w:rPr>
          <w:sz w:val="20"/>
        </w:rPr>
      </w:pPr>
    </w:p>
    <w:p>
      <w:pPr>
        <w:pStyle w:val="BodyText"/>
        <w:spacing w:before="5"/>
        <w:rPr>
          <w:sz w:val="13"/>
        </w:rPr>
      </w:pPr>
      <w:r>
        <w:rPr/>
        <w:drawing>
          <wp:anchor distT="0" distB="0" distL="0" distR="0" allowOverlap="1" layoutInCell="1" locked="0" behindDoc="0" simplePos="0" relativeHeight="2632">
            <wp:simplePos x="0" y="0"/>
            <wp:positionH relativeFrom="page">
              <wp:posOffset>1932432</wp:posOffset>
            </wp:positionH>
            <wp:positionV relativeFrom="paragraph">
              <wp:posOffset>123072</wp:posOffset>
            </wp:positionV>
            <wp:extent cx="3915171" cy="3516629"/>
            <wp:effectExtent l="0" t="0" r="0" b="0"/>
            <wp:wrapTopAndBottom/>
            <wp:docPr id="5" name="image69.png" descr=""/>
            <wp:cNvGraphicFramePr>
              <a:graphicFrameLocks noChangeAspect="1"/>
            </wp:cNvGraphicFramePr>
            <a:graphic>
              <a:graphicData uri="http://schemas.openxmlformats.org/drawingml/2006/picture">
                <pic:pic>
                  <pic:nvPicPr>
                    <pic:cNvPr id="6" name="image69.png"/>
                    <pic:cNvPicPr/>
                  </pic:nvPicPr>
                  <pic:blipFill>
                    <a:blip r:embed="rId82" cstate="print"/>
                    <a:stretch>
                      <a:fillRect/>
                    </a:stretch>
                  </pic:blipFill>
                  <pic:spPr>
                    <a:xfrm>
                      <a:off x="0" y="0"/>
                      <a:ext cx="3915171" cy="3516629"/>
                    </a:xfrm>
                    <a:prstGeom prst="rect">
                      <a:avLst/>
                    </a:prstGeom>
                  </pic:spPr>
                </pic:pic>
              </a:graphicData>
            </a:graphic>
          </wp:anchor>
        </w:drawing>
      </w:r>
    </w:p>
    <w:p>
      <w:pPr>
        <w:spacing w:before="92"/>
        <w:ind w:left="0" w:right="119" w:firstLine="0"/>
        <w:jc w:val="right"/>
        <w:rPr>
          <w:sz w:val="20"/>
        </w:rPr>
      </w:pPr>
      <w:r>
        <w:rPr>
          <w:sz w:val="20"/>
        </w:rPr>
        <w:t>Fuente: INEGI, 2013</w:t>
      </w:r>
    </w:p>
    <w:p>
      <w:pPr>
        <w:pStyle w:val="BodyText"/>
        <w:rPr>
          <w:sz w:val="20"/>
        </w:rPr>
      </w:pPr>
    </w:p>
    <w:p>
      <w:pPr>
        <w:pStyle w:val="BodyText"/>
        <w:spacing w:before="2"/>
        <w:rPr>
          <w:sz w:val="20"/>
        </w:rPr>
      </w:pPr>
    </w:p>
    <w:p>
      <w:pPr>
        <w:spacing w:before="0"/>
        <w:ind w:left="122" w:right="0" w:firstLine="0"/>
        <w:jc w:val="both"/>
        <w:rPr>
          <w:sz w:val="24"/>
        </w:rPr>
      </w:pPr>
      <w:r>
        <w:rPr/>
        <w:pict>
          <v:line style="position:absolute;mso-position-horizontal-relative:page;mso-position-vertical-relative:paragraph;z-index:-461128" from="85.139999pt,.127123pt" to="526.789999pt,.127123pt" stroked="true" strokeweight="2.04pt" strokecolor="#000000">
            <w10:wrap type="none"/>
          </v:line>
        </w:pict>
      </w:r>
      <w:r>
        <w:rPr>
          <w:b/>
          <w:sz w:val="24"/>
        </w:rPr>
        <w:t>Figura 12. </w:t>
      </w:r>
      <w:r>
        <w:rPr>
          <w:sz w:val="24"/>
        </w:rPr>
        <w:t>División distrital del Estado de México.</w:t>
      </w:r>
    </w:p>
    <w:p>
      <w:pPr>
        <w:spacing w:after="0"/>
        <w:jc w:val="both"/>
        <w:rPr>
          <w:sz w:val="24"/>
        </w:rPr>
        <w:sectPr>
          <w:pgSz w:w="12240" w:h="15840"/>
          <w:pgMar w:header="0" w:footer="657" w:top="1400" w:bottom="840" w:left="1580" w:right="1580"/>
        </w:sectPr>
      </w:pPr>
    </w:p>
    <w:p>
      <w:pPr>
        <w:pStyle w:val="Heading1"/>
        <w:numPr>
          <w:ilvl w:val="1"/>
          <w:numId w:val="15"/>
        </w:numPr>
        <w:tabs>
          <w:tab w:pos="462" w:val="left" w:leader="none"/>
        </w:tabs>
        <w:spacing w:line="240" w:lineRule="auto" w:before="55" w:after="0"/>
        <w:ind w:left="462" w:right="0" w:hanging="360"/>
        <w:jc w:val="both"/>
      </w:pPr>
      <w:bookmarkStart w:name="_TOC_250018" w:id="24"/>
      <w:r>
        <w:rPr/>
        <w:t>Herramienta para la obtención de información en el análisis de</w:t>
      </w:r>
      <w:r>
        <w:rPr>
          <w:spacing w:val="-18"/>
        </w:rPr>
        <w:t> </w:t>
      </w:r>
      <w:bookmarkEnd w:id="24"/>
      <w:r>
        <w:rPr/>
        <w:t>competitividad</w:t>
      </w:r>
    </w:p>
    <w:p>
      <w:pPr>
        <w:pStyle w:val="BodyText"/>
        <w:rPr>
          <w:b/>
        </w:rPr>
      </w:pPr>
    </w:p>
    <w:p>
      <w:pPr>
        <w:pStyle w:val="BodyText"/>
        <w:spacing w:before="7"/>
        <w:rPr>
          <w:b/>
          <w:sz w:val="23"/>
        </w:rPr>
      </w:pPr>
    </w:p>
    <w:p>
      <w:pPr>
        <w:pStyle w:val="BodyText"/>
        <w:spacing w:line="360" w:lineRule="auto"/>
        <w:ind w:left="102" w:right="115"/>
        <w:jc w:val="both"/>
      </w:pPr>
      <w:r>
        <w:rPr/>
        <w:t>El análisis de competitividad del sistema lechero de pequeña escala consideró una estratificación de productores, debido a que se observó que el tamaño de hato está directamente correlacionado con estrategias productivas y comerciales, las cuales tienen un impacto directo en la rentabilidad y competitividad. Para obtener la información de campo se empleó una encuesta por muestreo estadístico estratificado. El marco de muestreo se integró del padrón de la Asociación Ganadera Local del municipio de Texcoco. El instrumento principal para la obtención de información fue una cédula de entrevista cuya estructura comprendió las partes correspondientes a productividad, infraestructura, manejo técnico,</w:t>
      </w:r>
      <w:r>
        <w:rPr>
          <w:spacing w:val="-11"/>
        </w:rPr>
        <w:t> </w:t>
      </w:r>
      <w:r>
        <w:rPr/>
        <w:t>comercialización,</w:t>
      </w:r>
      <w:r>
        <w:rPr>
          <w:spacing w:val="-11"/>
        </w:rPr>
        <w:t> </w:t>
      </w:r>
      <w:r>
        <w:rPr/>
        <w:t>los</w:t>
      </w:r>
      <w:r>
        <w:rPr>
          <w:spacing w:val="-10"/>
        </w:rPr>
        <w:t> </w:t>
      </w:r>
      <w:r>
        <w:rPr/>
        <w:t>gastos</w:t>
      </w:r>
      <w:r>
        <w:rPr>
          <w:spacing w:val="-10"/>
        </w:rPr>
        <w:t> </w:t>
      </w:r>
      <w:r>
        <w:rPr/>
        <w:t>derivados</w:t>
      </w:r>
      <w:r>
        <w:rPr>
          <w:spacing w:val="-11"/>
        </w:rPr>
        <w:t> </w:t>
      </w:r>
      <w:r>
        <w:rPr/>
        <w:t>para</w:t>
      </w:r>
      <w:r>
        <w:rPr>
          <w:spacing w:val="-12"/>
        </w:rPr>
        <w:t> </w:t>
      </w:r>
      <w:r>
        <w:rPr/>
        <w:t>la</w:t>
      </w:r>
      <w:r>
        <w:rPr>
          <w:spacing w:val="-12"/>
        </w:rPr>
        <w:t> </w:t>
      </w:r>
      <w:r>
        <w:rPr/>
        <w:t>producción</w:t>
      </w:r>
      <w:r>
        <w:rPr>
          <w:spacing w:val="-11"/>
        </w:rPr>
        <w:t> </w:t>
      </w:r>
      <w:r>
        <w:rPr/>
        <w:t>de</w:t>
      </w:r>
      <w:r>
        <w:rPr>
          <w:spacing w:val="-12"/>
        </w:rPr>
        <w:t> </w:t>
      </w:r>
      <w:r>
        <w:rPr/>
        <w:t>leche</w:t>
      </w:r>
      <w:r>
        <w:rPr>
          <w:spacing w:val="-10"/>
        </w:rPr>
        <w:t> </w:t>
      </w:r>
      <w:r>
        <w:rPr/>
        <w:t>y</w:t>
      </w:r>
      <w:r>
        <w:rPr>
          <w:spacing w:val="-13"/>
        </w:rPr>
        <w:t> </w:t>
      </w:r>
      <w:r>
        <w:rPr/>
        <w:t>los</w:t>
      </w:r>
      <w:r>
        <w:rPr>
          <w:spacing w:val="-10"/>
        </w:rPr>
        <w:t> </w:t>
      </w:r>
      <w:r>
        <w:rPr/>
        <w:t>ingresos</w:t>
      </w:r>
      <w:r>
        <w:rPr>
          <w:spacing w:val="-11"/>
        </w:rPr>
        <w:t> </w:t>
      </w:r>
      <w:r>
        <w:rPr/>
        <w:t>por su venta. La información económica y productiva provino de 37 hatos lecheros del</w:t>
      </w:r>
      <w:r>
        <w:rPr>
          <w:spacing w:val="-14"/>
        </w:rPr>
        <w:t> </w:t>
      </w:r>
      <w:r>
        <w:rPr/>
        <w:t>DDRT.</w:t>
      </w:r>
    </w:p>
    <w:p>
      <w:pPr>
        <w:pStyle w:val="BodyText"/>
      </w:pPr>
    </w:p>
    <w:p>
      <w:pPr>
        <w:pStyle w:val="BodyText"/>
        <w:spacing w:line="360" w:lineRule="auto" w:before="143"/>
        <w:ind w:left="102" w:right="121"/>
        <w:jc w:val="both"/>
      </w:pPr>
      <w:r>
        <w:rPr/>
        <w:t>La variable fundamental asociada al muestreo fue el tamaño de hato y se consideró a éste al ser un elemento determinante en la construcción y distribución del presupuesto de costos, ingresos como en la rentabilidad del sistema. La estimación del tamaño de muestra final consideró un límite de error de estimación de 5%, con un nivel de confianza del 95%, la ecuación utilizada fue la siguiente:</w:t>
      </w:r>
    </w:p>
    <w:p>
      <w:pPr>
        <w:pStyle w:val="BodyText"/>
        <w:spacing w:before="1"/>
        <w:rPr>
          <w:sz w:val="28"/>
        </w:rPr>
      </w:pPr>
    </w:p>
    <w:p>
      <w:pPr>
        <w:spacing w:after="0"/>
        <w:rPr>
          <w:sz w:val="28"/>
        </w:rPr>
        <w:sectPr>
          <w:footerReference w:type="default" r:id="rId83"/>
          <w:pgSz w:w="12240" w:h="15840"/>
          <w:pgMar w:footer="657" w:header="0" w:top="1360" w:bottom="840" w:left="1600" w:right="1580"/>
        </w:sectPr>
      </w:pPr>
    </w:p>
    <w:p>
      <w:pPr>
        <w:pStyle w:val="BodyText"/>
        <w:spacing w:before="6"/>
        <w:rPr>
          <w:sz w:val="12"/>
        </w:rPr>
      </w:pPr>
    </w:p>
    <w:p>
      <w:pPr>
        <w:spacing w:line="173" w:lineRule="exact" w:before="0"/>
        <w:ind w:left="0" w:right="163" w:firstLine="0"/>
        <w:jc w:val="right"/>
        <w:rPr>
          <w:sz w:val="17"/>
        </w:rPr>
      </w:pPr>
      <w:r>
        <w:rPr/>
        <w:pict>
          <v:shape style="position:absolute;margin-left:270.890015pt;margin-top:2.529602pt;width:13.95pt;height:12.5pt;mso-position-horizontal-relative:page;mso-position-vertical-relative:paragraph;z-index:-461056" type="#_x0000_t202" filled="false" stroked="false">
            <v:textbox inset="0,0,0,0">
              <w:txbxContent>
                <w:p>
                  <w:pPr>
                    <w:pStyle w:val="BodyText"/>
                    <w:spacing w:line="250" w:lineRule="exact"/>
                    <w:ind w:right="-11"/>
                    <w:rPr>
                      <w:rFonts w:ascii="Cambria Math" w:hAnsi="Cambria Math"/>
                    </w:rPr>
                  </w:pPr>
                  <w:r>
                    <w:rPr>
                      <w:rFonts w:ascii="Cambria Math" w:hAnsi="Cambria Math"/>
                    </w:rPr>
                    <w:t>(</w:t>
                  </w:r>
                  <w:r>
                    <w:rPr>
                      <w:rFonts w:ascii="Cambria Math" w:hAnsi="Cambria Math"/>
                      <w:position w:val="1"/>
                    </w:rPr>
                    <w:t>∑</w:t>
                  </w:r>
                </w:p>
              </w:txbxContent>
            </v:textbox>
            <w10:wrap type="none"/>
          </v:shape>
        </w:pict>
      </w:r>
      <w:r>
        <w:rPr>
          <w:w w:val="100"/>
          <w:sz w:val="17"/>
        </w:rPr>
        <w:t>L</w:t>
      </w:r>
    </w:p>
    <w:p>
      <w:pPr>
        <w:tabs>
          <w:tab w:pos="947" w:val="left" w:leader="none"/>
        </w:tabs>
        <w:spacing w:line="216" w:lineRule="exact" w:before="0"/>
        <w:ind w:left="0" w:right="0" w:firstLine="0"/>
        <w:jc w:val="right"/>
        <w:rPr>
          <w:rFonts w:ascii="Cambria Math"/>
          <w:sz w:val="17"/>
        </w:rPr>
      </w:pPr>
      <w:r>
        <w:rPr>
          <w:position w:val="-12"/>
          <w:sz w:val="24"/>
        </w:rPr>
        <w:t>n=</w:t>
        <w:tab/>
      </w:r>
      <w:r>
        <w:rPr>
          <w:spacing w:val="-1"/>
          <w:sz w:val="17"/>
        </w:rPr>
        <w:t>i</w:t>
      </w:r>
      <w:r>
        <w:rPr>
          <w:rFonts w:ascii="Cambria Math"/>
          <w:spacing w:val="-1"/>
          <w:sz w:val="17"/>
        </w:rPr>
        <w:t>=1</w:t>
      </w:r>
    </w:p>
    <w:p>
      <w:pPr>
        <w:tabs>
          <w:tab w:pos="4345" w:val="left" w:leader="none"/>
        </w:tabs>
        <w:spacing w:before="95"/>
        <w:ind w:left="-3" w:right="0" w:firstLine="0"/>
        <w:jc w:val="left"/>
        <w:rPr>
          <w:sz w:val="24"/>
        </w:rPr>
      </w:pPr>
      <w:r>
        <w:rPr/>
        <w:br w:type="column"/>
      </w:r>
      <w:r>
        <w:rPr>
          <w:sz w:val="24"/>
        </w:rPr>
        <w:t>N</w:t>
      </w:r>
      <w:r>
        <w:rPr>
          <w:position w:val="-4"/>
          <w:sz w:val="17"/>
        </w:rPr>
        <w:t>i</w:t>
      </w:r>
      <w:r>
        <w:rPr>
          <w:spacing w:val="29"/>
          <w:position w:val="-4"/>
          <w:sz w:val="17"/>
        </w:rPr>
        <w:t> </w:t>
      </w:r>
      <w:r>
        <w:rPr>
          <w:spacing w:val="2"/>
          <w:sz w:val="24"/>
        </w:rPr>
        <w:t>S</w:t>
      </w:r>
      <w:r>
        <w:rPr>
          <w:spacing w:val="2"/>
          <w:position w:val="-4"/>
          <w:sz w:val="17"/>
        </w:rPr>
        <w:t>Ni</w:t>
      </w:r>
      <w:r>
        <w:rPr>
          <w:rFonts w:ascii="Cambria Math"/>
          <w:spacing w:val="2"/>
          <w:sz w:val="24"/>
        </w:rPr>
        <w:t>)</w:t>
        <w:tab/>
      </w:r>
      <w:r>
        <w:rPr>
          <w:position w:val="8"/>
          <w:sz w:val="24"/>
        </w:rPr>
        <w:t>2)</w:t>
      </w:r>
    </w:p>
    <w:p>
      <w:pPr>
        <w:tabs>
          <w:tab w:pos="918" w:val="right" w:leader="none"/>
        </w:tabs>
        <w:spacing w:line="24" w:lineRule="exact" w:before="23"/>
        <w:ind w:left="98" w:right="0" w:firstLine="0"/>
        <w:jc w:val="left"/>
        <w:rPr>
          <w:sz w:val="17"/>
        </w:rPr>
      </w:pPr>
      <w:r>
        <w:rPr/>
        <w:pict>
          <v:line style="position:absolute;mso-position-horizontal-relative:page;mso-position-vertical-relative:paragraph;z-index:-461080" from="261.170013pt,1.465559pt" to="350.954013pt,1.465559pt" stroked="true" strokeweight=".84pt" strokecolor="#000000">
            <w10:wrap type="none"/>
          </v:line>
        </w:pict>
      </w:r>
      <w:r>
        <w:rPr/>
        <w:pict>
          <v:shape style="position:absolute;margin-left:335.829987pt;margin-top:-19.299864pt;width:4.95pt;height:8.550pt;mso-position-horizontal-relative:page;mso-position-vertical-relative:paragraph;z-index:-460960"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position w:val="-1"/>
          <w:sz w:val="17"/>
        </w:rPr>
        <w:t>L</w:t>
      </w:r>
      <w:r>
        <w:rPr>
          <w:sz w:val="17"/>
        </w:rPr>
        <w:tab/>
        <w:t>2</w:t>
      </w:r>
    </w:p>
    <w:p>
      <w:pPr>
        <w:spacing w:after="0" w:line="24" w:lineRule="exact"/>
        <w:jc w:val="left"/>
        <w:rPr>
          <w:sz w:val="17"/>
        </w:rPr>
        <w:sectPr>
          <w:type w:val="continuous"/>
          <w:pgSz w:w="12240" w:h="15840"/>
          <w:pgMar w:top="1360" w:bottom="280" w:left="1600" w:right="1580"/>
          <w:cols w:num="2" w:equalWidth="0">
            <w:col w:w="4366" w:space="40"/>
            <w:col w:w="4654"/>
          </w:cols>
        </w:sectPr>
      </w:pPr>
    </w:p>
    <w:p>
      <w:pPr>
        <w:tabs>
          <w:tab w:pos="1190" w:val="left" w:leader="none"/>
        </w:tabs>
        <w:spacing w:line="332" w:lineRule="exact" w:before="0"/>
        <w:ind w:left="0" w:right="26" w:firstLine="0"/>
        <w:jc w:val="center"/>
        <w:rPr>
          <w:sz w:val="17"/>
        </w:rPr>
      </w:pPr>
      <w:r>
        <w:rPr/>
        <w:pict>
          <v:shape style="position:absolute;margin-left:305.209991pt;margin-top:8.590398pt;width:13.5pt;height:8.6pt;mso-position-horizontal-relative:page;mso-position-vertical-relative:paragraph;z-index:-461032" type="#_x0000_t202" filled="false" stroked="false">
            <v:textbox inset="0,0,0,0">
              <w:txbxContent>
                <w:p>
                  <w:pPr>
                    <w:spacing w:line="171" w:lineRule="exact" w:before="0"/>
                    <w:ind w:left="0" w:right="-19" w:firstLine="0"/>
                    <w:jc w:val="left"/>
                    <w:rPr>
                      <w:rFonts w:ascii="Cambria Math"/>
                      <w:sz w:val="17"/>
                    </w:rPr>
                  </w:pPr>
                  <w:r>
                    <w:rPr>
                      <w:sz w:val="17"/>
                    </w:rPr>
                    <w:t>i</w:t>
                  </w:r>
                  <w:r>
                    <w:rPr>
                      <w:rFonts w:ascii="Cambria Math"/>
                      <w:sz w:val="17"/>
                    </w:rPr>
                    <w:t>=1</w:t>
                  </w:r>
                </w:p>
              </w:txbxContent>
            </v:textbox>
            <w10:wrap type="none"/>
          </v:shape>
        </w:pict>
      </w:r>
      <w:r>
        <w:rPr>
          <w:spacing w:val="3"/>
          <w:sz w:val="24"/>
        </w:rPr>
        <w:t>N</w:t>
      </w:r>
      <w:r>
        <w:rPr>
          <w:spacing w:val="3"/>
          <w:position w:val="11"/>
          <w:sz w:val="17"/>
        </w:rPr>
        <w:t>2</w:t>
      </w:r>
      <w:r>
        <w:rPr>
          <w:spacing w:val="3"/>
          <w:sz w:val="24"/>
        </w:rPr>
        <w:t>D</w:t>
      </w:r>
      <w:r>
        <w:rPr>
          <w:spacing w:val="3"/>
          <w:position w:val="11"/>
          <w:sz w:val="17"/>
        </w:rPr>
        <w:t>2</w:t>
      </w:r>
      <w:r>
        <w:rPr>
          <w:spacing w:val="3"/>
          <w:sz w:val="24"/>
        </w:rPr>
        <w:t>+</w:t>
      </w:r>
      <w:r>
        <w:rPr>
          <w:spacing w:val="-23"/>
          <w:sz w:val="24"/>
        </w:rPr>
        <w:t> </w:t>
      </w:r>
      <w:r>
        <w:rPr>
          <w:rFonts w:ascii="Cambria Math" w:hAnsi="Cambria Math"/>
          <w:position w:val="1"/>
          <w:sz w:val="24"/>
        </w:rPr>
        <w:t>∑</w:t>
        <w:tab/>
      </w:r>
      <w:r>
        <w:rPr>
          <w:sz w:val="24"/>
        </w:rPr>
        <w:t>N</w:t>
      </w:r>
      <w:r>
        <w:rPr>
          <w:position w:val="-4"/>
          <w:sz w:val="17"/>
        </w:rPr>
        <w:t>i</w:t>
      </w:r>
      <w:r>
        <w:rPr>
          <w:spacing w:val="24"/>
          <w:position w:val="-4"/>
          <w:sz w:val="17"/>
        </w:rPr>
        <w:t> </w:t>
      </w:r>
      <w:r>
        <w:rPr>
          <w:sz w:val="24"/>
        </w:rPr>
        <w:t>S</w:t>
      </w:r>
      <w:r>
        <w:rPr>
          <w:position w:val="-4"/>
          <w:sz w:val="17"/>
        </w:rPr>
        <w:t>Ni</w:t>
      </w:r>
    </w:p>
    <w:p>
      <w:pPr>
        <w:pStyle w:val="BodyText"/>
        <w:spacing w:line="348" w:lineRule="auto" w:before="941"/>
        <w:ind w:left="102" w:right="114"/>
        <w:jc w:val="both"/>
      </w:pPr>
      <w:r>
        <w:rPr/>
        <w:pict>
          <v:shape style="position:absolute;margin-left:384.429993pt;margin-top:76.277306pt;width:8.5pt;height:8.550pt;mso-position-horizontal-relative:page;mso-position-vertical-relative:paragraph;z-index:-461008" type="#_x0000_t202" filled="false" stroked="false">
            <v:textbox inset="0,0,0,0">
              <w:txbxContent>
                <w:p>
                  <w:pPr>
                    <w:spacing w:line="170" w:lineRule="exact" w:before="0"/>
                    <w:ind w:left="0" w:right="-20" w:firstLine="0"/>
                    <w:jc w:val="left"/>
                    <w:rPr>
                      <w:sz w:val="17"/>
                    </w:rPr>
                  </w:pPr>
                  <w:r>
                    <w:rPr>
                      <w:sz w:val="17"/>
                    </w:rPr>
                    <w:t>Ni</w:t>
                  </w:r>
                </w:p>
              </w:txbxContent>
            </v:textbox>
            <w10:wrap type="none"/>
          </v:shape>
        </w:pict>
      </w:r>
      <w:r>
        <w:rPr>
          <w:position w:val="2"/>
        </w:rPr>
        <w:t>Donde, n=tamaño de muestra final; N=tamaño de la población; N</w:t>
      </w:r>
      <w:r>
        <w:rPr>
          <w:sz w:val="16"/>
        </w:rPr>
        <w:t>i</w:t>
      </w:r>
      <w:r>
        <w:rPr>
          <w:position w:val="2"/>
        </w:rPr>
        <w:t>=número de productores del i-esimo estrato; S</w:t>
      </w:r>
      <w:r>
        <w:rPr>
          <w:sz w:val="16"/>
        </w:rPr>
        <w:t>Ni</w:t>
      </w:r>
      <w:r>
        <w:rPr>
          <w:position w:val="11"/>
          <w:sz w:val="16"/>
        </w:rPr>
        <w:t>2</w:t>
      </w:r>
      <w:r>
        <w:rPr>
          <w:position w:val="2"/>
        </w:rPr>
        <w:t>=varianza estimada del estrato (i); S</w:t>
      </w:r>
      <w:r>
        <w:rPr>
          <w:position w:val="13"/>
          <w:sz w:val="17"/>
        </w:rPr>
        <w:t>2 </w:t>
      </w:r>
      <w:r>
        <w:rPr>
          <w:position w:val="2"/>
        </w:rPr>
        <w:t>=desviación estándar del i- </w:t>
      </w:r>
      <w:r>
        <w:rPr/>
        <w:t>esimo estrato; D</w:t>
      </w:r>
      <w:r>
        <w:rPr>
          <w:position w:val="9"/>
          <w:sz w:val="16"/>
        </w:rPr>
        <w:t>2</w:t>
      </w:r>
      <w:r>
        <w:rPr/>
        <w:t>=precisión, donde:</w:t>
      </w:r>
    </w:p>
    <w:p>
      <w:pPr>
        <w:spacing w:after="0" w:line="348" w:lineRule="auto"/>
        <w:jc w:val="both"/>
        <w:sectPr>
          <w:type w:val="continuous"/>
          <w:pgSz w:w="12240" w:h="15840"/>
          <w:pgMar w:top="1360" w:bottom="280" w:left="1600" w:right="1580"/>
        </w:sectPr>
      </w:pPr>
    </w:p>
    <w:p>
      <w:pPr>
        <w:spacing w:before="588"/>
        <w:ind w:left="0" w:right="0" w:firstLine="0"/>
        <w:jc w:val="right"/>
        <w:rPr>
          <w:rFonts w:ascii="Cambria Math" w:eastAsia="Cambria Math"/>
          <w:sz w:val="24"/>
        </w:rPr>
      </w:pPr>
      <w:r>
        <w:rPr>
          <w:rFonts w:ascii="Cambria Math" w:eastAsia="Cambria Math"/>
          <w:sz w:val="24"/>
        </w:rPr>
        <w:t>�</w:t>
      </w:r>
      <w:r>
        <w:rPr>
          <w:rFonts w:ascii="Cambria Math" w:eastAsia="Cambria Math"/>
          <w:position w:val="9"/>
          <w:sz w:val="17"/>
        </w:rPr>
        <w:t>2  </w:t>
      </w:r>
      <w:r>
        <w:rPr>
          <w:rFonts w:ascii="Cambria Math" w:eastAsia="Cambria Math"/>
          <w:sz w:val="24"/>
        </w:rPr>
        <w:t>=</w:t>
      </w:r>
    </w:p>
    <w:p>
      <w:pPr>
        <w:pStyle w:val="BodyText"/>
        <w:spacing w:before="8"/>
        <w:rPr>
          <w:rFonts w:ascii="Cambria Math"/>
          <w:sz w:val="34"/>
        </w:rPr>
      </w:pPr>
      <w:r>
        <w:rPr/>
        <w:br w:type="column"/>
      </w:r>
      <w:r>
        <w:rPr>
          <w:rFonts w:ascii="Cambria Math"/>
          <w:sz w:val="34"/>
        </w:rPr>
      </w:r>
    </w:p>
    <w:p>
      <w:pPr>
        <w:spacing w:before="0"/>
        <w:ind w:left="99" w:right="0" w:firstLine="0"/>
        <w:jc w:val="left"/>
        <w:rPr>
          <w:rFonts w:ascii="Cambria Math" w:eastAsia="Cambria Math"/>
          <w:sz w:val="17"/>
        </w:rPr>
      </w:pPr>
      <w:r>
        <w:rPr>
          <w:rFonts w:ascii="Cambria Math" w:eastAsia="Cambria Math"/>
          <w:position w:val="-8"/>
          <w:sz w:val="24"/>
        </w:rPr>
        <w:t>�</w:t>
      </w:r>
      <w:r>
        <w:rPr>
          <w:rFonts w:ascii="Cambria Math" w:eastAsia="Cambria Math"/>
          <w:sz w:val="17"/>
        </w:rPr>
        <w:t>2</w:t>
      </w:r>
    </w:p>
    <w:p>
      <w:pPr>
        <w:pStyle w:val="BodyText"/>
        <w:spacing w:before="4"/>
        <w:rPr>
          <w:rFonts w:ascii="Cambria Math"/>
          <w:sz w:val="4"/>
        </w:rPr>
      </w:pPr>
    </w:p>
    <w:p>
      <w:pPr>
        <w:pStyle w:val="BodyText"/>
        <w:spacing w:line="20" w:lineRule="exact"/>
        <w:ind w:left="19"/>
        <w:rPr>
          <w:rFonts w:ascii="Cambria Math"/>
          <w:sz w:val="2"/>
        </w:rPr>
      </w:pPr>
      <w:r>
        <w:rPr>
          <w:rFonts w:ascii="Cambria Math"/>
          <w:sz w:val="2"/>
        </w:rPr>
        <w:pict>
          <v:group style="width:20.9pt;height:.85pt;mso-position-horizontal-relative:char;mso-position-vertical-relative:line" coordorigin="0,0" coordsize="418,17">
            <v:line style="position:absolute" from="9,9" to="409,9" stroked="true" strokeweight=".84003pt" strokecolor="#000000"/>
          </v:group>
        </w:pict>
      </w:r>
      <w:r>
        <w:rPr>
          <w:rFonts w:ascii="Cambria Math"/>
          <w:sz w:val="2"/>
        </w:rPr>
      </w:r>
    </w:p>
    <w:p>
      <w:pPr>
        <w:spacing w:line="114" w:lineRule="exact" w:before="0"/>
        <w:ind w:left="133" w:right="0" w:firstLine="0"/>
        <w:jc w:val="left"/>
        <w:rPr>
          <w:rFonts w:ascii="Cambria Math"/>
          <w:sz w:val="17"/>
        </w:rPr>
      </w:pPr>
      <w:r>
        <w:rPr>
          <w:rFonts w:ascii="Cambria Math"/>
          <w:w w:val="104"/>
          <w:sz w:val="17"/>
        </w:rPr>
        <w:t>2</w:t>
      </w:r>
    </w:p>
    <w:p>
      <w:pPr>
        <w:tabs>
          <w:tab w:pos="4399" w:val="left" w:leader="none"/>
        </w:tabs>
        <w:spacing w:line="217" w:lineRule="exact" w:before="0"/>
        <w:ind w:left="119" w:right="0" w:firstLine="0"/>
        <w:jc w:val="left"/>
        <w:rPr>
          <w:sz w:val="24"/>
        </w:rPr>
      </w:pPr>
      <w:r>
        <w:rPr/>
        <w:pict>
          <v:shape style="position:absolute;margin-left:298.970001pt;margin-top:-4.218599pt;width:4.75pt;height:12pt;mso-position-horizontal-relative:page;mso-position-vertical-relative:paragraph;z-index:-460984" type="#_x0000_t202" filled="false" stroked="false">
            <v:textbox inset="0,0,0,0">
              <w:txbxContent>
                <w:p>
                  <w:pPr>
                    <w:pStyle w:val="BodyText"/>
                    <w:spacing w:line="240" w:lineRule="exact"/>
                    <w:rPr>
                      <w:rFonts w:ascii="Cambria Math" w:eastAsia="Cambria Math"/>
                    </w:rPr>
                  </w:pPr>
                  <w:r>
                    <w:rPr>
                      <w:rFonts w:ascii="Cambria Math" w:eastAsia="Cambria Math"/>
                      <w:w w:val="60"/>
                    </w:rPr>
                    <w:t>�</w:t>
                  </w:r>
                </w:p>
              </w:txbxContent>
            </v:textbox>
            <w10:wrap type="none"/>
          </v:shape>
        </w:pict>
      </w:r>
      <w:r>
        <w:rPr>
          <w:rFonts w:ascii="Cambria Math" w:eastAsia="Cambria Math"/>
          <w:spacing w:val="-19"/>
          <w:w w:val="105"/>
          <w:sz w:val="17"/>
        </w:rPr>
        <w:t>𝛼/2</w:t>
        <w:tab/>
      </w:r>
      <w:r>
        <w:rPr>
          <w:w w:val="105"/>
          <w:position w:val="1"/>
          <w:sz w:val="24"/>
        </w:rPr>
        <w:t>3)</w:t>
      </w:r>
    </w:p>
    <w:p>
      <w:pPr>
        <w:spacing w:after="0" w:line="217" w:lineRule="exact"/>
        <w:jc w:val="left"/>
        <w:rPr>
          <w:sz w:val="24"/>
        </w:rPr>
        <w:sectPr>
          <w:type w:val="continuous"/>
          <w:pgSz w:w="12240" w:h="15840"/>
          <w:pgMar w:top="1360" w:bottom="280" w:left="1600" w:right="1580"/>
          <w:cols w:num="2" w:equalWidth="0">
            <w:col w:w="4312" w:space="40"/>
            <w:col w:w="4708"/>
          </w:cols>
        </w:sectPr>
      </w:pPr>
    </w:p>
    <w:p>
      <w:pPr>
        <w:pStyle w:val="BodyText"/>
        <w:spacing w:line="376" w:lineRule="auto" w:before="52"/>
        <w:ind w:left="122" w:right="139"/>
        <w:jc w:val="both"/>
      </w:pPr>
      <w:r>
        <w:rPr/>
        <w:pict>
          <v:shape style="position:absolute;margin-left:268.970001pt;margin-top:11.671245pt;width:15.05pt;height:8.550pt;mso-position-horizontal-relative:page;mso-position-vertical-relative:paragraph;z-index:-460888" type="#_x0000_t202" filled="false" stroked="false">
            <v:textbox inset="0,0,0,0">
              <w:txbxContent>
                <w:p>
                  <w:pPr>
                    <w:spacing w:line="170" w:lineRule="exact" w:before="0"/>
                    <w:ind w:left="0" w:right="-95" w:firstLine="0"/>
                    <w:jc w:val="left"/>
                    <w:rPr>
                      <w:rFonts w:ascii="Cambria Math" w:eastAsia="Cambria Math"/>
                      <w:sz w:val="17"/>
                    </w:rPr>
                  </w:pPr>
                  <w:r>
                    <w:rPr>
                      <w:rFonts w:ascii="Cambria Math" w:eastAsia="Cambria Math"/>
                      <w:spacing w:val="4"/>
                      <w:w w:val="111"/>
                      <w:sz w:val="17"/>
                    </w:rPr>
                    <w:t>𝛼</w:t>
                  </w:r>
                  <w:r>
                    <w:rPr>
                      <w:rFonts w:ascii="Cambria Math" w:eastAsia="Cambria Math"/>
                      <w:w w:val="100"/>
                      <w:sz w:val="17"/>
                    </w:rPr>
                    <w:t>/</w:t>
                  </w:r>
                  <w:r>
                    <w:rPr>
                      <w:rFonts w:ascii="Cambria Math" w:eastAsia="Cambria Math"/>
                      <w:w w:val="104"/>
                      <w:sz w:val="17"/>
                    </w:rPr>
                    <w:t>2</w:t>
                  </w:r>
                </w:p>
              </w:txbxContent>
            </v:textbox>
            <w10:wrap type="none"/>
          </v:shape>
        </w:pict>
      </w:r>
      <w:r>
        <w:rPr/>
        <w:t>Donde, d</w:t>
      </w:r>
      <w:r>
        <w:rPr>
          <w:position w:val="9"/>
          <w:sz w:val="16"/>
        </w:rPr>
        <w:t>2</w:t>
      </w:r>
      <w:r>
        <w:rPr/>
        <w:t>= precisión del estimador; </w:t>
      </w:r>
      <w:r>
        <w:rPr>
          <w:rFonts w:ascii="Cambria Math" w:hAnsi="Cambria Math" w:eastAsia="Cambria Math"/>
          <w:spacing w:val="5"/>
        </w:rPr>
        <w:t>�</w:t>
      </w:r>
      <w:r>
        <w:rPr>
          <w:rFonts w:ascii="Cambria Math" w:hAnsi="Cambria Math" w:eastAsia="Cambria Math"/>
          <w:spacing w:val="5"/>
          <w:position w:val="10"/>
          <w:sz w:val="17"/>
        </w:rPr>
        <w:t>2    </w:t>
      </w:r>
      <w:r>
        <w:rPr/>
        <w:t>= valor obtenido de las tablas de distribución de   </w:t>
      </w:r>
      <w:r>
        <w:rPr>
          <w:b/>
        </w:rPr>
        <w:t>t </w:t>
      </w:r>
      <w:r>
        <w:rPr/>
        <w:t>de Student con un t, 0.25, </w:t>
      </w:r>
      <w:r>
        <w:rPr>
          <w:i/>
        </w:rPr>
        <w:t>n, gl</w:t>
      </w:r>
      <w:r>
        <w:rPr/>
        <w:t>; d, 10% (ӯ). La información para estimar el tamaño de muestra se presenta en la Tabla</w:t>
      </w:r>
      <w:r>
        <w:rPr>
          <w:spacing w:val="-3"/>
        </w:rPr>
        <w:t> </w:t>
      </w:r>
      <w:r>
        <w:rPr/>
        <w:t>4.</w:t>
      </w:r>
    </w:p>
    <w:p>
      <w:pPr>
        <w:pStyle w:val="BodyText"/>
        <w:spacing w:before="9"/>
        <w:rPr>
          <w:sz w:val="34"/>
        </w:rPr>
      </w:pPr>
    </w:p>
    <w:p>
      <w:pPr>
        <w:pStyle w:val="BodyText"/>
        <w:ind w:left="191"/>
        <w:jc w:val="both"/>
      </w:pPr>
      <w:r>
        <w:rPr/>
        <w:pict>
          <v:shape style="position:absolute;margin-left:395.829987pt;margin-top:23.093571pt;width:127.8pt;height:8.0500pt;mso-position-horizontal-relative:page;mso-position-vertical-relative:paragraph;z-index:-460864" type="#_x0000_t202" filled="false" stroked="false">
            <v:textbox inset="0,0,0,0">
              <w:txbxContent>
                <w:p>
                  <w:pPr>
                    <w:tabs>
                      <w:tab w:pos="2474" w:val="left" w:leader="none"/>
                    </w:tabs>
                    <w:spacing w:line="161" w:lineRule="exact" w:before="0"/>
                    <w:ind w:left="0" w:right="0" w:firstLine="0"/>
                    <w:jc w:val="left"/>
                    <w:rPr>
                      <w:sz w:val="16"/>
                    </w:rPr>
                  </w:pPr>
                  <w:r>
                    <w:rPr>
                      <w:sz w:val="16"/>
                    </w:rPr>
                    <w:t>2</w:t>
                    <w:tab/>
                    <w:t>2</w:t>
                  </w:r>
                </w:p>
              </w:txbxContent>
            </v:textbox>
            <w10:wrap type="none"/>
          </v:shape>
        </w:pict>
      </w:r>
      <w:r>
        <w:rPr>
          <w:b/>
        </w:rPr>
        <w:t>Tabla 4. </w:t>
      </w:r>
      <w:r>
        <w:rPr/>
        <w:t>Información base para calcular el tamaño de muestra</w:t>
      </w:r>
    </w:p>
    <w:p>
      <w:pPr>
        <w:pStyle w:val="BodyText"/>
        <w:spacing w:before="11"/>
        <w:rPr>
          <w:sz w:val="8"/>
        </w:rPr>
      </w:pPr>
      <w:r>
        <w:rPr/>
        <w:pict>
          <v:group style="position:absolute;margin-left:84.003998pt;margin-top:7.104319pt;width:444.25pt;height:2.2pt;mso-position-horizontal-relative:page;mso-position-vertical-relative:paragraph;z-index:2848;mso-wrap-distance-left:0;mso-wrap-distance-right:0" coordorigin="1680,142" coordsize="8885,44">
            <v:line style="position:absolute" from="1702,164" to="5401,164" stroked="true" strokeweight="2.16pt" strokecolor="#000000"/>
            <v:line style="position:absolute" from="5401,164" to="5444,164" stroked="true" strokeweight="2.16pt" strokecolor="#000000"/>
            <v:line style="position:absolute" from="5444,164" to="6203,164" stroked="true" strokeweight="2.16pt" strokecolor="#000000"/>
            <v:line style="position:absolute" from="6203,164" to="6246,164" stroked="true" strokeweight="2.16pt" strokecolor="#000000"/>
            <v:line style="position:absolute" from="6246,164" to="7134,164" stroked="true" strokeweight="2.16pt" strokecolor="#000000"/>
            <v:line style="position:absolute" from="7134,164" to="7177,164" stroked="true" strokeweight="2.16pt" strokecolor="#000000"/>
            <v:line style="position:absolute" from="7177,164" to="8065,164" stroked="true" strokeweight="2.16pt" strokecolor="#000000"/>
            <v:line style="position:absolute" from="8065,164" to="8109,164" stroked="true" strokeweight="2.16pt" strokecolor="#000000"/>
            <v:line style="position:absolute" from="8109,164" to="9201,164" stroked="true" strokeweight="2.16pt" strokecolor="#000000"/>
            <v:line style="position:absolute" from="9201,164" to="9244,164" stroked="true" strokeweight="2.16pt" strokecolor="#000000"/>
            <v:line style="position:absolute" from="9244,164" to="10543,164" stroked="true" strokeweight="2.16pt" strokecolor="#000000"/>
            <w10:wrap type="topAndBottom"/>
          </v:group>
        </w:pict>
      </w:r>
    </w:p>
    <w:p>
      <w:pPr>
        <w:tabs>
          <w:tab w:pos="5306" w:val="left" w:leader="none"/>
          <w:tab w:pos="6158" w:val="left" w:leader="none"/>
          <w:tab w:pos="7154" w:val="left" w:leader="none"/>
          <w:tab w:pos="8415" w:val="left" w:leader="none"/>
        </w:tabs>
        <w:spacing w:before="0"/>
        <w:ind w:left="4332" w:right="8" w:firstLine="0"/>
        <w:jc w:val="left"/>
        <w:rPr>
          <w:sz w:val="16"/>
        </w:rPr>
      </w:pPr>
      <w:r>
        <w:rPr>
          <w:position w:val="2"/>
          <w:sz w:val="24"/>
        </w:rPr>
        <w:t>N</w:t>
      </w:r>
      <w:r>
        <w:rPr>
          <w:sz w:val="16"/>
        </w:rPr>
        <w:t>i</w:t>
        <w:tab/>
      </w:r>
      <w:r>
        <w:rPr>
          <w:position w:val="2"/>
          <w:sz w:val="24"/>
        </w:rPr>
        <w:t>S</w:t>
      </w:r>
      <w:r>
        <w:rPr>
          <w:sz w:val="16"/>
        </w:rPr>
        <w:t>i</w:t>
        <w:tab/>
      </w:r>
      <w:r>
        <w:rPr>
          <w:position w:val="2"/>
          <w:sz w:val="24"/>
        </w:rPr>
        <w:t>S</w:t>
      </w:r>
      <w:r>
        <w:rPr>
          <w:sz w:val="16"/>
        </w:rPr>
        <w:t>i</w:t>
        <w:tab/>
      </w:r>
      <w:r>
        <w:rPr>
          <w:position w:val="2"/>
          <w:sz w:val="24"/>
        </w:rPr>
        <w:t>N</w:t>
      </w:r>
      <w:r>
        <w:rPr>
          <w:sz w:val="16"/>
        </w:rPr>
        <w:t>i</w:t>
      </w:r>
      <w:r>
        <w:rPr>
          <w:position w:val="2"/>
          <w:sz w:val="24"/>
        </w:rPr>
        <w:t>S</w:t>
      </w:r>
      <w:r>
        <w:rPr>
          <w:sz w:val="16"/>
        </w:rPr>
        <w:t>i</w:t>
        <w:tab/>
      </w:r>
      <w:r>
        <w:rPr>
          <w:position w:val="2"/>
          <w:sz w:val="24"/>
        </w:rPr>
        <w:t>N</w:t>
      </w:r>
      <w:r>
        <w:rPr>
          <w:sz w:val="16"/>
        </w:rPr>
        <w:t>i</w:t>
      </w:r>
      <w:r>
        <w:rPr>
          <w:position w:val="2"/>
          <w:sz w:val="24"/>
        </w:rPr>
        <w:t>S</w:t>
      </w:r>
      <w:r>
        <w:rPr>
          <w:sz w:val="16"/>
        </w:rPr>
        <w:t>i</w:t>
      </w:r>
    </w:p>
    <w:p>
      <w:pPr>
        <w:pStyle w:val="BodyText"/>
        <w:spacing w:before="3"/>
        <w:rPr>
          <w:sz w:val="14"/>
        </w:rPr>
      </w:pP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80"/>
        <w:gridCol w:w="1549"/>
        <w:gridCol w:w="1897"/>
        <w:gridCol w:w="933"/>
        <w:gridCol w:w="973"/>
        <w:gridCol w:w="1178"/>
        <w:gridCol w:w="1132"/>
      </w:tblGrid>
      <w:tr>
        <w:trPr>
          <w:trHeight w:val="374" w:hRule="exact"/>
        </w:trPr>
        <w:tc>
          <w:tcPr>
            <w:tcW w:w="1180" w:type="dxa"/>
            <w:tcBorders>
              <w:left w:val="nil"/>
              <w:bottom w:val="nil"/>
              <w:right w:val="nil"/>
            </w:tcBorders>
          </w:tcPr>
          <w:p>
            <w:pPr>
              <w:pStyle w:val="TableParagraph"/>
              <w:spacing w:line="270" w:lineRule="exact"/>
              <w:ind w:left="69"/>
              <w:jc w:val="left"/>
              <w:rPr>
                <w:sz w:val="24"/>
              </w:rPr>
            </w:pPr>
            <w:r>
              <w:rPr>
                <w:sz w:val="24"/>
              </w:rPr>
              <w:t>Estratos:</w:t>
            </w:r>
          </w:p>
        </w:tc>
        <w:tc>
          <w:tcPr>
            <w:tcW w:w="1549" w:type="dxa"/>
            <w:tcBorders>
              <w:left w:val="nil"/>
              <w:bottom w:val="nil"/>
              <w:right w:val="nil"/>
            </w:tcBorders>
          </w:tcPr>
          <w:p>
            <w:pPr>
              <w:pStyle w:val="TableParagraph"/>
              <w:spacing w:line="270" w:lineRule="exact"/>
              <w:ind w:left="391"/>
              <w:jc w:val="left"/>
              <w:rPr>
                <w:sz w:val="24"/>
              </w:rPr>
            </w:pPr>
            <w:r>
              <w:rPr>
                <w:w w:val="99"/>
                <w:sz w:val="24"/>
              </w:rPr>
              <w:t>I</w:t>
            </w:r>
          </w:p>
        </w:tc>
        <w:tc>
          <w:tcPr>
            <w:tcW w:w="1897" w:type="dxa"/>
            <w:tcBorders>
              <w:left w:val="nil"/>
              <w:bottom w:val="nil"/>
              <w:right w:val="nil"/>
            </w:tcBorders>
          </w:tcPr>
          <w:p>
            <w:pPr>
              <w:pStyle w:val="TableParagraph"/>
              <w:spacing w:line="270" w:lineRule="exact"/>
              <w:ind w:right="196"/>
              <w:rPr>
                <w:sz w:val="24"/>
              </w:rPr>
            </w:pPr>
            <w:r>
              <w:rPr>
                <w:sz w:val="24"/>
              </w:rPr>
              <w:t>111.00</w:t>
            </w:r>
          </w:p>
        </w:tc>
        <w:tc>
          <w:tcPr>
            <w:tcW w:w="933" w:type="dxa"/>
            <w:tcBorders>
              <w:left w:val="nil"/>
              <w:bottom w:val="nil"/>
              <w:right w:val="nil"/>
            </w:tcBorders>
          </w:tcPr>
          <w:p>
            <w:pPr>
              <w:pStyle w:val="TableParagraph"/>
              <w:spacing w:line="270" w:lineRule="exact"/>
              <w:ind w:right="193"/>
              <w:rPr>
                <w:sz w:val="24"/>
              </w:rPr>
            </w:pPr>
            <w:r>
              <w:rPr>
                <w:sz w:val="24"/>
              </w:rPr>
              <w:t>1.62</w:t>
            </w:r>
          </w:p>
        </w:tc>
        <w:tc>
          <w:tcPr>
            <w:tcW w:w="973" w:type="dxa"/>
            <w:tcBorders>
              <w:left w:val="nil"/>
              <w:bottom w:val="nil"/>
              <w:right w:val="nil"/>
            </w:tcBorders>
          </w:tcPr>
          <w:p>
            <w:pPr>
              <w:pStyle w:val="TableParagraph"/>
              <w:spacing w:line="270" w:lineRule="exact"/>
              <w:ind w:right="235"/>
              <w:rPr>
                <w:sz w:val="24"/>
              </w:rPr>
            </w:pPr>
            <w:r>
              <w:rPr>
                <w:sz w:val="24"/>
              </w:rPr>
              <w:t>2.62</w:t>
            </w:r>
          </w:p>
        </w:tc>
        <w:tc>
          <w:tcPr>
            <w:tcW w:w="1178" w:type="dxa"/>
            <w:tcBorders>
              <w:left w:val="nil"/>
              <w:bottom w:val="nil"/>
              <w:right w:val="nil"/>
            </w:tcBorders>
          </w:tcPr>
          <w:p>
            <w:pPr>
              <w:pStyle w:val="TableParagraph"/>
              <w:spacing w:line="270" w:lineRule="exact"/>
              <w:ind w:right="277"/>
              <w:rPr>
                <w:sz w:val="24"/>
              </w:rPr>
            </w:pPr>
            <w:r>
              <w:rPr>
                <w:sz w:val="24"/>
              </w:rPr>
              <w:t>179.75</w:t>
            </w:r>
          </w:p>
        </w:tc>
        <w:tc>
          <w:tcPr>
            <w:tcW w:w="1132" w:type="dxa"/>
            <w:tcBorders>
              <w:left w:val="nil"/>
              <w:bottom w:val="nil"/>
              <w:right w:val="nil"/>
            </w:tcBorders>
          </w:tcPr>
          <w:p>
            <w:pPr>
              <w:pStyle w:val="TableParagraph"/>
              <w:spacing w:line="270" w:lineRule="exact"/>
              <w:ind w:right="71"/>
              <w:rPr>
                <w:sz w:val="24"/>
              </w:rPr>
            </w:pPr>
            <w:r>
              <w:rPr>
                <w:sz w:val="24"/>
              </w:rPr>
              <w:t>291.07</w:t>
            </w:r>
          </w:p>
        </w:tc>
      </w:tr>
      <w:tr>
        <w:trPr>
          <w:trHeight w:val="414" w:hRule="exact"/>
        </w:trPr>
        <w:tc>
          <w:tcPr>
            <w:tcW w:w="1180" w:type="dxa"/>
            <w:tcBorders>
              <w:top w:val="nil"/>
              <w:left w:val="nil"/>
              <w:bottom w:val="nil"/>
              <w:right w:val="nil"/>
            </w:tcBorders>
          </w:tcPr>
          <w:p>
            <w:pPr/>
          </w:p>
        </w:tc>
        <w:tc>
          <w:tcPr>
            <w:tcW w:w="1549" w:type="dxa"/>
            <w:tcBorders>
              <w:top w:val="nil"/>
              <w:left w:val="nil"/>
              <w:bottom w:val="nil"/>
              <w:right w:val="nil"/>
            </w:tcBorders>
          </w:tcPr>
          <w:p>
            <w:pPr>
              <w:pStyle w:val="TableParagraph"/>
              <w:spacing w:before="56"/>
              <w:ind w:left="331"/>
              <w:jc w:val="left"/>
              <w:rPr>
                <w:sz w:val="24"/>
              </w:rPr>
            </w:pPr>
            <w:r>
              <w:rPr>
                <w:sz w:val="24"/>
              </w:rPr>
              <w:t>II</w:t>
            </w:r>
          </w:p>
        </w:tc>
        <w:tc>
          <w:tcPr>
            <w:tcW w:w="1897" w:type="dxa"/>
            <w:tcBorders>
              <w:top w:val="nil"/>
              <w:left w:val="nil"/>
              <w:bottom w:val="nil"/>
              <w:right w:val="nil"/>
            </w:tcBorders>
          </w:tcPr>
          <w:p>
            <w:pPr>
              <w:pStyle w:val="TableParagraph"/>
              <w:spacing w:before="56"/>
              <w:ind w:right="196"/>
              <w:rPr>
                <w:sz w:val="24"/>
              </w:rPr>
            </w:pPr>
            <w:r>
              <w:rPr>
                <w:sz w:val="24"/>
              </w:rPr>
              <w:t>56.00</w:t>
            </w:r>
          </w:p>
        </w:tc>
        <w:tc>
          <w:tcPr>
            <w:tcW w:w="933" w:type="dxa"/>
            <w:tcBorders>
              <w:top w:val="nil"/>
              <w:left w:val="nil"/>
              <w:bottom w:val="nil"/>
              <w:right w:val="nil"/>
            </w:tcBorders>
          </w:tcPr>
          <w:p>
            <w:pPr>
              <w:pStyle w:val="TableParagraph"/>
              <w:spacing w:before="56"/>
              <w:ind w:right="193"/>
              <w:rPr>
                <w:sz w:val="24"/>
              </w:rPr>
            </w:pPr>
            <w:r>
              <w:rPr>
                <w:sz w:val="24"/>
              </w:rPr>
              <w:t>2.66</w:t>
            </w:r>
          </w:p>
        </w:tc>
        <w:tc>
          <w:tcPr>
            <w:tcW w:w="973" w:type="dxa"/>
            <w:tcBorders>
              <w:top w:val="nil"/>
              <w:left w:val="nil"/>
              <w:bottom w:val="nil"/>
              <w:right w:val="nil"/>
            </w:tcBorders>
          </w:tcPr>
          <w:p>
            <w:pPr>
              <w:pStyle w:val="TableParagraph"/>
              <w:spacing w:before="56"/>
              <w:ind w:right="235"/>
              <w:rPr>
                <w:sz w:val="24"/>
              </w:rPr>
            </w:pPr>
            <w:r>
              <w:rPr>
                <w:sz w:val="24"/>
              </w:rPr>
              <w:t>7.07</w:t>
            </w:r>
          </w:p>
        </w:tc>
        <w:tc>
          <w:tcPr>
            <w:tcW w:w="1178" w:type="dxa"/>
            <w:tcBorders>
              <w:top w:val="nil"/>
              <w:left w:val="nil"/>
              <w:bottom w:val="nil"/>
              <w:right w:val="nil"/>
            </w:tcBorders>
          </w:tcPr>
          <w:p>
            <w:pPr>
              <w:pStyle w:val="TableParagraph"/>
              <w:spacing w:before="56"/>
              <w:ind w:right="277"/>
              <w:rPr>
                <w:sz w:val="24"/>
              </w:rPr>
            </w:pPr>
            <w:r>
              <w:rPr>
                <w:sz w:val="24"/>
              </w:rPr>
              <w:t>148.87</w:t>
            </w:r>
          </w:p>
        </w:tc>
        <w:tc>
          <w:tcPr>
            <w:tcW w:w="1132" w:type="dxa"/>
            <w:tcBorders>
              <w:top w:val="nil"/>
              <w:left w:val="nil"/>
              <w:bottom w:val="nil"/>
              <w:right w:val="nil"/>
            </w:tcBorders>
          </w:tcPr>
          <w:p>
            <w:pPr>
              <w:pStyle w:val="TableParagraph"/>
              <w:spacing w:before="56"/>
              <w:ind w:right="71"/>
              <w:rPr>
                <w:sz w:val="24"/>
              </w:rPr>
            </w:pPr>
            <w:r>
              <w:rPr>
                <w:sz w:val="24"/>
              </w:rPr>
              <w:t>395.73</w:t>
            </w:r>
          </w:p>
        </w:tc>
      </w:tr>
      <w:tr>
        <w:trPr>
          <w:trHeight w:val="414" w:hRule="exact"/>
        </w:trPr>
        <w:tc>
          <w:tcPr>
            <w:tcW w:w="1180" w:type="dxa"/>
            <w:tcBorders>
              <w:top w:val="nil"/>
              <w:left w:val="nil"/>
              <w:bottom w:val="nil"/>
              <w:right w:val="nil"/>
            </w:tcBorders>
          </w:tcPr>
          <w:p>
            <w:pPr/>
          </w:p>
        </w:tc>
        <w:tc>
          <w:tcPr>
            <w:tcW w:w="1549" w:type="dxa"/>
            <w:tcBorders>
              <w:top w:val="nil"/>
              <w:left w:val="nil"/>
              <w:bottom w:val="nil"/>
              <w:right w:val="nil"/>
            </w:tcBorders>
          </w:tcPr>
          <w:p>
            <w:pPr>
              <w:pStyle w:val="TableParagraph"/>
              <w:spacing w:before="55"/>
              <w:ind w:left="271"/>
              <w:jc w:val="left"/>
              <w:rPr>
                <w:sz w:val="24"/>
              </w:rPr>
            </w:pPr>
            <w:r>
              <w:rPr>
                <w:sz w:val="24"/>
              </w:rPr>
              <w:t>III</w:t>
            </w:r>
          </w:p>
        </w:tc>
        <w:tc>
          <w:tcPr>
            <w:tcW w:w="1897" w:type="dxa"/>
            <w:tcBorders>
              <w:top w:val="nil"/>
              <w:left w:val="nil"/>
              <w:bottom w:val="nil"/>
              <w:right w:val="nil"/>
            </w:tcBorders>
          </w:tcPr>
          <w:p>
            <w:pPr>
              <w:pStyle w:val="TableParagraph"/>
              <w:spacing w:before="55"/>
              <w:ind w:right="196"/>
              <w:rPr>
                <w:sz w:val="24"/>
              </w:rPr>
            </w:pPr>
            <w:r>
              <w:rPr>
                <w:sz w:val="24"/>
              </w:rPr>
              <w:t>8.00</w:t>
            </w:r>
          </w:p>
        </w:tc>
        <w:tc>
          <w:tcPr>
            <w:tcW w:w="933" w:type="dxa"/>
            <w:tcBorders>
              <w:top w:val="nil"/>
              <w:left w:val="nil"/>
              <w:bottom w:val="nil"/>
              <w:right w:val="nil"/>
            </w:tcBorders>
          </w:tcPr>
          <w:p>
            <w:pPr>
              <w:pStyle w:val="TableParagraph"/>
              <w:spacing w:before="55"/>
              <w:ind w:right="193"/>
              <w:rPr>
                <w:sz w:val="24"/>
              </w:rPr>
            </w:pPr>
            <w:r>
              <w:rPr>
                <w:sz w:val="24"/>
              </w:rPr>
              <w:t>9.47</w:t>
            </w:r>
          </w:p>
        </w:tc>
        <w:tc>
          <w:tcPr>
            <w:tcW w:w="973" w:type="dxa"/>
            <w:tcBorders>
              <w:top w:val="nil"/>
              <w:left w:val="nil"/>
              <w:bottom w:val="nil"/>
              <w:right w:val="nil"/>
            </w:tcBorders>
          </w:tcPr>
          <w:p>
            <w:pPr>
              <w:pStyle w:val="TableParagraph"/>
              <w:spacing w:before="55"/>
              <w:ind w:right="235"/>
              <w:rPr>
                <w:sz w:val="24"/>
              </w:rPr>
            </w:pPr>
            <w:r>
              <w:rPr>
                <w:sz w:val="24"/>
              </w:rPr>
              <w:t>89.60</w:t>
            </w:r>
          </w:p>
        </w:tc>
        <w:tc>
          <w:tcPr>
            <w:tcW w:w="1178" w:type="dxa"/>
            <w:tcBorders>
              <w:top w:val="nil"/>
              <w:left w:val="nil"/>
              <w:bottom w:val="nil"/>
              <w:right w:val="nil"/>
            </w:tcBorders>
          </w:tcPr>
          <w:p>
            <w:pPr>
              <w:pStyle w:val="TableParagraph"/>
              <w:spacing w:before="55"/>
              <w:ind w:right="277"/>
              <w:rPr>
                <w:sz w:val="24"/>
              </w:rPr>
            </w:pPr>
            <w:r>
              <w:rPr>
                <w:sz w:val="24"/>
              </w:rPr>
              <w:t>75.73</w:t>
            </w:r>
          </w:p>
        </w:tc>
        <w:tc>
          <w:tcPr>
            <w:tcW w:w="1132" w:type="dxa"/>
            <w:tcBorders>
              <w:top w:val="nil"/>
              <w:left w:val="nil"/>
              <w:bottom w:val="nil"/>
              <w:right w:val="nil"/>
            </w:tcBorders>
          </w:tcPr>
          <w:p>
            <w:pPr>
              <w:pStyle w:val="TableParagraph"/>
              <w:spacing w:before="55"/>
              <w:ind w:right="71"/>
              <w:rPr>
                <w:sz w:val="24"/>
              </w:rPr>
            </w:pPr>
            <w:r>
              <w:rPr>
                <w:sz w:val="24"/>
              </w:rPr>
              <w:t>716.80</w:t>
            </w:r>
          </w:p>
        </w:tc>
      </w:tr>
      <w:tr>
        <w:trPr>
          <w:trHeight w:val="497" w:hRule="exact"/>
        </w:trPr>
        <w:tc>
          <w:tcPr>
            <w:tcW w:w="1180" w:type="dxa"/>
            <w:tcBorders>
              <w:top w:val="nil"/>
              <w:left w:val="nil"/>
              <w:right w:val="nil"/>
            </w:tcBorders>
          </w:tcPr>
          <w:p>
            <w:pPr>
              <w:pStyle w:val="TableParagraph"/>
              <w:spacing w:before="56"/>
              <w:ind w:left="69"/>
              <w:jc w:val="left"/>
              <w:rPr>
                <w:sz w:val="24"/>
              </w:rPr>
            </w:pPr>
            <w:r>
              <w:rPr>
                <w:sz w:val="24"/>
              </w:rPr>
              <w:t>Total</w:t>
            </w:r>
          </w:p>
        </w:tc>
        <w:tc>
          <w:tcPr>
            <w:tcW w:w="1549" w:type="dxa"/>
            <w:tcBorders>
              <w:top w:val="nil"/>
              <w:left w:val="nil"/>
              <w:right w:val="nil"/>
            </w:tcBorders>
          </w:tcPr>
          <w:p>
            <w:pPr/>
          </w:p>
        </w:tc>
        <w:tc>
          <w:tcPr>
            <w:tcW w:w="1897" w:type="dxa"/>
            <w:tcBorders>
              <w:top w:val="nil"/>
              <w:left w:val="nil"/>
              <w:right w:val="nil"/>
            </w:tcBorders>
          </w:tcPr>
          <w:p>
            <w:pPr>
              <w:pStyle w:val="TableParagraph"/>
              <w:spacing w:before="56"/>
              <w:ind w:right="196"/>
              <w:rPr>
                <w:sz w:val="24"/>
              </w:rPr>
            </w:pPr>
            <w:r>
              <w:rPr>
                <w:sz w:val="24"/>
              </w:rPr>
              <w:t>175.00</w:t>
            </w:r>
          </w:p>
        </w:tc>
        <w:tc>
          <w:tcPr>
            <w:tcW w:w="933" w:type="dxa"/>
            <w:tcBorders>
              <w:top w:val="nil"/>
              <w:left w:val="nil"/>
              <w:right w:val="nil"/>
            </w:tcBorders>
          </w:tcPr>
          <w:p>
            <w:pPr>
              <w:pStyle w:val="TableParagraph"/>
              <w:spacing w:before="56"/>
              <w:ind w:right="193"/>
              <w:rPr>
                <w:sz w:val="24"/>
              </w:rPr>
            </w:pPr>
            <w:r>
              <w:rPr>
                <w:sz w:val="24"/>
              </w:rPr>
              <w:t>13.74</w:t>
            </w:r>
          </w:p>
        </w:tc>
        <w:tc>
          <w:tcPr>
            <w:tcW w:w="973" w:type="dxa"/>
            <w:tcBorders>
              <w:top w:val="nil"/>
              <w:left w:val="nil"/>
              <w:right w:val="nil"/>
            </w:tcBorders>
          </w:tcPr>
          <w:p>
            <w:pPr>
              <w:pStyle w:val="TableParagraph"/>
              <w:spacing w:before="56"/>
              <w:ind w:right="235"/>
              <w:rPr>
                <w:sz w:val="24"/>
              </w:rPr>
            </w:pPr>
            <w:r>
              <w:rPr>
                <w:sz w:val="24"/>
              </w:rPr>
              <w:t>99.29</w:t>
            </w:r>
          </w:p>
        </w:tc>
        <w:tc>
          <w:tcPr>
            <w:tcW w:w="1178" w:type="dxa"/>
            <w:tcBorders>
              <w:top w:val="nil"/>
              <w:left w:val="nil"/>
              <w:right w:val="nil"/>
            </w:tcBorders>
          </w:tcPr>
          <w:p>
            <w:pPr>
              <w:pStyle w:val="TableParagraph"/>
              <w:spacing w:before="56"/>
              <w:ind w:right="277"/>
              <w:rPr>
                <w:sz w:val="24"/>
              </w:rPr>
            </w:pPr>
            <w:r>
              <w:rPr>
                <w:sz w:val="24"/>
              </w:rPr>
              <w:t>404.34</w:t>
            </w:r>
          </w:p>
        </w:tc>
        <w:tc>
          <w:tcPr>
            <w:tcW w:w="1132" w:type="dxa"/>
            <w:tcBorders>
              <w:top w:val="nil"/>
              <w:left w:val="nil"/>
              <w:right w:val="nil"/>
            </w:tcBorders>
          </w:tcPr>
          <w:p>
            <w:pPr>
              <w:pStyle w:val="TableParagraph"/>
              <w:spacing w:before="56"/>
              <w:ind w:right="71"/>
              <w:rPr>
                <w:sz w:val="24"/>
              </w:rPr>
            </w:pPr>
            <w:r>
              <w:rPr>
                <w:sz w:val="24"/>
              </w:rPr>
              <w:t>1403.60</w:t>
            </w:r>
          </w:p>
        </w:tc>
      </w:tr>
    </w:tbl>
    <w:p>
      <w:pPr>
        <w:spacing w:line="204" w:lineRule="exact" w:before="0"/>
        <w:ind w:left="191" w:right="8" w:firstLine="0"/>
        <w:jc w:val="left"/>
        <w:rPr>
          <w:sz w:val="20"/>
        </w:rPr>
      </w:pPr>
      <w:r>
        <w:rPr>
          <w:sz w:val="20"/>
        </w:rPr>
        <w:t>Fuente: Elaboración propia con información de campo.</w:t>
      </w:r>
    </w:p>
    <w:p>
      <w:pPr>
        <w:pStyle w:val="BodyText"/>
        <w:rPr>
          <w:sz w:val="20"/>
        </w:rPr>
      </w:pPr>
    </w:p>
    <w:p>
      <w:pPr>
        <w:pStyle w:val="BodyText"/>
        <w:rPr>
          <w:sz w:val="20"/>
        </w:rPr>
      </w:pPr>
    </w:p>
    <w:p>
      <w:pPr>
        <w:pStyle w:val="BodyText"/>
        <w:spacing w:line="360" w:lineRule="auto" w:before="69"/>
        <w:ind w:left="122" w:right="8"/>
      </w:pPr>
      <w:r>
        <w:rPr/>
        <w:t>La asignación de la muestra por estrato se realizó mediante distribución de Neyman, para ello, se utilizó la siguiente ecuación:</w:t>
      </w:r>
    </w:p>
    <w:p>
      <w:pPr>
        <w:pStyle w:val="BodyText"/>
        <w:spacing w:before="6"/>
        <w:rPr>
          <w:sz w:val="28"/>
        </w:rPr>
      </w:pPr>
    </w:p>
    <w:p>
      <w:pPr>
        <w:spacing w:line="109" w:lineRule="exact" w:before="77"/>
        <w:ind w:left="68" w:right="0" w:firstLine="0"/>
        <w:jc w:val="center"/>
        <w:rPr>
          <w:rFonts w:ascii="Cambria Math" w:eastAsia="Cambria Math"/>
          <w:sz w:val="14"/>
        </w:rPr>
      </w:pPr>
      <w:r>
        <w:rPr>
          <w:w w:val="100"/>
          <w:sz w:val="17"/>
          <w:u w:val="single"/>
        </w:rPr>
        <w:t> </w:t>
      </w:r>
      <w:r>
        <w:rPr>
          <w:sz w:val="17"/>
          <w:u w:val="single"/>
        </w:rPr>
        <w:t>    </w:t>
      </w:r>
      <w:r>
        <w:rPr>
          <w:rFonts w:ascii="Cambria Math" w:eastAsia="Cambria Math"/>
          <w:w w:val="110"/>
          <w:sz w:val="17"/>
          <w:u w:val="single"/>
        </w:rPr>
        <w:t>�</w:t>
      </w:r>
      <w:r>
        <w:rPr>
          <w:rFonts w:ascii="Cambria Math" w:eastAsia="Cambria Math"/>
          <w:w w:val="110"/>
          <w:position w:val="-3"/>
          <w:sz w:val="14"/>
          <w:u w:val="single"/>
        </w:rPr>
        <w:t>𝑖</w:t>
      </w:r>
      <w:r>
        <w:rPr>
          <w:rFonts w:ascii="Cambria Math" w:eastAsia="Cambria Math"/>
          <w:w w:val="110"/>
          <w:sz w:val="17"/>
          <w:u w:val="single"/>
        </w:rPr>
        <w:t>�</w:t>
      </w:r>
      <w:r>
        <w:rPr>
          <w:rFonts w:ascii="Cambria Math" w:eastAsia="Cambria Math"/>
          <w:w w:val="110"/>
          <w:position w:val="-3"/>
          <w:sz w:val="14"/>
          <w:u w:val="single"/>
        </w:rPr>
        <w:t>𝑁𝑖</w:t>
      </w:r>
      <w:r>
        <w:rPr>
          <w:rFonts w:ascii="Cambria Math" w:eastAsia="Cambria Math"/>
          <w:position w:val="-3"/>
          <w:sz w:val="14"/>
          <w:u w:val="single"/>
        </w:rPr>
        <w:t> </w:t>
      </w:r>
    </w:p>
    <w:p>
      <w:pPr>
        <w:spacing w:after="0" w:line="109" w:lineRule="exact"/>
        <w:jc w:val="center"/>
        <w:rPr>
          <w:rFonts w:ascii="Cambria Math" w:eastAsia="Cambria Math"/>
          <w:sz w:val="14"/>
        </w:rPr>
        <w:sectPr>
          <w:footerReference w:type="default" r:id="rId84"/>
          <w:pgSz w:w="12240" w:h="15840"/>
          <w:pgMar w:footer="657" w:header="0" w:top="1340" w:bottom="840" w:left="1580" w:right="1560"/>
          <w:pgNumType w:start="51"/>
        </w:sectPr>
      </w:pPr>
    </w:p>
    <w:p>
      <w:pPr>
        <w:spacing w:line="240" w:lineRule="exact" w:before="0"/>
        <w:ind w:left="0" w:right="0" w:firstLine="0"/>
        <w:jc w:val="right"/>
        <w:rPr>
          <w:rFonts w:ascii="Cambria Math" w:hAnsi="Cambria Math" w:eastAsia="Cambria Math"/>
          <w:sz w:val="17"/>
        </w:rPr>
      </w:pPr>
      <w:r>
        <w:rPr>
          <w:rFonts w:ascii="Cambria Math" w:hAnsi="Cambria Math" w:eastAsia="Cambria Math"/>
          <w:position w:val="12"/>
          <w:sz w:val="24"/>
        </w:rPr>
        <w:t>�</w:t>
      </w:r>
      <w:r>
        <w:rPr>
          <w:rFonts w:ascii="Cambria Math" w:hAnsi="Cambria Math" w:eastAsia="Cambria Math"/>
          <w:position w:val="7"/>
          <w:sz w:val="17"/>
        </w:rPr>
        <w:t>1  </w:t>
      </w:r>
      <w:r>
        <w:rPr>
          <w:rFonts w:ascii="Cambria Math" w:hAnsi="Cambria Math" w:eastAsia="Cambria Math"/>
          <w:position w:val="12"/>
          <w:sz w:val="24"/>
        </w:rPr>
        <w:t>= </w:t>
      </w:r>
      <w:r>
        <w:rPr>
          <w:rFonts w:ascii="Cambria Math" w:hAnsi="Cambria Math" w:eastAsia="Cambria Math"/>
          <w:position w:val="1"/>
          <w:sz w:val="17"/>
        </w:rPr>
        <w:t>∑</w:t>
      </w:r>
      <w:r>
        <w:rPr>
          <w:rFonts w:ascii="Cambria Math" w:hAnsi="Cambria Math" w:eastAsia="Cambria Math"/>
          <w:position w:val="7"/>
          <w:sz w:val="14"/>
        </w:rPr>
        <w:t>𝐿      </w:t>
      </w:r>
      <w:r>
        <w:rPr>
          <w:rFonts w:ascii="Cambria Math" w:hAnsi="Cambria Math" w:eastAsia="Cambria Math"/>
          <w:sz w:val="17"/>
        </w:rPr>
        <w:t>� �</w:t>
      </w:r>
    </w:p>
    <w:p>
      <w:pPr>
        <w:pStyle w:val="BodyText"/>
        <w:tabs>
          <w:tab w:pos="3826" w:val="left" w:leader="none"/>
        </w:tabs>
        <w:spacing w:line="240" w:lineRule="exact"/>
        <w:ind w:left="175"/>
      </w:pPr>
      <w:r>
        <w:rPr/>
        <w:br w:type="column"/>
      </w:r>
      <w:r>
        <w:rPr>
          <w:rFonts w:ascii="Cambria Math" w:eastAsia="Cambria Math"/>
        </w:rPr>
        <w:t>.</w:t>
      </w:r>
      <w:r>
        <w:rPr>
          <w:rFonts w:ascii="Cambria Math" w:eastAsia="Cambria Math"/>
          <w:spacing w:val="-20"/>
        </w:rPr>
        <w:t> </w:t>
      </w:r>
      <w:r>
        <w:rPr>
          <w:rFonts w:ascii="Cambria Math" w:eastAsia="Cambria Math"/>
        </w:rPr>
        <w:t>�</w:t>
        <w:tab/>
      </w:r>
      <w:r>
        <w:rPr/>
        <w:t>4)</w:t>
      </w:r>
    </w:p>
    <w:p>
      <w:pPr>
        <w:spacing w:after="0" w:line="240" w:lineRule="exact"/>
        <w:sectPr>
          <w:type w:val="continuous"/>
          <w:pgSz w:w="12240" w:h="15840"/>
          <w:pgMar w:top="1360" w:bottom="280" w:left="1580" w:right="1560"/>
          <w:cols w:num="2" w:equalWidth="0">
            <w:col w:w="4835" w:space="40"/>
            <w:col w:w="4225"/>
          </w:cols>
        </w:sectPr>
      </w:pPr>
    </w:p>
    <w:p>
      <w:pPr>
        <w:spacing w:line="163" w:lineRule="exact" w:before="0"/>
        <w:ind w:left="184" w:right="0" w:firstLine="0"/>
        <w:jc w:val="center"/>
        <w:rPr>
          <w:rFonts w:ascii="Cambria Math" w:eastAsia="Cambria Math"/>
          <w:sz w:val="14"/>
        </w:rPr>
      </w:pPr>
      <w:r>
        <w:rPr>
          <w:rFonts w:ascii="Cambria Math" w:eastAsia="Cambria Math"/>
          <w:w w:val="110"/>
          <w:sz w:val="14"/>
        </w:rPr>
        <w:t>𝑖=1     </w:t>
      </w:r>
      <w:r>
        <w:rPr>
          <w:rFonts w:ascii="Cambria Math" w:eastAsia="Cambria Math"/>
          <w:w w:val="110"/>
          <w:position w:val="2"/>
          <w:sz w:val="14"/>
        </w:rPr>
        <w:t>𝑖  𝑁𝑖</w:t>
      </w:r>
    </w:p>
    <w:p>
      <w:pPr>
        <w:pStyle w:val="BodyText"/>
        <w:rPr>
          <w:rFonts w:ascii="Cambria Math"/>
          <w:sz w:val="20"/>
        </w:rPr>
      </w:pPr>
    </w:p>
    <w:p>
      <w:pPr>
        <w:pStyle w:val="BodyText"/>
        <w:spacing w:before="3"/>
        <w:rPr>
          <w:rFonts w:ascii="Cambria Math"/>
          <w:sz w:val="18"/>
        </w:rPr>
      </w:pPr>
    </w:p>
    <w:p>
      <w:pPr>
        <w:pStyle w:val="BodyText"/>
        <w:spacing w:line="345" w:lineRule="auto" w:before="68"/>
        <w:ind w:left="122" w:right="138"/>
        <w:jc w:val="both"/>
      </w:pPr>
      <w:r>
        <w:rPr>
          <w:position w:val="2"/>
        </w:rPr>
        <w:t>Donde, n</w:t>
      </w:r>
      <w:r>
        <w:rPr>
          <w:sz w:val="16"/>
        </w:rPr>
        <w:t>i</w:t>
      </w:r>
      <w:r>
        <w:rPr>
          <w:position w:val="2"/>
        </w:rPr>
        <w:t>= productores por estrato; N</w:t>
      </w:r>
      <w:r>
        <w:rPr>
          <w:sz w:val="16"/>
        </w:rPr>
        <w:t>i</w:t>
      </w:r>
      <w:r>
        <w:rPr>
          <w:position w:val="2"/>
        </w:rPr>
        <w:t>= número de productores del estrato (i); n= tamaño</w:t>
      </w:r>
      <w:r>
        <w:rPr>
          <w:spacing w:val="-39"/>
          <w:position w:val="2"/>
        </w:rPr>
        <w:t> </w:t>
      </w:r>
      <w:r>
        <w:rPr>
          <w:position w:val="2"/>
        </w:rPr>
        <w:t>de </w:t>
      </w:r>
      <w:r>
        <w:rPr/>
        <w:t>la  muestra  por  estrato;  </w:t>
      </w:r>
      <w:r>
        <w:rPr>
          <w:rFonts w:ascii="Cambria Math" w:hAnsi="Cambria Math" w:eastAsia="Cambria Math"/>
        </w:rPr>
        <w:t>�</w:t>
      </w:r>
      <w:r>
        <w:rPr>
          <w:rFonts w:ascii="Cambria Math" w:hAnsi="Cambria Math" w:eastAsia="Cambria Math"/>
          <w:position w:val="-4"/>
          <w:sz w:val="17"/>
        </w:rPr>
        <w:t>��</w:t>
      </w:r>
      <w:r>
        <w:rPr/>
        <w:t>=  varianza  del  estrato  (i).  La  muestra  estratificada  quedo conformada de la siguiente manera (Tabla</w:t>
      </w:r>
      <w:r>
        <w:rPr>
          <w:spacing w:val="-6"/>
        </w:rPr>
        <w:t> </w:t>
      </w:r>
      <w:r>
        <w:rPr/>
        <w:t>5).</w:t>
      </w:r>
    </w:p>
    <w:p>
      <w:pPr>
        <w:pStyle w:val="BodyText"/>
      </w:pPr>
    </w:p>
    <w:p>
      <w:pPr>
        <w:pStyle w:val="BodyText"/>
        <w:spacing w:line="360" w:lineRule="auto" w:before="159" w:after="12"/>
        <w:ind w:left="1562" w:right="1213"/>
      </w:pPr>
      <w:r>
        <w:rPr>
          <w:b/>
        </w:rPr>
        <w:t>Tabla 5. </w:t>
      </w:r>
      <w:r>
        <w:rPr/>
        <w:t>Muestra estratificada de productores lecheros de pequeña escala</w:t>
      </w:r>
    </w:p>
    <w:p>
      <w:pPr>
        <w:pStyle w:val="BodyText"/>
        <w:spacing w:line="44" w:lineRule="exact"/>
        <w:ind w:left="1470"/>
        <w:rPr>
          <w:sz w:val="4"/>
        </w:rPr>
      </w:pPr>
      <w:r>
        <w:rPr>
          <w:position w:val="0"/>
          <w:sz w:val="4"/>
        </w:rPr>
        <w:pict>
          <v:group style="width:307.1pt;height:2.2pt;mso-position-horizontal-relative:char;mso-position-vertical-relative:line" coordorigin="0,0" coordsize="6142,44">
            <v:line style="position:absolute" from="22,22" to="2055,22" stroked="true" strokeweight="2.16pt" strokecolor="#000000"/>
            <v:line style="position:absolute" from="2055,22" to="2099,22" stroked="true" strokeweight="2.16pt" strokecolor="#000000"/>
            <v:line style="position:absolute" from="2099,22" to="4086,22" stroked="true" strokeweight="2.16pt" strokecolor="#000000"/>
            <v:line style="position:absolute" from="4086,22" to="4129,22" stroked="true" strokeweight="2.16pt" strokecolor="#000000"/>
            <v:line style="position:absolute" from="4129,22" to="6119,22" stroked="true" strokeweight="2.16pt" strokecolor="#000000"/>
          </v:group>
        </w:pict>
      </w:r>
      <w:r>
        <w:rPr>
          <w:position w:val="0"/>
          <w:sz w:val="4"/>
        </w:rPr>
      </w:r>
    </w:p>
    <w:p>
      <w:pPr>
        <w:pStyle w:val="BodyText"/>
        <w:tabs>
          <w:tab w:pos="6094" w:val="left" w:leader="none"/>
        </w:tabs>
        <w:ind w:left="1562" w:right="8"/>
      </w:pPr>
      <w:r>
        <w:rPr/>
        <w:t>Estratos</w:t>
        <w:tab/>
        <w:t>Año</w:t>
      </w:r>
      <w:r>
        <w:rPr>
          <w:spacing w:val="-1"/>
        </w:rPr>
        <w:t> </w:t>
      </w:r>
      <w:r>
        <w:rPr/>
        <w:t>2012</w:t>
      </w:r>
    </w:p>
    <w:p>
      <w:pPr>
        <w:pStyle w:val="BodyText"/>
        <w:spacing w:before="3"/>
        <w:rPr>
          <w:sz w:val="14"/>
        </w:rPr>
      </w:pPr>
    </w:p>
    <w:tbl>
      <w:tblPr>
        <w:tblW w:w="0" w:type="auto"/>
        <w:jc w:val="left"/>
        <w:tblInd w:w="149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822"/>
        <w:gridCol w:w="1276"/>
      </w:tblGrid>
      <w:tr>
        <w:trPr>
          <w:trHeight w:val="376" w:hRule="exact"/>
        </w:trPr>
        <w:tc>
          <w:tcPr>
            <w:tcW w:w="4822" w:type="dxa"/>
            <w:tcBorders>
              <w:left w:val="nil"/>
              <w:bottom w:val="nil"/>
              <w:right w:val="nil"/>
            </w:tcBorders>
          </w:tcPr>
          <w:p>
            <w:pPr>
              <w:pStyle w:val="TableParagraph"/>
              <w:spacing w:line="273" w:lineRule="exact"/>
              <w:ind w:left="69"/>
              <w:jc w:val="left"/>
              <w:rPr>
                <w:sz w:val="24"/>
              </w:rPr>
            </w:pPr>
            <w:r>
              <w:rPr>
                <w:sz w:val="24"/>
              </w:rPr>
              <w:t>Estrato I</w:t>
            </w:r>
          </w:p>
        </w:tc>
        <w:tc>
          <w:tcPr>
            <w:tcW w:w="1276" w:type="dxa"/>
            <w:tcBorders>
              <w:left w:val="nil"/>
              <w:bottom w:val="nil"/>
              <w:right w:val="nil"/>
            </w:tcBorders>
          </w:tcPr>
          <w:p>
            <w:pPr>
              <w:pStyle w:val="TableParagraph"/>
              <w:spacing w:line="273" w:lineRule="exact"/>
              <w:ind w:right="896"/>
              <w:rPr>
                <w:sz w:val="24"/>
              </w:rPr>
            </w:pPr>
            <w:r>
              <w:rPr>
                <w:sz w:val="24"/>
              </w:rPr>
              <w:t>22</w:t>
            </w:r>
          </w:p>
        </w:tc>
      </w:tr>
      <w:tr>
        <w:trPr>
          <w:trHeight w:val="414" w:hRule="exact"/>
        </w:trPr>
        <w:tc>
          <w:tcPr>
            <w:tcW w:w="4822" w:type="dxa"/>
            <w:tcBorders>
              <w:top w:val="nil"/>
              <w:left w:val="nil"/>
              <w:bottom w:val="nil"/>
              <w:right w:val="nil"/>
            </w:tcBorders>
          </w:tcPr>
          <w:p>
            <w:pPr>
              <w:pStyle w:val="TableParagraph"/>
              <w:spacing w:before="55"/>
              <w:ind w:left="69"/>
              <w:jc w:val="left"/>
              <w:rPr>
                <w:sz w:val="24"/>
              </w:rPr>
            </w:pPr>
            <w:r>
              <w:rPr>
                <w:sz w:val="24"/>
              </w:rPr>
              <w:t>Estrato II</w:t>
            </w:r>
          </w:p>
        </w:tc>
        <w:tc>
          <w:tcPr>
            <w:tcW w:w="1276" w:type="dxa"/>
            <w:tcBorders>
              <w:top w:val="nil"/>
              <w:left w:val="nil"/>
              <w:bottom w:val="nil"/>
              <w:right w:val="nil"/>
            </w:tcBorders>
          </w:tcPr>
          <w:p>
            <w:pPr>
              <w:pStyle w:val="TableParagraph"/>
              <w:spacing w:before="55"/>
              <w:ind w:right="896"/>
              <w:rPr>
                <w:sz w:val="24"/>
              </w:rPr>
            </w:pPr>
            <w:r>
              <w:rPr>
                <w:sz w:val="24"/>
              </w:rPr>
              <w:t>12</w:t>
            </w:r>
          </w:p>
        </w:tc>
      </w:tr>
      <w:tr>
        <w:trPr>
          <w:trHeight w:val="414" w:hRule="exact"/>
        </w:trPr>
        <w:tc>
          <w:tcPr>
            <w:tcW w:w="4822" w:type="dxa"/>
            <w:tcBorders>
              <w:top w:val="nil"/>
              <w:left w:val="nil"/>
              <w:bottom w:val="nil"/>
              <w:right w:val="nil"/>
            </w:tcBorders>
          </w:tcPr>
          <w:p>
            <w:pPr>
              <w:pStyle w:val="TableParagraph"/>
              <w:spacing w:before="56"/>
              <w:ind w:left="69"/>
              <w:jc w:val="left"/>
              <w:rPr>
                <w:sz w:val="24"/>
              </w:rPr>
            </w:pPr>
            <w:r>
              <w:rPr>
                <w:sz w:val="24"/>
              </w:rPr>
              <w:t>Estrato III</w:t>
            </w:r>
          </w:p>
        </w:tc>
        <w:tc>
          <w:tcPr>
            <w:tcW w:w="1276" w:type="dxa"/>
            <w:tcBorders>
              <w:top w:val="nil"/>
              <w:left w:val="nil"/>
              <w:bottom w:val="nil"/>
              <w:right w:val="nil"/>
            </w:tcBorders>
          </w:tcPr>
          <w:p>
            <w:pPr>
              <w:pStyle w:val="TableParagraph"/>
              <w:spacing w:before="56"/>
              <w:ind w:right="896"/>
              <w:rPr>
                <w:sz w:val="24"/>
              </w:rPr>
            </w:pPr>
            <w:r>
              <w:rPr>
                <w:sz w:val="24"/>
              </w:rPr>
              <w:t>4</w:t>
            </w:r>
          </w:p>
        </w:tc>
      </w:tr>
      <w:tr>
        <w:trPr>
          <w:trHeight w:val="498" w:hRule="exact"/>
        </w:trPr>
        <w:tc>
          <w:tcPr>
            <w:tcW w:w="4822" w:type="dxa"/>
            <w:tcBorders>
              <w:top w:val="nil"/>
              <w:left w:val="nil"/>
              <w:bottom w:val="single" w:sz="17" w:space="0" w:color="000000"/>
              <w:right w:val="nil"/>
            </w:tcBorders>
          </w:tcPr>
          <w:p>
            <w:pPr>
              <w:pStyle w:val="TableParagraph"/>
              <w:spacing w:before="55"/>
              <w:ind w:left="69"/>
              <w:jc w:val="left"/>
              <w:rPr>
                <w:sz w:val="24"/>
              </w:rPr>
            </w:pPr>
            <w:r>
              <w:rPr>
                <w:sz w:val="24"/>
              </w:rPr>
              <w:t>Total</w:t>
            </w:r>
          </w:p>
        </w:tc>
        <w:tc>
          <w:tcPr>
            <w:tcW w:w="1276" w:type="dxa"/>
            <w:tcBorders>
              <w:top w:val="nil"/>
              <w:left w:val="nil"/>
              <w:bottom w:val="single" w:sz="17" w:space="0" w:color="000000"/>
              <w:right w:val="nil"/>
            </w:tcBorders>
          </w:tcPr>
          <w:p>
            <w:pPr>
              <w:pStyle w:val="TableParagraph"/>
              <w:spacing w:before="55"/>
              <w:ind w:right="896"/>
              <w:rPr>
                <w:sz w:val="24"/>
              </w:rPr>
            </w:pPr>
            <w:r>
              <w:rPr>
                <w:sz w:val="24"/>
              </w:rPr>
              <w:t>37</w:t>
            </w:r>
          </w:p>
        </w:tc>
      </w:tr>
      <w:tr>
        <w:trPr>
          <w:trHeight w:val="341" w:hRule="exact"/>
        </w:trPr>
        <w:tc>
          <w:tcPr>
            <w:tcW w:w="4822" w:type="dxa"/>
            <w:tcBorders>
              <w:top w:val="single" w:sz="17" w:space="0" w:color="000000"/>
              <w:left w:val="nil"/>
              <w:bottom w:val="nil"/>
              <w:right w:val="nil"/>
            </w:tcBorders>
          </w:tcPr>
          <w:p>
            <w:pPr>
              <w:pStyle w:val="TableParagraph"/>
              <w:spacing w:line="223" w:lineRule="exact"/>
              <w:ind w:left="69"/>
              <w:jc w:val="left"/>
              <w:rPr>
                <w:sz w:val="20"/>
              </w:rPr>
            </w:pPr>
            <w:r>
              <w:rPr>
                <w:sz w:val="20"/>
              </w:rPr>
              <w:t>Fuente: Elaboración propia con información de la tabla 4.</w:t>
            </w:r>
          </w:p>
        </w:tc>
        <w:tc>
          <w:tcPr>
            <w:tcW w:w="1276" w:type="dxa"/>
            <w:tcBorders>
              <w:top w:val="single" w:sz="17" w:space="0" w:color="000000"/>
              <w:left w:val="nil"/>
              <w:bottom w:val="nil"/>
              <w:right w:val="nil"/>
            </w:tcBorders>
          </w:tcPr>
          <w:p>
            <w:pPr/>
          </w:p>
        </w:tc>
      </w:tr>
    </w:tbl>
    <w:p>
      <w:pPr>
        <w:spacing w:after="0"/>
        <w:sectPr>
          <w:type w:val="continuous"/>
          <w:pgSz w:w="12240" w:h="15840"/>
          <w:pgMar w:top="1360" w:bottom="280" w:left="1580" w:right="1560"/>
        </w:sectPr>
      </w:pPr>
    </w:p>
    <w:p>
      <w:pPr>
        <w:pStyle w:val="Heading1"/>
        <w:numPr>
          <w:ilvl w:val="1"/>
          <w:numId w:val="15"/>
        </w:numPr>
        <w:tabs>
          <w:tab w:pos="549" w:val="left" w:leader="none"/>
        </w:tabs>
        <w:spacing w:line="362" w:lineRule="auto" w:before="55" w:after="0"/>
        <w:ind w:left="102" w:right="118" w:firstLine="0"/>
        <w:jc w:val="both"/>
      </w:pPr>
      <w:r>
        <w:rPr/>
        <w:t>Herramienta para la obtención de información en el análisis de viabilidad económica y</w:t>
      </w:r>
      <w:r>
        <w:rPr>
          <w:spacing w:val="-7"/>
        </w:rPr>
        <w:t> </w:t>
      </w:r>
      <w:r>
        <w:rPr/>
        <w:t>financiera</w:t>
      </w:r>
    </w:p>
    <w:p>
      <w:pPr>
        <w:pStyle w:val="BodyText"/>
        <w:spacing w:before="9"/>
        <w:rPr>
          <w:b/>
          <w:sz w:val="35"/>
        </w:rPr>
      </w:pPr>
    </w:p>
    <w:p>
      <w:pPr>
        <w:pStyle w:val="BodyText"/>
        <w:spacing w:line="360" w:lineRule="auto"/>
        <w:ind w:left="102" w:right="115"/>
        <w:jc w:val="both"/>
      </w:pPr>
      <w:r>
        <w:rPr/>
        <w:t>Se</w:t>
      </w:r>
      <w:r>
        <w:rPr>
          <w:spacing w:val="-11"/>
        </w:rPr>
        <w:t> </w:t>
      </w:r>
      <w:r>
        <w:rPr/>
        <w:t>usó</w:t>
      </w:r>
      <w:r>
        <w:rPr>
          <w:spacing w:val="-9"/>
        </w:rPr>
        <w:t> </w:t>
      </w:r>
      <w:r>
        <w:rPr/>
        <w:t>la</w:t>
      </w:r>
      <w:r>
        <w:rPr>
          <w:spacing w:val="-10"/>
        </w:rPr>
        <w:t> </w:t>
      </w:r>
      <w:r>
        <w:rPr/>
        <w:t>técnica</w:t>
      </w:r>
      <w:r>
        <w:rPr>
          <w:spacing w:val="-11"/>
        </w:rPr>
        <w:t> </w:t>
      </w:r>
      <w:r>
        <w:rPr/>
        <w:t>de</w:t>
      </w:r>
      <w:r>
        <w:rPr>
          <w:spacing w:val="-11"/>
        </w:rPr>
        <w:t> </w:t>
      </w:r>
      <w:r>
        <w:rPr/>
        <w:t>panel</w:t>
      </w:r>
      <w:r>
        <w:rPr>
          <w:spacing w:val="-9"/>
        </w:rPr>
        <w:t> </w:t>
      </w:r>
      <w:r>
        <w:rPr/>
        <w:t>como</w:t>
      </w:r>
      <w:r>
        <w:rPr>
          <w:spacing w:val="-9"/>
        </w:rPr>
        <w:t> </w:t>
      </w:r>
      <w:r>
        <w:rPr/>
        <w:t>herramienta</w:t>
      </w:r>
      <w:r>
        <w:rPr>
          <w:spacing w:val="-10"/>
        </w:rPr>
        <w:t> </w:t>
      </w:r>
      <w:r>
        <w:rPr/>
        <w:t>en</w:t>
      </w:r>
      <w:r>
        <w:rPr>
          <w:spacing w:val="-10"/>
        </w:rPr>
        <w:t> </w:t>
      </w:r>
      <w:r>
        <w:rPr/>
        <w:t>la</w:t>
      </w:r>
      <w:r>
        <w:rPr>
          <w:spacing w:val="-10"/>
        </w:rPr>
        <w:t> </w:t>
      </w:r>
      <w:r>
        <w:rPr/>
        <w:t>recolección</w:t>
      </w:r>
      <w:r>
        <w:rPr>
          <w:spacing w:val="-9"/>
        </w:rPr>
        <w:t> </w:t>
      </w:r>
      <w:r>
        <w:rPr/>
        <w:t>de</w:t>
      </w:r>
      <w:r>
        <w:rPr>
          <w:spacing w:val="-11"/>
        </w:rPr>
        <w:t> </w:t>
      </w:r>
      <w:r>
        <w:rPr/>
        <w:t>información</w:t>
      </w:r>
      <w:r>
        <w:rPr>
          <w:spacing w:val="-7"/>
        </w:rPr>
        <w:t> </w:t>
      </w:r>
      <w:r>
        <w:rPr/>
        <w:t>para</w:t>
      </w:r>
      <w:r>
        <w:rPr>
          <w:spacing w:val="-11"/>
        </w:rPr>
        <w:t> </w:t>
      </w:r>
      <w:r>
        <w:rPr/>
        <w:t>el</w:t>
      </w:r>
      <w:r>
        <w:rPr>
          <w:spacing w:val="-9"/>
        </w:rPr>
        <w:t> </w:t>
      </w:r>
      <w:r>
        <w:rPr/>
        <w:t>análisis de viabilidad económica y financiera. La técnica de panel es aquella que conforma un</w:t>
      </w:r>
      <w:r>
        <w:rPr>
          <w:spacing w:val="-17"/>
        </w:rPr>
        <w:t> </w:t>
      </w:r>
      <w:r>
        <w:rPr/>
        <w:t>grupo de productores de una región y que caracteriza a un sistema de producción. El proceso de panel se realiza en sesiones, durante las cuales, los productores aportan datos relacionados con</w:t>
      </w:r>
      <w:r>
        <w:rPr>
          <w:spacing w:val="-5"/>
        </w:rPr>
        <w:t> </w:t>
      </w:r>
      <w:r>
        <w:rPr/>
        <w:t>la</w:t>
      </w:r>
      <w:r>
        <w:rPr>
          <w:spacing w:val="-5"/>
        </w:rPr>
        <w:t> </w:t>
      </w:r>
      <w:r>
        <w:rPr/>
        <w:t>economía</w:t>
      </w:r>
      <w:r>
        <w:rPr>
          <w:spacing w:val="-3"/>
        </w:rPr>
        <w:t> </w:t>
      </w:r>
      <w:r>
        <w:rPr/>
        <w:t>y</w:t>
      </w:r>
      <w:r>
        <w:rPr>
          <w:spacing w:val="-10"/>
        </w:rPr>
        <w:t> </w:t>
      </w:r>
      <w:r>
        <w:rPr/>
        <w:t>finanzas</w:t>
      </w:r>
      <w:r>
        <w:rPr>
          <w:spacing w:val="-5"/>
        </w:rPr>
        <w:t> </w:t>
      </w:r>
      <w:r>
        <w:rPr/>
        <w:t>de</w:t>
      </w:r>
      <w:r>
        <w:rPr>
          <w:spacing w:val="-6"/>
        </w:rPr>
        <w:t> </w:t>
      </w:r>
      <w:r>
        <w:rPr/>
        <w:t>la</w:t>
      </w:r>
      <w:r>
        <w:rPr>
          <w:spacing w:val="-5"/>
        </w:rPr>
        <w:t> </w:t>
      </w:r>
      <w:r>
        <w:rPr/>
        <w:t>empresa.</w:t>
      </w:r>
      <w:r>
        <w:rPr>
          <w:spacing w:val="-5"/>
        </w:rPr>
        <w:t> </w:t>
      </w:r>
      <w:r>
        <w:rPr/>
        <w:t>En</w:t>
      </w:r>
      <w:r>
        <w:rPr>
          <w:spacing w:val="-5"/>
        </w:rPr>
        <w:t> </w:t>
      </w:r>
      <w:r>
        <w:rPr/>
        <w:t>cada</w:t>
      </w:r>
      <w:r>
        <w:rPr>
          <w:spacing w:val="-4"/>
        </w:rPr>
        <w:t> </w:t>
      </w:r>
      <w:r>
        <w:rPr/>
        <w:t>panel</w:t>
      </w:r>
      <w:r>
        <w:rPr>
          <w:spacing w:val="-4"/>
        </w:rPr>
        <w:t> </w:t>
      </w:r>
      <w:r>
        <w:rPr/>
        <w:t>se</w:t>
      </w:r>
      <w:r>
        <w:rPr>
          <w:spacing w:val="-6"/>
        </w:rPr>
        <w:t> </w:t>
      </w:r>
      <w:r>
        <w:rPr/>
        <w:t>realiza</w:t>
      </w:r>
      <w:r>
        <w:rPr>
          <w:spacing w:val="-6"/>
        </w:rPr>
        <w:t> </w:t>
      </w:r>
      <w:r>
        <w:rPr/>
        <w:t>una</w:t>
      </w:r>
      <w:r>
        <w:rPr>
          <w:spacing w:val="-6"/>
        </w:rPr>
        <w:t> </w:t>
      </w:r>
      <w:r>
        <w:rPr/>
        <w:t>entrevista</w:t>
      </w:r>
      <w:r>
        <w:rPr>
          <w:spacing w:val="-6"/>
        </w:rPr>
        <w:t> </w:t>
      </w:r>
      <w:r>
        <w:rPr/>
        <w:t>interactiva e iterativa con los productores usando un proceso de construcción en consenso (Miller y Salkind, 2002). En este proceso los productores deben discutir y llegar a un acuerdo sobre una granja “tipo” que represente la escala y sistema de operación de sus propias granjas (Zavala-Pineda et al.,</w:t>
      </w:r>
      <w:r>
        <w:rPr>
          <w:spacing w:val="-5"/>
        </w:rPr>
        <w:t> </w:t>
      </w:r>
      <w:r>
        <w:rPr/>
        <w:t>2012).</w:t>
      </w:r>
    </w:p>
    <w:p>
      <w:pPr>
        <w:pStyle w:val="BodyText"/>
      </w:pPr>
    </w:p>
    <w:p>
      <w:pPr>
        <w:pStyle w:val="BodyText"/>
        <w:spacing w:line="360" w:lineRule="auto" w:before="143"/>
        <w:ind w:left="102" w:right="119"/>
        <w:jc w:val="both"/>
      </w:pPr>
      <w:r>
        <w:rPr/>
        <w:t>Los panelistas proporcionaron información de variables técnicas, económicas, escala productiva</w:t>
      </w:r>
      <w:r>
        <w:rPr>
          <w:spacing w:val="-6"/>
        </w:rPr>
        <w:t> </w:t>
      </w:r>
      <w:r>
        <w:rPr/>
        <w:t>y</w:t>
      </w:r>
      <w:r>
        <w:rPr>
          <w:spacing w:val="-10"/>
        </w:rPr>
        <w:t> </w:t>
      </w:r>
      <w:r>
        <w:rPr/>
        <w:t>comercial,</w:t>
      </w:r>
      <w:r>
        <w:rPr>
          <w:spacing w:val="-7"/>
        </w:rPr>
        <w:t> </w:t>
      </w:r>
      <w:r>
        <w:rPr/>
        <w:t>producción</w:t>
      </w:r>
      <w:r>
        <w:rPr>
          <w:spacing w:val="-7"/>
        </w:rPr>
        <w:t> </w:t>
      </w:r>
      <w:r>
        <w:rPr/>
        <w:t>de</w:t>
      </w:r>
      <w:r>
        <w:rPr>
          <w:spacing w:val="-8"/>
        </w:rPr>
        <w:t> </w:t>
      </w:r>
      <w:r>
        <w:rPr/>
        <w:t>insumos,</w:t>
      </w:r>
      <w:r>
        <w:rPr>
          <w:spacing w:val="-7"/>
        </w:rPr>
        <w:t> </w:t>
      </w:r>
      <w:r>
        <w:rPr/>
        <w:t>alimentación,</w:t>
      </w:r>
      <w:r>
        <w:rPr>
          <w:spacing w:val="-7"/>
        </w:rPr>
        <w:t> </w:t>
      </w:r>
      <w:r>
        <w:rPr/>
        <w:t>costos</w:t>
      </w:r>
      <w:r>
        <w:rPr>
          <w:spacing w:val="-7"/>
        </w:rPr>
        <w:t> </w:t>
      </w:r>
      <w:r>
        <w:rPr/>
        <w:t>de</w:t>
      </w:r>
      <w:r>
        <w:rPr>
          <w:spacing w:val="-8"/>
        </w:rPr>
        <w:t> </w:t>
      </w:r>
      <w:r>
        <w:rPr/>
        <w:t>producción,</w:t>
      </w:r>
      <w:r>
        <w:rPr>
          <w:spacing w:val="-7"/>
        </w:rPr>
        <w:t> </w:t>
      </w:r>
      <w:r>
        <w:rPr/>
        <w:t>tamaño de la finca, vacas en producción, rendimientos históricos en producción de leche e insumos, programas y montos de subsidios, tenencia de la tierra, gastos de alquiler, maquinaria e implementos</w:t>
      </w:r>
      <w:r>
        <w:rPr>
          <w:spacing w:val="-4"/>
        </w:rPr>
        <w:t> </w:t>
      </w:r>
      <w:r>
        <w:rPr/>
        <w:t>agrícolas.</w:t>
      </w:r>
    </w:p>
    <w:p>
      <w:pPr>
        <w:pStyle w:val="BodyText"/>
      </w:pPr>
    </w:p>
    <w:p>
      <w:pPr>
        <w:pStyle w:val="BodyText"/>
        <w:spacing w:line="360" w:lineRule="auto" w:before="143"/>
        <w:ind w:left="102" w:right="120"/>
        <w:jc w:val="both"/>
      </w:pPr>
      <w:r>
        <w:rPr/>
        <w:t>Las</w:t>
      </w:r>
      <w:r>
        <w:rPr>
          <w:spacing w:val="-4"/>
        </w:rPr>
        <w:t> </w:t>
      </w:r>
      <w:r>
        <w:rPr/>
        <w:t>técnicas</w:t>
      </w:r>
      <w:r>
        <w:rPr>
          <w:spacing w:val="-6"/>
        </w:rPr>
        <w:t> </w:t>
      </w:r>
      <w:r>
        <w:rPr/>
        <w:t>de</w:t>
      </w:r>
      <w:r>
        <w:rPr>
          <w:spacing w:val="-7"/>
        </w:rPr>
        <w:t> </w:t>
      </w:r>
      <w:r>
        <w:rPr/>
        <w:t>simulación</w:t>
      </w:r>
      <w:r>
        <w:rPr>
          <w:spacing w:val="-6"/>
        </w:rPr>
        <w:t> </w:t>
      </w:r>
      <w:r>
        <w:rPr/>
        <w:t>usadas</w:t>
      </w:r>
      <w:r>
        <w:rPr>
          <w:spacing w:val="-6"/>
        </w:rPr>
        <w:t> </w:t>
      </w:r>
      <w:r>
        <w:rPr/>
        <w:t>conjuntamente</w:t>
      </w:r>
      <w:r>
        <w:rPr>
          <w:spacing w:val="-7"/>
        </w:rPr>
        <w:t> </w:t>
      </w:r>
      <w:r>
        <w:rPr/>
        <w:t>con</w:t>
      </w:r>
      <w:r>
        <w:rPr>
          <w:spacing w:val="-6"/>
        </w:rPr>
        <w:t> </w:t>
      </w:r>
      <w:r>
        <w:rPr/>
        <w:t>el</w:t>
      </w:r>
      <w:r>
        <w:rPr>
          <w:spacing w:val="-6"/>
        </w:rPr>
        <w:t> </w:t>
      </w:r>
      <w:r>
        <w:rPr/>
        <w:t>proceso</w:t>
      </w:r>
      <w:r>
        <w:rPr>
          <w:spacing w:val="-6"/>
        </w:rPr>
        <w:t> </w:t>
      </w:r>
      <w:r>
        <w:rPr/>
        <w:t>de</w:t>
      </w:r>
      <w:r>
        <w:rPr>
          <w:spacing w:val="-7"/>
        </w:rPr>
        <w:t> </w:t>
      </w:r>
      <w:r>
        <w:rPr/>
        <w:t>panel</w:t>
      </w:r>
      <w:r>
        <w:rPr>
          <w:spacing w:val="-6"/>
        </w:rPr>
        <w:t> </w:t>
      </w:r>
      <w:r>
        <w:rPr/>
        <w:t>representativo</w:t>
      </w:r>
      <w:r>
        <w:rPr>
          <w:spacing w:val="-6"/>
        </w:rPr>
        <w:t> </w:t>
      </w:r>
      <w:r>
        <w:rPr/>
        <w:t>han tenido</w:t>
      </w:r>
      <w:r>
        <w:rPr>
          <w:spacing w:val="-5"/>
        </w:rPr>
        <w:t> </w:t>
      </w:r>
      <w:r>
        <w:rPr/>
        <w:t>un</w:t>
      </w:r>
      <w:r>
        <w:rPr>
          <w:spacing w:val="-5"/>
        </w:rPr>
        <w:t> </w:t>
      </w:r>
      <w:r>
        <w:rPr/>
        <w:t>gran</w:t>
      </w:r>
      <w:r>
        <w:rPr>
          <w:spacing w:val="-2"/>
        </w:rPr>
        <w:t> </w:t>
      </w:r>
      <w:r>
        <w:rPr/>
        <w:t>éxito</w:t>
      </w:r>
      <w:r>
        <w:rPr>
          <w:spacing w:val="-5"/>
        </w:rPr>
        <w:t> </w:t>
      </w:r>
      <w:r>
        <w:rPr/>
        <w:t>en</w:t>
      </w:r>
      <w:r>
        <w:rPr>
          <w:spacing w:val="-5"/>
        </w:rPr>
        <w:t> </w:t>
      </w:r>
      <w:r>
        <w:rPr/>
        <w:t>la</w:t>
      </w:r>
      <w:r>
        <w:rPr>
          <w:spacing w:val="-8"/>
        </w:rPr>
        <w:t> </w:t>
      </w:r>
      <w:r>
        <w:rPr/>
        <w:t>determinación</w:t>
      </w:r>
      <w:r>
        <w:rPr>
          <w:spacing w:val="-4"/>
        </w:rPr>
        <w:t> </w:t>
      </w:r>
      <w:r>
        <w:rPr/>
        <w:t>de</w:t>
      </w:r>
      <w:r>
        <w:rPr>
          <w:spacing w:val="-6"/>
        </w:rPr>
        <w:t> </w:t>
      </w:r>
      <w:r>
        <w:rPr/>
        <w:t>la</w:t>
      </w:r>
      <w:r>
        <w:rPr>
          <w:spacing w:val="-5"/>
        </w:rPr>
        <w:t> </w:t>
      </w:r>
      <w:r>
        <w:rPr/>
        <w:t>viabilidad</w:t>
      </w:r>
      <w:r>
        <w:rPr>
          <w:spacing w:val="-5"/>
        </w:rPr>
        <w:t> </w:t>
      </w:r>
      <w:r>
        <w:rPr/>
        <w:t>económica</w:t>
      </w:r>
      <w:r>
        <w:rPr>
          <w:spacing w:val="1"/>
        </w:rPr>
        <w:t> </w:t>
      </w:r>
      <w:r>
        <w:rPr/>
        <w:t>y</w:t>
      </w:r>
      <w:r>
        <w:rPr>
          <w:spacing w:val="-10"/>
        </w:rPr>
        <w:t> </w:t>
      </w:r>
      <w:r>
        <w:rPr/>
        <w:t>financiera</w:t>
      </w:r>
      <w:r>
        <w:rPr>
          <w:spacing w:val="-5"/>
        </w:rPr>
        <w:t> </w:t>
      </w:r>
      <w:r>
        <w:rPr/>
        <w:t>en</w:t>
      </w:r>
      <w:r>
        <w:rPr>
          <w:spacing w:val="-5"/>
        </w:rPr>
        <w:t> </w:t>
      </w:r>
      <w:r>
        <w:rPr/>
        <w:t>sistemas agropecuarios (Sagarnaga et al.,</w:t>
      </w:r>
      <w:r>
        <w:rPr>
          <w:spacing w:val="-9"/>
        </w:rPr>
        <w:t> </w:t>
      </w:r>
      <w:r>
        <w:rPr/>
        <w:t>1999).</w:t>
      </w:r>
    </w:p>
    <w:p>
      <w:pPr>
        <w:pStyle w:val="BodyText"/>
      </w:pPr>
    </w:p>
    <w:p>
      <w:pPr>
        <w:pStyle w:val="BodyText"/>
        <w:spacing w:line="360" w:lineRule="auto" w:before="143"/>
        <w:ind w:left="102" w:right="117"/>
        <w:jc w:val="both"/>
      </w:pPr>
      <w:r>
        <w:rPr/>
        <w:t>Se formaron tres unidades representativas de producción (URP) del sistema lechero de pequeña escala en el nor-oriente del Estado de México. </w:t>
      </w:r>
      <w:r>
        <w:rPr>
          <w:spacing w:val="-3"/>
        </w:rPr>
        <w:t>La </w:t>
      </w:r>
      <w:r>
        <w:rPr/>
        <w:t>primera con una escala de ocho vacas en producción (URP8) más reemplazos, esta representa a 130 productores del DDRT, con</w:t>
      </w:r>
      <w:r>
        <w:rPr>
          <w:spacing w:val="-13"/>
        </w:rPr>
        <w:t> </w:t>
      </w:r>
      <w:r>
        <w:rPr/>
        <w:t>cuatro</w:t>
      </w:r>
      <w:r>
        <w:rPr>
          <w:spacing w:val="-14"/>
        </w:rPr>
        <w:t> </w:t>
      </w:r>
      <w:r>
        <w:rPr/>
        <w:t>a</w:t>
      </w:r>
      <w:r>
        <w:rPr>
          <w:spacing w:val="-14"/>
        </w:rPr>
        <w:t> </w:t>
      </w:r>
      <w:r>
        <w:rPr/>
        <w:t>nueve</w:t>
      </w:r>
      <w:r>
        <w:rPr>
          <w:spacing w:val="-14"/>
        </w:rPr>
        <w:t> </w:t>
      </w:r>
      <w:r>
        <w:rPr/>
        <w:t>vacas</w:t>
      </w:r>
      <w:r>
        <w:rPr>
          <w:spacing w:val="-11"/>
        </w:rPr>
        <w:t> </w:t>
      </w:r>
      <w:r>
        <w:rPr/>
        <w:t>en</w:t>
      </w:r>
      <w:r>
        <w:rPr>
          <w:spacing w:val="-13"/>
        </w:rPr>
        <w:t> </w:t>
      </w:r>
      <w:r>
        <w:rPr/>
        <w:t>producción;</w:t>
      </w:r>
      <w:r>
        <w:rPr>
          <w:spacing w:val="-11"/>
        </w:rPr>
        <w:t> </w:t>
      </w:r>
      <w:r>
        <w:rPr/>
        <w:t>la</w:t>
      </w:r>
      <w:r>
        <w:rPr>
          <w:spacing w:val="-14"/>
        </w:rPr>
        <w:t> </w:t>
      </w:r>
      <w:r>
        <w:rPr/>
        <w:t>segunda</w:t>
      </w:r>
      <w:r>
        <w:rPr>
          <w:spacing w:val="-14"/>
        </w:rPr>
        <w:t> </w:t>
      </w:r>
      <w:r>
        <w:rPr/>
        <w:t>con</w:t>
      </w:r>
      <w:r>
        <w:rPr>
          <w:spacing w:val="-13"/>
        </w:rPr>
        <w:t> </w:t>
      </w:r>
      <w:r>
        <w:rPr/>
        <w:t>una</w:t>
      </w:r>
      <w:r>
        <w:rPr>
          <w:spacing w:val="-14"/>
        </w:rPr>
        <w:t> </w:t>
      </w:r>
      <w:r>
        <w:rPr/>
        <w:t>escala</w:t>
      </w:r>
      <w:r>
        <w:rPr>
          <w:spacing w:val="-14"/>
        </w:rPr>
        <w:t> </w:t>
      </w:r>
      <w:r>
        <w:rPr/>
        <w:t>de</w:t>
      </w:r>
      <w:r>
        <w:rPr>
          <w:spacing w:val="-14"/>
        </w:rPr>
        <w:t> </w:t>
      </w:r>
      <w:r>
        <w:rPr/>
        <w:t>12</w:t>
      </w:r>
      <w:r>
        <w:rPr>
          <w:spacing w:val="-13"/>
        </w:rPr>
        <w:t> </w:t>
      </w:r>
      <w:r>
        <w:rPr/>
        <w:t>vacas</w:t>
      </w:r>
      <w:r>
        <w:rPr>
          <w:spacing w:val="-13"/>
        </w:rPr>
        <w:t> </w:t>
      </w:r>
      <w:r>
        <w:rPr/>
        <w:t>en</w:t>
      </w:r>
      <w:r>
        <w:rPr>
          <w:spacing w:val="-13"/>
        </w:rPr>
        <w:t> </w:t>
      </w:r>
      <w:r>
        <w:rPr/>
        <w:t>producción (URP12) esta representa a 99 productores del DDRT, con 10 a 19 vacas en producción; y la tercera con una escala de 22 vacas en producción (URP22) esta representa a 16 productores del DDRT, con 20 a 30 vacas en</w:t>
      </w:r>
      <w:r>
        <w:rPr>
          <w:spacing w:val="-5"/>
        </w:rPr>
        <w:t> </w:t>
      </w:r>
      <w:r>
        <w:rPr/>
        <w:t>producción.</w:t>
      </w:r>
    </w:p>
    <w:p>
      <w:pPr>
        <w:spacing w:after="0" w:line="360" w:lineRule="auto"/>
        <w:jc w:val="both"/>
        <w:sectPr>
          <w:pgSz w:w="12240" w:h="15840"/>
          <w:pgMar w:header="0" w:footer="657" w:top="1360" w:bottom="840" w:left="1600" w:right="1580"/>
        </w:sectPr>
      </w:pPr>
    </w:p>
    <w:p>
      <w:pPr>
        <w:pStyle w:val="Heading1"/>
        <w:numPr>
          <w:ilvl w:val="1"/>
          <w:numId w:val="15"/>
        </w:numPr>
        <w:tabs>
          <w:tab w:pos="462" w:val="left" w:leader="none"/>
        </w:tabs>
        <w:spacing w:line="240" w:lineRule="auto" w:before="55" w:after="0"/>
        <w:ind w:left="462" w:right="0" w:hanging="360"/>
        <w:jc w:val="both"/>
      </w:pPr>
      <w:bookmarkStart w:name="_TOC_250017" w:id="25"/>
      <w:r>
        <w:rPr/>
        <w:t>Metodología para el análisis de</w:t>
      </w:r>
      <w:r>
        <w:rPr>
          <w:spacing w:val="-8"/>
        </w:rPr>
        <w:t> </w:t>
      </w:r>
      <w:bookmarkEnd w:id="25"/>
      <w:r>
        <w:rPr/>
        <w:t>competitividad</w:t>
      </w:r>
    </w:p>
    <w:p>
      <w:pPr>
        <w:pStyle w:val="BodyText"/>
        <w:rPr>
          <w:b/>
        </w:rPr>
      </w:pPr>
    </w:p>
    <w:p>
      <w:pPr>
        <w:pStyle w:val="BodyText"/>
        <w:spacing w:before="7"/>
        <w:rPr>
          <w:b/>
          <w:sz w:val="23"/>
        </w:rPr>
      </w:pPr>
    </w:p>
    <w:p>
      <w:pPr>
        <w:pStyle w:val="BodyText"/>
        <w:spacing w:line="360" w:lineRule="auto"/>
        <w:ind w:left="102" w:right="137"/>
        <w:jc w:val="both"/>
      </w:pPr>
      <w:r>
        <w:rPr/>
        <w:t>El análisis de la ventaja comparativa del sistema lechero de pequeña escala se basó en la metodología de la MAP desarrollada por Monke y Pearson (1989). Esta metodología tiene como objetivo medir la eficiencia en los sistemas de producción regionales y definir la existencia de ventajas comparativas.</w:t>
      </w:r>
    </w:p>
    <w:p>
      <w:pPr>
        <w:pStyle w:val="BodyText"/>
      </w:pPr>
    </w:p>
    <w:p>
      <w:pPr>
        <w:pStyle w:val="BodyText"/>
      </w:pPr>
    </w:p>
    <w:p>
      <w:pPr>
        <w:pStyle w:val="BodyText"/>
        <w:spacing w:before="1"/>
        <w:rPr>
          <w:sz w:val="23"/>
        </w:rPr>
      </w:pPr>
    </w:p>
    <w:p>
      <w:pPr>
        <w:pStyle w:val="BodyText"/>
        <w:spacing w:line="360" w:lineRule="auto"/>
        <w:ind w:left="102" w:right="139"/>
        <w:jc w:val="both"/>
      </w:pPr>
      <w:r>
        <w:rPr/>
        <w:t>La MAP tiene dos identidades fundamentales (Tabal 6); precios privados los cuales determinan el nivel de ganancia como la diferencia entre los ingresos y los costos de producción, y precios sociales o económicos, los cuales reflejan los niveles de escases medidos por los efectos de política gubernamental y las distorsiones de mercado (Barrón et al., 2000; Morrison y Balcombe, 2002; Lara-Covarrubias et al., 2003; Hernández-Martínez et al., 2004).</w:t>
      </w:r>
    </w:p>
    <w:p>
      <w:pPr>
        <w:pStyle w:val="BodyText"/>
      </w:pPr>
    </w:p>
    <w:p>
      <w:pPr>
        <w:pStyle w:val="BodyText"/>
      </w:pPr>
    </w:p>
    <w:p>
      <w:pPr>
        <w:pStyle w:val="BodyText"/>
        <w:spacing w:before="3"/>
        <w:rPr>
          <w:sz w:val="23"/>
        </w:rPr>
      </w:pPr>
    </w:p>
    <w:p>
      <w:pPr>
        <w:pStyle w:val="BodyText"/>
        <w:spacing w:line="360" w:lineRule="auto"/>
        <w:ind w:left="102" w:right="139"/>
        <w:jc w:val="both"/>
      </w:pPr>
      <w:r>
        <w:rPr/>
        <w:t>Los precios económicos corrigen los efectos de las distorsiones existentes en el mercado, es decir,</w:t>
      </w:r>
      <w:r>
        <w:rPr>
          <w:spacing w:val="-9"/>
        </w:rPr>
        <w:t> </w:t>
      </w:r>
      <w:r>
        <w:rPr/>
        <w:t>estiman</w:t>
      </w:r>
      <w:r>
        <w:rPr>
          <w:spacing w:val="-12"/>
        </w:rPr>
        <w:t> </w:t>
      </w:r>
      <w:r>
        <w:rPr/>
        <w:t>los</w:t>
      </w:r>
      <w:r>
        <w:rPr>
          <w:spacing w:val="-10"/>
        </w:rPr>
        <w:t> </w:t>
      </w:r>
      <w:r>
        <w:rPr/>
        <w:t>valores</w:t>
      </w:r>
      <w:r>
        <w:rPr>
          <w:spacing w:val="-11"/>
        </w:rPr>
        <w:t> </w:t>
      </w:r>
      <w:r>
        <w:rPr/>
        <w:t>de</w:t>
      </w:r>
      <w:r>
        <w:rPr>
          <w:spacing w:val="-12"/>
        </w:rPr>
        <w:t> </w:t>
      </w:r>
      <w:r>
        <w:rPr/>
        <w:t>escases</w:t>
      </w:r>
      <w:r>
        <w:rPr>
          <w:spacing w:val="-9"/>
        </w:rPr>
        <w:t> </w:t>
      </w:r>
      <w:r>
        <w:rPr/>
        <w:t>que</w:t>
      </w:r>
      <w:r>
        <w:rPr>
          <w:spacing w:val="-10"/>
        </w:rPr>
        <w:t> </w:t>
      </w:r>
      <w:r>
        <w:rPr/>
        <w:t>representan</w:t>
      </w:r>
      <w:r>
        <w:rPr>
          <w:spacing w:val="-11"/>
        </w:rPr>
        <w:t> </w:t>
      </w:r>
      <w:r>
        <w:rPr/>
        <w:t>el</w:t>
      </w:r>
      <w:r>
        <w:rPr>
          <w:spacing w:val="-11"/>
        </w:rPr>
        <w:t> </w:t>
      </w:r>
      <w:r>
        <w:rPr/>
        <w:t>ingreso</w:t>
      </w:r>
      <w:r>
        <w:rPr>
          <w:spacing w:val="-11"/>
        </w:rPr>
        <w:t> </w:t>
      </w:r>
      <w:r>
        <w:rPr/>
        <w:t>neto</w:t>
      </w:r>
      <w:r>
        <w:rPr>
          <w:spacing w:val="-5"/>
        </w:rPr>
        <w:t> </w:t>
      </w:r>
      <w:r>
        <w:rPr/>
        <w:t>perdido</w:t>
      </w:r>
      <w:r>
        <w:rPr>
          <w:spacing w:val="-10"/>
        </w:rPr>
        <w:t> </w:t>
      </w:r>
      <w:r>
        <w:rPr/>
        <w:t>por</w:t>
      </w:r>
      <w:r>
        <w:rPr>
          <w:spacing w:val="-12"/>
        </w:rPr>
        <w:t> </w:t>
      </w:r>
      <w:r>
        <w:rPr/>
        <w:t>el</w:t>
      </w:r>
      <w:r>
        <w:rPr>
          <w:spacing w:val="-8"/>
        </w:rPr>
        <w:t> </w:t>
      </w:r>
      <w:r>
        <w:rPr/>
        <w:t>factor</w:t>
      </w:r>
      <w:r>
        <w:rPr>
          <w:spacing w:val="-11"/>
        </w:rPr>
        <w:t> </w:t>
      </w:r>
      <w:r>
        <w:rPr/>
        <w:t>que no está orientado a su mejor uso alternativo (costo de</w:t>
      </w:r>
      <w:r>
        <w:rPr>
          <w:spacing w:val="-10"/>
        </w:rPr>
        <w:t> </w:t>
      </w:r>
      <w:r>
        <w:rPr/>
        <w:t>oportunidad).</w:t>
      </w:r>
    </w:p>
    <w:p>
      <w:pPr>
        <w:pStyle w:val="BodyText"/>
      </w:pPr>
    </w:p>
    <w:p>
      <w:pPr>
        <w:pStyle w:val="BodyText"/>
        <w:spacing w:before="200" w:after="8"/>
        <w:ind w:left="226" w:right="504"/>
      </w:pPr>
      <w:r>
        <w:rPr>
          <w:b/>
        </w:rPr>
        <w:t>Tabla 6. </w:t>
      </w:r>
      <w:r>
        <w:rPr/>
        <w:t>Estructura de la Matriz de Análisis de Política</w:t>
      </w:r>
    </w:p>
    <w:p>
      <w:pPr>
        <w:pStyle w:val="BodyText"/>
        <w:spacing w:line="44" w:lineRule="exact"/>
        <w:ind w:left="135"/>
        <w:rPr>
          <w:sz w:val="4"/>
        </w:rPr>
      </w:pPr>
      <w:r>
        <w:rPr>
          <w:position w:val="0"/>
          <w:sz w:val="4"/>
        </w:rPr>
        <w:pict>
          <v:group style="width:441.5pt;height:2.2pt;mso-position-horizontal-relative:char;mso-position-vertical-relative:line" coordorigin="0,0" coordsize="8830,44">
            <v:line style="position:absolute" from="22,22" to="1800,22" stroked="true" strokeweight="2.16pt" strokecolor="#000000"/>
            <v:line style="position:absolute" from="1800,22" to="1844,22" stroked="true" strokeweight="2.16pt" strokecolor="#000000"/>
            <v:line style="position:absolute" from="1844,22" to="2036,22" stroked="true" strokeweight="2.16pt" strokecolor="#000000"/>
            <v:line style="position:absolute" from="2036,22" to="2079,22" stroked="true" strokeweight="2.16pt" strokecolor="#000000"/>
            <v:line style="position:absolute" from="2079,22" to="3164,22" stroked="true" strokeweight="2.16pt" strokecolor="#000000"/>
            <v:line style="position:absolute" from="3164,22" to="3207,22" stroked="true" strokeweight="2.16pt" strokecolor="#000000"/>
            <v:line style="position:absolute" from="3207,22" to="7368,22" stroked="true" strokeweight="2.16pt" strokecolor="#000000"/>
            <v:line style="position:absolute" from="7368,22" to="7411,22" stroked="true" strokeweight="2.16pt" strokecolor="#000000"/>
            <v:line style="position:absolute" from="7411,22" to="8808,22" stroked="true" strokeweight="2.16pt" strokecolor="#000000"/>
          </v:group>
        </w:pict>
      </w:r>
      <w:r>
        <w:rPr>
          <w:position w:val="0"/>
          <w:sz w:val="4"/>
        </w:rPr>
      </w:r>
    </w:p>
    <w:p>
      <w:pPr>
        <w:pStyle w:val="Heading1"/>
        <w:tabs>
          <w:tab w:pos="4300" w:val="left" w:leader="none"/>
          <w:tab w:pos="7572" w:val="left" w:leader="none"/>
        </w:tabs>
        <w:spacing w:before="13"/>
        <w:ind w:left="226" w:right="51"/>
        <w:jc w:val="left"/>
      </w:pPr>
      <w:r>
        <w:rPr/>
        <w:pict>
          <v:group style="position:absolute;margin-left:243.869995pt;margin-top:16.633110pt;width:212.4pt;height:2.2pt;mso-position-horizontal-relative:page;mso-position-vertical-relative:paragraph;z-index:-460792" coordorigin="4877,333" coordsize="4248,44">
            <v:line style="position:absolute" from="4899,355" to="7417,355" stroked="true" strokeweight="2.16pt" strokecolor="#000000"/>
            <v:line style="position:absolute" from="7417,355" to="7461,355" stroked="true" strokeweight="2.16pt" strokecolor="#000000"/>
            <v:line style="position:absolute" from="7461,355" to="9103,355" stroked="true" strokeweight="2.16pt" strokecolor="#000000"/>
            <w10:wrap type="none"/>
          </v:group>
        </w:pict>
      </w:r>
      <w:r>
        <w:rPr/>
        <w:t>Concepto</w:t>
        <w:tab/>
        <w:t>Costos</w:t>
      </w:r>
      <w:r>
        <w:rPr>
          <w:spacing w:val="-1"/>
        </w:rPr>
        <w:t> </w:t>
      </w:r>
      <w:r>
        <w:rPr/>
        <w:t>de</w:t>
      </w:r>
      <w:r>
        <w:rPr>
          <w:spacing w:val="-2"/>
        </w:rPr>
        <w:t> </w:t>
      </w:r>
      <w:r>
        <w:rPr/>
        <w:t>producción</w:t>
        <w:tab/>
        <w:t>Ganancias</w:t>
      </w:r>
    </w:p>
    <w:p>
      <w:pPr>
        <w:spacing w:after="0"/>
        <w:jc w:val="left"/>
        <w:sectPr>
          <w:pgSz w:w="12240" w:h="15840"/>
          <w:pgMar w:header="0" w:footer="657" w:top="1360" w:bottom="840" w:left="1600" w:right="1560"/>
        </w:sectPr>
      </w:pPr>
    </w:p>
    <w:p>
      <w:pPr>
        <w:pStyle w:val="BodyText"/>
        <w:spacing w:before="9"/>
        <w:rPr>
          <w:b/>
          <w:sz w:val="34"/>
        </w:rPr>
      </w:pPr>
    </w:p>
    <w:p>
      <w:pPr>
        <w:pStyle w:val="BodyText"/>
        <w:spacing w:before="1"/>
        <w:jc w:val="right"/>
      </w:pPr>
      <w:r>
        <w:rPr/>
        <w:t>Ingresos</w:t>
      </w:r>
    </w:p>
    <w:p>
      <w:pPr>
        <w:pStyle w:val="BodyText"/>
        <w:spacing w:line="278" w:lineRule="auto" w:before="81"/>
        <w:ind w:left="570" w:right="-6" w:firstLine="400"/>
      </w:pPr>
      <w:r>
        <w:rPr/>
        <w:br w:type="column"/>
      </w:r>
      <w:r>
        <w:rPr/>
        <w:t>Insumos </w:t>
      </w:r>
      <w:r>
        <w:rPr>
          <w:spacing w:val="-1"/>
        </w:rPr>
        <w:t>comercializables</w:t>
      </w:r>
    </w:p>
    <w:p>
      <w:pPr>
        <w:pStyle w:val="BodyText"/>
        <w:spacing w:line="278" w:lineRule="auto" w:before="81"/>
        <w:ind w:left="870" w:right="1261" w:hanging="20"/>
      </w:pPr>
      <w:r>
        <w:rPr/>
        <w:br w:type="column"/>
      </w:r>
      <w:r>
        <w:rPr/>
        <w:t>Factores internos</w:t>
      </w:r>
    </w:p>
    <w:p>
      <w:pPr>
        <w:spacing w:after="0" w:line="278" w:lineRule="auto"/>
        <w:sectPr>
          <w:type w:val="continuous"/>
          <w:pgSz w:w="12240" w:h="15840"/>
          <w:pgMar w:top="1360" w:bottom="280" w:left="1600" w:right="1560"/>
          <w:cols w:num="3" w:equalWidth="0">
            <w:col w:w="3141" w:space="40"/>
            <w:col w:w="2181" w:space="40"/>
            <w:col w:w="3678"/>
          </w:cols>
        </w:sectPr>
      </w:pPr>
    </w:p>
    <w:p>
      <w:pPr>
        <w:pStyle w:val="BodyText"/>
        <w:tabs>
          <w:tab w:pos="3510" w:val="left" w:leader="none"/>
        </w:tabs>
        <w:spacing w:before="10"/>
        <w:ind w:left="2382" w:right="504"/>
      </w:pPr>
      <w:r>
        <w:rPr/>
        <w:t>Totales</w:t>
        <w:tab/>
        <w:t>y no</w:t>
      </w:r>
      <w:r>
        <w:rPr>
          <w:spacing w:val="-5"/>
        </w:rPr>
        <w:t> </w:t>
      </w:r>
      <w:r>
        <w:rPr/>
        <w:t>comercializables</w:t>
      </w:r>
    </w:p>
    <w:p>
      <w:pPr>
        <w:pStyle w:val="BodyText"/>
        <w:spacing w:before="10"/>
        <w:rPr>
          <w:sz w:val="5"/>
        </w:rPr>
      </w:pPr>
    </w:p>
    <w:tbl>
      <w:tblPr>
        <w:tblW w:w="0" w:type="auto"/>
        <w:jc w:val="left"/>
        <w:tblInd w:w="15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083"/>
        <w:gridCol w:w="1473"/>
        <w:gridCol w:w="2012"/>
        <w:gridCol w:w="3217"/>
      </w:tblGrid>
      <w:tr>
        <w:trPr>
          <w:trHeight w:val="386" w:hRule="exact"/>
        </w:trPr>
        <w:tc>
          <w:tcPr>
            <w:tcW w:w="2083" w:type="dxa"/>
            <w:tcBorders>
              <w:left w:val="nil"/>
              <w:bottom w:val="nil"/>
              <w:right w:val="nil"/>
            </w:tcBorders>
          </w:tcPr>
          <w:p>
            <w:pPr>
              <w:pStyle w:val="TableParagraph"/>
              <w:spacing w:before="54"/>
              <w:ind w:left="69"/>
              <w:jc w:val="left"/>
              <w:rPr>
                <w:sz w:val="24"/>
              </w:rPr>
            </w:pPr>
            <w:r>
              <w:rPr>
                <w:sz w:val="24"/>
              </w:rPr>
              <w:t>Precios Privados</w:t>
            </w:r>
          </w:p>
        </w:tc>
        <w:tc>
          <w:tcPr>
            <w:tcW w:w="1473" w:type="dxa"/>
            <w:tcBorders>
              <w:left w:val="nil"/>
              <w:bottom w:val="nil"/>
              <w:right w:val="nil"/>
            </w:tcBorders>
          </w:tcPr>
          <w:p>
            <w:pPr>
              <w:pStyle w:val="TableParagraph"/>
              <w:spacing w:before="54"/>
              <w:ind w:left="408"/>
              <w:jc w:val="left"/>
              <w:rPr>
                <w:sz w:val="24"/>
              </w:rPr>
            </w:pPr>
            <w:r>
              <w:rPr>
                <w:w w:val="99"/>
                <w:sz w:val="24"/>
              </w:rPr>
              <w:t>A</w:t>
            </w:r>
          </w:p>
        </w:tc>
        <w:tc>
          <w:tcPr>
            <w:tcW w:w="2012" w:type="dxa"/>
            <w:tcBorders>
              <w:left w:val="nil"/>
              <w:bottom w:val="nil"/>
              <w:right w:val="nil"/>
            </w:tcBorders>
          </w:tcPr>
          <w:p>
            <w:pPr>
              <w:pStyle w:val="TableParagraph"/>
              <w:spacing w:before="54"/>
              <w:ind w:right="67"/>
              <w:jc w:val="center"/>
              <w:rPr>
                <w:sz w:val="24"/>
              </w:rPr>
            </w:pPr>
            <w:r>
              <w:rPr>
                <w:sz w:val="24"/>
              </w:rPr>
              <w:t>B</w:t>
            </w:r>
          </w:p>
        </w:tc>
        <w:tc>
          <w:tcPr>
            <w:tcW w:w="3217" w:type="dxa"/>
            <w:tcBorders>
              <w:left w:val="nil"/>
              <w:bottom w:val="nil"/>
              <w:right w:val="nil"/>
            </w:tcBorders>
          </w:tcPr>
          <w:p>
            <w:pPr>
              <w:pStyle w:val="TableParagraph"/>
              <w:tabs>
                <w:tab w:pos="1399" w:val="left" w:leader="none"/>
              </w:tabs>
              <w:spacing w:before="39"/>
              <w:ind w:right="598"/>
              <w:rPr>
                <w:sz w:val="16"/>
              </w:rPr>
            </w:pPr>
            <w:r>
              <w:rPr>
                <w:sz w:val="24"/>
              </w:rPr>
              <w:t>C</w:t>
              <w:tab/>
            </w:r>
            <w:r>
              <w:rPr>
                <w:spacing w:val="-1"/>
                <w:sz w:val="24"/>
              </w:rPr>
              <w:t>D</w:t>
            </w:r>
            <w:r>
              <w:rPr>
                <w:spacing w:val="-1"/>
                <w:position w:val="9"/>
                <w:sz w:val="16"/>
              </w:rPr>
              <w:t>a</w:t>
            </w:r>
          </w:p>
        </w:tc>
      </w:tr>
      <w:tr>
        <w:trPr>
          <w:trHeight w:val="318" w:hRule="exact"/>
        </w:trPr>
        <w:tc>
          <w:tcPr>
            <w:tcW w:w="2083" w:type="dxa"/>
            <w:tcBorders>
              <w:top w:val="nil"/>
              <w:left w:val="nil"/>
              <w:bottom w:val="nil"/>
              <w:right w:val="nil"/>
            </w:tcBorders>
          </w:tcPr>
          <w:p>
            <w:pPr>
              <w:pStyle w:val="TableParagraph"/>
              <w:spacing w:before="7"/>
              <w:ind w:left="69"/>
              <w:jc w:val="left"/>
              <w:rPr>
                <w:sz w:val="24"/>
              </w:rPr>
            </w:pPr>
            <w:r>
              <w:rPr>
                <w:sz w:val="24"/>
              </w:rPr>
              <w:t>Precios</w:t>
            </w:r>
          </w:p>
        </w:tc>
        <w:tc>
          <w:tcPr>
            <w:tcW w:w="1473" w:type="dxa"/>
            <w:tcBorders>
              <w:top w:val="nil"/>
              <w:left w:val="nil"/>
              <w:bottom w:val="nil"/>
              <w:right w:val="nil"/>
            </w:tcBorders>
          </w:tcPr>
          <w:p>
            <w:pPr/>
          </w:p>
        </w:tc>
        <w:tc>
          <w:tcPr>
            <w:tcW w:w="2012" w:type="dxa"/>
            <w:tcBorders>
              <w:top w:val="nil"/>
              <w:left w:val="nil"/>
              <w:bottom w:val="nil"/>
              <w:right w:val="nil"/>
            </w:tcBorders>
          </w:tcPr>
          <w:p>
            <w:pPr/>
          </w:p>
        </w:tc>
        <w:tc>
          <w:tcPr>
            <w:tcW w:w="3217" w:type="dxa"/>
            <w:tcBorders>
              <w:top w:val="nil"/>
              <w:left w:val="nil"/>
              <w:bottom w:val="nil"/>
              <w:right w:val="nil"/>
            </w:tcBorders>
          </w:tcPr>
          <w:p>
            <w:pPr/>
          </w:p>
        </w:tc>
      </w:tr>
      <w:tr>
        <w:trPr>
          <w:trHeight w:val="361" w:hRule="exact"/>
        </w:trPr>
        <w:tc>
          <w:tcPr>
            <w:tcW w:w="2083" w:type="dxa"/>
            <w:tcBorders>
              <w:top w:val="nil"/>
              <w:left w:val="nil"/>
              <w:bottom w:val="nil"/>
              <w:right w:val="nil"/>
            </w:tcBorders>
          </w:tcPr>
          <w:p>
            <w:pPr>
              <w:pStyle w:val="TableParagraph"/>
              <w:spacing w:before="8"/>
              <w:ind w:left="69"/>
              <w:jc w:val="left"/>
              <w:rPr>
                <w:sz w:val="24"/>
              </w:rPr>
            </w:pPr>
            <w:r>
              <w:rPr>
                <w:sz w:val="24"/>
              </w:rPr>
              <w:t>Económicos</w:t>
            </w:r>
          </w:p>
        </w:tc>
        <w:tc>
          <w:tcPr>
            <w:tcW w:w="1473" w:type="dxa"/>
            <w:tcBorders>
              <w:top w:val="nil"/>
              <w:left w:val="nil"/>
              <w:bottom w:val="nil"/>
              <w:right w:val="nil"/>
            </w:tcBorders>
          </w:tcPr>
          <w:p>
            <w:pPr>
              <w:pStyle w:val="TableParagraph"/>
              <w:spacing w:before="8"/>
              <w:ind w:left="420"/>
              <w:jc w:val="left"/>
              <w:rPr>
                <w:sz w:val="24"/>
              </w:rPr>
            </w:pPr>
            <w:r>
              <w:rPr>
                <w:sz w:val="24"/>
              </w:rPr>
              <w:t>E</w:t>
            </w:r>
          </w:p>
        </w:tc>
        <w:tc>
          <w:tcPr>
            <w:tcW w:w="2012" w:type="dxa"/>
            <w:tcBorders>
              <w:top w:val="nil"/>
              <w:left w:val="nil"/>
              <w:bottom w:val="nil"/>
              <w:right w:val="nil"/>
            </w:tcBorders>
          </w:tcPr>
          <w:p>
            <w:pPr>
              <w:pStyle w:val="TableParagraph"/>
              <w:spacing w:before="8"/>
              <w:ind w:right="41"/>
              <w:jc w:val="center"/>
              <w:rPr>
                <w:sz w:val="24"/>
              </w:rPr>
            </w:pPr>
            <w:r>
              <w:rPr>
                <w:w w:val="99"/>
                <w:sz w:val="24"/>
              </w:rPr>
              <w:t>F</w:t>
            </w:r>
          </w:p>
        </w:tc>
        <w:tc>
          <w:tcPr>
            <w:tcW w:w="3217" w:type="dxa"/>
            <w:tcBorders>
              <w:top w:val="nil"/>
              <w:left w:val="nil"/>
              <w:bottom w:val="nil"/>
              <w:right w:val="nil"/>
            </w:tcBorders>
          </w:tcPr>
          <w:p>
            <w:pPr>
              <w:pStyle w:val="TableParagraph"/>
              <w:tabs>
                <w:tab w:pos="1406" w:val="left" w:leader="none"/>
              </w:tabs>
              <w:spacing w:line="285" w:lineRule="exact"/>
              <w:ind w:right="594"/>
              <w:rPr>
                <w:sz w:val="16"/>
              </w:rPr>
            </w:pPr>
            <w:r>
              <w:rPr>
                <w:sz w:val="24"/>
              </w:rPr>
              <w:t>G</w:t>
              <w:tab/>
            </w:r>
            <w:r>
              <w:rPr>
                <w:spacing w:val="-1"/>
                <w:sz w:val="24"/>
              </w:rPr>
              <w:t>H</w:t>
            </w:r>
            <w:r>
              <w:rPr>
                <w:spacing w:val="-1"/>
                <w:position w:val="9"/>
                <w:sz w:val="16"/>
              </w:rPr>
              <w:t>b</w:t>
            </w:r>
          </w:p>
        </w:tc>
      </w:tr>
    </w:tbl>
    <w:p>
      <w:pPr>
        <w:tabs>
          <w:tab w:pos="2658" w:val="left" w:leader="none"/>
          <w:tab w:pos="4592" w:val="left" w:leader="none"/>
          <w:tab w:pos="6614" w:val="left" w:leader="none"/>
          <w:tab w:pos="8121" w:val="left" w:leader="none"/>
        </w:tabs>
        <w:spacing w:before="22"/>
        <w:ind w:left="226" w:right="504" w:firstLine="0"/>
        <w:jc w:val="left"/>
        <w:rPr>
          <w:sz w:val="16"/>
        </w:rPr>
      </w:pPr>
      <w:r>
        <w:rPr/>
        <w:pict>
          <v:group style="position:absolute;margin-left:86.764pt;margin-top:17.968748pt;width:441.5pt;height:2.2pt;mso-position-horizontal-relative:page;mso-position-vertical-relative:paragraph;z-index:2968;mso-wrap-distance-left:0;mso-wrap-distance-right:0" coordorigin="1735,359" coordsize="8830,44">
            <v:line style="position:absolute" from="1757,381" to="3771,381" stroked="true" strokeweight="2.16pt" strokecolor="#000000"/>
            <v:line style="position:absolute" from="3771,381" to="3814,381" stroked="true" strokeweight="2.16pt" strokecolor="#000000"/>
            <v:line style="position:absolute" from="3814,381" to="4899,381" stroked="true" strokeweight="2.16pt" strokecolor="#000000"/>
            <v:line style="position:absolute" from="4899,381" to="4943,381" stroked="true" strokeweight="2.16pt" strokecolor="#000000"/>
            <v:line style="position:absolute" from="4943,381" to="6438,381" stroked="true" strokeweight="2.16pt" strokecolor="#000000"/>
            <v:line style="position:absolute" from="6438,381" to="6481,381" stroked="true" strokeweight="2.16pt" strokecolor="#000000"/>
            <v:line style="position:absolute" from="6481,381" to="7417,381" stroked="true" strokeweight="2.16pt" strokecolor="#000000"/>
            <v:line style="position:absolute" from="7417,381" to="7461,381" stroked="true" strokeweight="2.16pt" strokecolor="#000000"/>
            <v:line style="position:absolute" from="7461,381" to="8531,381" stroked="true" strokeweight="2.16pt" strokecolor="#000000"/>
            <v:line style="position:absolute" from="8531,381" to="8574,381" stroked="true" strokeweight="2.16pt" strokecolor="#000000"/>
            <v:line style="position:absolute" from="8574,381" to="9103,381" stroked="true" strokeweight="2.16pt" strokecolor="#000000"/>
            <v:line style="position:absolute" from="9103,381" to="9146,381" stroked="true" strokeweight="2.16pt" strokecolor="#000000"/>
            <v:line style="position:absolute" from="9146,381" to="10543,381" stroked="true" strokeweight="2.16pt" strokecolor="#000000"/>
            <w10:wrap type="topAndBottom"/>
          </v:group>
        </w:pict>
      </w:r>
      <w:r>
        <w:rPr>
          <w:sz w:val="24"/>
        </w:rPr>
        <w:t>Efectos</w:t>
      </w:r>
      <w:r>
        <w:rPr>
          <w:spacing w:val="-2"/>
          <w:sz w:val="24"/>
        </w:rPr>
        <w:t> </w:t>
      </w:r>
      <w:r>
        <w:rPr>
          <w:sz w:val="24"/>
        </w:rPr>
        <w:t>de</w:t>
      </w:r>
      <w:r>
        <w:rPr>
          <w:spacing w:val="-1"/>
          <w:sz w:val="24"/>
        </w:rPr>
        <w:t> </w:t>
      </w:r>
      <w:r>
        <w:rPr>
          <w:sz w:val="24"/>
        </w:rPr>
        <w:t>Política</w:t>
        <w:tab/>
        <w:t>I</w:t>
      </w:r>
      <w:r>
        <w:rPr>
          <w:position w:val="9"/>
          <w:sz w:val="16"/>
        </w:rPr>
        <w:t>c</w:t>
        <w:tab/>
      </w:r>
      <w:r>
        <w:rPr>
          <w:sz w:val="24"/>
        </w:rPr>
        <w:t>J</w:t>
      </w:r>
      <w:r>
        <w:rPr>
          <w:position w:val="9"/>
          <w:sz w:val="16"/>
        </w:rPr>
        <w:t>d</w:t>
        <w:tab/>
      </w:r>
      <w:r>
        <w:rPr>
          <w:sz w:val="24"/>
        </w:rPr>
        <w:t>K</w:t>
      </w:r>
      <w:r>
        <w:rPr>
          <w:position w:val="9"/>
          <w:sz w:val="16"/>
        </w:rPr>
        <w:t>e</w:t>
        <w:tab/>
      </w:r>
      <w:r>
        <w:rPr>
          <w:sz w:val="24"/>
        </w:rPr>
        <w:t>L</w:t>
      </w:r>
      <w:r>
        <w:rPr>
          <w:position w:val="9"/>
          <w:sz w:val="16"/>
        </w:rPr>
        <w:t>f</w:t>
      </w:r>
    </w:p>
    <w:p>
      <w:pPr>
        <w:spacing w:before="36"/>
        <w:ind w:left="226" w:right="504" w:firstLine="0"/>
        <w:jc w:val="left"/>
        <w:rPr>
          <w:sz w:val="20"/>
        </w:rPr>
      </w:pPr>
      <w:r>
        <w:rPr>
          <w:sz w:val="20"/>
        </w:rPr>
        <w:t>Fuente: Pearson et al., 1995.</w:t>
      </w:r>
    </w:p>
    <w:p>
      <w:pPr>
        <w:spacing w:after="0"/>
        <w:jc w:val="left"/>
        <w:rPr>
          <w:sz w:val="20"/>
        </w:rPr>
        <w:sectPr>
          <w:type w:val="continuous"/>
          <w:pgSz w:w="12240" w:h="15840"/>
          <w:pgMar w:top="1360" w:bottom="280" w:left="1600" w:right="1560"/>
        </w:sectPr>
      </w:pPr>
    </w:p>
    <w:p>
      <w:pPr>
        <w:pStyle w:val="BodyText"/>
        <w:spacing w:line="360" w:lineRule="auto" w:before="50"/>
        <w:ind w:left="102" w:right="98"/>
        <w:jc w:val="both"/>
      </w:pPr>
      <w:r>
        <w:rPr/>
        <w:t>La diferencia entre el ingreso a precios privados y sociales se le denomina transferencias gubernamentales, estas, reflejan los efectos de política y distorsiones de mercado. Las fórmulas para estimar este resultado se describen a continuación:</w:t>
      </w:r>
    </w:p>
    <w:p>
      <w:pPr>
        <w:pStyle w:val="BodyText"/>
      </w:pPr>
    </w:p>
    <w:p>
      <w:pPr>
        <w:pStyle w:val="Heading1"/>
        <w:spacing w:before="148"/>
        <w:ind w:left="3159" w:right="3159"/>
        <w:jc w:val="center"/>
      </w:pPr>
      <w:r>
        <w:rPr/>
        <w:t>Variables</w:t>
      </w:r>
    </w:p>
    <w:p>
      <w:pPr>
        <w:pStyle w:val="BodyText"/>
        <w:rPr>
          <w:b/>
        </w:rPr>
      </w:pPr>
    </w:p>
    <w:p>
      <w:pPr>
        <w:pStyle w:val="BodyText"/>
        <w:spacing w:before="2"/>
        <w:rPr>
          <w:b/>
          <w:sz w:val="22"/>
        </w:rPr>
      </w:pPr>
    </w:p>
    <w:p>
      <w:pPr>
        <w:pStyle w:val="ListParagraph"/>
        <w:numPr>
          <w:ilvl w:val="0"/>
          <w:numId w:val="16"/>
        </w:numPr>
        <w:tabs>
          <w:tab w:pos="362" w:val="left" w:leader="none"/>
        </w:tabs>
        <w:spacing w:line="240" w:lineRule="auto" w:before="1" w:after="0"/>
        <w:ind w:left="361" w:right="0" w:hanging="259"/>
        <w:jc w:val="both"/>
        <w:rPr>
          <w:sz w:val="24"/>
        </w:rPr>
      </w:pPr>
      <w:r>
        <w:rPr>
          <w:position w:val="9"/>
          <w:sz w:val="16"/>
        </w:rPr>
        <w:t>a</w:t>
      </w:r>
      <w:r>
        <w:rPr>
          <w:sz w:val="24"/>
        </w:rPr>
        <w:t>Beneficios privados, D = (A - B -</w:t>
      </w:r>
      <w:r>
        <w:rPr>
          <w:spacing w:val="-8"/>
          <w:sz w:val="24"/>
        </w:rPr>
        <w:t> </w:t>
      </w:r>
      <w:r>
        <w:rPr>
          <w:sz w:val="24"/>
        </w:rPr>
        <w:t>C)</w:t>
      </w:r>
    </w:p>
    <w:p>
      <w:pPr>
        <w:pStyle w:val="ListParagraph"/>
        <w:numPr>
          <w:ilvl w:val="0"/>
          <w:numId w:val="16"/>
        </w:numPr>
        <w:tabs>
          <w:tab w:pos="362" w:val="left" w:leader="none"/>
        </w:tabs>
        <w:spacing w:line="240" w:lineRule="auto" w:before="124" w:after="0"/>
        <w:ind w:left="361" w:right="0" w:hanging="259"/>
        <w:jc w:val="both"/>
        <w:rPr>
          <w:sz w:val="24"/>
        </w:rPr>
      </w:pPr>
      <w:r>
        <w:rPr>
          <w:position w:val="9"/>
          <w:sz w:val="16"/>
        </w:rPr>
        <w:t>b</w:t>
      </w:r>
      <w:r>
        <w:rPr>
          <w:sz w:val="24"/>
        </w:rPr>
        <w:t>Beneficios sociales, H = (E - F -</w:t>
      </w:r>
      <w:r>
        <w:rPr>
          <w:spacing w:val="-5"/>
          <w:sz w:val="24"/>
        </w:rPr>
        <w:t> </w:t>
      </w:r>
      <w:r>
        <w:rPr>
          <w:sz w:val="24"/>
        </w:rPr>
        <w:t>G)</w:t>
      </w:r>
    </w:p>
    <w:p>
      <w:pPr>
        <w:pStyle w:val="ListParagraph"/>
        <w:numPr>
          <w:ilvl w:val="0"/>
          <w:numId w:val="16"/>
        </w:numPr>
        <w:tabs>
          <w:tab w:pos="362" w:val="left" w:leader="none"/>
        </w:tabs>
        <w:spacing w:line="240" w:lineRule="auto" w:before="121" w:after="0"/>
        <w:ind w:left="361" w:right="0" w:hanging="259"/>
        <w:jc w:val="both"/>
        <w:rPr>
          <w:sz w:val="24"/>
        </w:rPr>
      </w:pPr>
      <w:r>
        <w:rPr>
          <w:position w:val="9"/>
          <w:sz w:val="16"/>
        </w:rPr>
        <w:t>c</w:t>
      </w:r>
      <w:r>
        <w:rPr>
          <w:sz w:val="24"/>
        </w:rPr>
        <w:t>Transferencias por precio del producto, I = (A -</w:t>
      </w:r>
      <w:r>
        <w:rPr>
          <w:spacing w:val="-8"/>
          <w:sz w:val="24"/>
        </w:rPr>
        <w:t> </w:t>
      </w:r>
      <w:r>
        <w:rPr>
          <w:sz w:val="24"/>
        </w:rPr>
        <w:t>E)</w:t>
      </w:r>
    </w:p>
    <w:p>
      <w:pPr>
        <w:pStyle w:val="ListParagraph"/>
        <w:numPr>
          <w:ilvl w:val="0"/>
          <w:numId w:val="16"/>
        </w:numPr>
        <w:tabs>
          <w:tab w:pos="362" w:val="left" w:leader="none"/>
        </w:tabs>
        <w:spacing w:line="240" w:lineRule="auto" w:before="124" w:after="0"/>
        <w:ind w:left="361" w:right="0" w:hanging="259"/>
        <w:jc w:val="both"/>
        <w:rPr>
          <w:sz w:val="24"/>
        </w:rPr>
      </w:pPr>
      <w:r>
        <w:rPr>
          <w:position w:val="9"/>
          <w:sz w:val="16"/>
        </w:rPr>
        <w:t>d</w:t>
      </w:r>
      <w:r>
        <w:rPr>
          <w:sz w:val="24"/>
        </w:rPr>
        <w:t>Transferencias por precios de insumos, J = (B-</w:t>
      </w:r>
      <w:r>
        <w:rPr>
          <w:spacing w:val="-9"/>
          <w:sz w:val="24"/>
        </w:rPr>
        <w:t> </w:t>
      </w:r>
      <w:r>
        <w:rPr>
          <w:sz w:val="24"/>
        </w:rPr>
        <w:t>F)</w:t>
      </w:r>
    </w:p>
    <w:p>
      <w:pPr>
        <w:pStyle w:val="ListParagraph"/>
        <w:numPr>
          <w:ilvl w:val="0"/>
          <w:numId w:val="16"/>
        </w:numPr>
        <w:tabs>
          <w:tab w:pos="362" w:val="left" w:leader="none"/>
        </w:tabs>
        <w:spacing w:line="240" w:lineRule="auto" w:before="121" w:after="0"/>
        <w:ind w:left="361" w:right="0" w:hanging="259"/>
        <w:jc w:val="both"/>
        <w:rPr>
          <w:sz w:val="24"/>
        </w:rPr>
      </w:pPr>
      <w:r>
        <w:rPr>
          <w:position w:val="9"/>
          <w:sz w:val="16"/>
        </w:rPr>
        <w:t>e</w:t>
      </w:r>
      <w:r>
        <w:rPr>
          <w:sz w:val="24"/>
        </w:rPr>
        <w:t>Transferencia por precio de factores internos, K = (C -</w:t>
      </w:r>
      <w:r>
        <w:rPr>
          <w:spacing w:val="-9"/>
          <w:sz w:val="24"/>
        </w:rPr>
        <w:t> </w:t>
      </w:r>
      <w:r>
        <w:rPr>
          <w:sz w:val="24"/>
        </w:rPr>
        <w:t>G)</w:t>
      </w:r>
    </w:p>
    <w:p>
      <w:pPr>
        <w:pStyle w:val="ListParagraph"/>
        <w:numPr>
          <w:ilvl w:val="0"/>
          <w:numId w:val="16"/>
        </w:numPr>
        <w:tabs>
          <w:tab w:pos="482" w:val="left" w:leader="none"/>
        </w:tabs>
        <w:spacing w:line="240" w:lineRule="auto" w:before="124" w:after="0"/>
        <w:ind w:left="481" w:right="0" w:hanging="379"/>
        <w:jc w:val="both"/>
        <w:rPr>
          <w:sz w:val="24"/>
        </w:rPr>
      </w:pPr>
      <w:r>
        <w:rPr>
          <w:position w:val="9"/>
          <w:sz w:val="16"/>
        </w:rPr>
        <w:t>f</w:t>
      </w:r>
      <w:r>
        <w:rPr>
          <w:sz w:val="24"/>
        </w:rPr>
        <w:t>Transferencias total o efecto total de las políticas,  L = (D - H) = (I - J -</w:t>
      </w:r>
      <w:r>
        <w:rPr>
          <w:spacing w:val="-13"/>
          <w:sz w:val="24"/>
        </w:rPr>
        <w:t> </w:t>
      </w:r>
      <w:r>
        <w:rPr>
          <w:sz w:val="24"/>
        </w:rPr>
        <w:t>K).</w:t>
      </w:r>
    </w:p>
    <w:p>
      <w:pPr>
        <w:pStyle w:val="BodyText"/>
        <w:rPr>
          <w:sz w:val="26"/>
        </w:rPr>
      </w:pPr>
    </w:p>
    <w:p>
      <w:pPr>
        <w:pStyle w:val="BodyText"/>
        <w:spacing w:before="9"/>
        <w:rPr>
          <w:sz w:val="27"/>
        </w:rPr>
      </w:pPr>
    </w:p>
    <w:p>
      <w:pPr>
        <w:pStyle w:val="Heading1"/>
        <w:spacing w:before="0"/>
        <w:ind w:left="3161" w:right="3159"/>
        <w:jc w:val="center"/>
      </w:pPr>
      <w:r>
        <w:rPr/>
        <w:t>Coeficientes de protección</w:t>
      </w:r>
    </w:p>
    <w:p>
      <w:pPr>
        <w:pStyle w:val="BodyText"/>
        <w:rPr>
          <w:b/>
        </w:rPr>
      </w:pPr>
    </w:p>
    <w:p>
      <w:pPr>
        <w:pStyle w:val="BodyText"/>
        <w:spacing w:before="6"/>
        <w:rPr>
          <w:b/>
          <w:sz w:val="23"/>
        </w:rPr>
      </w:pPr>
    </w:p>
    <w:p>
      <w:pPr>
        <w:pStyle w:val="ListParagraph"/>
        <w:numPr>
          <w:ilvl w:val="0"/>
          <w:numId w:val="16"/>
        </w:numPr>
        <w:tabs>
          <w:tab w:pos="590" w:val="left" w:leader="none"/>
          <w:tab w:pos="6839" w:val="left" w:leader="none"/>
        </w:tabs>
        <w:spacing w:line="240" w:lineRule="auto" w:before="0" w:after="0"/>
        <w:ind w:left="589" w:right="0" w:hanging="379"/>
        <w:jc w:val="left"/>
        <w:rPr>
          <w:sz w:val="24"/>
        </w:rPr>
      </w:pPr>
      <w:r>
        <w:rPr>
          <w:sz w:val="24"/>
        </w:rPr>
        <w:t>Coeficiente nominal del</w:t>
      </w:r>
      <w:r>
        <w:rPr>
          <w:spacing w:val="-3"/>
          <w:sz w:val="24"/>
        </w:rPr>
        <w:t> </w:t>
      </w:r>
      <w:r>
        <w:rPr>
          <w:sz w:val="24"/>
        </w:rPr>
        <w:t>producto</w:t>
      </w:r>
      <w:r>
        <w:rPr>
          <w:spacing w:val="-2"/>
          <w:sz w:val="24"/>
        </w:rPr>
        <w:t> </w:t>
      </w:r>
      <w:r>
        <w:rPr>
          <w:sz w:val="24"/>
        </w:rPr>
        <w:t>(CNPP)</w:t>
        <w:tab/>
        <w:t>CPNP =</w:t>
      </w:r>
      <w:r>
        <w:rPr>
          <w:spacing w:val="-2"/>
          <w:sz w:val="24"/>
        </w:rPr>
        <w:t> </w:t>
      </w:r>
      <w:r>
        <w:rPr>
          <w:sz w:val="24"/>
        </w:rPr>
        <w:t>A/E</w:t>
      </w:r>
    </w:p>
    <w:p>
      <w:pPr>
        <w:pStyle w:val="ListParagraph"/>
        <w:numPr>
          <w:ilvl w:val="0"/>
          <w:numId w:val="16"/>
        </w:numPr>
        <w:tabs>
          <w:tab w:pos="590" w:val="left" w:leader="none"/>
          <w:tab w:pos="6839" w:val="left" w:leader="none"/>
        </w:tabs>
        <w:spacing w:line="240" w:lineRule="auto" w:before="137" w:after="0"/>
        <w:ind w:left="589" w:right="0" w:hanging="379"/>
        <w:jc w:val="left"/>
        <w:rPr>
          <w:sz w:val="24"/>
        </w:rPr>
      </w:pPr>
      <w:r>
        <w:rPr>
          <w:sz w:val="24"/>
        </w:rPr>
        <w:t>Coeficiente nominal de insumos</w:t>
      </w:r>
      <w:r>
        <w:rPr>
          <w:spacing w:val="-8"/>
          <w:sz w:val="24"/>
        </w:rPr>
        <w:t> </w:t>
      </w:r>
      <w:r>
        <w:rPr>
          <w:sz w:val="24"/>
        </w:rPr>
        <w:t>comerciables (CPNI)</w:t>
        <w:tab/>
        <w:t>CPNI =</w:t>
      </w:r>
      <w:r>
        <w:rPr>
          <w:spacing w:val="-7"/>
          <w:sz w:val="24"/>
        </w:rPr>
        <w:t> </w:t>
      </w:r>
      <w:r>
        <w:rPr>
          <w:sz w:val="24"/>
        </w:rPr>
        <w:t>B/F</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Coeficiente de protección</w:t>
      </w:r>
      <w:r>
        <w:rPr>
          <w:spacing w:val="-4"/>
          <w:sz w:val="24"/>
        </w:rPr>
        <w:t> </w:t>
      </w:r>
      <w:r>
        <w:rPr>
          <w:sz w:val="24"/>
        </w:rPr>
        <w:t>efectiva</w:t>
      </w:r>
      <w:r>
        <w:rPr>
          <w:spacing w:val="-2"/>
          <w:sz w:val="24"/>
        </w:rPr>
        <w:t> </w:t>
      </w:r>
      <w:r>
        <w:rPr>
          <w:sz w:val="24"/>
        </w:rPr>
        <w:t>(CPE)</w:t>
        <w:tab/>
        <w:t>CPE =</w:t>
      </w:r>
      <w:r>
        <w:rPr>
          <w:spacing w:val="-8"/>
          <w:sz w:val="24"/>
        </w:rPr>
        <w:t> </w:t>
      </w:r>
      <w:r>
        <w:rPr>
          <w:sz w:val="24"/>
        </w:rPr>
        <w:t>(A−B)/(E−F)</w:t>
      </w:r>
    </w:p>
    <w:p>
      <w:pPr>
        <w:pStyle w:val="BodyText"/>
      </w:pPr>
    </w:p>
    <w:p>
      <w:pPr>
        <w:pStyle w:val="BodyText"/>
        <w:spacing w:before="2"/>
      </w:pPr>
    </w:p>
    <w:p>
      <w:pPr>
        <w:pStyle w:val="Heading1"/>
        <w:spacing w:before="0"/>
        <w:ind w:left="1890"/>
        <w:jc w:val="left"/>
      </w:pPr>
      <w:r>
        <w:rPr/>
        <w:t>Relaciones de costo privado y costo económico</w:t>
      </w:r>
    </w:p>
    <w:p>
      <w:pPr>
        <w:pStyle w:val="BodyText"/>
        <w:rPr>
          <w:b/>
        </w:rPr>
      </w:pPr>
    </w:p>
    <w:p>
      <w:pPr>
        <w:pStyle w:val="BodyText"/>
        <w:spacing w:before="6"/>
        <w:rPr>
          <w:b/>
          <w:sz w:val="23"/>
        </w:rPr>
      </w:pPr>
    </w:p>
    <w:p>
      <w:pPr>
        <w:pStyle w:val="ListParagraph"/>
        <w:numPr>
          <w:ilvl w:val="0"/>
          <w:numId w:val="16"/>
        </w:numPr>
        <w:tabs>
          <w:tab w:pos="590" w:val="left" w:leader="none"/>
          <w:tab w:pos="6839" w:val="left" w:leader="none"/>
        </w:tabs>
        <w:spacing w:line="240" w:lineRule="auto" w:before="0" w:after="0"/>
        <w:ind w:left="589" w:right="0" w:hanging="379"/>
        <w:jc w:val="left"/>
        <w:rPr>
          <w:sz w:val="24"/>
        </w:rPr>
      </w:pPr>
      <w:r>
        <w:rPr>
          <w:sz w:val="24"/>
        </w:rPr>
        <w:t>Eficiencia del</w:t>
      </w:r>
      <w:r>
        <w:rPr>
          <w:spacing w:val="-2"/>
          <w:sz w:val="24"/>
        </w:rPr>
        <w:t> </w:t>
      </w:r>
      <w:r>
        <w:rPr>
          <w:sz w:val="24"/>
        </w:rPr>
        <w:t>costo</w:t>
      </w:r>
      <w:r>
        <w:rPr>
          <w:spacing w:val="-2"/>
          <w:sz w:val="24"/>
        </w:rPr>
        <w:t> </w:t>
      </w:r>
      <w:r>
        <w:rPr>
          <w:sz w:val="24"/>
        </w:rPr>
        <w:t>privado</w:t>
        <w:tab/>
        <w:t>RCP =</w:t>
      </w:r>
      <w:r>
        <w:rPr>
          <w:spacing w:val="-6"/>
          <w:sz w:val="24"/>
        </w:rPr>
        <w:t> </w:t>
      </w:r>
      <w:r>
        <w:rPr>
          <w:sz w:val="24"/>
        </w:rPr>
        <w:t>C/(A−B)</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Eficiencia del costo de los</w:t>
      </w:r>
      <w:r>
        <w:rPr>
          <w:spacing w:val="-5"/>
          <w:sz w:val="24"/>
        </w:rPr>
        <w:t> </w:t>
      </w:r>
      <w:r>
        <w:rPr>
          <w:sz w:val="24"/>
        </w:rPr>
        <w:t>recursos</w:t>
      </w:r>
      <w:r>
        <w:rPr>
          <w:spacing w:val="-1"/>
          <w:sz w:val="24"/>
        </w:rPr>
        <w:t> </w:t>
      </w:r>
      <w:r>
        <w:rPr>
          <w:sz w:val="24"/>
        </w:rPr>
        <w:t>internos</w:t>
        <w:tab/>
        <w:t>RCR =</w:t>
      </w:r>
      <w:r>
        <w:rPr>
          <w:spacing w:val="-6"/>
          <w:sz w:val="24"/>
        </w:rPr>
        <w:t> </w:t>
      </w:r>
      <w:r>
        <w:rPr>
          <w:sz w:val="24"/>
        </w:rPr>
        <w:t>G/(E−F)</w:t>
      </w:r>
    </w:p>
    <w:p>
      <w:pPr>
        <w:pStyle w:val="ListParagraph"/>
        <w:numPr>
          <w:ilvl w:val="0"/>
          <w:numId w:val="16"/>
        </w:numPr>
        <w:tabs>
          <w:tab w:pos="590" w:val="left" w:leader="none"/>
          <w:tab w:pos="6839" w:val="left" w:leader="none"/>
        </w:tabs>
        <w:spacing w:line="240" w:lineRule="auto" w:before="137" w:after="0"/>
        <w:ind w:left="589" w:right="0" w:hanging="379"/>
        <w:jc w:val="left"/>
        <w:rPr>
          <w:sz w:val="24"/>
        </w:rPr>
      </w:pPr>
      <w:r>
        <w:rPr>
          <w:sz w:val="24"/>
        </w:rPr>
        <w:t>Subsidio social</w:t>
      </w:r>
      <w:r>
        <w:rPr>
          <w:spacing w:val="-2"/>
          <w:sz w:val="24"/>
        </w:rPr>
        <w:t> </w:t>
      </w:r>
      <w:r>
        <w:rPr>
          <w:sz w:val="24"/>
        </w:rPr>
        <w:t>al</w:t>
      </w:r>
      <w:r>
        <w:rPr>
          <w:spacing w:val="-1"/>
          <w:sz w:val="24"/>
        </w:rPr>
        <w:t> </w:t>
      </w:r>
      <w:r>
        <w:rPr>
          <w:sz w:val="24"/>
        </w:rPr>
        <w:t>productor</w:t>
        <w:tab/>
        <w:t>SSP =</w:t>
      </w:r>
      <w:r>
        <w:rPr>
          <w:spacing w:val="-7"/>
          <w:sz w:val="24"/>
        </w:rPr>
        <w:t> </w:t>
      </w:r>
      <w:r>
        <w:rPr>
          <w:sz w:val="24"/>
        </w:rPr>
        <w:t>L/E</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Equivalente de subsidio</w:t>
      </w:r>
      <w:r>
        <w:rPr>
          <w:spacing w:val="-3"/>
          <w:sz w:val="24"/>
        </w:rPr>
        <w:t> </w:t>
      </w:r>
      <w:r>
        <w:rPr>
          <w:sz w:val="24"/>
        </w:rPr>
        <w:t>al productor</w:t>
        <w:tab/>
        <w:t>ESP =</w:t>
      </w:r>
      <w:r>
        <w:rPr>
          <w:spacing w:val="-5"/>
          <w:sz w:val="24"/>
        </w:rPr>
        <w:t> </w:t>
      </w:r>
      <w:r>
        <w:rPr>
          <w:sz w:val="24"/>
        </w:rPr>
        <w:t>L/A</w:t>
      </w:r>
    </w:p>
    <w:p>
      <w:pPr>
        <w:pStyle w:val="ListParagraph"/>
        <w:numPr>
          <w:ilvl w:val="0"/>
          <w:numId w:val="16"/>
        </w:numPr>
        <w:tabs>
          <w:tab w:pos="590" w:val="left" w:leader="none"/>
          <w:tab w:pos="6839" w:val="left" w:leader="none"/>
        </w:tabs>
        <w:spacing w:line="240" w:lineRule="auto" w:before="137" w:after="0"/>
        <w:ind w:left="589" w:right="0" w:hanging="379"/>
        <w:jc w:val="left"/>
        <w:rPr>
          <w:sz w:val="24"/>
        </w:rPr>
      </w:pPr>
      <w:r>
        <w:rPr>
          <w:sz w:val="24"/>
        </w:rPr>
        <w:t>Subsidio a la ganancia</w:t>
      </w:r>
      <w:r>
        <w:rPr>
          <w:spacing w:val="-5"/>
          <w:sz w:val="24"/>
        </w:rPr>
        <w:t> </w:t>
      </w:r>
      <w:r>
        <w:rPr>
          <w:sz w:val="24"/>
        </w:rPr>
        <w:t>del</w:t>
      </w:r>
      <w:r>
        <w:rPr>
          <w:spacing w:val="-1"/>
          <w:sz w:val="24"/>
        </w:rPr>
        <w:t> </w:t>
      </w:r>
      <w:r>
        <w:rPr>
          <w:sz w:val="24"/>
        </w:rPr>
        <w:t>productor</w:t>
        <w:tab/>
        <w:t>SGP =</w:t>
      </w:r>
      <w:r>
        <w:rPr>
          <w:spacing w:val="-2"/>
          <w:sz w:val="24"/>
        </w:rPr>
        <w:t> </w:t>
      </w:r>
      <w:r>
        <w:rPr>
          <w:sz w:val="24"/>
        </w:rPr>
        <w:t>D/H</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Rentabilidad</w:t>
      </w:r>
      <w:r>
        <w:rPr>
          <w:spacing w:val="-2"/>
          <w:sz w:val="24"/>
        </w:rPr>
        <w:t> </w:t>
      </w:r>
      <w:r>
        <w:rPr>
          <w:sz w:val="24"/>
        </w:rPr>
        <w:t>privada</w:t>
        <w:tab/>
        <w:t>RRP =</w:t>
      </w:r>
      <w:r>
        <w:rPr>
          <w:spacing w:val="-6"/>
          <w:sz w:val="24"/>
        </w:rPr>
        <w:t> </w:t>
      </w:r>
      <w:r>
        <w:rPr>
          <w:sz w:val="24"/>
        </w:rPr>
        <w:t>D/(B+C)</w:t>
      </w:r>
    </w:p>
    <w:p>
      <w:pPr>
        <w:pStyle w:val="ListParagraph"/>
        <w:numPr>
          <w:ilvl w:val="0"/>
          <w:numId w:val="16"/>
        </w:numPr>
        <w:tabs>
          <w:tab w:pos="590" w:val="left" w:leader="none"/>
          <w:tab w:pos="6839" w:val="left" w:leader="none"/>
        </w:tabs>
        <w:spacing w:line="240" w:lineRule="auto" w:before="137" w:after="0"/>
        <w:ind w:left="589" w:right="0" w:hanging="379"/>
        <w:jc w:val="left"/>
        <w:rPr>
          <w:sz w:val="24"/>
        </w:rPr>
      </w:pPr>
      <w:r>
        <w:rPr>
          <w:sz w:val="24"/>
        </w:rPr>
        <w:t>Rentabilidad</w:t>
      </w:r>
      <w:r>
        <w:rPr>
          <w:spacing w:val="-1"/>
          <w:sz w:val="24"/>
        </w:rPr>
        <w:t> </w:t>
      </w:r>
      <w:r>
        <w:rPr>
          <w:sz w:val="24"/>
        </w:rPr>
        <w:t>social</w:t>
        <w:tab/>
        <w:t>RRE =</w:t>
      </w:r>
      <w:r>
        <w:rPr>
          <w:spacing w:val="-6"/>
          <w:sz w:val="24"/>
        </w:rPr>
        <w:t> </w:t>
      </w:r>
      <w:r>
        <w:rPr>
          <w:sz w:val="24"/>
        </w:rPr>
        <w:t>H/(F+G)</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Valor agregado a</w:t>
      </w:r>
      <w:r>
        <w:rPr>
          <w:spacing w:val="-3"/>
          <w:sz w:val="24"/>
        </w:rPr>
        <w:t> </w:t>
      </w:r>
      <w:r>
        <w:rPr>
          <w:sz w:val="24"/>
        </w:rPr>
        <w:t>precios</w:t>
      </w:r>
      <w:r>
        <w:rPr>
          <w:spacing w:val="-2"/>
          <w:sz w:val="24"/>
        </w:rPr>
        <w:t> </w:t>
      </w:r>
      <w:r>
        <w:rPr>
          <w:sz w:val="24"/>
        </w:rPr>
        <w:t>privados</w:t>
        <w:tab/>
        <w:t>VAP =</w:t>
      </w:r>
      <w:r>
        <w:rPr>
          <w:spacing w:val="-6"/>
          <w:sz w:val="24"/>
        </w:rPr>
        <w:t> </w:t>
      </w:r>
      <w:r>
        <w:rPr>
          <w:sz w:val="24"/>
        </w:rPr>
        <w:t>(A−B)</w:t>
      </w:r>
    </w:p>
    <w:p>
      <w:pPr>
        <w:pStyle w:val="ListParagraph"/>
        <w:numPr>
          <w:ilvl w:val="0"/>
          <w:numId w:val="16"/>
        </w:numPr>
        <w:tabs>
          <w:tab w:pos="590" w:val="left" w:leader="none"/>
          <w:tab w:pos="6839" w:val="left" w:leader="none"/>
        </w:tabs>
        <w:spacing w:line="240" w:lineRule="auto" w:before="137" w:after="0"/>
        <w:ind w:left="589" w:right="0" w:hanging="379"/>
        <w:jc w:val="left"/>
        <w:rPr>
          <w:sz w:val="24"/>
        </w:rPr>
      </w:pPr>
      <w:r>
        <w:rPr>
          <w:sz w:val="24"/>
        </w:rPr>
        <w:t>Valor agregado a</w:t>
      </w:r>
      <w:r>
        <w:rPr>
          <w:spacing w:val="-4"/>
          <w:sz w:val="24"/>
        </w:rPr>
        <w:t> </w:t>
      </w:r>
      <w:r>
        <w:rPr>
          <w:sz w:val="24"/>
        </w:rPr>
        <w:t>precios</w:t>
      </w:r>
      <w:r>
        <w:rPr>
          <w:spacing w:val="-2"/>
          <w:sz w:val="24"/>
        </w:rPr>
        <w:t> </w:t>
      </w:r>
      <w:r>
        <w:rPr>
          <w:sz w:val="24"/>
        </w:rPr>
        <w:t>económicos</w:t>
        <w:tab/>
        <w:t>VAE =</w:t>
      </w:r>
      <w:r>
        <w:rPr>
          <w:spacing w:val="-3"/>
          <w:sz w:val="24"/>
        </w:rPr>
        <w:t> </w:t>
      </w:r>
      <w:r>
        <w:rPr>
          <w:sz w:val="24"/>
        </w:rPr>
        <w:t>(E−F)</w:t>
      </w:r>
    </w:p>
    <w:p>
      <w:pPr>
        <w:spacing w:after="0" w:line="240" w:lineRule="auto"/>
        <w:jc w:val="left"/>
        <w:rPr>
          <w:sz w:val="24"/>
        </w:rPr>
        <w:sectPr>
          <w:pgSz w:w="12240" w:h="15840"/>
          <w:pgMar w:header="0" w:footer="657" w:top="1360" w:bottom="840" w:left="1600" w:right="1600"/>
        </w:sectPr>
      </w:pPr>
    </w:p>
    <w:p>
      <w:pPr>
        <w:pStyle w:val="Heading1"/>
        <w:ind w:left="2146"/>
        <w:jc w:val="left"/>
      </w:pPr>
      <w:r>
        <w:rPr/>
        <w:t>Participación porcentual</w:t>
      </w:r>
    </w:p>
    <w:p>
      <w:pPr>
        <w:pStyle w:val="BodyText"/>
        <w:rPr>
          <w:b/>
        </w:rPr>
      </w:pPr>
    </w:p>
    <w:p>
      <w:pPr>
        <w:pStyle w:val="BodyText"/>
        <w:spacing w:before="7"/>
        <w:rPr>
          <w:b/>
          <w:sz w:val="23"/>
        </w:rPr>
      </w:pPr>
    </w:p>
    <w:p>
      <w:pPr>
        <w:pStyle w:val="ListParagraph"/>
        <w:numPr>
          <w:ilvl w:val="0"/>
          <w:numId w:val="16"/>
        </w:numPr>
        <w:tabs>
          <w:tab w:pos="590" w:val="left" w:leader="none"/>
          <w:tab w:pos="6839" w:val="left" w:leader="none"/>
        </w:tabs>
        <w:spacing w:line="240" w:lineRule="auto" w:before="0" w:after="0"/>
        <w:ind w:left="589" w:right="0" w:hanging="379"/>
        <w:jc w:val="left"/>
        <w:rPr>
          <w:sz w:val="24"/>
        </w:rPr>
      </w:pPr>
      <w:r>
        <w:rPr>
          <w:sz w:val="24"/>
        </w:rPr>
        <w:t>Consumo intermedio en el</w:t>
      </w:r>
      <w:r>
        <w:rPr>
          <w:spacing w:val="-4"/>
          <w:sz w:val="24"/>
        </w:rPr>
        <w:t> </w:t>
      </w:r>
      <w:r>
        <w:rPr>
          <w:sz w:val="24"/>
        </w:rPr>
        <w:t>ingreso</w:t>
      </w:r>
      <w:r>
        <w:rPr>
          <w:spacing w:val="-1"/>
          <w:sz w:val="24"/>
        </w:rPr>
        <w:t> </w:t>
      </w:r>
      <w:r>
        <w:rPr>
          <w:sz w:val="24"/>
        </w:rPr>
        <w:t>total</w:t>
        <w:tab/>
        <w:t>PCIP =</w:t>
      </w:r>
      <w:r>
        <w:rPr>
          <w:spacing w:val="-8"/>
          <w:sz w:val="24"/>
        </w:rPr>
        <w:t> </w:t>
      </w:r>
      <w:r>
        <w:rPr>
          <w:sz w:val="24"/>
        </w:rPr>
        <w:t>B/A</w:t>
      </w:r>
    </w:p>
    <w:p>
      <w:pPr>
        <w:pStyle w:val="ListParagraph"/>
        <w:numPr>
          <w:ilvl w:val="0"/>
          <w:numId w:val="16"/>
        </w:numPr>
        <w:tabs>
          <w:tab w:pos="590" w:val="left" w:leader="none"/>
          <w:tab w:pos="6839" w:val="left" w:leader="none"/>
        </w:tabs>
        <w:spacing w:line="240" w:lineRule="auto" w:before="139" w:after="0"/>
        <w:ind w:left="589" w:right="0" w:hanging="379"/>
        <w:jc w:val="left"/>
        <w:rPr>
          <w:sz w:val="24"/>
        </w:rPr>
      </w:pPr>
      <w:r>
        <w:rPr>
          <w:sz w:val="24"/>
        </w:rPr>
        <w:t>Valor agregado en el</w:t>
      </w:r>
      <w:r>
        <w:rPr>
          <w:spacing w:val="-4"/>
          <w:sz w:val="24"/>
        </w:rPr>
        <w:t> </w:t>
      </w:r>
      <w:r>
        <w:rPr>
          <w:sz w:val="24"/>
        </w:rPr>
        <w:t>ingreso</w:t>
      </w:r>
      <w:r>
        <w:rPr>
          <w:spacing w:val="-2"/>
          <w:sz w:val="24"/>
        </w:rPr>
        <w:t> </w:t>
      </w:r>
      <w:r>
        <w:rPr>
          <w:sz w:val="24"/>
        </w:rPr>
        <w:t>total</w:t>
        <w:tab/>
        <w:t>PVAP =</w:t>
      </w:r>
      <w:r>
        <w:rPr>
          <w:spacing w:val="-6"/>
          <w:sz w:val="24"/>
        </w:rPr>
        <w:t> </w:t>
      </w:r>
      <w:r>
        <w:rPr>
          <w:sz w:val="24"/>
        </w:rPr>
        <w:t>(A−B)/A</w:t>
      </w:r>
    </w:p>
    <w:p>
      <w:pPr>
        <w:pStyle w:val="BodyText"/>
      </w:pPr>
    </w:p>
    <w:p>
      <w:pPr>
        <w:pStyle w:val="BodyText"/>
        <w:spacing w:before="4"/>
      </w:pPr>
    </w:p>
    <w:p>
      <w:pPr>
        <w:pStyle w:val="Heading2"/>
        <w:numPr>
          <w:ilvl w:val="2"/>
          <w:numId w:val="17"/>
        </w:numPr>
        <w:tabs>
          <w:tab w:pos="642" w:val="left" w:leader="none"/>
        </w:tabs>
        <w:spacing w:line="240" w:lineRule="auto" w:before="1" w:after="0"/>
        <w:ind w:left="642" w:right="0" w:hanging="540"/>
        <w:jc w:val="both"/>
        <w:rPr>
          <w:i/>
        </w:rPr>
      </w:pPr>
      <w:r>
        <w:rPr>
          <w:i/>
        </w:rPr>
        <w:t>Descripción de variables representadas en la</w:t>
      </w:r>
      <w:r>
        <w:rPr>
          <w:i/>
          <w:spacing w:val="-7"/>
        </w:rPr>
        <w:t> </w:t>
      </w:r>
      <w:r>
        <w:rPr>
          <w:i/>
        </w:rPr>
        <w:t>MAP:</w:t>
      </w:r>
    </w:p>
    <w:p>
      <w:pPr>
        <w:pStyle w:val="BodyText"/>
        <w:rPr>
          <w:b/>
          <w:i/>
        </w:rPr>
      </w:pPr>
    </w:p>
    <w:p>
      <w:pPr>
        <w:pStyle w:val="BodyText"/>
        <w:spacing w:before="6"/>
        <w:rPr>
          <w:b/>
          <w:i/>
          <w:sz w:val="23"/>
        </w:rPr>
      </w:pPr>
    </w:p>
    <w:p>
      <w:pPr>
        <w:pStyle w:val="BodyText"/>
        <w:ind w:left="102"/>
        <w:jc w:val="both"/>
      </w:pPr>
      <w:r>
        <w:rPr>
          <w:b/>
        </w:rPr>
        <w:t>D = A – B – C</w:t>
      </w:r>
      <w:r>
        <w:rPr/>
        <w:t>, representa los ingresos netos del productor (a precios de mercado).</w:t>
      </w:r>
    </w:p>
    <w:p>
      <w:pPr>
        <w:pStyle w:val="BodyText"/>
      </w:pPr>
    </w:p>
    <w:p>
      <w:pPr>
        <w:pStyle w:val="BodyText"/>
      </w:pPr>
    </w:p>
    <w:p>
      <w:pPr>
        <w:pStyle w:val="BodyText"/>
        <w:spacing w:line="360" w:lineRule="auto"/>
        <w:ind w:left="102" w:right="98"/>
        <w:jc w:val="both"/>
      </w:pPr>
      <w:r>
        <w:rPr>
          <w:b/>
        </w:rPr>
        <w:t>H = E – F – G</w:t>
      </w:r>
      <w:r>
        <w:rPr/>
        <w:t>, representa los ingresos netos que habría tenido el productor si no hubiese habido políticas y programas con influencia en los ingresos brutos y costos de producción; es</w:t>
      </w:r>
      <w:r>
        <w:rPr>
          <w:spacing w:val="-8"/>
        </w:rPr>
        <w:t> </w:t>
      </w:r>
      <w:r>
        <w:rPr/>
        <w:t>decir,</w:t>
      </w:r>
      <w:r>
        <w:rPr>
          <w:spacing w:val="-9"/>
        </w:rPr>
        <w:t> </w:t>
      </w:r>
      <w:r>
        <w:rPr/>
        <w:t>si</w:t>
      </w:r>
      <w:r>
        <w:rPr>
          <w:spacing w:val="-5"/>
        </w:rPr>
        <w:t> </w:t>
      </w:r>
      <w:r>
        <w:rPr/>
        <w:t>el</w:t>
      </w:r>
      <w:r>
        <w:rPr>
          <w:spacing w:val="-8"/>
        </w:rPr>
        <w:t> </w:t>
      </w:r>
      <w:r>
        <w:rPr/>
        <w:t>productor</w:t>
      </w:r>
      <w:r>
        <w:rPr>
          <w:spacing w:val="-9"/>
        </w:rPr>
        <w:t> </w:t>
      </w:r>
      <w:r>
        <w:rPr/>
        <w:t>hubiese</w:t>
      </w:r>
      <w:r>
        <w:rPr>
          <w:spacing w:val="-10"/>
        </w:rPr>
        <w:t> </w:t>
      </w:r>
      <w:r>
        <w:rPr/>
        <w:t>enfrentado</w:t>
      </w:r>
      <w:r>
        <w:rPr>
          <w:spacing w:val="-9"/>
        </w:rPr>
        <w:t> </w:t>
      </w:r>
      <w:r>
        <w:rPr/>
        <w:t>precios</w:t>
      </w:r>
      <w:r>
        <w:rPr>
          <w:spacing w:val="-6"/>
        </w:rPr>
        <w:t> </w:t>
      </w:r>
      <w:r>
        <w:rPr/>
        <w:t>sombra</w:t>
      </w:r>
      <w:r>
        <w:rPr>
          <w:spacing w:val="-8"/>
        </w:rPr>
        <w:t> </w:t>
      </w:r>
      <w:r>
        <w:rPr/>
        <w:t>(efectos</w:t>
      </w:r>
      <w:r>
        <w:rPr>
          <w:spacing w:val="-8"/>
        </w:rPr>
        <w:t> </w:t>
      </w:r>
      <w:r>
        <w:rPr/>
        <w:t>de</w:t>
      </w:r>
      <w:r>
        <w:rPr>
          <w:spacing w:val="-10"/>
        </w:rPr>
        <w:t> </w:t>
      </w:r>
      <w:r>
        <w:rPr/>
        <w:t>política</w:t>
      </w:r>
      <w:r>
        <w:rPr>
          <w:spacing w:val="-10"/>
        </w:rPr>
        <w:t> </w:t>
      </w:r>
      <w:r>
        <w:rPr/>
        <w:t>o</w:t>
      </w:r>
      <w:r>
        <w:rPr>
          <w:spacing w:val="-7"/>
        </w:rPr>
        <w:t> </w:t>
      </w:r>
      <w:r>
        <w:rPr/>
        <w:t>distorsiones de mercado), en lugar de precios de</w:t>
      </w:r>
      <w:r>
        <w:rPr>
          <w:spacing w:val="-10"/>
        </w:rPr>
        <w:t> </w:t>
      </w:r>
      <w:r>
        <w:rPr/>
        <w:t>mercado.</w:t>
      </w:r>
    </w:p>
    <w:p>
      <w:pPr>
        <w:pStyle w:val="BodyText"/>
      </w:pPr>
    </w:p>
    <w:p>
      <w:pPr>
        <w:pStyle w:val="BodyText"/>
        <w:spacing w:line="360" w:lineRule="auto" w:before="143"/>
        <w:ind w:left="102" w:right="102"/>
        <w:jc w:val="both"/>
      </w:pPr>
      <w:r>
        <w:rPr>
          <w:b/>
        </w:rPr>
        <w:t>I = A – E, </w:t>
      </w:r>
      <w:r>
        <w:rPr/>
        <w:t>representa el impacto neto (transferencias positivas o negativas) que políticas y programas del sector público tienen sobre los ingresos brutos del sistema de producción.</w:t>
      </w:r>
    </w:p>
    <w:p>
      <w:pPr>
        <w:pStyle w:val="BodyText"/>
      </w:pPr>
    </w:p>
    <w:p>
      <w:pPr>
        <w:pStyle w:val="BodyText"/>
        <w:spacing w:line="360" w:lineRule="auto" w:before="143"/>
        <w:ind w:left="102" w:right="101"/>
        <w:jc w:val="both"/>
      </w:pPr>
      <w:r>
        <w:rPr>
          <w:b/>
        </w:rPr>
        <w:t>J = B – F, </w:t>
      </w:r>
      <w:r>
        <w:rPr/>
        <w:t>representa el impacto neto (transferencias positivas o negativas) que políticas y programas del sector público tienen sobre el costo de los insumos intermedios que utiliza el sistema de producción.</w:t>
      </w:r>
    </w:p>
    <w:p>
      <w:pPr>
        <w:pStyle w:val="BodyText"/>
      </w:pPr>
    </w:p>
    <w:p>
      <w:pPr>
        <w:pStyle w:val="BodyText"/>
        <w:spacing w:line="360" w:lineRule="auto" w:before="143"/>
        <w:ind w:left="102" w:right="100"/>
        <w:jc w:val="both"/>
      </w:pPr>
      <w:r>
        <w:rPr>
          <w:b/>
        </w:rPr>
        <w:t>K = C – G, </w:t>
      </w:r>
      <w:r>
        <w:rPr/>
        <w:t>representa el impacto neto (transferencias positivas o negativas) que políticas y programas del sector público tienen sobre el costo de los factores de producción que utiliza el sistema de producción.</w:t>
      </w:r>
    </w:p>
    <w:p>
      <w:pPr>
        <w:pStyle w:val="BodyText"/>
      </w:pPr>
    </w:p>
    <w:p>
      <w:pPr>
        <w:pStyle w:val="BodyText"/>
        <w:spacing w:line="360" w:lineRule="auto" w:before="143"/>
        <w:ind w:left="102" w:right="99"/>
        <w:jc w:val="both"/>
      </w:pPr>
      <w:r>
        <w:rPr>
          <w:b/>
        </w:rPr>
        <w:t>L = D – H = I – J – K, </w:t>
      </w:r>
      <w:r>
        <w:rPr/>
        <w:t>representa el impacto neto (transferencias positivas o negativas) que políticas y programas del sector público tienen sobre los ingresos netos del sistema de producción;</w:t>
      </w:r>
      <w:r>
        <w:rPr>
          <w:spacing w:val="-7"/>
        </w:rPr>
        <w:t> </w:t>
      </w:r>
      <w:r>
        <w:rPr/>
        <w:t>es</w:t>
      </w:r>
      <w:r>
        <w:rPr>
          <w:spacing w:val="-7"/>
        </w:rPr>
        <w:t> </w:t>
      </w:r>
      <w:r>
        <w:rPr/>
        <w:t>decir,</w:t>
      </w:r>
      <w:r>
        <w:rPr>
          <w:spacing w:val="-8"/>
        </w:rPr>
        <w:t> </w:t>
      </w:r>
      <w:r>
        <w:rPr/>
        <w:t>el</w:t>
      </w:r>
      <w:r>
        <w:rPr>
          <w:spacing w:val="-7"/>
        </w:rPr>
        <w:t> </w:t>
      </w:r>
      <w:r>
        <w:rPr/>
        <w:t>impacto</w:t>
      </w:r>
      <w:r>
        <w:rPr>
          <w:spacing w:val="-7"/>
        </w:rPr>
        <w:t> </w:t>
      </w:r>
      <w:r>
        <w:rPr/>
        <w:t>neto</w:t>
      </w:r>
      <w:r>
        <w:rPr>
          <w:spacing w:val="-7"/>
        </w:rPr>
        <w:t> </w:t>
      </w:r>
      <w:r>
        <w:rPr/>
        <w:t>del</w:t>
      </w:r>
      <w:r>
        <w:rPr>
          <w:spacing w:val="-7"/>
        </w:rPr>
        <w:t> </w:t>
      </w:r>
      <w:r>
        <w:rPr/>
        <w:t>conjunto</w:t>
      </w:r>
      <w:r>
        <w:rPr>
          <w:spacing w:val="-5"/>
        </w:rPr>
        <w:t> </w:t>
      </w:r>
      <w:r>
        <w:rPr/>
        <w:t>de</w:t>
      </w:r>
      <w:r>
        <w:rPr>
          <w:spacing w:val="-8"/>
        </w:rPr>
        <w:t> </w:t>
      </w:r>
      <w:r>
        <w:rPr/>
        <w:t>políticas</w:t>
      </w:r>
      <w:r>
        <w:rPr>
          <w:spacing w:val="-5"/>
        </w:rPr>
        <w:t> </w:t>
      </w:r>
      <w:r>
        <w:rPr/>
        <w:t>y</w:t>
      </w:r>
      <w:r>
        <w:rPr>
          <w:spacing w:val="-12"/>
        </w:rPr>
        <w:t> </w:t>
      </w:r>
      <w:r>
        <w:rPr/>
        <w:t>programas</w:t>
      </w:r>
      <w:r>
        <w:rPr>
          <w:spacing w:val="-5"/>
        </w:rPr>
        <w:t> </w:t>
      </w:r>
      <w:r>
        <w:rPr/>
        <w:t>gubernamentales sobre la rentabilidad y competitividad del sistema de</w:t>
      </w:r>
      <w:r>
        <w:rPr>
          <w:spacing w:val="-12"/>
        </w:rPr>
        <w:t> </w:t>
      </w:r>
      <w:r>
        <w:rPr/>
        <w:t>producción.</w:t>
      </w:r>
    </w:p>
    <w:p>
      <w:pPr>
        <w:spacing w:after="0" w:line="360" w:lineRule="auto"/>
        <w:jc w:val="both"/>
        <w:sectPr>
          <w:pgSz w:w="12240" w:h="15840"/>
          <w:pgMar w:header="0" w:footer="657" w:top="1360" w:bottom="840" w:left="1600" w:right="1600"/>
        </w:sectPr>
      </w:pPr>
    </w:p>
    <w:p>
      <w:pPr>
        <w:pStyle w:val="BodyText"/>
        <w:spacing w:before="50"/>
        <w:ind w:left="142" w:right="8"/>
      </w:pPr>
      <w:r>
        <w:rPr>
          <w:b/>
        </w:rPr>
        <w:t>Tabla 7. </w:t>
      </w:r>
      <w:r>
        <w:rPr/>
        <w:t>Interpretación de impacto neto de políticas para diferentes valores de I, J, K o L</w:t>
      </w:r>
    </w:p>
    <w:p>
      <w:pPr>
        <w:pStyle w:val="BodyText"/>
        <w:spacing w:before="7"/>
        <w:rPr>
          <w:sz w:val="12"/>
        </w:rPr>
      </w:pPr>
    </w:p>
    <w:tbl>
      <w:tblPr>
        <w:tblW w:w="0" w:type="auto"/>
        <w:jc w:val="left"/>
        <w:tblInd w:w="10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11"/>
        <w:gridCol w:w="1097"/>
        <w:gridCol w:w="1097"/>
        <w:gridCol w:w="1097"/>
        <w:gridCol w:w="1100"/>
        <w:gridCol w:w="1097"/>
        <w:gridCol w:w="1100"/>
        <w:gridCol w:w="1097"/>
      </w:tblGrid>
      <w:tr>
        <w:trPr>
          <w:trHeight w:val="665" w:hRule="exact"/>
        </w:trPr>
        <w:tc>
          <w:tcPr>
            <w:tcW w:w="1111" w:type="dxa"/>
            <w:tcBorders>
              <w:left w:val="nil"/>
            </w:tcBorders>
          </w:tcPr>
          <w:p>
            <w:pPr>
              <w:pStyle w:val="TableParagraph"/>
              <w:spacing w:line="360" w:lineRule="auto" w:before="2"/>
              <w:ind w:left="251" w:right="94" w:hanging="101"/>
              <w:jc w:val="left"/>
              <w:rPr>
                <w:b/>
                <w:sz w:val="18"/>
              </w:rPr>
            </w:pPr>
            <w:r>
              <w:rPr>
                <w:b/>
                <w:sz w:val="18"/>
              </w:rPr>
              <w:t>Valor de I, J, K o L</w:t>
            </w:r>
          </w:p>
        </w:tc>
        <w:tc>
          <w:tcPr>
            <w:tcW w:w="1097" w:type="dxa"/>
            <w:tcBorders>
              <w:right w:val="single" w:sz="4" w:space="0" w:color="000000"/>
            </w:tcBorders>
          </w:tcPr>
          <w:p>
            <w:pPr>
              <w:pStyle w:val="TableParagraph"/>
              <w:spacing w:line="205" w:lineRule="exact"/>
              <w:ind w:right="15"/>
              <w:jc w:val="center"/>
              <w:rPr>
                <w:sz w:val="18"/>
              </w:rPr>
            </w:pPr>
            <w:r>
              <w:rPr>
                <w:w w:val="99"/>
                <w:sz w:val="18"/>
              </w:rPr>
              <w:t>I</w:t>
            </w:r>
          </w:p>
        </w:tc>
        <w:tc>
          <w:tcPr>
            <w:tcW w:w="1097" w:type="dxa"/>
            <w:tcBorders>
              <w:left w:val="single" w:sz="4" w:space="0" w:color="000000"/>
              <w:right w:val="single" w:sz="4" w:space="0" w:color="000000"/>
            </w:tcBorders>
          </w:tcPr>
          <w:p>
            <w:pPr>
              <w:pStyle w:val="TableParagraph"/>
              <w:spacing w:line="205" w:lineRule="exact"/>
              <w:jc w:val="center"/>
              <w:rPr>
                <w:sz w:val="18"/>
              </w:rPr>
            </w:pPr>
            <w:r>
              <w:rPr>
                <w:w w:val="99"/>
                <w:sz w:val="18"/>
              </w:rPr>
              <w:t>J</w:t>
            </w:r>
          </w:p>
        </w:tc>
        <w:tc>
          <w:tcPr>
            <w:tcW w:w="1097" w:type="dxa"/>
            <w:tcBorders>
              <w:left w:val="single" w:sz="4" w:space="0" w:color="000000"/>
              <w:right w:val="single" w:sz="4" w:space="0" w:color="000000"/>
            </w:tcBorders>
          </w:tcPr>
          <w:p>
            <w:pPr>
              <w:pStyle w:val="TableParagraph"/>
              <w:spacing w:line="205" w:lineRule="exact"/>
              <w:jc w:val="center"/>
              <w:rPr>
                <w:sz w:val="18"/>
              </w:rPr>
            </w:pPr>
            <w:r>
              <w:rPr>
                <w:w w:val="99"/>
                <w:sz w:val="18"/>
              </w:rPr>
              <w:t>K</w:t>
            </w:r>
          </w:p>
        </w:tc>
        <w:tc>
          <w:tcPr>
            <w:tcW w:w="1100" w:type="dxa"/>
            <w:tcBorders>
              <w:left w:val="single" w:sz="4" w:space="0" w:color="000000"/>
              <w:right w:val="single" w:sz="4" w:space="0" w:color="000000"/>
            </w:tcBorders>
          </w:tcPr>
          <w:p>
            <w:pPr>
              <w:pStyle w:val="TableParagraph"/>
              <w:spacing w:line="157" w:lineRule="exact"/>
              <w:ind w:left="93" w:right="94"/>
              <w:jc w:val="center"/>
              <w:rPr>
                <w:sz w:val="14"/>
              </w:rPr>
            </w:pPr>
            <w:r>
              <w:rPr>
                <w:sz w:val="14"/>
              </w:rPr>
              <w:t>L, D ≥ 0, H ≥ 0</w:t>
            </w:r>
          </w:p>
        </w:tc>
        <w:tc>
          <w:tcPr>
            <w:tcW w:w="1097" w:type="dxa"/>
            <w:tcBorders>
              <w:left w:val="single" w:sz="4" w:space="0" w:color="000000"/>
              <w:right w:val="single" w:sz="4" w:space="0" w:color="000000"/>
            </w:tcBorders>
          </w:tcPr>
          <w:p>
            <w:pPr>
              <w:pStyle w:val="TableParagraph"/>
              <w:spacing w:line="157" w:lineRule="exact"/>
              <w:ind w:left="92" w:right="91"/>
              <w:jc w:val="center"/>
              <w:rPr>
                <w:sz w:val="14"/>
              </w:rPr>
            </w:pPr>
            <w:r>
              <w:rPr>
                <w:sz w:val="14"/>
              </w:rPr>
              <w:t>L, D ≥ 0, H &lt; 0</w:t>
            </w:r>
          </w:p>
        </w:tc>
        <w:tc>
          <w:tcPr>
            <w:tcW w:w="1100" w:type="dxa"/>
            <w:tcBorders>
              <w:left w:val="single" w:sz="4" w:space="0" w:color="000000"/>
              <w:right w:val="single" w:sz="4" w:space="0" w:color="000000"/>
            </w:tcBorders>
          </w:tcPr>
          <w:p>
            <w:pPr>
              <w:pStyle w:val="TableParagraph"/>
              <w:spacing w:line="157" w:lineRule="exact"/>
              <w:ind w:left="92" w:right="93"/>
              <w:jc w:val="center"/>
              <w:rPr>
                <w:sz w:val="14"/>
              </w:rPr>
            </w:pPr>
            <w:r>
              <w:rPr>
                <w:sz w:val="14"/>
              </w:rPr>
              <w:t>L, D &lt; 0, H ≥ 0</w:t>
            </w:r>
          </w:p>
        </w:tc>
        <w:tc>
          <w:tcPr>
            <w:tcW w:w="1097" w:type="dxa"/>
            <w:tcBorders>
              <w:left w:val="single" w:sz="4" w:space="0" w:color="000000"/>
              <w:right w:val="nil"/>
            </w:tcBorders>
          </w:tcPr>
          <w:p>
            <w:pPr>
              <w:pStyle w:val="TableParagraph"/>
              <w:spacing w:line="157" w:lineRule="exact"/>
              <w:ind w:left="91" w:right="94"/>
              <w:jc w:val="center"/>
              <w:rPr>
                <w:sz w:val="14"/>
              </w:rPr>
            </w:pPr>
            <w:r>
              <w:rPr>
                <w:sz w:val="14"/>
              </w:rPr>
              <w:t>L, D &lt; 0, H &lt; 0</w:t>
            </w:r>
          </w:p>
        </w:tc>
      </w:tr>
      <w:tr>
        <w:trPr>
          <w:trHeight w:val="874" w:hRule="exact"/>
        </w:trPr>
        <w:tc>
          <w:tcPr>
            <w:tcW w:w="1111" w:type="dxa"/>
            <w:tcBorders>
              <w:left w:val="nil"/>
            </w:tcBorders>
          </w:tcPr>
          <w:p>
            <w:pPr>
              <w:pStyle w:val="TableParagraph"/>
              <w:spacing w:before="2"/>
              <w:ind w:right="404"/>
              <w:rPr>
                <w:b/>
                <w:sz w:val="18"/>
              </w:rPr>
            </w:pPr>
            <w:r>
              <w:rPr>
                <w:b/>
                <w:sz w:val="18"/>
              </w:rPr>
              <w:t>&gt; 0</w:t>
            </w:r>
          </w:p>
        </w:tc>
        <w:tc>
          <w:tcPr>
            <w:tcW w:w="1097" w:type="dxa"/>
            <w:tcBorders>
              <w:right w:val="single" w:sz="4" w:space="0" w:color="000000"/>
            </w:tcBorders>
          </w:tcPr>
          <w:p>
            <w:pPr>
              <w:pStyle w:val="TableParagraph"/>
              <w:spacing w:line="360" w:lineRule="auto"/>
              <w:ind w:left="172" w:right="189"/>
              <w:jc w:val="center"/>
              <w:rPr>
                <w:sz w:val="16"/>
              </w:rPr>
            </w:pPr>
            <w:r>
              <w:rPr>
                <w:sz w:val="16"/>
              </w:rPr>
              <w:t>Subsidio a ingresos brutos</w:t>
            </w:r>
          </w:p>
        </w:tc>
        <w:tc>
          <w:tcPr>
            <w:tcW w:w="1097" w:type="dxa"/>
            <w:tcBorders>
              <w:left w:val="single" w:sz="4" w:space="0" w:color="000000"/>
              <w:right w:val="single" w:sz="4" w:space="0" w:color="000000"/>
            </w:tcBorders>
          </w:tcPr>
          <w:p>
            <w:pPr>
              <w:pStyle w:val="TableParagraph"/>
              <w:spacing w:line="360" w:lineRule="auto"/>
              <w:ind w:left="92" w:right="91"/>
              <w:jc w:val="center"/>
              <w:rPr>
                <w:sz w:val="16"/>
              </w:rPr>
            </w:pPr>
            <w:r>
              <w:rPr>
                <w:sz w:val="16"/>
              </w:rPr>
              <w:t>Impuestos a insumos intermedios</w:t>
            </w:r>
          </w:p>
        </w:tc>
        <w:tc>
          <w:tcPr>
            <w:tcW w:w="1097" w:type="dxa"/>
            <w:tcBorders>
              <w:left w:val="single" w:sz="4" w:space="0" w:color="000000"/>
              <w:right w:val="single" w:sz="4" w:space="0" w:color="000000"/>
            </w:tcBorders>
          </w:tcPr>
          <w:p>
            <w:pPr>
              <w:pStyle w:val="TableParagraph"/>
              <w:spacing w:line="360" w:lineRule="auto"/>
              <w:ind w:left="182" w:right="157" w:hanging="24"/>
              <w:jc w:val="both"/>
              <w:rPr>
                <w:sz w:val="16"/>
              </w:rPr>
            </w:pPr>
            <w:r>
              <w:rPr>
                <w:sz w:val="16"/>
              </w:rPr>
              <w:t>Impuestos a factores de producción</w:t>
            </w:r>
          </w:p>
        </w:tc>
        <w:tc>
          <w:tcPr>
            <w:tcW w:w="1100" w:type="dxa"/>
            <w:tcBorders>
              <w:left w:val="single" w:sz="4" w:space="0" w:color="000000"/>
              <w:right w:val="single" w:sz="4" w:space="0" w:color="000000"/>
            </w:tcBorders>
          </w:tcPr>
          <w:p>
            <w:pPr>
              <w:pStyle w:val="TableParagraph"/>
              <w:spacing w:line="360" w:lineRule="auto"/>
              <w:ind w:left="129" w:right="106" w:hanging="24"/>
              <w:jc w:val="both"/>
              <w:rPr>
                <w:sz w:val="16"/>
              </w:rPr>
            </w:pPr>
            <w:r>
              <w:rPr>
                <w:sz w:val="16"/>
              </w:rPr>
              <w:t>Subsidio neto al sistema de producción</w:t>
            </w:r>
          </w:p>
        </w:tc>
        <w:tc>
          <w:tcPr>
            <w:tcW w:w="1097" w:type="dxa"/>
            <w:tcBorders>
              <w:left w:val="single" w:sz="4" w:space="0" w:color="000000"/>
              <w:right w:val="single" w:sz="4" w:space="0" w:color="000000"/>
            </w:tcBorders>
          </w:tcPr>
          <w:p>
            <w:pPr>
              <w:pStyle w:val="TableParagraph"/>
              <w:spacing w:line="360" w:lineRule="auto"/>
              <w:ind w:left="129" w:right="103" w:hanging="24"/>
              <w:jc w:val="both"/>
              <w:rPr>
                <w:sz w:val="16"/>
              </w:rPr>
            </w:pPr>
            <w:r>
              <w:rPr>
                <w:sz w:val="16"/>
              </w:rPr>
              <w:t>Subsidio neto al sistema de producción</w:t>
            </w:r>
          </w:p>
        </w:tc>
        <w:tc>
          <w:tcPr>
            <w:tcW w:w="1100" w:type="dxa"/>
            <w:tcBorders>
              <w:left w:val="single" w:sz="4" w:space="0" w:color="000000"/>
              <w:right w:val="single" w:sz="4" w:space="0" w:color="000000"/>
            </w:tcBorders>
          </w:tcPr>
          <w:p>
            <w:pPr>
              <w:pStyle w:val="TableParagraph"/>
              <w:spacing w:line="181" w:lineRule="exact"/>
              <w:ind w:left="92" w:right="92"/>
              <w:jc w:val="center"/>
              <w:rPr>
                <w:sz w:val="16"/>
              </w:rPr>
            </w:pPr>
            <w:r>
              <w:rPr>
                <w:sz w:val="16"/>
              </w:rPr>
              <w:t>Ninguna</w:t>
            </w:r>
          </w:p>
        </w:tc>
        <w:tc>
          <w:tcPr>
            <w:tcW w:w="1097" w:type="dxa"/>
            <w:tcBorders>
              <w:left w:val="single" w:sz="4" w:space="0" w:color="000000"/>
              <w:right w:val="nil"/>
            </w:tcBorders>
          </w:tcPr>
          <w:p>
            <w:pPr>
              <w:pStyle w:val="TableParagraph"/>
              <w:spacing w:line="360" w:lineRule="auto"/>
              <w:ind w:left="129" w:right="107" w:hanging="24"/>
              <w:jc w:val="both"/>
              <w:rPr>
                <w:sz w:val="16"/>
              </w:rPr>
            </w:pPr>
            <w:r>
              <w:rPr>
                <w:sz w:val="16"/>
              </w:rPr>
              <w:t>Subsidio neto al sistema de producción</w:t>
            </w:r>
          </w:p>
        </w:tc>
      </w:tr>
      <w:tr>
        <w:trPr>
          <w:trHeight w:val="355" w:hRule="exact"/>
        </w:trPr>
        <w:tc>
          <w:tcPr>
            <w:tcW w:w="1111" w:type="dxa"/>
            <w:tcBorders>
              <w:left w:val="nil"/>
            </w:tcBorders>
          </w:tcPr>
          <w:p>
            <w:pPr>
              <w:pStyle w:val="TableParagraph"/>
              <w:spacing w:before="2"/>
              <w:ind w:right="404"/>
              <w:rPr>
                <w:b/>
                <w:sz w:val="18"/>
              </w:rPr>
            </w:pPr>
            <w:r>
              <w:rPr>
                <w:b/>
                <w:sz w:val="18"/>
              </w:rPr>
              <w:t>= 0</w:t>
            </w:r>
          </w:p>
        </w:tc>
        <w:tc>
          <w:tcPr>
            <w:tcW w:w="1097" w:type="dxa"/>
            <w:tcBorders>
              <w:right w:val="single" w:sz="4" w:space="0" w:color="000000"/>
            </w:tcBorders>
          </w:tcPr>
          <w:p>
            <w:pPr>
              <w:pStyle w:val="TableParagraph"/>
              <w:spacing w:line="181" w:lineRule="exact"/>
              <w:ind w:left="172" w:right="188"/>
              <w:jc w:val="center"/>
              <w:rPr>
                <w:sz w:val="16"/>
              </w:rPr>
            </w:pPr>
            <w:r>
              <w:rPr>
                <w:sz w:val="16"/>
              </w:rPr>
              <w:t>Ninguna</w:t>
            </w:r>
          </w:p>
        </w:tc>
        <w:tc>
          <w:tcPr>
            <w:tcW w:w="1097" w:type="dxa"/>
            <w:tcBorders>
              <w:left w:val="single" w:sz="4" w:space="0" w:color="000000"/>
              <w:right w:val="single" w:sz="4" w:space="0" w:color="000000"/>
            </w:tcBorders>
          </w:tcPr>
          <w:p>
            <w:pPr>
              <w:pStyle w:val="TableParagraph"/>
              <w:spacing w:line="181" w:lineRule="exact"/>
              <w:ind w:left="90" w:right="91"/>
              <w:jc w:val="center"/>
              <w:rPr>
                <w:sz w:val="16"/>
              </w:rPr>
            </w:pPr>
            <w:r>
              <w:rPr>
                <w:sz w:val="16"/>
              </w:rPr>
              <w:t>Ninguna</w:t>
            </w:r>
          </w:p>
        </w:tc>
        <w:tc>
          <w:tcPr>
            <w:tcW w:w="1097" w:type="dxa"/>
            <w:tcBorders>
              <w:left w:val="single" w:sz="4" w:space="0" w:color="000000"/>
              <w:right w:val="single" w:sz="4" w:space="0" w:color="000000"/>
            </w:tcBorders>
          </w:tcPr>
          <w:p>
            <w:pPr>
              <w:pStyle w:val="TableParagraph"/>
              <w:spacing w:line="181" w:lineRule="exact"/>
              <w:ind w:left="90" w:right="91"/>
              <w:jc w:val="center"/>
              <w:rPr>
                <w:sz w:val="16"/>
              </w:rPr>
            </w:pPr>
            <w:r>
              <w:rPr>
                <w:sz w:val="16"/>
              </w:rPr>
              <w:t>Ninguna</w:t>
            </w:r>
          </w:p>
        </w:tc>
        <w:tc>
          <w:tcPr>
            <w:tcW w:w="1100" w:type="dxa"/>
            <w:tcBorders>
              <w:left w:val="single" w:sz="4" w:space="0" w:color="000000"/>
              <w:right w:val="single" w:sz="4" w:space="0" w:color="000000"/>
            </w:tcBorders>
          </w:tcPr>
          <w:p>
            <w:pPr>
              <w:pStyle w:val="TableParagraph"/>
              <w:spacing w:line="181" w:lineRule="exact"/>
              <w:ind w:left="93" w:right="92"/>
              <w:jc w:val="center"/>
              <w:rPr>
                <w:sz w:val="16"/>
              </w:rPr>
            </w:pPr>
            <w:r>
              <w:rPr>
                <w:sz w:val="16"/>
              </w:rPr>
              <w:t>Ninguna</w:t>
            </w:r>
          </w:p>
        </w:tc>
        <w:tc>
          <w:tcPr>
            <w:tcW w:w="1097" w:type="dxa"/>
            <w:tcBorders>
              <w:left w:val="single" w:sz="4" w:space="0" w:color="000000"/>
              <w:right w:val="single" w:sz="4" w:space="0" w:color="000000"/>
            </w:tcBorders>
          </w:tcPr>
          <w:p>
            <w:pPr>
              <w:pStyle w:val="TableParagraph"/>
              <w:spacing w:line="181" w:lineRule="exact"/>
              <w:ind w:left="92" w:right="89"/>
              <w:jc w:val="center"/>
              <w:rPr>
                <w:sz w:val="16"/>
              </w:rPr>
            </w:pPr>
            <w:r>
              <w:rPr>
                <w:sz w:val="16"/>
              </w:rPr>
              <w:t>Ninguna</w:t>
            </w:r>
          </w:p>
        </w:tc>
        <w:tc>
          <w:tcPr>
            <w:tcW w:w="1100" w:type="dxa"/>
            <w:tcBorders>
              <w:left w:val="single" w:sz="4" w:space="0" w:color="000000"/>
              <w:right w:val="single" w:sz="4" w:space="0" w:color="000000"/>
            </w:tcBorders>
          </w:tcPr>
          <w:p>
            <w:pPr>
              <w:pStyle w:val="TableParagraph"/>
              <w:spacing w:line="181" w:lineRule="exact"/>
              <w:ind w:left="92" w:right="92"/>
              <w:jc w:val="center"/>
              <w:rPr>
                <w:sz w:val="16"/>
              </w:rPr>
            </w:pPr>
            <w:r>
              <w:rPr>
                <w:sz w:val="16"/>
              </w:rPr>
              <w:t>Ninguna</w:t>
            </w:r>
          </w:p>
        </w:tc>
        <w:tc>
          <w:tcPr>
            <w:tcW w:w="1097" w:type="dxa"/>
            <w:tcBorders>
              <w:left w:val="single" w:sz="4" w:space="0" w:color="000000"/>
              <w:right w:val="nil"/>
            </w:tcBorders>
          </w:tcPr>
          <w:p>
            <w:pPr>
              <w:pStyle w:val="TableParagraph"/>
              <w:spacing w:line="181" w:lineRule="exact"/>
              <w:ind w:left="91" w:right="92"/>
              <w:jc w:val="center"/>
              <w:rPr>
                <w:sz w:val="16"/>
              </w:rPr>
            </w:pPr>
            <w:r>
              <w:rPr>
                <w:sz w:val="16"/>
              </w:rPr>
              <w:t>Ninguna</w:t>
            </w:r>
          </w:p>
        </w:tc>
      </w:tr>
      <w:tr>
        <w:trPr>
          <w:trHeight w:val="1152" w:hRule="exact"/>
        </w:trPr>
        <w:tc>
          <w:tcPr>
            <w:tcW w:w="1111" w:type="dxa"/>
            <w:tcBorders>
              <w:left w:val="nil"/>
            </w:tcBorders>
          </w:tcPr>
          <w:p>
            <w:pPr>
              <w:pStyle w:val="TableParagraph"/>
              <w:spacing w:before="2"/>
              <w:ind w:right="404"/>
              <w:rPr>
                <w:b/>
                <w:sz w:val="18"/>
              </w:rPr>
            </w:pPr>
            <w:r>
              <w:rPr>
                <w:b/>
                <w:sz w:val="18"/>
              </w:rPr>
              <w:t>&lt; 0</w:t>
            </w:r>
          </w:p>
        </w:tc>
        <w:tc>
          <w:tcPr>
            <w:tcW w:w="1097" w:type="dxa"/>
            <w:tcBorders>
              <w:right w:val="single" w:sz="4" w:space="0" w:color="000000"/>
            </w:tcBorders>
          </w:tcPr>
          <w:p>
            <w:pPr>
              <w:pStyle w:val="TableParagraph"/>
              <w:spacing w:line="360" w:lineRule="auto"/>
              <w:ind w:left="172" w:right="189"/>
              <w:jc w:val="center"/>
              <w:rPr>
                <w:sz w:val="16"/>
              </w:rPr>
            </w:pPr>
            <w:r>
              <w:rPr>
                <w:sz w:val="16"/>
              </w:rPr>
              <w:t>Impuesto a ingresos brutos</w:t>
            </w:r>
          </w:p>
        </w:tc>
        <w:tc>
          <w:tcPr>
            <w:tcW w:w="1097" w:type="dxa"/>
            <w:tcBorders>
              <w:left w:val="single" w:sz="4" w:space="0" w:color="000000"/>
              <w:right w:val="single" w:sz="4" w:space="0" w:color="000000"/>
            </w:tcBorders>
          </w:tcPr>
          <w:p>
            <w:pPr>
              <w:pStyle w:val="TableParagraph"/>
              <w:spacing w:line="360" w:lineRule="auto"/>
              <w:ind w:left="165" w:right="163" w:hanging="2"/>
              <w:jc w:val="center"/>
              <w:rPr>
                <w:sz w:val="16"/>
              </w:rPr>
            </w:pPr>
            <w:r>
              <w:rPr>
                <w:sz w:val="16"/>
              </w:rPr>
              <w:t>Subsidios a insumos intermedios</w:t>
            </w:r>
          </w:p>
        </w:tc>
        <w:tc>
          <w:tcPr>
            <w:tcW w:w="1097" w:type="dxa"/>
            <w:tcBorders>
              <w:left w:val="single" w:sz="4" w:space="0" w:color="000000"/>
              <w:right w:val="single" w:sz="4" w:space="0" w:color="000000"/>
            </w:tcBorders>
          </w:tcPr>
          <w:p>
            <w:pPr>
              <w:pStyle w:val="TableParagraph"/>
              <w:spacing w:line="360" w:lineRule="auto"/>
              <w:ind w:left="182" w:right="174" w:hanging="8"/>
              <w:jc w:val="both"/>
              <w:rPr>
                <w:sz w:val="16"/>
              </w:rPr>
            </w:pPr>
            <w:r>
              <w:rPr>
                <w:sz w:val="16"/>
              </w:rPr>
              <w:t>Subsidios a factores de producción</w:t>
            </w:r>
          </w:p>
        </w:tc>
        <w:tc>
          <w:tcPr>
            <w:tcW w:w="1100" w:type="dxa"/>
            <w:tcBorders>
              <w:left w:val="single" w:sz="4" w:space="0" w:color="000000"/>
              <w:right w:val="single" w:sz="4" w:space="0" w:color="000000"/>
            </w:tcBorders>
          </w:tcPr>
          <w:p>
            <w:pPr>
              <w:pStyle w:val="TableParagraph"/>
              <w:spacing w:line="360" w:lineRule="auto"/>
              <w:ind w:left="184" w:right="182"/>
              <w:jc w:val="center"/>
              <w:rPr>
                <w:sz w:val="16"/>
              </w:rPr>
            </w:pPr>
            <w:r>
              <w:rPr>
                <w:sz w:val="16"/>
              </w:rPr>
              <w:t>Impuesto neto al sistema de producción</w:t>
            </w:r>
          </w:p>
        </w:tc>
        <w:tc>
          <w:tcPr>
            <w:tcW w:w="1097" w:type="dxa"/>
            <w:tcBorders>
              <w:left w:val="single" w:sz="4" w:space="0" w:color="000000"/>
              <w:right w:val="single" w:sz="4" w:space="0" w:color="000000"/>
            </w:tcBorders>
          </w:tcPr>
          <w:p>
            <w:pPr>
              <w:pStyle w:val="TableParagraph"/>
              <w:spacing w:line="181" w:lineRule="exact"/>
              <w:ind w:left="92" w:right="89"/>
              <w:jc w:val="center"/>
              <w:rPr>
                <w:sz w:val="16"/>
              </w:rPr>
            </w:pPr>
            <w:r>
              <w:rPr>
                <w:sz w:val="16"/>
              </w:rPr>
              <w:t>Ninguna</w:t>
            </w:r>
          </w:p>
        </w:tc>
        <w:tc>
          <w:tcPr>
            <w:tcW w:w="1100" w:type="dxa"/>
            <w:tcBorders>
              <w:left w:val="single" w:sz="4" w:space="0" w:color="000000"/>
              <w:right w:val="single" w:sz="4" w:space="0" w:color="000000"/>
            </w:tcBorders>
          </w:tcPr>
          <w:p>
            <w:pPr>
              <w:pStyle w:val="TableParagraph"/>
              <w:spacing w:line="360" w:lineRule="auto"/>
              <w:ind w:left="184" w:right="182"/>
              <w:jc w:val="center"/>
              <w:rPr>
                <w:sz w:val="16"/>
              </w:rPr>
            </w:pPr>
            <w:r>
              <w:rPr>
                <w:sz w:val="16"/>
              </w:rPr>
              <w:t>Impuesto neto al sistema de producción</w:t>
            </w:r>
          </w:p>
        </w:tc>
        <w:tc>
          <w:tcPr>
            <w:tcW w:w="1097" w:type="dxa"/>
            <w:tcBorders>
              <w:left w:val="single" w:sz="4" w:space="0" w:color="000000"/>
              <w:right w:val="nil"/>
            </w:tcBorders>
          </w:tcPr>
          <w:p>
            <w:pPr>
              <w:pStyle w:val="TableParagraph"/>
              <w:spacing w:line="360" w:lineRule="auto"/>
              <w:ind w:left="184" w:right="184"/>
              <w:jc w:val="center"/>
              <w:rPr>
                <w:sz w:val="16"/>
              </w:rPr>
            </w:pPr>
            <w:r>
              <w:rPr>
                <w:sz w:val="16"/>
              </w:rPr>
              <w:t>Impuesto neto al sistema de producción</w:t>
            </w:r>
          </w:p>
        </w:tc>
      </w:tr>
    </w:tbl>
    <w:p>
      <w:pPr>
        <w:spacing w:line="224" w:lineRule="exact" w:before="0"/>
        <w:ind w:left="142" w:right="0" w:firstLine="0"/>
        <w:jc w:val="both"/>
        <w:rPr>
          <w:sz w:val="20"/>
        </w:rPr>
      </w:pPr>
      <w:r>
        <w:rPr>
          <w:sz w:val="20"/>
        </w:rPr>
        <w:t>Fuente: Magdaleno, 2012.</w:t>
      </w:r>
    </w:p>
    <w:p>
      <w:pPr>
        <w:pStyle w:val="BodyText"/>
        <w:rPr>
          <w:sz w:val="20"/>
        </w:rPr>
      </w:pPr>
    </w:p>
    <w:p>
      <w:pPr>
        <w:pStyle w:val="BodyText"/>
        <w:spacing w:before="11"/>
        <w:rPr>
          <w:sz w:val="19"/>
        </w:rPr>
      </w:pPr>
    </w:p>
    <w:p>
      <w:pPr>
        <w:pStyle w:val="BodyText"/>
        <w:spacing w:line="360" w:lineRule="auto"/>
        <w:ind w:left="142" w:right="123"/>
        <w:jc w:val="both"/>
      </w:pPr>
      <w:r>
        <w:rPr/>
        <w:t>La ventaja principal de la MAP es que permite cuantificar los efectos de políticas macroeconómicas y sectoriales, incluyendo los precios de los sistemas de producción regionales,</w:t>
      </w:r>
      <w:r>
        <w:rPr>
          <w:spacing w:val="-4"/>
        </w:rPr>
        <w:t> </w:t>
      </w:r>
      <w:r>
        <w:rPr/>
        <w:t>así</w:t>
      </w:r>
      <w:r>
        <w:rPr>
          <w:spacing w:val="-6"/>
        </w:rPr>
        <w:t> </w:t>
      </w:r>
      <w:r>
        <w:rPr/>
        <w:t>como</w:t>
      </w:r>
      <w:r>
        <w:rPr>
          <w:spacing w:val="-4"/>
        </w:rPr>
        <w:t> </w:t>
      </w:r>
      <w:r>
        <w:rPr/>
        <w:t>la</w:t>
      </w:r>
      <w:r>
        <w:rPr>
          <w:spacing w:val="-7"/>
        </w:rPr>
        <w:t> </w:t>
      </w:r>
      <w:r>
        <w:rPr/>
        <w:t>eficiencia</w:t>
      </w:r>
      <w:r>
        <w:rPr>
          <w:spacing w:val="-4"/>
        </w:rPr>
        <w:t> </w:t>
      </w:r>
      <w:r>
        <w:rPr/>
        <w:t>económica</w:t>
      </w:r>
      <w:r>
        <w:rPr>
          <w:spacing w:val="-5"/>
        </w:rPr>
        <w:t> </w:t>
      </w:r>
      <w:r>
        <w:rPr/>
        <w:t>de</w:t>
      </w:r>
      <w:r>
        <w:rPr>
          <w:spacing w:val="-5"/>
        </w:rPr>
        <w:t> </w:t>
      </w:r>
      <w:r>
        <w:rPr/>
        <w:t>los</w:t>
      </w:r>
      <w:r>
        <w:rPr>
          <w:spacing w:val="-6"/>
        </w:rPr>
        <w:t> </w:t>
      </w:r>
      <w:r>
        <w:rPr/>
        <w:t>mismos.</w:t>
      </w:r>
      <w:r>
        <w:rPr>
          <w:spacing w:val="-6"/>
        </w:rPr>
        <w:t> </w:t>
      </w:r>
      <w:r>
        <w:rPr/>
        <w:t>Su</w:t>
      </w:r>
      <w:r>
        <w:rPr>
          <w:spacing w:val="-6"/>
        </w:rPr>
        <w:t> </w:t>
      </w:r>
      <w:r>
        <w:rPr/>
        <w:t>posible</w:t>
      </w:r>
      <w:r>
        <w:rPr>
          <w:spacing w:val="-7"/>
        </w:rPr>
        <w:t> </w:t>
      </w:r>
      <w:r>
        <w:rPr/>
        <w:t>limitación</w:t>
      </w:r>
      <w:r>
        <w:rPr>
          <w:spacing w:val="-6"/>
        </w:rPr>
        <w:t> </w:t>
      </w:r>
      <w:r>
        <w:rPr/>
        <w:t>es</w:t>
      </w:r>
      <w:r>
        <w:rPr>
          <w:spacing w:val="-6"/>
        </w:rPr>
        <w:t> </w:t>
      </w:r>
      <w:r>
        <w:rPr/>
        <w:t>que</w:t>
      </w:r>
      <w:r>
        <w:rPr>
          <w:spacing w:val="-7"/>
        </w:rPr>
        <w:t> </w:t>
      </w:r>
      <w:r>
        <w:rPr/>
        <w:t>los resultados son para un año base, por lo cual hay que sensibilizar las matrices de</w:t>
      </w:r>
      <w:r>
        <w:rPr>
          <w:spacing w:val="-13"/>
        </w:rPr>
        <w:t> </w:t>
      </w:r>
      <w:r>
        <w:rPr/>
        <w:t>coeficientes para recalcular el comportamiento del sistema evaluado (Barrera-Rodríguez et al.,</w:t>
      </w:r>
      <w:r>
        <w:rPr>
          <w:spacing w:val="-11"/>
        </w:rPr>
        <w:t> </w:t>
      </w:r>
      <w:r>
        <w:rPr/>
        <w:t>2011).</w:t>
      </w:r>
    </w:p>
    <w:p>
      <w:pPr>
        <w:pStyle w:val="BodyText"/>
      </w:pPr>
    </w:p>
    <w:p>
      <w:pPr>
        <w:pStyle w:val="Heading2"/>
        <w:numPr>
          <w:ilvl w:val="2"/>
          <w:numId w:val="17"/>
        </w:numPr>
        <w:tabs>
          <w:tab w:pos="682" w:val="left" w:leader="none"/>
        </w:tabs>
        <w:spacing w:line="240" w:lineRule="auto" w:before="148" w:after="0"/>
        <w:ind w:left="682" w:right="0" w:hanging="540"/>
        <w:jc w:val="both"/>
        <w:rPr>
          <w:i/>
        </w:rPr>
      </w:pPr>
      <w:r>
        <w:rPr>
          <w:i/>
        </w:rPr>
        <w:t>Interpretación y definición de rubros contables que integran la</w:t>
      </w:r>
      <w:r>
        <w:rPr>
          <w:i/>
          <w:spacing w:val="-8"/>
        </w:rPr>
        <w:t> </w:t>
      </w:r>
      <w:r>
        <w:rPr>
          <w:i/>
        </w:rPr>
        <w:t>MAP</w:t>
      </w:r>
    </w:p>
    <w:p>
      <w:pPr>
        <w:pStyle w:val="BodyText"/>
        <w:rPr>
          <w:b/>
          <w:i/>
        </w:rPr>
      </w:pPr>
    </w:p>
    <w:p>
      <w:pPr>
        <w:pStyle w:val="BodyText"/>
        <w:spacing w:before="7"/>
        <w:rPr>
          <w:b/>
          <w:i/>
          <w:sz w:val="23"/>
        </w:rPr>
      </w:pPr>
    </w:p>
    <w:p>
      <w:pPr>
        <w:pStyle w:val="BodyText"/>
        <w:spacing w:line="360" w:lineRule="auto"/>
        <w:ind w:left="142" w:right="117"/>
        <w:jc w:val="both"/>
      </w:pPr>
      <w:r>
        <w:rPr>
          <w:b/>
        </w:rPr>
        <w:t>Insumos comercializables</w:t>
      </w:r>
      <w:r>
        <w:rPr/>
        <w:t>. Son los que tienen un mercado internacional que se comercializan o podrían comercializarse en condiciones de apertura comercial, y por tanto, tienen una cotización internacional (alimentos, medicinas, vacunas, pie de cría reemplazos, combustibles, detergentes, desinfectantes, útiles etc.).</w:t>
      </w:r>
    </w:p>
    <w:p>
      <w:pPr>
        <w:pStyle w:val="BodyText"/>
      </w:pPr>
    </w:p>
    <w:p>
      <w:pPr>
        <w:pStyle w:val="BodyText"/>
      </w:pPr>
    </w:p>
    <w:p>
      <w:pPr>
        <w:pStyle w:val="BodyText"/>
        <w:spacing w:before="3"/>
        <w:rPr>
          <w:sz w:val="23"/>
        </w:rPr>
      </w:pPr>
    </w:p>
    <w:p>
      <w:pPr>
        <w:pStyle w:val="BodyText"/>
        <w:spacing w:line="360" w:lineRule="auto"/>
        <w:ind w:left="142" w:right="119"/>
        <w:jc w:val="both"/>
      </w:pPr>
      <w:r>
        <w:rPr>
          <w:b/>
        </w:rPr>
        <w:t>Insumos indirectamente comercializables. </w:t>
      </w:r>
      <w:r>
        <w:rPr/>
        <w:t>Son productos o insumos que se pueden comercializar; pueden ser también insumos compuestos por partes comercializables y</w:t>
      </w:r>
      <w:r>
        <w:rPr>
          <w:spacing w:val="-29"/>
        </w:rPr>
        <w:t> </w:t>
      </w:r>
      <w:r>
        <w:rPr/>
        <w:t>partes no</w:t>
      </w:r>
      <w:r>
        <w:rPr>
          <w:spacing w:val="-9"/>
        </w:rPr>
        <w:t> </w:t>
      </w:r>
      <w:r>
        <w:rPr/>
        <w:t>comercializables,</w:t>
      </w:r>
      <w:r>
        <w:rPr>
          <w:spacing w:val="-9"/>
        </w:rPr>
        <w:t> </w:t>
      </w:r>
      <w:r>
        <w:rPr/>
        <w:t>por</w:t>
      </w:r>
      <w:r>
        <w:rPr>
          <w:spacing w:val="-9"/>
        </w:rPr>
        <w:t> </w:t>
      </w:r>
      <w:r>
        <w:rPr/>
        <w:t>lo</w:t>
      </w:r>
      <w:r>
        <w:rPr>
          <w:spacing w:val="-8"/>
        </w:rPr>
        <w:t> </w:t>
      </w:r>
      <w:r>
        <w:rPr/>
        <w:t>que</w:t>
      </w:r>
      <w:r>
        <w:rPr>
          <w:spacing w:val="-10"/>
        </w:rPr>
        <w:t> </w:t>
      </w:r>
      <w:r>
        <w:rPr/>
        <w:t>estos</w:t>
      </w:r>
      <w:r>
        <w:rPr>
          <w:spacing w:val="-8"/>
        </w:rPr>
        <w:t> </w:t>
      </w:r>
      <w:r>
        <w:rPr/>
        <w:t>se</w:t>
      </w:r>
      <w:r>
        <w:rPr>
          <w:spacing w:val="-9"/>
        </w:rPr>
        <w:t> </w:t>
      </w:r>
      <w:r>
        <w:rPr/>
        <w:t>deberán</w:t>
      </w:r>
      <w:r>
        <w:rPr>
          <w:spacing w:val="-9"/>
        </w:rPr>
        <w:t> </w:t>
      </w:r>
      <w:r>
        <w:rPr/>
        <w:t>desagregar</w:t>
      </w:r>
      <w:r>
        <w:rPr>
          <w:spacing w:val="-9"/>
        </w:rPr>
        <w:t> </w:t>
      </w:r>
      <w:r>
        <w:rPr/>
        <w:t>en</w:t>
      </w:r>
      <w:r>
        <w:rPr>
          <w:spacing w:val="-9"/>
        </w:rPr>
        <w:t> </w:t>
      </w:r>
      <w:r>
        <w:rPr/>
        <w:t>cada</w:t>
      </w:r>
      <w:r>
        <w:rPr>
          <w:spacing w:val="-10"/>
        </w:rPr>
        <w:t> </w:t>
      </w:r>
      <w:r>
        <w:rPr/>
        <w:t>uno</w:t>
      </w:r>
      <w:r>
        <w:rPr>
          <w:spacing w:val="-9"/>
        </w:rPr>
        <w:t> </w:t>
      </w:r>
      <w:r>
        <w:rPr/>
        <w:t>de</w:t>
      </w:r>
      <w:r>
        <w:rPr>
          <w:spacing w:val="-10"/>
        </w:rPr>
        <w:t> </w:t>
      </w:r>
      <w:r>
        <w:rPr/>
        <w:t>ellos</w:t>
      </w:r>
      <w:r>
        <w:rPr>
          <w:spacing w:val="-6"/>
        </w:rPr>
        <w:t> </w:t>
      </w:r>
      <w:r>
        <w:rPr/>
        <w:t>y</w:t>
      </w:r>
      <w:r>
        <w:rPr>
          <w:spacing w:val="-16"/>
        </w:rPr>
        <w:t> </w:t>
      </w:r>
      <w:r>
        <w:rPr/>
        <w:t>evaluarlos de acuerdo a su clasificación, dependiendo del bien que se trate (vehículos, equipamiento e instalaciones).</w:t>
      </w:r>
    </w:p>
    <w:p>
      <w:pPr>
        <w:spacing w:after="0" w:line="360" w:lineRule="auto"/>
        <w:jc w:val="both"/>
        <w:sectPr>
          <w:pgSz w:w="12240" w:h="15840"/>
          <w:pgMar w:header="0" w:footer="657" w:top="1360" w:bottom="840" w:left="1560" w:right="1580"/>
        </w:sectPr>
      </w:pPr>
    </w:p>
    <w:p>
      <w:pPr>
        <w:pStyle w:val="BodyText"/>
        <w:spacing w:line="360" w:lineRule="auto" w:before="50"/>
        <w:ind w:left="102" w:right="118"/>
        <w:jc w:val="both"/>
      </w:pPr>
      <w:r>
        <w:rPr>
          <w:b/>
        </w:rPr>
        <w:t>Factores internos</w:t>
      </w:r>
      <w:r>
        <w:rPr/>
        <w:t>. Son factores que intervienen en la producción y, por ello, su precio se determina en el mercado interno por el libre juego de la oferta y la demanda (mano de obra, energía eléctrica, cuota de agua, administración, asistencia técnica, cuota de asociación etc.) (Barrón et al., 2000).</w:t>
      </w:r>
    </w:p>
    <w:p>
      <w:pPr>
        <w:pStyle w:val="BodyText"/>
      </w:pPr>
    </w:p>
    <w:p>
      <w:pPr>
        <w:pStyle w:val="BodyText"/>
      </w:pPr>
    </w:p>
    <w:p>
      <w:pPr>
        <w:pStyle w:val="BodyText"/>
        <w:spacing w:before="3"/>
        <w:rPr>
          <w:sz w:val="23"/>
        </w:rPr>
      </w:pPr>
    </w:p>
    <w:p>
      <w:pPr>
        <w:pStyle w:val="BodyText"/>
        <w:spacing w:line="360" w:lineRule="auto"/>
        <w:ind w:left="102" w:right="117"/>
        <w:jc w:val="both"/>
      </w:pPr>
      <w:r>
        <w:rPr>
          <w:b/>
        </w:rPr>
        <w:t>Competitividad.</w:t>
      </w:r>
      <w:r>
        <w:rPr>
          <w:b/>
          <w:spacing w:val="-10"/>
        </w:rPr>
        <w:t> </w:t>
      </w:r>
      <w:r>
        <w:rPr/>
        <w:t>Se</w:t>
      </w:r>
      <w:r>
        <w:rPr>
          <w:spacing w:val="-11"/>
        </w:rPr>
        <w:t> </w:t>
      </w:r>
      <w:r>
        <w:rPr/>
        <w:t>refiere</w:t>
      </w:r>
      <w:r>
        <w:rPr>
          <w:spacing w:val="-11"/>
        </w:rPr>
        <w:t> </w:t>
      </w:r>
      <w:r>
        <w:rPr/>
        <w:t>a</w:t>
      </w:r>
      <w:r>
        <w:rPr>
          <w:spacing w:val="-8"/>
        </w:rPr>
        <w:t> </w:t>
      </w:r>
      <w:r>
        <w:rPr/>
        <w:t>las</w:t>
      </w:r>
      <w:r>
        <w:rPr>
          <w:spacing w:val="-8"/>
        </w:rPr>
        <w:t> </w:t>
      </w:r>
      <w:r>
        <w:rPr/>
        <w:t>ganancias</w:t>
      </w:r>
      <w:r>
        <w:rPr>
          <w:spacing w:val="-10"/>
        </w:rPr>
        <w:t> </w:t>
      </w:r>
      <w:r>
        <w:rPr/>
        <w:t>privadas,</w:t>
      </w:r>
      <w:r>
        <w:rPr>
          <w:spacing w:val="-9"/>
        </w:rPr>
        <w:t> </w:t>
      </w:r>
      <w:r>
        <w:rPr/>
        <w:t>ingresos</w:t>
      </w:r>
      <w:r>
        <w:rPr>
          <w:spacing w:val="-7"/>
        </w:rPr>
        <w:t> </w:t>
      </w:r>
      <w:r>
        <w:rPr/>
        <w:t>menos</w:t>
      </w:r>
      <w:r>
        <w:rPr>
          <w:spacing w:val="-10"/>
        </w:rPr>
        <w:t> </w:t>
      </w:r>
      <w:r>
        <w:rPr/>
        <w:t>costos</w:t>
      </w:r>
      <w:r>
        <w:rPr>
          <w:spacing w:val="-7"/>
        </w:rPr>
        <w:t> </w:t>
      </w:r>
      <w:r>
        <w:rPr/>
        <w:t>que</w:t>
      </w:r>
      <w:r>
        <w:rPr>
          <w:spacing w:val="-11"/>
        </w:rPr>
        <w:t> </w:t>
      </w:r>
      <w:r>
        <w:rPr/>
        <w:t>obtienen</w:t>
      </w:r>
      <w:r>
        <w:rPr>
          <w:spacing w:val="-10"/>
        </w:rPr>
        <w:t> </w:t>
      </w:r>
      <w:r>
        <w:rPr/>
        <w:t>los productores.</w:t>
      </w:r>
      <w:r>
        <w:rPr>
          <w:spacing w:val="-6"/>
        </w:rPr>
        <w:t> </w:t>
      </w:r>
      <w:r>
        <w:rPr/>
        <w:t>La</w:t>
      </w:r>
      <w:r>
        <w:rPr>
          <w:spacing w:val="-7"/>
        </w:rPr>
        <w:t> </w:t>
      </w:r>
      <w:r>
        <w:rPr/>
        <w:t>competitividad</w:t>
      </w:r>
      <w:r>
        <w:rPr>
          <w:spacing w:val="-9"/>
        </w:rPr>
        <w:t> </w:t>
      </w:r>
      <w:r>
        <w:rPr/>
        <w:t>es</w:t>
      </w:r>
      <w:r>
        <w:rPr>
          <w:spacing w:val="-7"/>
        </w:rPr>
        <w:t> </w:t>
      </w:r>
      <w:r>
        <w:rPr/>
        <w:t>medida</w:t>
      </w:r>
      <w:r>
        <w:rPr>
          <w:spacing w:val="-7"/>
        </w:rPr>
        <w:t> </w:t>
      </w:r>
      <w:r>
        <w:rPr/>
        <w:t>con</w:t>
      </w:r>
      <w:r>
        <w:rPr>
          <w:spacing w:val="-9"/>
        </w:rPr>
        <w:t> </w:t>
      </w:r>
      <w:r>
        <w:rPr/>
        <w:t>el</w:t>
      </w:r>
      <w:r>
        <w:rPr>
          <w:spacing w:val="-8"/>
        </w:rPr>
        <w:t> </w:t>
      </w:r>
      <w:r>
        <w:rPr/>
        <w:t>indicador</w:t>
      </w:r>
      <w:r>
        <w:rPr>
          <w:spacing w:val="-9"/>
        </w:rPr>
        <w:t> </w:t>
      </w:r>
      <w:r>
        <w:rPr/>
        <w:t>relación</w:t>
      </w:r>
      <w:r>
        <w:rPr>
          <w:spacing w:val="-8"/>
        </w:rPr>
        <w:t> </w:t>
      </w:r>
      <w:r>
        <w:rPr/>
        <w:t>del</w:t>
      </w:r>
      <w:r>
        <w:rPr>
          <w:spacing w:val="-8"/>
        </w:rPr>
        <w:t> </w:t>
      </w:r>
      <w:r>
        <w:rPr/>
        <w:t>costo</w:t>
      </w:r>
      <w:r>
        <w:rPr>
          <w:spacing w:val="-9"/>
        </w:rPr>
        <w:t> </w:t>
      </w:r>
      <w:r>
        <w:rPr/>
        <w:t>privado</w:t>
      </w:r>
      <w:r>
        <w:rPr>
          <w:spacing w:val="-9"/>
        </w:rPr>
        <w:t> </w:t>
      </w:r>
      <w:r>
        <w:rPr/>
        <w:t>(RCP). Para</w:t>
      </w:r>
      <w:r>
        <w:rPr>
          <w:spacing w:val="-16"/>
        </w:rPr>
        <w:t> </w:t>
      </w:r>
      <w:r>
        <w:rPr/>
        <w:t>comparar</w:t>
      </w:r>
      <w:r>
        <w:rPr>
          <w:spacing w:val="-15"/>
        </w:rPr>
        <w:t> </w:t>
      </w:r>
      <w:r>
        <w:rPr/>
        <w:t>sistemas</w:t>
      </w:r>
      <w:r>
        <w:rPr>
          <w:spacing w:val="-14"/>
        </w:rPr>
        <w:t> </w:t>
      </w:r>
      <w:r>
        <w:rPr/>
        <w:t>que</w:t>
      </w:r>
      <w:r>
        <w:rPr>
          <w:spacing w:val="-15"/>
        </w:rPr>
        <w:t> </w:t>
      </w:r>
      <w:r>
        <w:rPr/>
        <w:t>generan</w:t>
      </w:r>
      <w:r>
        <w:rPr>
          <w:spacing w:val="-14"/>
        </w:rPr>
        <w:t> </w:t>
      </w:r>
      <w:r>
        <w:rPr/>
        <w:t>productos</w:t>
      </w:r>
      <w:r>
        <w:rPr>
          <w:spacing w:val="-14"/>
        </w:rPr>
        <w:t> </w:t>
      </w:r>
      <w:r>
        <w:rPr/>
        <w:t>idénticos,</w:t>
      </w:r>
      <w:r>
        <w:rPr>
          <w:spacing w:val="-14"/>
        </w:rPr>
        <w:t> </w:t>
      </w:r>
      <w:r>
        <w:rPr/>
        <w:t>el</w:t>
      </w:r>
      <w:r>
        <w:rPr>
          <w:spacing w:val="-14"/>
        </w:rPr>
        <w:t> </w:t>
      </w:r>
      <w:r>
        <w:rPr/>
        <w:t>análisis</w:t>
      </w:r>
      <w:r>
        <w:rPr>
          <w:spacing w:val="-14"/>
        </w:rPr>
        <w:t> </w:t>
      </w:r>
      <w:r>
        <w:rPr/>
        <w:t>de</w:t>
      </w:r>
      <w:r>
        <w:rPr>
          <w:spacing w:val="-15"/>
        </w:rPr>
        <w:t> </w:t>
      </w:r>
      <w:r>
        <w:rPr/>
        <w:t>las</w:t>
      </w:r>
      <w:r>
        <w:rPr>
          <w:spacing w:val="-15"/>
        </w:rPr>
        <w:t> </w:t>
      </w:r>
      <w:r>
        <w:rPr/>
        <w:t>ganancias</w:t>
      </w:r>
      <w:r>
        <w:rPr>
          <w:spacing w:val="-15"/>
        </w:rPr>
        <w:t> </w:t>
      </w:r>
      <w:r>
        <w:rPr/>
        <w:t>privadas (D = A - B - C) es insuficiente, pues los resultados de rentabilidad son residuales y podrían provenir de sistemas que utilizan niveles diferentes de insumos para producir bienes que también pueden tener diferencias sustanciales en precios. Esta ambigüedad está inherente</w:t>
      </w:r>
      <w:r>
        <w:rPr>
          <w:spacing w:val="-41"/>
        </w:rPr>
        <w:t> </w:t>
      </w:r>
      <w:r>
        <w:rPr/>
        <w:t>en las</w:t>
      </w:r>
      <w:r>
        <w:rPr>
          <w:spacing w:val="-4"/>
        </w:rPr>
        <w:t> </w:t>
      </w:r>
      <w:r>
        <w:rPr/>
        <w:t>comparaciones</w:t>
      </w:r>
      <w:r>
        <w:rPr>
          <w:spacing w:val="-4"/>
        </w:rPr>
        <w:t> </w:t>
      </w:r>
      <w:r>
        <w:rPr/>
        <w:t>de</w:t>
      </w:r>
      <w:r>
        <w:rPr>
          <w:spacing w:val="-3"/>
        </w:rPr>
        <w:t> </w:t>
      </w:r>
      <w:r>
        <w:rPr/>
        <w:t>las</w:t>
      </w:r>
      <w:r>
        <w:rPr>
          <w:spacing w:val="-1"/>
        </w:rPr>
        <w:t> </w:t>
      </w:r>
      <w:r>
        <w:rPr/>
        <w:t>ganancias</w:t>
      </w:r>
      <w:r>
        <w:rPr>
          <w:spacing w:val="-4"/>
        </w:rPr>
        <w:t> </w:t>
      </w:r>
      <w:r>
        <w:rPr/>
        <w:t>privadas</w:t>
      </w:r>
      <w:r>
        <w:rPr>
          <w:spacing w:val="-4"/>
        </w:rPr>
        <w:t> </w:t>
      </w:r>
      <w:r>
        <w:rPr/>
        <w:t>de</w:t>
      </w:r>
      <w:r>
        <w:rPr>
          <w:spacing w:val="-5"/>
        </w:rPr>
        <w:t> </w:t>
      </w:r>
      <w:r>
        <w:rPr/>
        <w:t>sistemas</w:t>
      </w:r>
      <w:r>
        <w:rPr>
          <w:spacing w:val="-4"/>
        </w:rPr>
        <w:t> </w:t>
      </w:r>
      <w:r>
        <w:rPr/>
        <w:t>que</w:t>
      </w:r>
      <w:r>
        <w:rPr>
          <w:spacing w:val="-5"/>
        </w:rPr>
        <w:t> </w:t>
      </w:r>
      <w:r>
        <w:rPr/>
        <w:t>producen</w:t>
      </w:r>
      <w:r>
        <w:rPr>
          <w:spacing w:val="-4"/>
        </w:rPr>
        <w:t> </w:t>
      </w:r>
      <w:r>
        <w:rPr/>
        <w:t>diferentes</w:t>
      </w:r>
      <w:r>
        <w:rPr>
          <w:spacing w:val="-4"/>
        </w:rPr>
        <w:t> </w:t>
      </w:r>
      <w:r>
        <w:rPr/>
        <w:t>bienes</w:t>
      </w:r>
      <w:r>
        <w:rPr>
          <w:spacing w:val="-1"/>
        </w:rPr>
        <w:t> </w:t>
      </w:r>
      <w:r>
        <w:rPr/>
        <w:t>con variación en la intensidad de capital, lo anterior puede evitarse con la estimación de la relación RCP (Monke y Pearson,</w:t>
      </w:r>
      <w:r>
        <w:rPr>
          <w:spacing w:val="-8"/>
        </w:rPr>
        <w:t> </w:t>
      </w:r>
      <w:r>
        <w:rPr/>
        <w:t>1989).</w:t>
      </w:r>
    </w:p>
    <w:p>
      <w:pPr>
        <w:pStyle w:val="BodyText"/>
      </w:pPr>
    </w:p>
    <w:p>
      <w:pPr>
        <w:pStyle w:val="BodyText"/>
        <w:rPr>
          <w:sz w:val="30"/>
        </w:rPr>
      </w:pPr>
    </w:p>
    <w:p>
      <w:pPr>
        <w:pStyle w:val="BodyText"/>
        <w:spacing w:line="360" w:lineRule="auto"/>
        <w:ind w:left="102" w:right="123"/>
        <w:jc w:val="both"/>
      </w:pPr>
      <w:r>
        <w:rPr/>
        <w:t>La RCP permite comparar la eficiencia privada entre dos sistemas de producción diferentes, que se obtiene por el cociente del costo de los factores internos (C) y del valor agregado</w:t>
      </w:r>
      <w:r>
        <w:rPr>
          <w:spacing w:val="54"/>
        </w:rPr>
        <w:t> </w:t>
      </w:r>
      <w:r>
        <w:rPr/>
        <w:t>(A</w:t>
      </w:r>
    </w:p>
    <w:p>
      <w:pPr>
        <w:pStyle w:val="BodyText"/>
        <w:spacing w:line="360" w:lineRule="auto" w:before="6"/>
        <w:ind w:left="102" w:right="120"/>
        <w:jc w:val="both"/>
      </w:pPr>
      <w:r>
        <w:rPr/>
        <w:t>-</w:t>
      </w:r>
      <w:r>
        <w:rPr>
          <w:spacing w:val="-5"/>
        </w:rPr>
        <w:t> </w:t>
      </w:r>
      <w:r>
        <w:rPr/>
        <w:t>B)</w:t>
      </w:r>
      <w:r>
        <w:rPr>
          <w:spacing w:val="-5"/>
        </w:rPr>
        <w:t> </w:t>
      </w:r>
      <w:r>
        <w:rPr/>
        <w:t>a</w:t>
      </w:r>
      <w:r>
        <w:rPr>
          <w:spacing w:val="-3"/>
        </w:rPr>
        <w:t> </w:t>
      </w:r>
      <w:r>
        <w:rPr/>
        <w:t>precios</w:t>
      </w:r>
      <w:r>
        <w:rPr>
          <w:spacing w:val="-3"/>
        </w:rPr>
        <w:t> </w:t>
      </w:r>
      <w:r>
        <w:rPr/>
        <w:t>privados. Donde,</w:t>
      </w:r>
      <w:r>
        <w:rPr>
          <w:spacing w:val="-4"/>
        </w:rPr>
        <w:t> </w:t>
      </w:r>
      <w:r>
        <w:rPr/>
        <w:t>el</w:t>
      </w:r>
      <w:r>
        <w:rPr>
          <w:spacing w:val="-3"/>
        </w:rPr>
        <w:t> </w:t>
      </w:r>
      <w:r>
        <w:rPr/>
        <w:t>valor</w:t>
      </w:r>
      <w:r>
        <w:rPr>
          <w:spacing w:val="-2"/>
        </w:rPr>
        <w:t> </w:t>
      </w:r>
      <w:r>
        <w:rPr/>
        <w:t>agregado</w:t>
      </w:r>
      <w:r>
        <w:rPr>
          <w:spacing w:val="-2"/>
        </w:rPr>
        <w:t> </w:t>
      </w:r>
      <w:r>
        <w:rPr/>
        <w:t>es</w:t>
      </w:r>
      <w:r>
        <w:rPr>
          <w:spacing w:val="-4"/>
        </w:rPr>
        <w:t> </w:t>
      </w:r>
      <w:r>
        <w:rPr/>
        <w:t>igual</w:t>
      </w:r>
      <w:r>
        <w:rPr>
          <w:spacing w:val="-1"/>
        </w:rPr>
        <w:t> </w:t>
      </w:r>
      <w:r>
        <w:rPr/>
        <w:t>al</w:t>
      </w:r>
      <w:r>
        <w:rPr>
          <w:spacing w:val="-4"/>
        </w:rPr>
        <w:t> </w:t>
      </w:r>
      <w:r>
        <w:rPr/>
        <w:t>ingreso</w:t>
      </w:r>
      <w:r>
        <w:rPr>
          <w:spacing w:val="-1"/>
        </w:rPr>
        <w:t> </w:t>
      </w:r>
      <w:r>
        <w:rPr/>
        <w:t>total</w:t>
      </w:r>
      <w:r>
        <w:rPr>
          <w:spacing w:val="-3"/>
        </w:rPr>
        <w:t> </w:t>
      </w:r>
      <w:r>
        <w:rPr/>
        <w:t>restándole</w:t>
      </w:r>
      <w:r>
        <w:rPr>
          <w:spacing w:val="-4"/>
        </w:rPr>
        <w:t> </w:t>
      </w:r>
      <w:r>
        <w:rPr/>
        <w:t>el</w:t>
      </w:r>
      <w:r>
        <w:rPr>
          <w:spacing w:val="-1"/>
        </w:rPr>
        <w:t> </w:t>
      </w:r>
      <w:r>
        <w:rPr/>
        <w:t>costo de los</w:t>
      </w:r>
      <w:r>
        <w:rPr>
          <w:spacing w:val="-2"/>
        </w:rPr>
        <w:t> </w:t>
      </w:r>
      <w:r>
        <w:rPr/>
        <w:t>insumos.</w:t>
      </w:r>
    </w:p>
    <w:p>
      <w:pPr>
        <w:pStyle w:val="BodyText"/>
        <w:spacing w:before="7"/>
        <w:rPr>
          <w:sz w:val="28"/>
        </w:rPr>
      </w:pPr>
    </w:p>
    <w:p>
      <w:pPr>
        <w:spacing w:after="0"/>
        <w:rPr>
          <w:sz w:val="28"/>
        </w:rPr>
        <w:sectPr>
          <w:pgSz w:w="12240" w:h="15840"/>
          <w:pgMar w:header="0" w:footer="657" w:top="1360" w:bottom="840" w:left="1600" w:right="1580"/>
        </w:sectPr>
      </w:pPr>
    </w:p>
    <w:p>
      <w:pPr>
        <w:pStyle w:val="BodyText"/>
        <w:spacing w:before="7"/>
        <w:rPr>
          <w:sz w:val="21"/>
        </w:rPr>
      </w:pPr>
    </w:p>
    <w:p>
      <w:pPr>
        <w:pStyle w:val="BodyText"/>
        <w:spacing w:before="1"/>
        <w:jc w:val="right"/>
        <w:rPr>
          <w:rFonts w:ascii="Cambria Math" w:eastAsia="Cambria Math"/>
        </w:rPr>
      </w:pPr>
      <w:r>
        <w:rPr>
          <w:rFonts w:ascii="Cambria Math" w:eastAsia="Cambria Math"/>
        </w:rPr>
        <w:t>��� =</w:t>
      </w:r>
    </w:p>
    <w:p>
      <w:pPr>
        <w:pStyle w:val="BodyText"/>
        <w:spacing w:before="67"/>
        <w:ind w:left="155" w:right="130"/>
        <w:jc w:val="center"/>
        <w:rPr>
          <w:rFonts w:ascii="Cambria Math" w:eastAsia="Cambria Math"/>
        </w:rPr>
      </w:pPr>
      <w:r>
        <w:rPr/>
        <w:br w:type="column"/>
      </w:r>
      <w:r>
        <w:rPr>
          <w:rFonts w:ascii="Cambria Math" w:eastAsia="Cambria Math"/>
          <w:w w:val="85"/>
        </w:rPr>
        <w:t>������ �� ��� </w:t>
      </w:r>
      <w:r>
        <w:rPr>
          <w:rFonts w:ascii="Cambria Math" w:eastAsia="Cambria Math"/>
          <w:w w:val="75"/>
        </w:rPr>
        <w:t>��������     𝑖�������</w:t>
      </w:r>
    </w:p>
    <w:p>
      <w:pPr>
        <w:pStyle w:val="BodyText"/>
        <w:spacing w:before="62"/>
        <w:ind w:left="155" w:right="128"/>
        <w:jc w:val="center"/>
        <w:rPr>
          <w:rFonts w:ascii="Cambria Math" w:eastAsia="Cambria Math"/>
        </w:rPr>
      </w:pPr>
      <w:r>
        <w:rPr/>
        <w:pict>
          <v:line style="position:absolute;mso-position-horizontal-relative:page;mso-position-vertical-relative:paragraph;z-index:3016" from="228.529999pt,3.042323pt" to="397.749999pt,3.042323pt" stroked="true" strokeweight=".84003pt" strokecolor="#000000">
            <w10:wrap type="none"/>
          </v:line>
        </w:pict>
      </w:r>
      <w:r>
        <w:rPr>
          <w:rFonts w:ascii="Cambria Math" w:eastAsia="Cambria Math"/>
          <w:w w:val="80"/>
        </w:rPr>
        <w:t>�����  ��������</w:t>
      </w:r>
    </w:p>
    <w:p>
      <w:pPr>
        <w:pStyle w:val="ListParagraph"/>
        <w:numPr>
          <w:ilvl w:val="0"/>
          <w:numId w:val="16"/>
        </w:numPr>
        <w:tabs>
          <w:tab w:pos="2517" w:val="left" w:leader="none"/>
        </w:tabs>
        <w:spacing w:line="240" w:lineRule="auto" w:before="90" w:after="0"/>
        <w:ind w:left="2516" w:right="152" w:hanging="321"/>
        <w:jc w:val="right"/>
        <w:rPr>
          <w:sz w:val="24"/>
        </w:rPr>
      </w:pPr>
      <w:r>
        <w:rPr>
          <w:sz w:val="24"/>
        </w:rPr>
        <w:br w:type="column"/>
      </w:r>
    </w:p>
    <w:p>
      <w:pPr>
        <w:spacing w:after="0" w:line="240" w:lineRule="auto"/>
        <w:jc w:val="right"/>
        <w:rPr>
          <w:sz w:val="24"/>
        </w:rPr>
        <w:sectPr>
          <w:type w:val="continuous"/>
          <w:pgSz w:w="12240" w:h="15840"/>
          <w:pgMar w:top="1360" w:bottom="280" w:left="1600" w:right="1580"/>
          <w:cols w:num="3" w:equalWidth="0">
            <w:col w:w="2906" w:space="40"/>
            <w:col w:w="3405" w:space="40"/>
            <w:col w:w="2669"/>
          </w:cols>
        </w:sectPr>
      </w:pPr>
    </w:p>
    <w:p>
      <w:pPr>
        <w:pStyle w:val="BodyText"/>
        <w:rPr>
          <w:sz w:val="20"/>
        </w:rPr>
      </w:pPr>
    </w:p>
    <w:p>
      <w:pPr>
        <w:pStyle w:val="BodyText"/>
        <w:spacing w:before="10"/>
        <w:rPr>
          <w:sz w:val="21"/>
        </w:rPr>
      </w:pPr>
    </w:p>
    <w:p>
      <w:pPr>
        <w:pStyle w:val="BodyText"/>
        <w:spacing w:line="360" w:lineRule="auto" w:before="69"/>
        <w:ind w:left="102" w:right="119"/>
        <w:jc w:val="both"/>
      </w:pPr>
      <w:r>
        <w:rPr/>
        <w:t>La RCP indica el límite donde el sistema de producción, en términos de eficiencia, puede sostener el pago de los factores internos (incluyendo el retorno normal al capital) permaneciendo todavía competitivo, esto es, el punto de equilibrio después de obtener ganancias normales o extraordinarias (Hernández et al., 2008; Rebollar et al., 2011).</w:t>
      </w:r>
    </w:p>
    <w:p>
      <w:pPr>
        <w:pStyle w:val="BodyText"/>
      </w:pPr>
    </w:p>
    <w:p>
      <w:pPr>
        <w:pStyle w:val="BodyText"/>
        <w:spacing w:line="360" w:lineRule="auto" w:before="143"/>
        <w:ind w:left="102" w:right="116"/>
        <w:jc w:val="both"/>
      </w:pPr>
      <w:r>
        <w:rPr/>
        <w:t>Si la RCP es menor que uno, el productor es competitivo y recibe ganancias</w:t>
      </w:r>
      <w:r>
        <w:rPr>
          <w:spacing w:val="-26"/>
        </w:rPr>
        <w:t> </w:t>
      </w:r>
      <w:r>
        <w:rPr/>
        <w:t>extraordinarias, dado  que  después  de  remunerar  a  los  factores  de  la  producción,  tanto  propios </w:t>
      </w:r>
      <w:r>
        <w:rPr>
          <w:spacing w:val="53"/>
        </w:rPr>
        <w:t> </w:t>
      </w:r>
      <w:r>
        <w:rPr/>
        <w:t>como</w:t>
      </w:r>
    </w:p>
    <w:p>
      <w:pPr>
        <w:spacing w:after="0" w:line="360" w:lineRule="auto"/>
        <w:jc w:val="both"/>
        <w:sectPr>
          <w:type w:val="continuous"/>
          <w:pgSz w:w="12240" w:h="15840"/>
          <w:pgMar w:top="1360" w:bottom="280" w:left="1600" w:right="1580"/>
        </w:sectPr>
      </w:pPr>
    </w:p>
    <w:p>
      <w:pPr>
        <w:pStyle w:val="BodyText"/>
        <w:spacing w:line="360" w:lineRule="auto" w:before="50"/>
        <w:ind w:left="102" w:right="116"/>
        <w:jc w:val="both"/>
      </w:pPr>
      <w:r>
        <w:rPr/>
        <w:t>contratados, queda un residuo en el valor agregado que es la retribución a la gestión del productor. Si la RCP es igual a la unidad, no se generan ganancias extraordinarias, entonces el productor paga solamente los factores de producción, los cuales incluyen mano de obra y capital.</w:t>
      </w:r>
      <w:r>
        <w:rPr>
          <w:spacing w:val="-3"/>
        </w:rPr>
        <w:t> </w:t>
      </w:r>
      <w:r>
        <w:rPr/>
        <w:t>Si</w:t>
      </w:r>
      <w:r>
        <w:rPr>
          <w:spacing w:val="-3"/>
        </w:rPr>
        <w:t> </w:t>
      </w:r>
      <w:r>
        <w:rPr/>
        <w:t>la</w:t>
      </w:r>
      <w:r>
        <w:rPr>
          <w:spacing w:val="-4"/>
        </w:rPr>
        <w:t> </w:t>
      </w:r>
      <w:r>
        <w:rPr/>
        <w:t>RCP</w:t>
      </w:r>
      <w:r>
        <w:rPr>
          <w:spacing w:val="-3"/>
        </w:rPr>
        <w:t> </w:t>
      </w:r>
      <w:r>
        <w:rPr/>
        <w:t>es</w:t>
      </w:r>
      <w:r>
        <w:rPr>
          <w:spacing w:val="-4"/>
        </w:rPr>
        <w:t> </w:t>
      </w:r>
      <w:r>
        <w:rPr/>
        <w:t>mayor</w:t>
      </w:r>
      <w:r>
        <w:rPr>
          <w:spacing w:val="-5"/>
        </w:rPr>
        <w:t> </w:t>
      </w:r>
      <w:r>
        <w:rPr/>
        <w:t>a</w:t>
      </w:r>
      <w:r>
        <w:rPr>
          <w:spacing w:val="-5"/>
        </w:rPr>
        <w:t> </w:t>
      </w:r>
      <w:r>
        <w:rPr/>
        <w:t>la</w:t>
      </w:r>
      <w:r>
        <w:rPr>
          <w:spacing w:val="-2"/>
        </w:rPr>
        <w:t> </w:t>
      </w:r>
      <w:r>
        <w:rPr/>
        <w:t>unidad</w:t>
      </w:r>
      <w:r>
        <w:rPr>
          <w:spacing w:val="-4"/>
        </w:rPr>
        <w:t> </w:t>
      </w:r>
      <w:r>
        <w:rPr/>
        <w:t>el</w:t>
      </w:r>
      <w:r>
        <w:rPr>
          <w:spacing w:val="-3"/>
        </w:rPr>
        <w:t> </w:t>
      </w:r>
      <w:r>
        <w:rPr/>
        <w:t>productor</w:t>
      </w:r>
      <w:r>
        <w:rPr>
          <w:spacing w:val="-5"/>
        </w:rPr>
        <w:t> </w:t>
      </w:r>
      <w:r>
        <w:rPr/>
        <w:t>nos</w:t>
      </w:r>
      <w:r>
        <w:rPr>
          <w:spacing w:val="-4"/>
        </w:rPr>
        <w:t> </w:t>
      </w:r>
      <w:r>
        <w:rPr/>
        <w:t>es</w:t>
      </w:r>
      <w:r>
        <w:rPr>
          <w:spacing w:val="-1"/>
        </w:rPr>
        <w:t> </w:t>
      </w:r>
      <w:r>
        <w:rPr/>
        <w:t>competitivo</w:t>
      </w:r>
      <w:r>
        <w:rPr>
          <w:spacing w:val="-2"/>
        </w:rPr>
        <w:t> </w:t>
      </w:r>
      <w:r>
        <w:rPr>
          <w:spacing w:val="-3"/>
        </w:rPr>
        <w:t>ya </w:t>
      </w:r>
      <w:r>
        <w:rPr/>
        <w:t>que</w:t>
      </w:r>
      <w:r>
        <w:rPr>
          <w:spacing w:val="-5"/>
        </w:rPr>
        <w:t> </w:t>
      </w:r>
      <w:r>
        <w:rPr/>
        <w:t>no</w:t>
      </w:r>
      <w:r>
        <w:rPr>
          <w:spacing w:val="-1"/>
        </w:rPr>
        <w:t> </w:t>
      </w:r>
      <w:r>
        <w:rPr/>
        <w:t>genera</w:t>
      </w:r>
      <w:r>
        <w:rPr>
          <w:spacing w:val="-3"/>
        </w:rPr>
        <w:t> </w:t>
      </w:r>
      <w:r>
        <w:rPr/>
        <w:t>los excedentes económicos necesarios para cubrir el pago de los factores de producción (Sosa- Montes et al., 2000; Posadas-Domínguez et al.,</w:t>
      </w:r>
      <w:r>
        <w:rPr>
          <w:spacing w:val="-5"/>
        </w:rPr>
        <w:t> </w:t>
      </w:r>
      <w:r>
        <w:rPr/>
        <w:t>2014).</w:t>
      </w:r>
    </w:p>
    <w:p>
      <w:pPr>
        <w:pStyle w:val="BodyText"/>
      </w:pPr>
    </w:p>
    <w:p>
      <w:pPr>
        <w:pStyle w:val="Heading2"/>
        <w:numPr>
          <w:ilvl w:val="3"/>
          <w:numId w:val="17"/>
        </w:numPr>
        <w:tabs>
          <w:tab w:pos="825" w:val="left" w:leader="none"/>
        </w:tabs>
        <w:spacing w:line="240" w:lineRule="auto" w:before="148" w:after="0"/>
        <w:ind w:left="824" w:right="0" w:hanging="722"/>
        <w:jc w:val="both"/>
        <w:rPr>
          <w:i/>
        </w:rPr>
      </w:pPr>
      <w:r>
        <w:rPr>
          <w:i/>
        </w:rPr>
        <w:t>Valor agregado</w:t>
      </w:r>
      <w:r>
        <w:rPr>
          <w:i/>
          <w:spacing w:val="-10"/>
        </w:rPr>
        <w:t> </w:t>
      </w:r>
      <w:r>
        <w:rPr>
          <w:i/>
        </w:rPr>
        <w:t>(VAP)</w:t>
      </w:r>
    </w:p>
    <w:p>
      <w:pPr>
        <w:pStyle w:val="BodyText"/>
        <w:rPr>
          <w:b/>
          <w:i/>
        </w:rPr>
      </w:pPr>
    </w:p>
    <w:p>
      <w:pPr>
        <w:pStyle w:val="BodyText"/>
        <w:spacing w:before="7"/>
        <w:rPr>
          <w:b/>
          <w:i/>
          <w:sz w:val="23"/>
        </w:rPr>
      </w:pPr>
    </w:p>
    <w:p>
      <w:pPr>
        <w:pStyle w:val="BodyText"/>
        <w:spacing w:line="360" w:lineRule="auto"/>
        <w:ind w:left="102" w:right="122"/>
        <w:jc w:val="both"/>
      </w:pPr>
      <w:r>
        <w:rPr/>
        <w:t>Es la contribución de la actividad al ingreso del propio sector pecuario o bien el monto del ingreso total de la granja utilizado en pagar a los recursos mano de obra, créditos, agua, electricidad y la administración. Dicho de otra manera, el VAP representa el pago o la remuneración a los factores internos de la producción como de la ganancia que obtiene el productor, por lo que este valor refleja el efecto de la producción hacia el interior del propio sector productivo.</w:t>
      </w:r>
    </w:p>
    <w:p>
      <w:pPr>
        <w:pStyle w:val="BodyText"/>
      </w:pPr>
    </w:p>
    <w:p>
      <w:pPr>
        <w:pStyle w:val="Heading2"/>
        <w:numPr>
          <w:ilvl w:val="3"/>
          <w:numId w:val="17"/>
        </w:numPr>
        <w:tabs>
          <w:tab w:pos="822" w:val="left" w:leader="none"/>
        </w:tabs>
        <w:spacing w:line="240" w:lineRule="auto" w:before="148" w:after="0"/>
        <w:ind w:left="822" w:right="0" w:hanging="720"/>
        <w:jc w:val="both"/>
        <w:rPr>
          <w:i/>
        </w:rPr>
      </w:pPr>
      <w:r>
        <w:rPr>
          <w:i/>
        </w:rPr>
        <w:t>Consumo intermedio</w:t>
      </w:r>
      <w:r>
        <w:rPr>
          <w:i/>
          <w:spacing w:val="-8"/>
        </w:rPr>
        <w:t> </w:t>
      </w:r>
      <w:r>
        <w:rPr>
          <w:i/>
        </w:rPr>
        <w:t>(PCIP)</w:t>
      </w:r>
    </w:p>
    <w:p>
      <w:pPr>
        <w:pStyle w:val="BodyText"/>
        <w:rPr>
          <w:b/>
          <w:i/>
        </w:rPr>
      </w:pPr>
    </w:p>
    <w:p>
      <w:pPr>
        <w:pStyle w:val="BodyText"/>
        <w:spacing w:before="7"/>
        <w:rPr>
          <w:b/>
          <w:i/>
          <w:sz w:val="23"/>
        </w:rPr>
      </w:pPr>
    </w:p>
    <w:p>
      <w:pPr>
        <w:pStyle w:val="BodyText"/>
        <w:spacing w:line="360" w:lineRule="auto"/>
        <w:ind w:left="102" w:right="116"/>
        <w:jc w:val="both"/>
      </w:pPr>
      <w:r>
        <w:rPr/>
        <w:t>Está constituido por el pago de este sector hacia el resto de la economía regional, que se compone de gastos corrientes, con la excepción de salarios y el pago de equipo e instalaciones.</w:t>
      </w:r>
    </w:p>
    <w:p>
      <w:pPr>
        <w:pStyle w:val="BodyText"/>
      </w:pPr>
    </w:p>
    <w:p>
      <w:pPr>
        <w:pStyle w:val="Heading2"/>
        <w:numPr>
          <w:ilvl w:val="3"/>
          <w:numId w:val="17"/>
        </w:numPr>
        <w:tabs>
          <w:tab w:pos="825" w:val="left" w:leader="none"/>
        </w:tabs>
        <w:spacing w:line="240" w:lineRule="auto" w:before="148" w:after="0"/>
        <w:ind w:left="824" w:right="0" w:hanging="722"/>
        <w:jc w:val="both"/>
        <w:rPr>
          <w:i/>
        </w:rPr>
      </w:pPr>
      <w:bookmarkStart w:name="_TOC_250016" w:id="26"/>
      <w:r>
        <w:rPr>
          <w:i/>
        </w:rPr>
        <w:t>Ventaja</w:t>
      </w:r>
      <w:r>
        <w:rPr>
          <w:i/>
          <w:spacing w:val="-10"/>
        </w:rPr>
        <w:t> </w:t>
      </w:r>
      <w:bookmarkEnd w:id="26"/>
      <w:r>
        <w:rPr>
          <w:i/>
        </w:rPr>
        <w:t>comparativa</w:t>
      </w:r>
    </w:p>
    <w:p>
      <w:pPr>
        <w:pStyle w:val="BodyText"/>
        <w:rPr>
          <w:b/>
          <w:i/>
        </w:rPr>
      </w:pPr>
    </w:p>
    <w:p>
      <w:pPr>
        <w:pStyle w:val="BodyText"/>
        <w:spacing w:before="6"/>
        <w:rPr>
          <w:b/>
          <w:i/>
          <w:sz w:val="23"/>
        </w:rPr>
      </w:pPr>
    </w:p>
    <w:p>
      <w:pPr>
        <w:pStyle w:val="BodyText"/>
        <w:spacing w:line="360" w:lineRule="auto"/>
        <w:ind w:left="102" w:right="118"/>
        <w:jc w:val="both"/>
      </w:pPr>
      <w:r>
        <w:rPr/>
        <w:t>La rentabilidad privada de un sistema de producción cualquiera que esta sea, </w:t>
      </w:r>
      <w:r>
        <w:rPr>
          <w:spacing w:val="2"/>
        </w:rPr>
        <w:t>no, </w:t>
      </w:r>
      <w:r>
        <w:rPr/>
        <w:t>refleja la rentabilidad económica para el país en su conjunto. Los subsidios, los impuestos y las distorsiones originadas por el tipo de cambio comúnmente afectan en forma significativa a los precios de los productos e insumos. El análisis empírico de la ventaja comparativa requiere</w:t>
      </w:r>
      <w:r>
        <w:rPr>
          <w:spacing w:val="-10"/>
        </w:rPr>
        <w:t> </w:t>
      </w:r>
      <w:r>
        <w:rPr/>
        <w:t>eliminar</w:t>
      </w:r>
      <w:r>
        <w:rPr>
          <w:spacing w:val="-9"/>
        </w:rPr>
        <w:t> </w:t>
      </w:r>
      <w:r>
        <w:rPr/>
        <w:t>estos</w:t>
      </w:r>
      <w:r>
        <w:rPr>
          <w:spacing w:val="-8"/>
        </w:rPr>
        <w:t> </w:t>
      </w:r>
      <w:r>
        <w:rPr/>
        <w:t>efectos</w:t>
      </w:r>
      <w:r>
        <w:rPr>
          <w:spacing w:val="-8"/>
        </w:rPr>
        <w:t> </w:t>
      </w:r>
      <w:r>
        <w:rPr/>
        <w:t>de</w:t>
      </w:r>
      <w:r>
        <w:rPr>
          <w:spacing w:val="-10"/>
        </w:rPr>
        <w:t> </w:t>
      </w:r>
      <w:r>
        <w:rPr/>
        <w:t>política</w:t>
      </w:r>
      <w:r>
        <w:rPr>
          <w:spacing w:val="-5"/>
        </w:rPr>
        <w:t> </w:t>
      </w:r>
      <w:r>
        <w:rPr/>
        <w:t>y</w:t>
      </w:r>
      <w:r>
        <w:rPr>
          <w:spacing w:val="-11"/>
        </w:rPr>
        <w:t> </w:t>
      </w:r>
      <w:r>
        <w:rPr/>
        <w:t>calcular</w:t>
      </w:r>
      <w:r>
        <w:rPr>
          <w:spacing w:val="-6"/>
        </w:rPr>
        <w:t> </w:t>
      </w:r>
      <w:r>
        <w:rPr/>
        <w:t>la</w:t>
      </w:r>
      <w:r>
        <w:rPr>
          <w:spacing w:val="-9"/>
        </w:rPr>
        <w:t> </w:t>
      </w:r>
      <w:r>
        <w:rPr/>
        <w:t>rentabilidad,</w:t>
      </w:r>
      <w:r>
        <w:rPr>
          <w:spacing w:val="-9"/>
        </w:rPr>
        <w:t> </w:t>
      </w:r>
      <w:r>
        <w:rPr/>
        <w:t>que</w:t>
      </w:r>
      <w:r>
        <w:rPr>
          <w:spacing w:val="-10"/>
        </w:rPr>
        <w:t> </w:t>
      </w:r>
      <w:r>
        <w:rPr/>
        <w:t>para</w:t>
      </w:r>
      <w:r>
        <w:rPr>
          <w:spacing w:val="-8"/>
        </w:rPr>
        <w:t> </w:t>
      </w:r>
      <w:r>
        <w:rPr/>
        <w:t>el</w:t>
      </w:r>
      <w:r>
        <w:rPr>
          <w:spacing w:val="-8"/>
        </w:rPr>
        <w:t> </w:t>
      </w:r>
      <w:r>
        <w:rPr/>
        <w:t>país</w:t>
      </w:r>
      <w:r>
        <w:rPr>
          <w:spacing w:val="-8"/>
        </w:rPr>
        <w:t> </w:t>
      </w:r>
      <w:r>
        <w:rPr/>
        <w:t>significa una</w:t>
      </w:r>
      <w:r>
        <w:rPr>
          <w:spacing w:val="-17"/>
        </w:rPr>
        <w:t> </w:t>
      </w:r>
      <w:r>
        <w:rPr/>
        <w:t>actividad</w:t>
      </w:r>
      <w:r>
        <w:rPr>
          <w:spacing w:val="-16"/>
        </w:rPr>
        <w:t> </w:t>
      </w:r>
      <w:r>
        <w:rPr/>
        <w:t>productiva.</w:t>
      </w:r>
      <w:r>
        <w:rPr>
          <w:spacing w:val="-13"/>
        </w:rPr>
        <w:t> </w:t>
      </w:r>
      <w:r>
        <w:rPr/>
        <w:t>La</w:t>
      </w:r>
      <w:r>
        <w:rPr>
          <w:spacing w:val="-15"/>
        </w:rPr>
        <w:t> </w:t>
      </w:r>
      <w:r>
        <w:rPr/>
        <w:t>finalidad</w:t>
      </w:r>
      <w:r>
        <w:rPr>
          <w:spacing w:val="-14"/>
        </w:rPr>
        <w:t> </w:t>
      </w:r>
      <w:r>
        <w:rPr/>
        <w:t>del</w:t>
      </w:r>
      <w:r>
        <w:rPr>
          <w:spacing w:val="-13"/>
        </w:rPr>
        <w:t> </w:t>
      </w:r>
      <w:r>
        <w:rPr/>
        <w:t>análisis</w:t>
      </w:r>
      <w:r>
        <w:rPr>
          <w:spacing w:val="-15"/>
        </w:rPr>
        <w:t> </w:t>
      </w:r>
      <w:r>
        <w:rPr/>
        <w:t>de</w:t>
      </w:r>
      <w:r>
        <w:rPr>
          <w:spacing w:val="-17"/>
        </w:rPr>
        <w:t> </w:t>
      </w:r>
      <w:r>
        <w:rPr/>
        <w:t>la</w:t>
      </w:r>
      <w:r>
        <w:rPr>
          <w:spacing w:val="-14"/>
        </w:rPr>
        <w:t> </w:t>
      </w:r>
      <w:r>
        <w:rPr/>
        <w:t>ventaja</w:t>
      </w:r>
      <w:r>
        <w:rPr>
          <w:spacing w:val="-15"/>
        </w:rPr>
        <w:t> </w:t>
      </w:r>
      <w:r>
        <w:rPr/>
        <w:t>comparativa,</w:t>
      </w:r>
      <w:r>
        <w:rPr>
          <w:spacing w:val="-12"/>
        </w:rPr>
        <w:t> </w:t>
      </w:r>
      <w:r>
        <w:rPr/>
        <w:t>es</w:t>
      </w:r>
      <w:r>
        <w:rPr>
          <w:spacing w:val="-16"/>
        </w:rPr>
        <w:t> </w:t>
      </w:r>
      <w:r>
        <w:rPr/>
        <w:t>dar,</w:t>
      </w:r>
      <w:r>
        <w:rPr>
          <w:spacing w:val="-17"/>
        </w:rPr>
        <w:t> </w:t>
      </w:r>
      <w:r>
        <w:rPr/>
        <w:t>respuesta a</w:t>
      </w:r>
      <w:r>
        <w:rPr>
          <w:spacing w:val="12"/>
        </w:rPr>
        <w:t> </w:t>
      </w:r>
      <w:r>
        <w:rPr/>
        <w:t>la</w:t>
      </w:r>
      <w:r>
        <w:rPr>
          <w:spacing w:val="12"/>
        </w:rPr>
        <w:t> </w:t>
      </w:r>
      <w:r>
        <w:rPr/>
        <w:t>interrogante</w:t>
      </w:r>
      <w:r>
        <w:rPr>
          <w:spacing w:val="12"/>
        </w:rPr>
        <w:t> </w:t>
      </w:r>
      <w:r>
        <w:rPr/>
        <w:t>de</w:t>
      </w:r>
      <w:r>
        <w:rPr>
          <w:spacing w:val="12"/>
        </w:rPr>
        <w:t> </w:t>
      </w:r>
      <w:r>
        <w:rPr/>
        <w:t>que</w:t>
      </w:r>
      <w:r>
        <w:rPr>
          <w:spacing w:val="14"/>
        </w:rPr>
        <w:t> </w:t>
      </w:r>
      <w:r>
        <w:rPr/>
        <w:t>resulta</w:t>
      </w:r>
      <w:r>
        <w:rPr>
          <w:spacing w:val="12"/>
        </w:rPr>
        <w:t> </w:t>
      </w:r>
      <w:r>
        <w:rPr/>
        <w:t>más</w:t>
      </w:r>
      <w:r>
        <w:rPr>
          <w:spacing w:val="12"/>
        </w:rPr>
        <w:t> </w:t>
      </w:r>
      <w:r>
        <w:rPr/>
        <w:t>económico</w:t>
      </w:r>
      <w:r>
        <w:rPr>
          <w:spacing w:val="13"/>
        </w:rPr>
        <w:t> </w:t>
      </w:r>
      <w:r>
        <w:rPr/>
        <w:t>para</w:t>
      </w:r>
      <w:r>
        <w:rPr>
          <w:spacing w:val="11"/>
        </w:rPr>
        <w:t> </w:t>
      </w:r>
      <w:r>
        <w:rPr/>
        <w:t>el</w:t>
      </w:r>
      <w:r>
        <w:rPr>
          <w:spacing w:val="13"/>
        </w:rPr>
        <w:t> </w:t>
      </w:r>
      <w:r>
        <w:rPr/>
        <w:t>país,</w:t>
      </w:r>
      <w:r>
        <w:rPr>
          <w:spacing w:val="13"/>
        </w:rPr>
        <w:t> </w:t>
      </w:r>
      <w:r>
        <w:rPr/>
        <w:t>importar</w:t>
      </w:r>
      <w:r>
        <w:rPr>
          <w:spacing w:val="12"/>
        </w:rPr>
        <w:t> </w:t>
      </w:r>
      <w:r>
        <w:rPr/>
        <w:t>un</w:t>
      </w:r>
      <w:r>
        <w:rPr>
          <w:spacing w:val="15"/>
        </w:rPr>
        <w:t> </w:t>
      </w:r>
      <w:r>
        <w:rPr/>
        <w:t>bien</w:t>
      </w:r>
      <w:r>
        <w:rPr>
          <w:spacing w:val="12"/>
        </w:rPr>
        <w:t> </w:t>
      </w:r>
      <w:r>
        <w:rPr/>
        <w:t>o</w:t>
      </w:r>
      <w:r>
        <w:rPr>
          <w:spacing w:val="13"/>
        </w:rPr>
        <w:t> </w:t>
      </w:r>
      <w:r>
        <w:rPr/>
        <w:t>producirlo</w:t>
      </w:r>
    </w:p>
    <w:p>
      <w:pPr>
        <w:spacing w:after="0" w:line="360" w:lineRule="auto"/>
        <w:jc w:val="both"/>
        <w:sectPr>
          <w:pgSz w:w="12240" w:h="15840"/>
          <w:pgMar w:header="0" w:footer="657" w:top="1360" w:bottom="840" w:left="1600" w:right="1580"/>
        </w:sectPr>
      </w:pPr>
    </w:p>
    <w:p>
      <w:pPr>
        <w:pStyle w:val="BodyText"/>
        <w:spacing w:line="362" w:lineRule="auto" w:before="50"/>
        <w:ind w:left="102" w:right="123"/>
        <w:jc w:val="both"/>
      </w:pPr>
      <w:r>
        <w:rPr/>
        <w:t>internamente. Si el importarlo resulta más caro el país tiene ventaja comparativa de ese bien y deberá producirlo internamente para ahorrar divisas.</w:t>
      </w:r>
    </w:p>
    <w:p>
      <w:pPr>
        <w:pStyle w:val="BodyText"/>
      </w:pPr>
    </w:p>
    <w:p>
      <w:pPr>
        <w:pStyle w:val="BodyText"/>
        <w:spacing w:line="360" w:lineRule="auto" w:before="140"/>
        <w:ind w:left="102" w:right="117"/>
        <w:jc w:val="both"/>
      </w:pPr>
      <w:r>
        <w:rPr/>
        <w:t>Para</w:t>
      </w:r>
      <w:r>
        <w:rPr>
          <w:spacing w:val="-6"/>
        </w:rPr>
        <w:t> </w:t>
      </w:r>
      <w:r>
        <w:rPr/>
        <w:t>evaluar</w:t>
      </w:r>
      <w:r>
        <w:rPr>
          <w:spacing w:val="-5"/>
        </w:rPr>
        <w:t> </w:t>
      </w:r>
      <w:r>
        <w:rPr/>
        <w:t>la</w:t>
      </w:r>
      <w:r>
        <w:rPr>
          <w:spacing w:val="-4"/>
        </w:rPr>
        <w:t> </w:t>
      </w:r>
      <w:r>
        <w:rPr/>
        <w:t>ventaja</w:t>
      </w:r>
      <w:r>
        <w:rPr>
          <w:spacing w:val="-2"/>
        </w:rPr>
        <w:t> </w:t>
      </w:r>
      <w:r>
        <w:rPr/>
        <w:t>comparativa</w:t>
      </w:r>
      <w:r>
        <w:rPr>
          <w:spacing w:val="-5"/>
        </w:rPr>
        <w:t> </w:t>
      </w:r>
      <w:r>
        <w:rPr/>
        <w:t>se</w:t>
      </w:r>
      <w:r>
        <w:rPr>
          <w:spacing w:val="-5"/>
        </w:rPr>
        <w:t> </w:t>
      </w:r>
      <w:r>
        <w:rPr/>
        <w:t>utiliza</w:t>
      </w:r>
      <w:r>
        <w:rPr>
          <w:spacing w:val="-5"/>
        </w:rPr>
        <w:t> </w:t>
      </w:r>
      <w:r>
        <w:rPr/>
        <w:t>el</w:t>
      </w:r>
      <w:r>
        <w:rPr>
          <w:spacing w:val="-1"/>
        </w:rPr>
        <w:t> </w:t>
      </w:r>
      <w:r>
        <w:rPr/>
        <w:t>indicador</w:t>
      </w:r>
      <w:r>
        <w:rPr>
          <w:spacing w:val="-5"/>
        </w:rPr>
        <w:t> </w:t>
      </w:r>
      <w:r>
        <w:rPr/>
        <w:t>de</w:t>
      </w:r>
      <w:r>
        <w:rPr>
          <w:spacing w:val="-5"/>
        </w:rPr>
        <w:t> </w:t>
      </w:r>
      <w:r>
        <w:rPr/>
        <w:t>la</w:t>
      </w:r>
      <w:r>
        <w:rPr>
          <w:spacing w:val="-4"/>
        </w:rPr>
        <w:t> </w:t>
      </w:r>
      <w:r>
        <w:rPr/>
        <w:t>relación</w:t>
      </w:r>
      <w:r>
        <w:rPr>
          <w:spacing w:val="-3"/>
        </w:rPr>
        <w:t> </w:t>
      </w:r>
      <w:r>
        <w:rPr/>
        <w:t>de</w:t>
      </w:r>
      <w:r>
        <w:rPr>
          <w:spacing w:val="-2"/>
        </w:rPr>
        <w:t> </w:t>
      </w:r>
      <w:r>
        <w:rPr/>
        <w:t>recursos</w:t>
      </w:r>
      <w:r>
        <w:rPr>
          <w:spacing w:val="-4"/>
        </w:rPr>
        <w:t> </w:t>
      </w:r>
      <w:r>
        <w:rPr/>
        <w:t>internos (RCR), que es el cociente de dividir el costo de los factores internos valuados a precios de eficiencia y el valor agregado económico (valor de la producción precio internacional del producto menos consumo intermedio a precios internacionales de los</w:t>
      </w:r>
      <w:r>
        <w:rPr>
          <w:spacing w:val="-11"/>
        </w:rPr>
        <w:t> </w:t>
      </w:r>
      <w:r>
        <w:rPr/>
        <w:t>insumos).</w:t>
      </w:r>
    </w:p>
    <w:p>
      <w:pPr>
        <w:pStyle w:val="BodyText"/>
      </w:pPr>
    </w:p>
    <w:p>
      <w:pPr>
        <w:pStyle w:val="BodyText"/>
        <w:spacing w:line="360" w:lineRule="auto" w:before="143"/>
        <w:ind w:left="102" w:right="117"/>
        <w:jc w:val="both"/>
      </w:pPr>
      <w:r>
        <w:rPr/>
        <w:t>Si el valor de la RCR se encuentra entre 0 y 1 indica que el valor de los recursos internos usados</w:t>
      </w:r>
      <w:r>
        <w:rPr>
          <w:spacing w:val="-6"/>
        </w:rPr>
        <w:t> </w:t>
      </w:r>
      <w:r>
        <w:rPr/>
        <w:t>en</w:t>
      </w:r>
      <w:r>
        <w:rPr>
          <w:spacing w:val="-6"/>
        </w:rPr>
        <w:t> </w:t>
      </w:r>
      <w:r>
        <w:rPr/>
        <w:t>la</w:t>
      </w:r>
      <w:r>
        <w:rPr>
          <w:spacing w:val="-7"/>
        </w:rPr>
        <w:t> </w:t>
      </w:r>
      <w:r>
        <w:rPr/>
        <w:t>producción</w:t>
      </w:r>
      <w:r>
        <w:rPr>
          <w:spacing w:val="-3"/>
        </w:rPr>
        <w:t> </w:t>
      </w:r>
      <w:r>
        <w:rPr/>
        <w:t>de</w:t>
      </w:r>
      <w:r>
        <w:rPr>
          <w:spacing w:val="-7"/>
        </w:rPr>
        <w:t> </w:t>
      </w:r>
      <w:r>
        <w:rPr/>
        <w:t>un</w:t>
      </w:r>
      <w:r>
        <w:rPr>
          <w:spacing w:val="-6"/>
        </w:rPr>
        <w:t> </w:t>
      </w:r>
      <w:r>
        <w:rPr/>
        <w:t>bien</w:t>
      </w:r>
      <w:r>
        <w:rPr>
          <w:spacing w:val="-7"/>
        </w:rPr>
        <w:t> </w:t>
      </w:r>
      <w:r>
        <w:rPr/>
        <w:t>es</w:t>
      </w:r>
      <w:r>
        <w:rPr>
          <w:spacing w:val="-6"/>
        </w:rPr>
        <w:t> </w:t>
      </w:r>
      <w:r>
        <w:rPr/>
        <w:t>inferior</w:t>
      </w:r>
      <w:r>
        <w:rPr>
          <w:spacing w:val="-7"/>
        </w:rPr>
        <w:t> </w:t>
      </w:r>
      <w:r>
        <w:rPr/>
        <w:t>al</w:t>
      </w:r>
      <w:r>
        <w:rPr>
          <w:spacing w:val="-6"/>
        </w:rPr>
        <w:t> </w:t>
      </w:r>
      <w:r>
        <w:rPr/>
        <w:t>valor</w:t>
      </w:r>
      <w:r>
        <w:rPr>
          <w:spacing w:val="-7"/>
        </w:rPr>
        <w:t> </w:t>
      </w:r>
      <w:r>
        <w:rPr/>
        <w:t>de</w:t>
      </w:r>
      <w:r>
        <w:rPr>
          <w:spacing w:val="-7"/>
        </w:rPr>
        <w:t> </w:t>
      </w:r>
      <w:r>
        <w:rPr/>
        <w:t>las</w:t>
      </w:r>
      <w:r>
        <w:rPr>
          <w:spacing w:val="-7"/>
        </w:rPr>
        <w:t> </w:t>
      </w:r>
      <w:r>
        <w:rPr/>
        <w:t>divisas</w:t>
      </w:r>
      <w:r>
        <w:rPr>
          <w:spacing w:val="-6"/>
        </w:rPr>
        <w:t> </w:t>
      </w:r>
      <w:r>
        <w:rPr/>
        <w:t>en</w:t>
      </w:r>
      <w:r>
        <w:rPr>
          <w:spacing w:val="-6"/>
        </w:rPr>
        <w:t> </w:t>
      </w:r>
      <w:r>
        <w:rPr/>
        <w:t>la</w:t>
      </w:r>
      <w:r>
        <w:rPr>
          <w:spacing w:val="-7"/>
        </w:rPr>
        <w:t> </w:t>
      </w:r>
      <w:r>
        <w:rPr/>
        <w:t>importación</w:t>
      </w:r>
      <w:r>
        <w:rPr>
          <w:spacing w:val="-6"/>
        </w:rPr>
        <w:t> </w:t>
      </w:r>
      <w:r>
        <w:rPr/>
        <w:t>de</w:t>
      </w:r>
      <w:r>
        <w:rPr>
          <w:spacing w:val="-7"/>
        </w:rPr>
        <w:t> </w:t>
      </w:r>
      <w:r>
        <w:rPr/>
        <w:t>ese bien, por lo que el país, tendrá ventaja comparativa en la producción de ese bien. Si el valor de</w:t>
      </w:r>
      <w:r>
        <w:rPr>
          <w:spacing w:val="-14"/>
        </w:rPr>
        <w:t> </w:t>
      </w:r>
      <w:r>
        <w:rPr/>
        <w:t>la</w:t>
      </w:r>
      <w:r>
        <w:rPr>
          <w:spacing w:val="-14"/>
        </w:rPr>
        <w:t> </w:t>
      </w:r>
      <w:r>
        <w:rPr/>
        <w:t>RCR</w:t>
      </w:r>
      <w:r>
        <w:rPr>
          <w:spacing w:val="-13"/>
        </w:rPr>
        <w:t> </w:t>
      </w:r>
      <w:r>
        <w:rPr/>
        <w:t>es</w:t>
      </w:r>
      <w:r>
        <w:rPr>
          <w:spacing w:val="-13"/>
        </w:rPr>
        <w:t> </w:t>
      </w:r>
      <w:r>
        <w:rPr/>
        <w:t>superior</w:t>
      </w:r>
      <w:r>
        <w:rPr>
          <w:spacing w:val="-14"/>
        </w:rPr>
        <w:t> </w:t>
      </w:r>
      <w:r>
        <w:rPr/>
        <w:t>a</w:t>
      </w:r>
      <w:r>
        <w:rPr>
          <w:spacing w:val="-14"/>
        </w:rPr>
        <w:t> </w:t>
      </w:r>
      <w:r>
        <w:rPr/>
        <w:t>1,</w:t>
      </w:r>
      <w:r>
        <w:rPr>
          <w:spacing w:val="-11"/>
        </w:rPr>
        <w:t> </w:t>
      </w:r>
      <w:r>
        <w:rPr/>
        <w:t>indica</w:t>
      </w:r>
      <w:r>
        <w:rPr>
          <w:spacing w:val="-14"/>
        </w:rPr>
        <w:t> </w:t>
      </w:r>
      <w:r>
        <w:rPr/>
        <w:t>que</w:t>
      </w:r>
      <w:r>
        <w:rPr>
          <w:spacing w:val="-12"/>
        </w:rPr>
        <w:t> </w:t>
      </w:r>
      <w:r>
        <w:rPr/>
        <w:t>el</w:t>
      </w:r>
      <w:r>
        <w:rPr>
          <w:spacing w:val="-13"/>
        </w:rPr>
        <w:t> </w:t>
      </w:r>
      <w:r>
        <w:rPr/>
        <w:t>valor</w:t>
      </w:r>
      <w:r>
        <w:rPr>
          <w:spacing w:val="-12"/>
        </w:rPr>
        <w:t> </w:t>
      </w:r>
      <w:r>
        <w:rPr/>
        <w:t>de</w:t>
      </w:r>
      <w:r>
        <w:rPr>
          <w:spacing w:val="-14"/>
        </w:rPr>
        <w:t> </w:t>
      </w:r>
      <w:r>
        <w:rPr/>
        <w:t>los</w:t>
      </w:r>
      <w:r>
        <w:rPr>
          <w:spacing w:val="-10"/>
        </w:rPr>
        <w:t> </w:t>
      </w:r>
      <w:r>
        <w:rPr/>
        <w:t>recursos</w:t>
      </w:r>
      <w:r>
        <w:rPr>
          <w:spacing w:val="-14"/>
        </w:rPr>
        <w:t> </w:t>
      </w:r>
      <w:r>
        <w:rPr/>
        <w:t>internos</w:t>
      </w:r>
      <w:r>
        <w:rPr>
          <w:spacing w:val="-14"/>
        </w:rPr>
        <w:t> </w:t>
      </w:r>
      <w:r>
        <w:rPr/>
        <w:t>usados</w:t>
      </w:r>
      <w:r>
        <w:rPr>
          <w:spacing w:val="-11"/>
        </w:rPr>
        <w:t> </w:t>
      </w:r>
      <w:r>
        <w:rPr/>
        <w:t>en</w:t>
      </w:r>
      <w:r>
        <w:rPr>
          <w:spacing w:val="-13"/>
        </w:rPr>
        <w:t> </w:t>
      </w:r>
      <w:r>
        <w:rPr/>
        <w:t>la</w:t>
      </w:r>
      <w:r>
        <w:rPr>
          <w:spacing w:val="-14"/>
        </w:rPr>
        <w:t> </w:t>
      </w:r>
      <w:r>
        <w:rPr/>
        <w:t>producción supera el valor de las divisas que se invertirían en su importación, por tanto, el país no tiene ventajas</w:t>
      </w:r>
      <w:r>
        <w:rPr>
          <w:spacing w:val="-13"/>
        </w:rPr>
        <w:t> </w:t>
      </w:r>
      <w:r>
        <w:rPr/>
        <w:t>comparativas</w:t>
      </w:r>
      <w:r>
        <w:rPr>
          <w:spacing w:val="-13"/>
        </w:rPr>
        <w:t> </w:t>
      </w:r>
      <w:r>
        <w:rPr/>
        <w:t>en</w:t>
      </w:r>
      <w:r>
        <w:rPr>
          <w:spacing w:val="-11"/>
        </w:rPr>
        <w:t> </w:t>
      </w:r>
      <w:r>
        <w:rPr/>
        <w:t>la</w:t>
      </w:r>
      <w:r>
        <w:rPr>
          <w:spacing w:val="-14"/>
        </w:rPr>
        <w:t> </w:t>
      </w:r>
      <w:r>
        <w:rPr/>
        <w:t>producción.</w:t>
      </w:r>
      <w:r>
        <w:rPr>
          <w:spacing w:val="-13"/>
        </w:rPr>
        <w:t> </w:t>
      </w:r>
      <w:r>
        <w:rPr/>
        <w:t>Si</w:t>
      </w:r>
      <w:r>
        <w:rPr>
          <w:spacing w:val="-13"/>
        </w:rPr>
        <w:t> </w:t>
      </w:r>
      <w:r>
        <w:rPr/>
        <w:t>la</w:t>
      </w:r>
      <w:r>
        <w:rPr>
          <w:spacing w:val="-14"/>
        </w:rPr>
        <w:t> </w:t>
      </w:r>
      <w:r>
        <w:rPr/>
        <w:t>RCR</w:t>
      </w:r>
      <w:r>
        <w:rPr>
          <w:spacing w:val="-15"/>
        </w:rPr>
        <w:t> </w:t>
      </w:r>
      <w:r>
        <w:rPr/>
        <w:t>es</w:t>
      </w:r>
      <w:r>
        <w:rPr>
          <w:spacing w:val="-13"/>
        </w:rPr>
        <w:t> </w:t>
      </w:r>
      <w:r>
        <w:rPr/>
        <w:t>negativa</w:t>
      </w:r>
      <w:r>
        <w:rPr>
          <w:spacing w:val="-14"/>
        </w:rPr>
        <w:t> </w:t>
      </w:r>
      <w:r>
        <w:rPr/>
        <w:t>indica</w:t>
      </w:r>
      <w:r>
        <w:rPr>
          <w:spacing w:val="-15"/>
        </w:rPr>
        <w:t> </w:t>
      </w:r>
      <w:r>
        <w:rPr/>
        <w:t>que</w:t>
      </w:r>
      <w:r>
        <w:rPr>
          <w:spacing w:val="-12"/>
        </w:rPr>
        <w:t> </w:t>
      </w:r>
      <w:r>
        <w:rPr/>
        <w:t>el</w:t>
      </w:r>
      <w:r>
        <w:rPr>
          <w:spacing w:val="-13"/>
        </w:rPr>
        <w:t> </w:t>
      </w:r>
      <w:r>
        <w:rPr/>
        <w:t>costo</w:t>
      </w:r>
      <w:r>
        <w:rPr>
          <w:spacing w:val="-13"/>
        </w:rPr>
        <w:t> </w:t>
      </w:r>
      <w:r>
        <w:rPr/>
        <w:t>de</w:t>
      </w:r>
      <w:r>
        <w:rPr>
          <w:spacing w:val="-14"/>
        </w:rPr>
        <w:t> </w:t>
      </w:r>
      <w:r>
        <w:rPr/>
        <w:t>producir un bien supera su costo en el mercado (Monke y Pearson,</w:t>
      </w:r>
      <w:r>
        <w:rPr>
          <w:spacing w:val="-9"/>
        </w:rPr>
        <w:t> </w:t>
      </w:r>
      <w:r>
        <w:rPr/>
        <w:t>1989).</w:t>
      </w:r>
    </w:p>
    <w:p>
      <w:pPr>
        <w:pStyle w:val="BodyText"/>
      </w:pPr>
    </w:p>
    <w:p>
      <w:pPr>
        <w:pStyle w:val="Heading2"/>
        <w:numPr>
          <w:ilvl w:val="3"/>
          <w:numId w:val="17"/>
        </w:numPr>
        <w:tabs>
          <w:tab w:pos="822" w:val="left" w:leader="none"/>
        </w:tabs>
        <w:spacing w:line="240" w:lineRule="auto" w:before="148" w:after="0"/>
        <w:ind w:left="822" w:right="0" w:hanging="720"/>
        <w:jc w:val="both"/>
        <w:rPr>
          <w:i/>
        </w:rPr>
      </w:pPr>
      <w:r>
        <w:rPr>
          <w:i/>
        </w:rPr>
        <w:t>Coeficiente de protección nominal</w:t>
      </w:r>
      <w:r>
        <w:rPr>
          <w:i/>
          <w:spacing w:val="-9"/>
        </w:rPr>
        <w:t> </w:t>
      </w:r>
      <w:r>
        <w:rPr>
          <w:i/>
        </w:rPr>
        <w:t>(CPNP)</w:t>
      </w:r>
    </w:p>
    <w:p>
      <w:pPr>
        <w:pStyle w:val="BodyText"/>
        <w:rPr>
          <w:b/>
          <w:i/>
        </w:rPr>
      </w:pPr>
    </w:p>
    <w:p>
      <w:pPr>
        <w:pStyle w:val="BodyText"/>
        <w:spacing w:before="7"/>
        <w:rPr>
          <w:b/>
          <w:i/>
          <w:sz w:val="23"/>
        </w:rPr>
      </w:pPr>
    </w:p>
    <w:p>
      <w:pPr>
        <w:pStyle w:val="BodyText"/>
        <w:spacing w:line="360" w:lineRule="auto"/>
        <w:ind w:left="102" w:right="123"/>
        <w:jc w:val="both"/>
      </w:pPr>
      <w:r>
        <w:rPr/>
        <w:t>Este indicador contrasta el precio de mercado o precio privado de un producto o insumo</w:t>
      </w:r>
      <w:r>
        <w:rPr>
          <w:spacing w:val="-38"/>
        </w:rPr>
        <w:t> </w:t>
      </w:r>
      <w:r>
        <w:rPr/>
        <w:t>con su correspondiente precio de eficiencia económica. Permite identificar si las políticas de precios incentivan o desincentivan la producción interna. Un CPNP&gt;1 indica protección, en tanto que un CPNP&lt;1 indica</w:t>
      </w:r>
      <w:r>
        <w:rPr>
          <w:spacing w:val="-7"/>
        </w:rPr>
        <w:t> </w:t>
      </w:r>
      <w:r>
        <w:rPr/>
        <w:t>desprotección.</w:t>
      </w:r>
    </w:p>
    <w:p>
      <w:pPr>
        <w:pStyle w:val="BodyText"/>
      </w:pPr>
    </w:p>
    <w:p>
      <w:pPr>
        <w:pStyle w:val="Heading2"/>
        <w:numPr>
          <w:ilvl w:val="3"/>
          <w:numId w:val="17"/>
        </w:numPr>
        <w:tabs>
          <w:tab w:pos="822" w:val="left" w:leader="none"/>
        </w:tabs>
        <w:spacing w:line="240" w:lineRule="auto" w:before="148" w:after="0"/>
        <w:ind w:left="822" w:right="0" w:hanging="720"/>
        <w:jc w:val="both"/>
        <w:rPr>
          <w:i/>
        </w:rPr>
      </w:pPr>
      <w:r>
        <w:rPr>
          <w:i/>
        </w:rPr>
        <w:t>Coeficiente de protección efectiva</w:t>
      </w:r>
      <w:r>
        <w:rPr>
          <w:i/>
          <w:spacing w:val="-9"/>
        </w:rPr>
        <w:t> </w:t>
      </w:r>
      <w:r>
        <w:rPr>
          <w:i/>
        </w:rPr>
        <w:t>(CPE)</w:t>
      </w:r>
    </w:p>
    <w:p>
      <w:pPr>
        <w:pStyle w:val="BodyText"/>
        <w:rPr>
          <w:b/>
          <w:i/>
        </w:rPr>
      </w:pPr>
    </w:p>
    <w:p>
      <w:pPr>
        <w:pStyle w:val="BodyText"/>
        <w:spacing w:before="7"/>
        <w:rPr>
          <w:b/>
          <w:i/>
          <w:sz w:val="23"/>
        </w:rPr>
      </w:pPr>
    </w:p>
    <w:p>
      <w:pPr>
        <w:pStyle w:val="BodyText"/>
        <w:spacing w:line="360" w:lineRule="auto"/>
        <w:ind w:left="102" w:right="115"/>
        <w:jc w:val="both"/>
      </w:pPr>
      <w:r>
        <w:rPr/>
        <w:t>Este indicador estima la relación entre el valor agregado a precios privados y el valor agregado</w:t>
      </w:r>
      <w:r>
        <w:rPr>
          <w:spacing w:val="-4"/>
        </w:rPr>
        <w:t> </w:t>
      </w:r>
      <w:r>
        <w:rPr/>
        <w:t>a</w:t>
      </w:r>
      <w:r>
        <w:rPr>
          <w:spacing w:val="-5"/>
        </w:rPr>
        <w:t> </w:t>
      </w:r>
      <w:r>
        <w:rPr/>
        <w:t>precios</w:t>
      </w:r>
      <w:r>
        <w:rPr>
          <w:spacing w:val="-6"/>
        </w:rPr>
        <w:t> </w:t>
      </w:r>
      <w:r>
        <w:rPr/>
        <w:t>económicos.</w:t>
      </w:r>
      <w:r>
        <w:rPr>
          <w:spacing w:val="-6"/>
        </w:rPr>
        <w:t> </w:t>
      </w:r>
      <w:r>
        <w:rPr/>
        <w:t>Este</w:t>
      </w:r>
      <w:r>
        <w:rPr>
          <w:spacing w:val="-7"/>
        </w:rPr>
        <w:t> </w:t>
      </w:r>
      <w:r>
        <w:rPr/>
        <w:t>coeficiente</w:t>
      </w:r>
      <w:r>
        <w:rPr>
          <w:spacing w:val="-7"/>
        </w:rPr>
        <w:t> </w:t>
      </w:r>
      <w:r>
        <w:rPr/>
        <w:t>mide</w:t>
      </w:r>
      <w:r>
        <w:rPr>
          <w:spacing w:val="-7"/>
        </w:rPr>
        <w:t> </w:t>
      </w:r>
      <w:r>
        <w:rPr/>
        <w:t>el</w:t>
      </w:r>
      <w:r>
        <w:rPr>
          <w:spacing w:val="-3"/>
        </w:rPr>
        <w:t> </w:t>
      </w:r>
      <w:r>
        <w:rPr/>
        <w:t>grado</w:t>
      </w:r>
      <w:r>
        <w:rPr>
          <w:spacing w:val="-6"/>
        </w:rPr>
        <w:t> </w:t>
      </w:r>
      <w:r>
        <w:rPr/>
        <w:t>de</w:t>
      </w:r>
      <w:r>
        <w:rPr>
          <w:spacing w:val="-7"/>
        </w:rPr>
        <w:t> </w:t>
      </w:r>
      <w:r>
        <w:rPr/>
        <w:t>transferencias</w:t>
      </w:r>
      <w:r>
        <w:rPr>
          <w:spacing w:val="-7"/>
        </w:rPr>
        <w:t> </w:t>
      </w:r>
      <w:r>
        <w:rPr/>
        <w:t>a</w:t>
      </w:r>
      <w:r>
        <w:rPr>
          <w:spacing w:val="-5"/>
        </w:rPr>
        <w:t> </w:t>
      </w:r>
      <w:r>
        <w:rPr/>
        <w:t>productos e insumos derivados de políticas comerciales y el tipo de cambio. Si el CPE es menor a la unidad existe un desincentivo para los productores, pues podrían haber recibido mayor remuneración</w:t>
      </w:r>
      <w:r>
        <w:rPr>
          <w:spacing w:val="-9"/>
        </w:rPr>
        <w:t> </w:t>
      </w:r>
      <w:r>
        <w:rPr/>
        <w:t>si</w:t>
      </w:r>
      <w:r>
        <w:rPr>
          <w:spacing w:val="-9"/>
        </w:rPr>
        <w:t> </w:t>
      </w:r>
      <w:r>
        <w:rPr/>
        <w:t>enfrentan</w:t>
      </w:r>
      <w:r>
        <w:rPr>
          <w:spacing w:val="-10"/>
        </w:rPr>
        <w:t> </w:t>
      </w:r>
      <w:r>
        <w:rPr/>
        <w:t>un</w:t>
      </w:r>
      <w:r>
        <w:rPr>
          <w:spacing w:val="-10"/>
        </w:rPr>
        <w:t> </w:t>
      </w:r>
      <w:r>
        <w:rPr/>
        <w:t>precio</w:t>
      </w:r>
      <w:r>
        <w:rPr>
          <w:spacing w:val="-9"/>
        </w:rPr>
        <w:t> </w:t>
      </w:r>
      <w:r>
        <w:rPr/>
        <w:t>económico,</w:t>
      </w:r>
      <w:r>
        <w:rPr>
          <w:spacing w:val="-10"/>
        </w:rPr>
        <w:t> </w:t>
      </w:r>
      <w:r>
        <w:rPr/>
        <w:t>es</w:t>
      </w:r>
      <w:r>
        <w:rPr>
          <w:spacing w:val="-9"/>
        </w:rPr>
        <w:t> </w:t>
      </w:r>
      <w:r>
        <w:rPr/>
        <w:t>decir,</w:t>
      </w:r>
      <w:r>
        <w:rPr>
          <w:spacing w:val="-10"/>
        </w:rPr>
        <w:t> </w:t>
      </w:r>
      <w:r>
        <w:rPr/>
        <w:t>sin</w:t>
      </w:r>
      <w:r>
        <w:rPr>
          <w:spacing w:val="-9"/>
        </w:rPr>
        <w:t> </w:t>
      </w:r>
      <w:r>
        <w:rPr/>
        <w:t>intervención</w:t>
      </w:r>
      <w:r>
        <w:rPr>
          <w:spacing w:val="-9"/>
        </w:rPr>
        <w:t> </w:t>
      </w:r>
      <w:r>
        <w:rPr/>
        <w:t>política.</w:t>
      </w:r>
      <w:r>
        <w:rPr>
          <w:spacing w:val="-10"/>
        </w:rPr>
        <w:t> </w:t>
      </w:r>
      <w:r>
        <w:rPr/>
        <w:t>Si</w:t>
      </w:r>
      <w:r>
        <w:rPr>
          <w:spacing w:val="-9"/>
        </w:rPr>
        <w:t> </w:t>
      </w:r>
      <w:r>
        <w:rPr/>
        <w:t>la</w:t>
      </w:r>
      <w:r>
        <w:rPr>
          <w:spacing w:val="-10"/>
        </w:rPr>
        <w:t> </w:t>
      </w:r>
      <w:r>
        <w:rPr/>
        <w:t>CPE</w:t>
      </w:r>
    </w:p>
    <w:p>
      <w:pPr>
        <w:spacing w:after="0" w:line="360" w:lineRule="auto"/>
        <w:jc w:val="both"/>
        <w:sectPr>
          <w:pgSz w:w="12240" w:h="15840"/>
          <w:pgMar w:header="0" w:footer="657" w:top="1360" w:bottom="840" w:left="1600" w:right="1580"/>
        </w:sectPr>
      </w:pPr>
    </w:p>
    <w:p>
      <w:pPr>
        <w:pStyle w:val="BodyText"/>
        <w:spacing w:line="362" w:lineRule="auto" w:before="50"/>
        <w:ind w:left="102" w:right="119"/>
        <w:jc w:val="both"/>
      </w:pPr>
      <w:r>
        <w:rPr/>
        <w:t>es</w:t>
      </w:r>
      <w:r>
        <w:rPr>
          <w:spacing w:val="-11"/>
        </w:rPr>
        <w:t> </w:t>
      </w:r>
      <w:r>
        <w:rPr/>
        <w:t>mayor</w:t>
      </w:r>
      <w:r>
        <w:rPr>
          <w:spacing w:val="-10"/>
        </w:rPr>
        <w:t> </w:t>
      </w:r>
      <w:r>
        <w:rPr/>
        <w:t>a</w:t>
      </w:r>
      <w:r>
        <w:rPr>
          <w:spacing w:val="-10"/>
        </w:rPr>
        <w:t> </w:t>
      </w:r>
      <w:r>
        <w:rPr/>
        <w:t>la</w:t>
      </w:r>
      <w:r>
        <w:rPr>
          <w:spacing w:val="-12"/>
        </w:rPr>
        <w:t> </w:t>
      </w:r>
      <w:r>
        <w:rPr/>
        <w:t>unidad</w:t>
      </w:r>
      <w:r>
        <w:rPr>
          <w:spacing w:val="-9"/>
        </w:rPr>
        <w:t> </w:t>
      </w:r>
      <w:r>
        <w:rPr/>
        <w:t>los</w:t>
      </w:r>
      <w:r>
        <w:rPr>
          <w:spacing w:val="-10"/>
        </w:rPr>
        <w:t> </w:t>
      </w:r>
      <w:r>
        <w:rPr/>
        <w:t>productores</w:t>
      </w:r>
      <w:r>
        <w:rPr>
          <w:spacing w:val="-9"/>
        </w:rPr>
        <w:t> </w:t>
      </w:r>
      <w:r>
        <w:rPr/>
        <w:t>están</w:t>
      </w:r>
      <w:r>
        <w:rPr>
          <w:spacing w:val="-9"/>
        </w:rPr>
        <w:t> </w:t>
      </w:r>
      <w:r>
        <w:rPr/>
        <w:t>recibiendo</w:t>
      </w:r>
      <w:r>
        <w:rPr>
          <w:spacing w:val="-11"/>
        </w:rPr>
        <w:t> </w:t>
      </w:r>
      <w:r>
        <w:rPr/>
        <w:t>una</w:t>
      </w:r>
      <w:r>
        <w:rPr>
          <w:spacing w:val="-12"/>
        </w:rPr>
        <w:t> </w:t>
      </w:r>
      <w:r>
        <w:rPr/>
        <w:t>mayor</w:t>
      </w:r>
      <w:r>
        <w:rPr>
          <w:spacing w:val="-9"/>
        </w:rPr>
        <w:t> </w:t>
      </w:r>
      <w:r>
        <w:rPr/>
        <w:t>remuneración</w:t>
      </w:r>
      <w:r>
        <w:rPr>
          <w:spacing w:val="-11"/>
        </w:rPr>
        <w:t> </w:t>
      </w:r>
      <w:r>
        <w:rPr/>
        <w:t>a</w:t>
      </w:r>
      <w:r>
        <w:rPr>
          <w:spacing w:val="-12"/>
        </w:rPr>
        <w:t> </w:t>
      </w:r>
      <w:r>
        <w:rPr/>
        <w:t>sus</w:t>
      </w:r>
      <w:r>
        <w:rPr>
          <w:spacing w:val="-8"/>
        </w:rPr>
        <w:t> </w:t>
      </w:r>
      <w:r>
        <w:rPr/>
        <w:t>factores debido a las intervenciones de</w:t>
      </w:r>
      <w:r>
        <w:rPr>
          <w:spacing w:val="-6"/>
        </w:rPr>
        <w:t> </w:t>
      </w:r>
      <w:r>
        <w:rPr/>
        <w:t>política.</w:t>
      </w:r>
    </w:p>
    <w:p>
      <w:pPr>
        <w:pStyle w:val="BodyText"/>
      </w:pPr>
    </w:p>
    <w:p>
      <w:pPr>
        <w:pStyle w:val="Heading1"/>
        <w:numPr>
          <w:ilvl w:val="1"/>
          <w:numId w:val="18"/>
        </w:numPr>
        <w:tabs>
          <w:tab w:pos="462" w:val="left" w:leader="none"/>
        </w:tabs>
        <w:spacing w:line="240" w:lineRule="auto" w:before="145" w:after="0"/>
        <w:ind w:left="462" w:right="0" w:hanging="360"/>
        <w:jc w:val="both"/>
      </w:pPr>
      <w:bookmarkStart w:name="_TOC_250015" w:id="27"/>
      <w:r>
        <w:rPr/>
        <w:t>Metodología para el análisis de viabilidad económica y</w:t>
      </w:r>
      <w:r>
        <w:rPr>
          <w:spacing w:val="-16"/>
        </w:rPr>
        <w:t> </w:t>
      </w:r>
      <w:bookmarkEnd w:id="27"/>
      <w:r>
        <w:rPr/>
        <w:t>financiera</w:t>
      </w:r>
    </w:p>
    <w:p>
      <w:pPr>
        <w:pStyle w:val="BodyText"/>
        <w:rPr>
          <w:b/>
        </w:rPr>
      </w:pPr>
    </w:p>
    <w:p>
      <w:pPr>
        <w:pStyle w:val="BodyText"/>
        <w:spacing w:before="6"/>
        <w:rPr>
          <w:b/>
          <w:sz w:val="23"/>
        </w:rPr>
      </w:pPr>
    </w:p>
    <w:p>
      <w:pPr>
        <w:spacing w:line="360" w:lineRule="auto" w:before="0"/>
        <w:ind w:left="102" w:right="116" w:firstLine="0"/>
        <w:jc w:val="both"/>
        <w:rPr>
          <w:sz w:val="24"/>
        </w:rPr>
      </w:pPr>
      <w:r>
        <w:rPr>
          <w:sz w:val="24"/>
        </w:rPr>
        <w:t>Se utilizó el modelo econométrico MexSim para proyectar el análisis de viabilidad económica y financiera del sistema lechero de pequeña escala. El modelo fue desarrollado por</w:t>
      </w:r>
      <w:r>
        <w:rPr>
          <w:spacing w:val="-12"/>
          <w:sz w:val="24"/>
        </w:rPr>
        <w:t> </w:t>
      </w:r>
      <w:r>
        <w:rPr>
          <w:sz w:val="24"/>
        </w:rPr>
        <w:t>la</w:t>
      </w:r>
      <w:r>
        <w:rPr>
          <w:spacing w:val="-12"/>
          <w:sz w:val="24"/>
        </w:rPr>
        <w:t> </w:t>
      </w:r>
      <w:r>
        <w:rPr>
          <w:i/>
          <w:sz w:val="24"/>
        </w:rPr>
        <w:t>Texas</w:t>
      </w:r>
      <w:r>
        <w:rPr>
          <w:i/>
          <w:spacing w:val="-11"/>
          <w:sz w:val="24"/>
        </w:rPr>
        <w:t> </w:t>
      </w:r>
      <w:r>
        <w:rPr>
          <w:i/>
          <w:sz w:val="24"/>
        </w:rPr>
        <w:t>Extension</w:t>
      </w:r>
      <w:r>
        <w:rPr>
          <w:i/>
          <w:spacing w:val="-11"/>
          <w:sz w:val="24"/>
        </w:rPr>
        <w:t> </w:t>
      </w:r>
      <w:r>
        <w:rPr>
          <w:i/>
          <w:sz w:val="24"/>
        </w:rPr>
        <w:t>and</w:t>
      </w:r>
      <w:r>
        <w:rPr>
          <w:i/>
          <w:spacing w:val="-11"/>
          <w:sz w:val="24"/>
        </w:rPr>
        <w:t> </w:t>
      </w:r>
      <w:r>
        <w:rPr>
          <w:i/>
          <w:sz w:val="24"/>
        </w:rPr>
        <w:t>Education</w:t>
      </w:r>
      <w:r>
        <w:rPr>
          <w:i/>
          <w:spacing w:val="-11"/>
          <w:sz w:val="24"/>
        </w:rPr>
        <w:t> </w:t>
      </w:r>
      <w:r>
        <w:rPr>
          <w:i/>
          <w:sz w:val="24"/>
        </w:rPr>
        <w:t>Foundation</w:t>
      </w:r>
      <w:r>
        <w:rPr>
          <w:i/>
          <w:spacing w:val="-9"/>
          <w:sz w:val="24"/>
        </w:rPr>
        <w:t> </w:t>
      </w:r>
      <w:r>
        <w:rPr>
          <w:sz w:val="24"/>
        </w:rPr>
        <w:t>(TEEF),</w:t>
      </w:r>
      <w:r>
        <w:rPr>
          <w:spacing w:val="-10"/>
          <w:sz w:val="24"/>
        </w:rPr>
        <w:t> </w:t>
      </w:r>
      <w:r>
        <w:rPr>
          <w:sz w:val="24"/>
        </w:rPr>
        <w:t>adscrita</w:t>
      </w:r>
      <w:r>
        <w:rPr>
          <w:spacing w:val="-12"/>
          <w:sz w:val="24"/>
        </w:rPr>
        <w:t> </w:t>
      </w:r>
      <w:r>
        <w:rPr>
          <w:sz w:val="24"/>
        </w:rPr>
        <w:t>al</w:t>
      </w:r>
      <w:r>
        <w:rPr>
          <w:spacing w:val="-10"/>
          <w:sz w:val="24"/>
        </w:rPr>
        <w:t> </w:t>
      </w:r>
      <w:r>
        <w:rPr>
          <w:i/>
          <w:sz w:val="24"/>
        </w:rPr>
        <w:t>Food</w:t>
      </w:r>
      <w:r>
        <w:rPr>
          <w:i/>
          <w:spacing w:val="-9"/>
          <w:sz w:val="24"/>
        </w:rPr>
        <w:t> </w:t>
      </w:r>
      <w:r>
        <w:rPr>
          <w:i/>
          <w:sz w:val="24"/>
        </w:rPr>
        <w:t>and</w:t>
      </w:r>
      <w:r>
        <w:rPr>
          <w:i/>
          <w:spacing w:val="-11"/>
          <w:sz w:val="24"/>
        </w:rPr>
        <w:t> </w:t>
      </w:r>
      <w:r>
        <w:rPr>
          <w:i/>
          <w:sz w:val="24"/>
        </w:rPr>
        <w:t>Agricultural </w:t>
      </w:r>
      <w:r>
        <w:rPr>
          <w:i/>
          <w:sz w:val="24"/>
        </w:rPr>
        <w:t>Policy Center </w:t>
      </w:r>
      <w:r>
        <w:rPr>
          <w:sz w:val="24"/>
        </w:rPr>
        <w:t>(AFPC) de </w:t>
      </w:r>
      <w:r>
        <w:rPr>
          <w:i/>
          <w:sz w:val="24"/>
        </w:rPr>
        <w:t>Texas A&amp;M University </w:t>
      </w:r>
      <w:r>
        <w:rPr>
          <w:sz w:val="24"/>
        </w:rPr>
        <w:t>(TAMU) en conjunto con la </w:t>
      </w:r>
      <w:r>
        <w:rPr>
          <w:i/>
          <w:sz w:val="24"/>
        </w:rPr>
        <w:t>Secretaria de </w:t>
      </w:r>
      <w:r>
        <w:rPr>
          <w:i/>
          <w:sz w:val="24"/>
        </w:rPr>
        <w:t>Agricultura, Ganadería, Pesca y Alimentación </w:t>
      </w:r>
      <w:r>
        <w:rPr>
          <w:sz w:val="24"/>
        </w:rPr>
        <w:t>(SAGARPA) y </w:t>
      </w:r>
      <w:r>
        <w:rPr>
          <w:i/>
          <w:sz w:val="24"/>
        </w:rPr>
        <w:t>La Red Mexicana de </w:t>
      </w:r>
      <w:r>
        <w:rPr>
          <w:i/>
          <w:sz w:val="24"/>
        </w:rPr>
        <w:t>Investigación en Política Agroalimentaria </w:t>
      </w:r>
      <w:r>
        <w:rPr>
          <w:sz w:val="24"/>
        </w:rPr>
        <w:t>(AGROPRSPECTA). El MexSim, proyecta en condiciones de riesgo e incertidumbre la viabilidad económica del sector agropecuario mexicano, su desarrollo se dio a partir del programa FLIPSIM, el cual ha sido validado y aplicado en proyectos de investigación y extensión por economistas de más de 25 universidades norteamericanas y por analistas de política en otros 10 países más (AGROPROSPECTA,</w:t>
      </w:r>
      <w:r>
        <w:rPr>
          <w:spacing w:val="-3"/>
          <w:sz w:val="24"/>
        </w:rPr>
        <w:t> </w:t>
      </w:r>
      <w:r>
        <w:rPr>
          <w:sz w:val="24"/>
        </w:rPr>
        <w:t>2009).</w:t>
      </w:r>
    </w:p>
    <w:p>
      <w:pPr>
        <w:pStyle w:val="BodyText"/>
      </w:pPr>
    </w:p>
    <w:p>
      <w:pPr>
        <w:pStyle w:val="BodyText"/>
        <w:spacing w:line="360" w:lineRule="auto" w:before="143"/>
        <w:ind w:left="102" w:right="117"/>
        <w:jc w:val="both"/>
      </w:pPr>
      <w:r>
        <w:rPr/>
        <w:t>El MexSim, es un modelo econométrico que tiene como objetivo determinar y proyectar indicadores de viabilidad económica y financiera a nivel granja y empresa agropecuaria en horizontes de planeación futuros. Así mismo, el MexSim es capaz de emplear herramientas robustas en la discriminación de escenarios de gestión y alternativas de riesgo como la dominancia estocástica con respecto a una función (DERF). Este método ilustra que alternativa de inversión es preferida por los agricultores, con una actitud neutral, moderada o sumamente arriesgada con respecto a su inversión (Hardaker et al., 2004b).</w:t>
      </w:r>
    </w:p>
    <w:p>
      <w:pPr>
        <w:pStyle w:val="BodyText"/>
        <w:spacing w:before="1"/>
        <w:rPr>
          <w:sz w:val="35"/>
        </w:rPr>
      </w:pPr>
    </w:p>
    <w:p>
      <w:pPr>
        <w:pStyle w:val="BodyText"/>
        <w:spacing w:line="357" w:lineRule="auto" w:before="1"/>
        <w:ind w:left="102" w:right="115"/>
        <w:jc w:val="both"/>
      </w:pPr>
      <w:r>
        <w:rPr/>
        <w:t>El MexSim es programado en Excel</w:t>
      </w:r>
      <w:r>
        <w:rPr>
          <w:position w:val="9"/>
          <w:sz w:val="16"/>
        </w:rPr>
        <w:t>® </w:t>
      </w:r>
      <w:r>
        <w:rPr/>
        <w:t>y utiliza la plataforma contenida en el programa de simulación</w:t>
      </w:r>
      <w:r>
        <w:rPr>
          <w:spacing w:val="-9"/>
        </w:rPr>
        <w:t> </w:t>
      </w:r>
      <w:r>
        <w:rPr/>
        <w:t>econométrica</w:t>
      </w:r>
      <w:r>
        <w:rPr>
          <w:spacing w:val="-9"/>
        </w:rPr>
        <w:t> </w:t>
      </w:r>
      <w:r>
        <w:rPr/>
        <w:t>para</w:t>
      </w:r>
      <w:r>
        <w:rPr>
          <w:spacing w:val="-11"/>
        </w:rPr>
        <w:t> </w:t>
      </w:r>
      <w:r>
        <w:rPr/>
        <w:t>el</w:t>
      </w:r>
      <w:r>
        <w:rPr>
          <w:spacing w:val="-9"/>
        </w:rPr>
        <w:t> </w:t>
      </w:r>
      <w:r>
        <w:rPr/>
        <w:t>análisis</w:t>
      </w:r>
      <w:r>
        <w:rPr>
          <w:spacing w:val="-9"/>
        </w:rPr>
        <w:t> </w:t>
      </w:r>
      <w:r>
        <w:rPr/>
        <w:t>de</w:t>
      </w:r>
      <w:r>
        <w:rPr>
          <w:spacing w:val="-11"/>
        </w:rPr>
        <w:t> </w:t>
      </w:r>
      <w:r>
        <w:rPr/>
        <w:t>riesgo,</w:t>
      </w:r>
      <w:r>
        <w:rPr>
          <w:spacing w:val="-7"/>
        </w:rPr>
        <w:t> </w:t>
      </w:r>
      <w:r>
        <w:rPr/>
        <w:t>Simetar</w:t>
      </w:r>
      <w:r>
        <w:rPr>
          <w:position w:val="9"/>
          <w:sz w:val="16"/>
        </w:rPr>
        <w:t>©</w:t>
      </w:r>
      <w:r>
        <w:rPr/>
        <w:t>,</w:t>
      </w:r>
      <w:r>
        <w:rPr>
          <w:spacing w:val="-10"/>
        </w:rPr>
        <w:t> </w:t>
      </w:r>
      <w:r>
        <w:rPr/>
        <w:t>como</w:t>
      </w:r>
      <w:r>
        <w:rPr>
          <w:spacing w:val="-9"/>
        </w:rPr>
        <w:t> </w:t>
      </w:r>
      <w:r>
        <w:rPr/>
        <w:t>herramienta</w:t>
      </w:r>
      <w:r>
        <w:rPr>
          <w:spacing w:val="-10"/>
        </w:rPr>
        <w:t> </w:t>
      </w:r>
      <w:r>
        <w:rPr/>
        <w:t>para</w:t>
      </w:r>
      <w:r>
        <w:rPr>
          <w:spacing w:val="-11"/>
        </w:rPr>
        <w:t> </w:t>
      </w:r>
      <w:r>
        <w:rPr/>
        <w:t>simular el</w:t>
      </w:r>
      <w:r>
        <w:rPr>
          <w:spacing w:val="-6"/>
        </w:rPr>
        <w:t> </w:t>
      </w:r>
      <w:r>
        <w:rPr/>
        <w:t>resultado</w:t>
      </w:r>
      <w:r>
        <w:rPr>
          <w:spacing w:val="-4"/>
        </w:rPr>
        <w:t> </w:t>
      </w:r>
      <w:r>
        <w:rPr/>
        <w:t>en</w:t>
      </w:r>
      <w:r>
        <w:rPr>
          <w:spacing w:val="-6"/>
        </w:rPr>
        <w:t> </w:t>
      </w:r>
      <w:r>
        <w:rPr/>
        <w:t>las</w:t>
      </w:r>
      <w:r>
        <w:rPr>
          <w:spacing w:val="-6"/>
        </w:rPr>
        <w:t> </w:t>
      </w:r>
      <w:r>
        <w:rPr/>
        <w:t>proyecciones</w:t>
      </w:r>
      <w:r>
        <w:rPr>
          <w:spacing w:val="-7"/>
        </w:rPr>
        <w:t> </w:t>
      </w:r>
      <w:r>
        <w:rPr/>
        <w:t>económicas.</w:t>
      </w:r>
      <w:r>
        <w:rPr>
          <w:spacing w:val="-6"/>
        </w:rPr>
        <w:t> </w:t>
      </w:r>
      <w:r>
        <w:rPr/>
        <w:t>El</w:t>
      </w:r>
      <w:r>
        <w:rPr>
          <w:spacing w:val="-4"/>
        </w:rPr>
        <w:t> </w:t>
      </w:r>
      <w:r>
        <w:rPr/>
        <w:t>MexSim</w:t>
      </w:r>
      <w:r>
        <w:rPr>
          <w:spacing w:val="-5"/>
        </w:rPr>
        <w:t> </w:t>
      </w:r>
      <w:r>
        <w:rPr/>
        <w:t>proyecta</w:t>
      </w:r>
      <w:r>
        <w:rPr>
          <w:spacing w:val="-5"/>
        </w:rPr>
        <w:t> </w:t>
      </w:r>
      <w:r>
        <w:rPr/>
        <w:t>la</w:t>
      </w:r>
      <w:r>
        <w:rPr>
          <w:spacing w:val="-7"/>
        </w:rPr>
        <w:t> </w:t>
      </w:r>
      <w:r>
        <w:rPr/>
        <w:t>viabilidad</w:t>
      </w:r>
      <w:r>
        <w:rPr>
          <w:spacing w:val="-6"/>
        </w:rPr>
        <w:t> </w:t>
      </w:r>
      <w:r>
        <w:rPr/>
        <w:t>económica</w:t>
      </w:r>
      <w:r>
        <w:rPr>
          <w:spacing w:val="-2"/>
        </w:rPr>
        <w:t> </w:t>
      </w:r>
      <w:r>
        <w:rPr/>
        <w:t>y financiera utilizando información histórica de variables técnicas y económicas de productores para un año base e información de la tendencia de variables macro (inflación, tipo de cambio y tasa de interés) y microeconómicas (precios de insumos y</w:t>
      </w:r>
      <w:r>
        <w:rPr>
          <w:spacing w:val="-18"/>
        </w:rPr>
        <w:t> </w:t>
      </w:r>
      <w:r>
        <w:rPr/>
        <w:t>productos).</w:t>
      </w:r>
    </w:p>
    <w:p>
      <w:pPr>
        <w:spacing w:after="0" w:line="357" w:lineRule="auto"/>
        <w:jc w:val="both"/>
        <w:sectPr>
          <w:footerReference w:type="default" r:id="rId85"/>
          <w:pgSz w:w="12240" w:h="15840"/>
          <w:pgMar w:footer="657" w:header="0" w:top="1360" w:bottom="840" w:left="1600" w:right="1580"/>
        </w:sectPr>
      </w:pPr>
    </w:p>
    <w:p>
      <w:pPr>
        <w:pStyle w:val="BodyText"/>
        <w:spacing w:line="360" w:lineRule="auto" w:before="50"/>
        <w:ind w:left="102" w:right="117"/>
        <w:jc w:val="both"/>
      </w:pPr>
      <w:r>
        <w:rPr/>
        <w:t>El Simetar es hoy en día el programa más complemento que se puede usar en Excel, para desarrollar</w:t>
      </w:r>
      <w:r>
        <w:rPr>
          <w:spacing w:val="-9"/>
        </w:rPr>
        <w:t> </w:t>
      </w:r>
      <w:r>
        <w:rPr/>
        <w:t>y</w:t>
      </w:r>
      <w:r>
        <w:rPr>
          <w:spacing w:val="-16"/>
        </w:rPr>
        <w:t> </w:t>
      </w:r>
      <w:r>
        <w:rPr/>
        <w:t>aplicar</w:t>
      </w:r>
      <w:r>
        <w:rPr>
          <w:spacing w:val="-14"/>
        </w:rPr>
        <w:t> </w:t>
      </w:r>
      <w:r>
        <w:rPr/>
        <w:t>modelos</w:t>
      </w:r>
      <w:r>
        <w:rPr>
          <w:spacing w:val="-13"/>
        </w:rPr>
        <w:t> </w:t>
      </w:r>
      <w:r>
        <w:rPr/>
        <w:t>de</w:t>
      </w:r>
      <w:r>
        <w:rPr>
          <w:spacing w:val="-14"/>
        </w:rPr>
        <w:t> </w:t>
      </w:r>
      <w:r>
        <w:rPr/>
        <w:t>simulación</w:t>
      </w:r>
      <w:r>
        <w:rPr>
          <w:spacing w:val="-11"/>
        </w:rPr>
        <w:t> </w:t>
      </w:r>
      <w:r>
        <w:rPr/>
        <w:t>a</w:t>
      </w:r>
      <w:r>
        <w:rPr>
          <w:spacing w:val="-12"/>
        </w:rPr>
        <w:t> </w:t>
      </w:r>
      <w:r>
        <w:rPr/>
        <w:t>nivel</w:t>
      </w:r>
      <w:r>
        <w:rPr>
          <w:spacing w:val="-10"/>
        </w:rPr>
        <w:t> </w:t>
      </w:r>
      <w:r>
        <w:rPr/>
        <w:t>finca</w:t>
      </w:r>
      <w:r>
        <w:rPr>
          <w:spacing w:val="-12"/>
        </w:rPr>
        <w:t> </w:t>
      </w:r>
      <w:r>
        <w:rPr/>
        <w:t>(Richardson</w:t>
      </w:r>
      <w:r>
        <w:rPr>
          <w:spacing w:val="-14"/>
        </w:rPr>
        <w:t> </w:t>
      </w:r>
      <w:r>
        <w:rPr/>
        <w:t>et</w:t>
      </w:r>
      <w:r>
        <w:rPr>
          <w:spacing w:val="-11"/>
        </w:rPr>
        <w:t> </w:t>
      </w:r>
      <w:r>
        <w:rPr/>
        <w:t>al.,</w:t>
      </w:r>
      <w:r>
        <w:rPr>
          <w:spacing w:val="-11"/>
        </w:rPr>
        <w:t> </w:t>
      </w:r>
      <w:r>
        <w:rPr/>
        <w:t>2000).</w:t>
      </w:r>
      <w:r>
        <w:rPr>
          <w:spacing w:val="-13"/>
        </w:rPr>
        <w:t> </w:t>
      </w:r>
      <w:r>
        <w:rPr/>
        <w:t>El</w:t>
      </w:r>
      <w:r>
        <w:rPr>
          <w:spacing w:val="-13"/>
        </w:rPr>
        <w:t> </w:t>
      </w:r>
      <w:r>
        <w:rPr/>
        <w:t>modelo está programado en C + +, y se ejecuta en la memoria RAM de la</w:t>
      </w:r>
      <w:r>
        <w:rPr>
          <w:spacing w:val="-16"/>
        </w:rPr>
        <w:t> </w:t>
      </w:r>
      <w:r>
        <w:rPr/>
        <w:t>computadora.</w:t>
      </w:r>
    </w:p>
    <w:p>
      <w:pPr>
        <w:pStyle w:val="BodyText"/>
      </w:pPr>
    </w:p>
    <w:p>
      <w:pPr>
        <w:pStyle w:val="BodyText"/>
        <w:spacing w:line="360" w:lineRule="auto" w:before="143"/>
        <w:ind w:left="102" w:right="119"/>
        <w:jc w:val="both"/>
      </w:pPr>
      <w:r>
        <w:rPr/>
        <w:t>El</w:t>
      </w:r>
      <w:r>
        <w:rPr>
          <w:spacing w:val="-6"/>
        </w:rPr>
        <w:t> </w:t>
      </w:r>
      <w:r>
        <w:rPr/>
        <w:t>Simetar,</w:t>
      </w:r>
      <w:r>
        <w:rPr>
          <w:spacing w:val="-6"/>
        </w:rPr>
        <w:t> </w:t>
      </w:r>
      <w:r>
        <w:rPr/>
        <w:t>es</w:t>
      </w:r>
      <w:r>
        <w:rPr>
          <w:spacing w:val="-6"/>
        </w:rPr>
        <w:t> </w:t>
      </w:r>
      <w:r>
        <w:rPr/>
        <w:t>un</w:t>
      </w:r>
      <w:r>
        <w:rPr>
          <w:spacing w:val="-6"/>
        </w:rPr>
        <w:t> </w:t>
      </w:r>
      <w:r>
        <w:rPr/>
        <w:t>lenguaje</w:t>
      </w:r>
      <w:r>
        <w:rPr>
          <w:spacing w:val="-7"/>
        </w:rPr>
        <w:t> </w:t>
      </w:r>
      <w:r>
        <w:rPr/>
        <w:t>de</w:t>
      </w:r>
      <w:r>
        <w:rPr>
          <w:spacing w:val="-7"/>
        </w:rPr>
        <w:t> </w:t>
      </w:r>
      <w:r>
        <w:rPr/>
        <w:t>simulación</w:t>
      </w:r>
      <w:r>
        <w:rPr>
          <w:spacing w:val="-6"/>
        </w:rPr>
        <w:t> </w:t>
      </w:r>
      <w:r>
        <w:rPr/>
        <w:t>por</w:t>
      </w:r>
      <w:r>
        <w:rPr>
          <w:spacing w:val="-7"/>
        </w:rPr>
        <w:t> </w:t>
      </w:r>
      <w:r>
        <w:rPr/>
        <w:t>escrito</w:t>
      </w:r>
      <w:r>
        <w:rPr>
          <w:spacing w:val="-6"/>
        </w:rPr>
        <w:t> </w:t>
      </w:r>
      <w:r>
        <w:rPr/>
        <w:t>para</w:t>
      </w:r>
      <w:r>
        <w:rPr>
          <w:spacing w:val="-8"/>
        </w:rPr>
        <w:t> </w:t>
      </w:r>
      <w:r>
        <w:rPr/>
        <w:t>los</w:t>
      </w:r>
      <w:r>
        <w:rPr>
          <w:spacing w:val="-6"/>
        </w:rPr>
        <w:t> </w:t>
      </w:r>
      <w:r>
        <w:rPr/>
        <w:t>analistas</w:t>
      </w:r>
      <w:r>
        <w:rPr>
          <w:spacing w:val="-6"/>
        </w:rPr>
        <w:t> </w:t>
      </w:r>
      <w:r>
        <w:rPr/>
        <w:t>de</w:t>
      </w:r>
      <w:r>
        <w:rPr>
          <w:spacing w:val="-7"/>
        </w:rPr>
        <w:t> </w:t>
      </w:r>
      <w:r>
        <w:rPr/>
        <w:t>riesgo,</w:t>
      </w:r>
      <w:r>
        <w:rPr>
          <w:spacing w:val="-6"/>
        </w:rPr>
        <w:t> </w:t>
      </w:r>
      <w:r>
        <w:rPr/>
        <w:t>proporciona un método para el análisis de datos, la simulación de efectos de riesgo, y presenta los resultados en un entorno fácil de usar como Microsoft Excel. Cualquier hoja de cálculo en Excel</w:t>
      </w:r>
      <w:r>
        <w:rPr>
          <w:spacing w:val="-8"/>
        </w:rPr>
        <w:t> </w:t>
      </w:r>
      <w:r>
        <w:rPr/>
        <w:t>puede</w:t>
      </w:r>
      <w:r>
        <w:rPr>
          <w:spacing w:val="-10"/>
        </w:rPr>
        <w:t> </w:t>
      </w:r>
      <w:r>
        <w:rPr/>
        <w:t>hacerse</w:t>
      </w:r>
      <w:r>
        <w:rPr>
          <w:spacing w:val="-10"/>
        </w:rPr>
        <w:t> </w:t>
      </w:r>
      <w:r>
        <w:rPr/>
        <w:t>estocástica</w:t>
      </w:r>
      <w:r>
        <w:rPr>
          <w:spacing w:val="-5"/>
        </w:rPr>
        <w:t> </w:t>
      </w:r>
      <w:r>
        <w:rPr/>
        <w:t>y</w:t>
      </w:r>
      <w:r>
        <w:rPr>
          <w:spacing w:val="-13"/>
        </w:rPr>
        <w:t> </w:t>
      </w:r>
      <w:r>
        <w:rPr/>
        <w:t>tener</w:t>
      </w:r>
      <w:r>
        <w:rPr>
          <w:spacing w:val="-9"/>
        </w:rPr>
        <w:t> </w:t>
      </w:r>
      <w:r>
        <w:rPr/>
        <w:t>propiedades</w:t>
      </w:r>
      <w:r>
        <w:rPr>
          <w:spacing w:val="-8"/>
        </w:rPr>
        <w:t> </w:t>
      </w:r>
      <w:r>
        <w:rPr/>
        <w:t>de</w:t>
      </w:r>
      <w:r>
        <w:rPr>
          <w:spacing w:val="-10"/>
        </w:rPr>
        <w:t> </w:t>
      </w:r>
      <w:r>
        <w:rPr/>
        <w:t>simulador</w:t>
      </w:r>
      <w:r>
        <w:rPr>
          <w:spacing w:val="-10"/>
        </w:rPr>
        <w:t> </w:t>
      </w:r>
      <w:r>
        <w:rPr/>
        <w:t>utilizando</w:t>
      </w:r>
      <w:r>
        <w:rPr>
          <w:spacing w:val="-9"/>
        </w:rPr>
        <w:t> </w:t>
      </w:r>
      <w:r>
        <w:rPr/>
        <w:t>las</w:t>
      </w:r>
      <w:r>
        <w:rPr>
          <w:spacing w:val="-9"/>
        </w:rPr>
        <w:t> </w:t>
      </w:r>
      <w:r>
        <w:rPr/>
        <w:t>funciones</w:t>
      </w:r>
      <w:r>
        <w:rPr>
          <w:spacing w:val="-9"/>
        </w:rPr>
        <w:t> </w:t>
      </w:r>
      <w:r>
        <w:rPr/>
        <w:t>de Simetar, el cual, requiere poca memoria adicional y funciona de manera eficiente en la mayoría de las PCs con Excel 2000, XP, 2007, 2010 y</w:t>
      </w:r>
      <w:r>
        <w:rPr>
          <w:spacing w:val="-8"/>
        </w:rPr>
        <w:t> </w:t>
      </w:r>
      <w:r>
        <w:rPr/>
        <w:t>2013.</w:t>
      </w:r>
    </w:p>
    <w:p>
      <w:pPr>
        <w:pStyle w:val="BodyText"/>
      </w:pPr>
    </w:p>
    <w:p>
      <w:pPr>
        <w:pStyle w:val="BodyText"/>
        <w:spacing w:line="360" w:lineRule="auto" w:before="143"/>
        <w:ind w:left="102" w:right="116"/>
        <w:jc w:val="both"/>
      </w:pPr>
      <w:r>
        <w:rPr/>
        <w:t>Un principio común de Simetar, es que todas las funciones son dinámicas, por lo que si se realizan cambios en los datos originales la mayoría de los parámetros, pruebas de hipótesis, regresiones, y las estrategias de clasificación de riesgo son automáticamente actualizadas. Esta característica del Simetar ofrece una significativa eficiencia durante el desarrollo, validación, verificación y aplicación en modelos de simulación estocástica.</w:t>
      </w:r>
    </w:p>
    <w:p>
      <w:pPr>
        <w:pStyle w:val="BodyText"/>
      </w:pPr>
    </w:p>
    <w:p>
      <w:pPr>
        <w:pStyle w:val="BodyText"/>
        <w:spacing w:line="360" w:lineRule="auto" w:before="143"/>
        <w:ind w:left="102" w:right="120"/>
        <w:jc w:val="both"/>
      </w:pPr>
      <w:r>
        <w:rPr/>
        <w:t>Simetar cuenta con más de 230 funciones las cuales se clasifican en seis grupos: (a) simulación de variables aleatorias, (b) estimación de parámetros y análisis estadísticos, (c) análisis</w:t>
      </w:r>
      <w:r>
        <w:rPr>
          <w:spacing w:val="-6"/>
        </w:rPr>
        <w:t> </w:t>
      </w:r>
      <w:r>
        <w:rPr/>
        <w:t>gráfico,</w:t>
      </w:r>
      <w:r>
        <w:rPr>
          <w:spacing w:val="-4"/>
        </w:rPr>
        <w:t> </w:t>
      </w:r>
      <w:r>
        <w:rPr/>
        <w:t>(d)</w:t>
      </w:r>
      <w:r>
        <w:rPr>
          <w:spacing w:val="-6"/>
        </w:rPr>
        <w:t> </w:t>
      </w:r>
      <w:r>
        <w:rPr/>
        <w:t>alternativas</w:t>
      </w:r>
      <w:r>
        <w:rPr>
          <w:spacing w:val="-6"/>
        </w:rPr>
        <w:t> </w:t>
      </w:r>
      <w:r>
        <w:rPr/>
        <w:t>de</w:t>
      </w:r>
      <w:r>
        <w:rPr>
          <w:spacing w:val="-7"/>
        </w:rPr>
        <w:t> </w:t>
      </w:r>
      <w:r>
        <w:rPr/>
        <w:t>riesgo,</w:t>
      </w:r>
      <w:r>
        <w:rPr>
          <w:spacing w:val="-6"/>
        </w:rPr>
        <w:t> </w:t>
      </w:r>
      <w:r>
        <w:rPr/>
        <w:t>(e)</w:t>
      </w:r>
      <w:r>
        <w:rPr>
          <w:spacing w:val="-7"/>
        </w:rPr>
        <w:t> </w:t>
      </w:r>
      <w:r>
        <w:rPr/>
        <w:t>manipulación</w:t>
      </w:r>
      <w:r>
        <w:rPr>
          <w:spacing w:val="-6"/>
        </w:rPr>
        <w:t> </w:t>
      </w:r>
      <w:r>
        <w:rPr/>
        <w:t>de</w:t>
      </w:r>
      <w:r>
        <w:rPr>
          <w:spacing w:val="-7"/>
        </w:rPr>
        <w:t> </w:t>
      </w:r>
      <w:r>
        <w:rPr/>
        <w:t>datos</w:t>
      </w:r>
      <w:r>
        <w:rPr>
          <w:spacing w:val="-2"/>
        </w:rPr>
        <w:t> </w:t>
      </w:r>
      <w:r>
        <w:rPr/>
        <w:t>y</w:t>
      </w:r>
      <w:r>
        <w:rPr>
          <w:spacing w:val="-10"/>
        </w:rPr>
        <w:t> </w:t>
      </w:r>
      <w:r>
        <w:rPr/>
        <w:t>análisis,</w:t>
      </w:r>
      <w:r>
        <w:rPr>
          <w:spacing w:val="-6"/>
        </w:rPr>
        <w:t> </w:t>
      </w:r>
      <w:r>
        <w:rPr/>
        <w:t>(f</w:t>
      </w:r>
      <w:r>
        <w:rPr>
          <w:spacing w:val="-8"/>
        </w:rPr>
        <w:t> </w:t>
      </w:r>
      <w:r>
        <w:rPr/>
        <w:t>)</w:t>
      </w:r>
      <w:r>
        <w:rPr>
          <w:spacing w:val="-5"/>
        </w:rPr>
        <w:t> </w:t>
      </w:r>
      <w:r>
        <w:rPr/>
        <w:t>regresión múltiple, y (g) predicción probabilística (Richardson,</w:t>
      </w:r>
      <w:r>
        <w:rPr>
          <w:spacing w:val="-14"/>
        </w:rPr>
        <w:t> </w:t>
      </w:r>
      <w:r>
        <w:rPr/>
        <w:t>2008).</w:t>
      </w:r>
    </w:p>
    <w:p>
      <w:pPr>
        <w:pStyle w:val="BodyText"/>
      </w:pPr>
    </w:p>
    <w:p>
      <w:pPr>
        <w:pStyle w:val="BodyText"/>
        <w:spacing w:line="360" w:lineRule="auto" w:before="143"/>
        <w:ind w:left="102" w:right="120"/>
        <w:jc w:val="both"/>
      </w:pPr>
      <w:r>
        <w:rPr/>
        <w:t>El</w:t>
      </w:r>
      <w:r>
        <w:rPr>
          <w:spacing w:val="-6"/>
        </w:rPr>
        <w:t> </w:t>
      </w:r>
      <w:r>
        <w:rPr/>
        <w:t>desarrollo</w:t>
      </w:r>
      <w:r>
        <w:rPr>
          <w:spacing w:val="-1"/>
        </w:rPr>
        <w:t> </w:t>
      </w:r>
      <w:r>
        <w:rPr/>
        <w:t>y</w:t>
      </w:r>
      <w:r>
        <w:rPr>
          <w:spacing w:val="-11"/>
        </w:rPr>
        <w:t> </w:t>
      </w:r>
      <w:r>
        <w:rPr/>
        <w:t>aplicación</w:t>
      </w:r>
      <w:r>
        <w:rPr>
          <w:spacing w:val="-4"/>
        </w:rPr>
        <w:t> </w:t>
      </w:r>
      <w:r>
        <w:rPr/>
        <w:t>de</w:t>
      </w:r>
      <w:r>
        <w:rPr>
          <w:spacing w:val="-7"/>
        </w:rPr>
        <w:t> </w:t>
      </w:r>
      <w:r>
        <w:rPr/>
        <w:t>un</w:t>
      </w:r>
      <w:r>
        <w:rPr>
          <w:spacing w:val="-6"/>
        </w:rPr>
        <w:t> </w:t>
      </w:r>
      <w:r>
        <w:rPr/>
        <w:t>modelo</w:t>
      </w:r>
      <w:r>
        <w:rPr>
          <w:spacing w:val="-6"/>
        </w:rPr>
        <w:t> </w:t>
      </w:r>
      <w:r>
        <w:rPr/>
        <w:t>estocástico</w:t>
      </w:r>
      <w:r>
        <w:rPr>
          <w:spacing w:val="-6"/>
        </w:rPr>
        <w:t> </w:t>
      </w:r>
      <w:r>
        <w:rPr/>
        <w:t>con</w:t>
      </w:r>
      <w:r>
        <w:rPr>
          <w:spacing w:val="-6"/>
        </w:rPr>
        <w:t> </w:t>
      </w:r>
      <w:r>
        <w:rPr/>
        <w:t>el</w:t>
      </w:r>
      <w:r>
        <w:rPr>
          <w:spacing w:val="-6"/>
        </w:rPr>
        <w:t> </w:t>
      </w:r>
      <w:r>
        <w:rPr/>
        <w:t>modelo</w:t>
      </w:r>
      <w:r>
        <w:rPr>
          <w:spacing w:val="-6"/>
        </w:rPr>
        <w:t> </w:t>
      </w:r>
      <w:r>
        <w:rPr/>
        <w:t>MexSim</w:t>
      </w:r>
      <w:r>
        <w:rPr>
          <w:spacing w:val="-8"/>
        </w:rPr>
        <w:t> </w:t>
      </w:r>
      <w:r>
        <w:rPr/>
        <w:t>tienen</w:t>
      </w:r>
      <w:r>
        <w:rPr>
          <w:spacing w:val="-6"/>
        </w:rPr>
        <w:t> </w:t>
      </w:r>
      <w:r>
        <w:rPr/>
        <w:t>diferentes etapas que se deben cumplir para generar un modelo adecuado en la predicción de eventos económicos</w:t>
      </w:r>
      <w:r>
        <w:rPr>
          <w:spacing w:val="-9"/>
        </w:rPr>
        <w:t> </w:t>
      </w:r>
      <w:r>
        <w:rPr/>
        <w:t>de</w:t>
      </w:r>
      <w:r>
        <w:rPr>
          <w:spacing w:val="-8"/>
        </w:rPr>
        <w:t> </w:t>
      </w:r>
      <w:r>
        <w:rPr/>
        <w:t>un</w:t>
      </w:r>
      <w:r>
        <w:rPr>
          <w:spacing w:val="-10"/>
        </w:rPr>
        <w:t> </w:t>
      </w:r>
      <w:r>
        <w:rPr/>
        <w:t>sistema</w:t>
      </w:r>
      <w:r>
        <w:rPr>
          <w:spacing w:val="-10"/>
        </w:rPr>
        <w:t> </w:t>
      </w:r>
      <w:r>
        <w:rPr/>
        <w:t>de</w:t>
      </w:r>
      <w:r>
        <w:rPr>
          <w:spacing w:val="-10"/>
        </w:rPr>
        <w:t> </w:t>
      </w:r>
      <w:r>
        <w:rPr/>
        <w:t>producción.</w:t>
      </w:r>
      <w:r>
        <w:rPr>
          <w:spacing w:val="-7"/>
        </w:rPr>
        <w:t> </w:t>
      </w:r>
      <w:r>
        <w:rPr/>
        <w:t>Estas</w:t>
      </w:r>
      <w:r>
        <w:rPr>
          <w:spacing w:val="-10"/>
        </w:rPr>
        <w:t> </w:t>
      </w:r>
      <w:r>
        <w:rPr/>
        <w:t>etapas</w:t>
      </w:r>
      <w:r>
        <w:rPr>
          <w:spacing w:val="-9"/>
        </w:rPr>
        <w:t> </w:t>
      </w:r>
      <w:r>
        <w:rPr/>
        <w:t>se</w:t>
      </w:r>
      <w:r>
        <w:rPr>
          <w:spacing w:val="-8"/>
        </w:rPr>
        <w:t> </w:t>
      </w:r>
      <w:r>
        <w:rPr/>
        <w:t>pueden</w:t>
      </w:r>
      <w:r>
        <w:rPr>
          <w:spacing w:val="-8"/>
        </w:rPr>
        <w:t> </w:t>
      </w:r>
      <w:r>
        <w:rPr/>
        <w:t>clasificar</w:t>
      </w:r>
      <w:r>
        <w:rPr>
          <w:spacing w:val="-8"/>
        </w:rPr>
        <w:t> </w:t>
      </w:r>
      <w:r>
        <w:rPr/>
        <w:t>en</w:t>
      </w:r>
      <w:r>
        <w:rPr>
          <w:spacing w:val="-10"/>
        </w:rPr>
        <w:t> </w:t>
      </w:r>
      <w:r>
        <w:rPr/>
        <w:t>programación, validación</w:t>
      </w:r>
      <w:r>
        <w:rPr>
          <w:spacing w:val="-3"/>
        </w:rPr>
        <w:t> </w:t>
      </w:r>
      <w:r>
        <w:rPr/>
        <w:t>y</w:t>
      </w:r>
      <w:r>
        <w:rPr>
          <w:spacing w:val="-13"/>
        </w:rPr>
        <w:t> </w:t>
      </w:r>
      <w:r>
        <w:rPr/>
        <w:t>verificación,</w:t>
      </w:r>
      <w:r>
        <w:rPr>
          <w:spacing w:val="-6"/>
        </w:rPr>
        <w:t> </w:t>
      </w:r>
      <w:r>
        <w:rPr/>
        <w:t>así</w:t>
      </w:r>
      <w:r>
        <w:rPr>
          <w:spacing w:val="-8"/>
        </w:rPr>
        <w:t> </w:t>
      </w:r>
      <w:r>
        <w:rPr/>
        <w:t>como</w:t>
      </w:r>
      <w:r>
        <w:rPr>
          <w:spacing w:val="-6"/>
        </w:rPr>
        <w:t> </w:t>
      </w:r>
      <w:r>
        <w:rPr/>
        <w:t>el</w:t>
      </w:r>
      <w:r>
        <w:rPr>
          <w:spacing w:val="-6"/>
        </w:rPr>
        <w:t> </w:t>
      </w:r>
      <w:r>
        <w:rPr/>
        <w:t>análisis</w:t>
      </w:r>
      <w:r>
        <w:rPr>
          <w:spacing w:val="-8"/>
        </w:rPr>
        <w:t> </w:t>
      </w:r>
      <w:r>
        <w:rPr/>
        <w:t>de</w:t>
      </w:r>
      <w:r>
        <w:rPr>
          <w:spacing w:val="-10"/>
        </w:rPr>
        <w:t> </w:t>
      </w:r>
      <w:r>
        <w:rPr/>
        <w:t>las</w:t>
      </w:r>
      <w:r>
        <w:rPr>
          <w:spacing w:val="-8"/>
        </w:rPr>
        <w:t> </w:t>
      </w:r>
      <w:r>
        <w:rPr/>
        <w:t>variables</w:t>
      </w:r>
      <w:r>
        <w:rPr>
          <w:spacing w:val="-7"/>
        </w:rPr>
        <w:t> </w:t>
      </w:r>
      <w:r>
        <w:rPr/>
        <w:t>de</w:t>
      </w:r>
      <w:r>
        <w:rPr>
          <w:spacing w:val="-7"/>
        </w:rPr>
        <w:t> </w:t>
      </w:r>
      <w:r>
        <w:rPr/>
        <w:t>riesgo</w:t>
      </w:r>
      <w:r>
        <w:rPr>
          <w:spacing w:val="-9"/>
        </w:rPr>
        <w:t> </w:t>
      </w:r>
      <w:r>
        <w:rPr/>
        <w:t>que</w:t>
      </w:r>
      <w:r>
        <w:rPr>
          <w:spacing w:val="-7"/>
        </w:rPr>
        <w:t> </w:t>
      </w:r>
      <w:r>
        <w:rPr/>
        <w:t>utiliza</w:t>
      </w:r>
      <w:r>
        <w:rPr>
          <w:spacing w:val="-10"/>
        </w:rPr>
        <w:t> </w:t>
      </w:r>
      <w:r>
        <w:rPr/>
        <w:t>el</w:t>
      </w:r>
      <w:r>
        <w:rPr>
          <w:spacing w:val="-8"/>
        </w:rPr>
        <w:t> </w:t>
      </w:r>
      <w:r>
        <w:rPr/>
        <w:t>modelo para simular el comportamiento económico y financiero en un horizonte de planeación futuro. En la siguiente sección se describe cada una de estas</w:t>
      </w:r>
      <w:r>
        <w:rPr>
          <w:spacing w:val="-12"/>
        </w:rPr>
        <w:t> </w:t>
      </w:r>
      <w:r>
        <w:rPr/>
        <w:t>etapas.</w:t>
      </w:r>
    </w:p>
    <w:p>
      <w:pPr>
        <w:spacing w:after="0" w:line="360" w:lineRule="auto"/>
        <w:jc w:val="both"/>
        <w:sectPr>
          <w:footerReference w:type="default" r:id="rId86"/>
          <w:pgSz w:w="12240" w:h="15840"/>
          <w:pgMar w:footer="657" w:header="0" w:top="1360" w:bottom="840" w:left="1600" w:right="1580"/>
          <w:pgNumType w:start="61"/>
        </w:sectPr>
      </w:pPr>
    </w:p>
    <w:p>
      <w:pPr>
        <w:pStyle w:val="Heading2"/>
        <w:numPr>
          <w:ilvl w:val="2"/>
          <w:numId w:val="18"/>
        </w:numPr>
        <w:tabs>
          <w:tab w:pos="662" w:val="left" w:leader="none"/>
        </w:tabs>
        <w:spacing w:line="240" w:lineRule="auto" w:before="55" w:after="0"/>
        <w:ind w:left="662" w:right="0" w:hanging="540"/>
        <w:jc w:val="both"/>
        <w:rPr>
          <w:i/>
        </w:rPr>
      </w:pPr>
      <w:bookmarkStart w:name="_TOC_250014" w:id="28"/>
      <w:r>
        <w:rPr>
          <w:i/>
        </w:rPr>
        <w:t>Programación de un modelo</w:t>
      </w:r>
      <w:r>
        <w:rPr>
          <w:i/>
          <w:spacing w:val="-4"/>
        </w:rPr>
        <w:t> </w:t>
      </w:r>
      <w:bookmarkEnd w:id="28"/>
      <w:r>
        <w:rPr>
          <w:i/>
        </w:rPr>
        <w:t>estocástico</w:t>
      </w:r>
    </w:p>
    <w:p>
      <w:pPr>
        <w:pStyle w:val="BodyText"/>
        <w:rPr>
          <w:b/>
          <w:i/>
        </w:rPr>
      </w:pPr>
    </w:p>
    <w:p>
      <w:pPr>
        <w:pStyle w:val="BodyText"/>
        <w:spacing w:before="7"/>
        <w:rPr>
          <w:b/>
          <w:i/>
          <w:sz w:val="23"/>
        </w:rPr>
      </w:pPr>
    </w:p>
    <w:p>
      <w:pPr>
        <w:pStyle w:val="BodyText"/>
        <w:spacing w:line="360" w:lineRule="auto"/>
        <w:ind w:left="122" w:right="136"/>
        <w:jc w:val="both"/>
      </w:pPr>
      <w:r>
        <w:rPr/>
        <w:t>El desarrollo de un modelo estocástico, se programa y analiza mejor cuando se trabaja un enfoque de arriba hacia abajo. En la Figura 13, se ilustra la mejor manera de construir y simular un modelo estocástico. El modelo debe ser diseñado de arriba hacia abajo, y programado de abajo hacia arriba para obtener mejores resultados (Richardson, 2007).</w:t>
      </w:r>
    </w:p>
    <w:p>
      <w:pPr>
        <w:pStyle w:val="BodyText"/>
        <w:spacing w:before="1"/>
        <w:rPr>
          <w:sz w:val="17"/>
        </w:rPr>
      </w:pPr>
      <w:r>
        <w:rPr/>
        <w:pict>
          <v:group style="position:absolute;margin-left:84.417pt;margin-top:11.799778pt;width:443.85pt;height:250.9pt;mso-position-horizontal-relative:page;mso-position-vertical-relative:paragraph;z-index:3136;mso-wrap-distance-left:0;mso-wrap-distance-right:0" coordorigin="1688,236" coordsize="8877,5018">
            <v:shape style="position:absolute;left:5208;top:451;width:1867;height:1070" type="#_x0000_t75" stroked="false">
              <v:imagedata r:id="rId87" o:title=""/>
            </v:shape>
            <v:shape style="position:absolute;left:4344;top:1382;width:3593;height:1073" type="#_x0000_t75" stroked="false">
              <v:imagedata r:id="rId88" o:title=""/>
            </v:shape>
            <v:shape style="position:absolute;left:3480;top:2316;width:5321;height:1073" type="#_x0000_t75" stroked="false">
              <v:imagedata r:id="rId89" o:title=""/>
            </v:shape>
            <v:shape style="position:absolute;left:2616;top:3249;width:7049;height:1116" type="#_x0000_t75" stroked="false">
              <v:imagedata r:id="rId90" o:title=""/>
            </v:shape>
            <v:shape style="position:absolute;left:1752;top:4180;width:8777;height:1073" type="#_x0000_t75" stroked="false">
              <v:imagedata r:id="rId91" o:title=""/>
            </v:shape>
            <v:shape style="position:absolute;left:1688;top:275;width:4293;height:4618" coordorigin="1688,275" coordsize="4293,4618" path="m1740,4703l1729,4709,1688,4893,1740,4877,1731,4877,1701,4849,1752,4794,1769,4718,1762,4707,1740,4703xm1752,4794l1701,4849,1731,4877,1740,4868,1736,4868,1710,4844,1743,4833,1752,4794xm1856,4799l1782,4822,1731,4877,1740,4877,1868,4838,1874,4827,1868,4805,1856,4799xm1743,4833l1710,4844,1736,4868,1743,4833xm1782,4822l1743,4833,1736,4868,1740,4868,1782,4822xm5950,275l1752,4794,1743,4833,1782,4822,5980,303,5950,275xe" filled="true" fillcolor="#4f81bc" stroked="false">
              <v:path arrowok="t"/>
              <v:fill type="solid"/>
            </v:shape>
            <v:shape style="position:absolute;left:6263;top:236;width:4302;height:4671" coordorigin="6263,236" coordsize="4302,4671" path="m6317,295l6326,335,10535,4907,10565,4879,6356,307,6317,295xm6263,236l6301,408,6303,420,6314,426,6336,422,6343,411,6326,335,6275,279,6305,252,6314,252,6263,236xm6305,252l6275,279,6326,335,6317,295,6284,285,6310,261,6314,261,6305,252xm6314,252l6305,252,6356,307,6420,327,6430,330,6442,324,6445,313,6448,303,6442,291,6432,288,6314,252xm6314,261l6310,261,6317,295,6356,307,6314,261xm6310,261l6284,285,6317,295,6310,261xe" filled="true" fillcolor="#4f81bc" stroked="false">
              <v:path arrowok="t"/>
              <v:fill type="solid"/>
            </v:shape>
            <v:shape style="position:absolute;left:2970;top:1843;width:1182;height:1287" coordorigin="2970,1843" coordsize="1182,1287" path="m3859,1843l2970,2878,3263,3129,4152,2094,3859,1843xe" filled="true" fillcolor="#ffffff" stroked="false">
              <v:path arrowok="t"/>
              <v:fill type="solid"/>
            </v:shape>
            <v:shape style="position:absolute;left:3033;top:1898;width:1056;height:1177" type="#_x0000_t75" stroked="false">
              <v:imagedata r:id="rId92" o:title=""/>
            </v:shape>
            <v:shape style="position:absolute;left:3208;top:2203;width:661;height:720" type="#_x0000_t75" stroked="false">
              <v:imagedata r:id="rId93" o:title=""/>
            </v:shape>
            <v:shape style="position:absolute;left:8270;top:2017;width:1183;height:1286" coordorigin="8270,2017" coordsize="1183,1286" path="m8562,2017l8270,2269,9160,3303,9452,3051,8562,2017xe" filled="true" fillcolor="#ffffff" stroked="false">
              <v:path arrowok="t"/>
              <v:fill type="solid"/>
            </v:shape>
            <v:shape style="position:absolute;left:8332;top:2069;width:1060;height:1177" type="#_x0000_t75" stroked="false">
              <v:imagedata r:id="rId94" o:title=""/>
            </v:shape>
            <v:shape style="position:absolute;left:8445;top:2244;width:568;height:636" type="#_x0000_t75" stroked="false">
              <v:imagedata r:id="rId95" o:title=""/>
            </v:shape>
            <v:shape style="position:absolute;left:5906;top:831;width:467;height:240" type="#_x0000_t202" filled="false" stroked="false">
              <v:textbox inset="0,0,0,0">
                <w:txbxContent>
                  <w:p>
                    <w:pPr>
                      <w:spacing w:line="240" w:lineRule="exact" w:before="0"/>
                      <w:ind w:left="0" w:right="-20" w:firstLine="0"/>
                      <w:jc w:val="left"/>
                      <w:rPr>
                        <w:sz w:val="24"/>
                      </w:rPr>
                    </w:pPr>
                    <w:r>
                      <w:rPr>
                        <w:sz w:val="24"/>
                      </w:rPr>
                      <w:t>VSC</w:t>
                    </w:r>
                  </w:p>
                </w:txbxContent>
              </v:textbox>
              <w10:wrap type="none"/>
            </v:shape>
            <v:shape style="position:absolute;left:5076;top:1763;width:2129;height:240" type="#_x0000_t202" filled="false" stroked="false">
              <v:textbox inset="0,0,0,0">
                <w:txbxContent>
                  <w:p>
                    <w:pPr>
                      <w:spacing w:line="240" w:lineRule="exact" w:before="0"/>
                      <w:ind w:left="0" w:right="-16" w:firstLine="0"/>
                      <w:jc w:val="left"/>
                      <w:rPr>
                        <w:sz w:val="24"/>
                      </w:rPr>
                    </w:pPr>
                    <w:r>
                      <w:rPr>
                        <w:sz w:val="24"/>
                      </w:rPr>
                      <w:t>Análisis de</w:t>
                    </w:r>
                    <w:r>
                      <w:rPr>
                        <w:spacing w:val="-8"/>
                        <w:sz w:val="24"/>
                      </w:rPr>
                      <w:t> </w:t>
                    </w:r>
                    <w:r>
                      <w:rPr>
                        <w:sz w:val="24"/>
                      </w:rPr>
                      <w:t>escenarios</w:t>
                    </w:r>
                  </w:p>
                </w:txbxContent>
              </v:textbox>
              <w10:wrap type="none"/>
            </v:shape>
            <v:shape style="position:absolute;left:3955;top:2572;width:4370;height:1546" type="#_x0000_t202" filled="false" stroked="false">
              <v:textbox inset="0,0,0,0">
                <w:txbxContent>
                  <w:p>
                    <w:pPr>
                      <w:spacing w:line="216" w:lineRule="auto" w:before="0"/>
                      <w:ind w:left="559" w:right="554" w:firstLine="0"/>
                      <w:jc w:val="center"/>
                      <w:rPr>
                        <w:sz w:val="24"/>
                      </w:rPr>
                    </w:pPr>
                    <w:r>
                      <w:rPr>
                        <w:sz w:val="24"/>
                      </w:rPr>
                      <w:t>El modelo se completa simulando 500 iteracciones</w:t>
                    </w:r>
                  </w:p>
                  <w:p>
                    <w:pPr>
                      <w:spacing w:line="240" w:lineRule="auto" w:before="2"/>
                      <w:rPr>
                        <w:sz w:val="27"/>
                      </w:rPr>
                    </w:pPr>
                  </w:p>
                  <w:p>
                    <w:pPr>
                      <w:spacing w:line="216" w:lineRule="auto" w:before="0"/>
                      <w:ind w:left="0" w:right="0" w:firstLine="0"/>
                      <w:jc w:val="center"/>
                      <w:rPr>
                        <w:sz w:val="24"/>
                      </w:rPr>
                    </w:pPr>
                    <w:r>
                      <w:rPr>
                        <w:sz w:val="24"/>
                      </w:rPr>
                      <w:t>Las distribuciones de probabilidad su usan</w:t>
                    </w:r>
                    <w:r>
                      <w:rPr>
                        <w:spacing w:val="-9"/>
                        <w:sz w:val="24"/>
                      </w:rPr>
                      <w:t> </w:t>
                    </w:r>
                    <w:r>
                      <w:rPr>
                        <w:sz w:val="24"/>
                      </w:rPr>
                      <w:t>en las ecuaciones contables y financieras a calcular</w:t>
                    </w:r>
                  </w:p>
                </w:txbxContent>
              </v:textbox>
              <w10:wrap type="none"/>
            </v:shape>
            <v:shape style="position:absolute;left:5100;top:4562;width:2083;height:240" type="#_x0000_t202" filled="false" stroked="false">
              <v:textbox inset="0,0,0,0">
                <w:txbxContent>
                  <w:p>
                    <w:pPr>
                      <w:spacing w:line="240" w:lineRule="exact" w:before="0"/>
                      <w:ind w:left="0" w:right="-10" w:firstLine="0"/>
                      <w:jc w:val="left"/>
                      <w:rPr>
                        <w:sz w:val="24"/>
                      </w:rPr>
                    </w:pPr>
                    <w:r>
                      <w:rPr>
                        <w:spacing w:val="-4"/>
                        <w:sz w:val="24"/>
                      </w:rPr>
                      <w:t>Variables </w:t>
                    </w:r>
                    <w:r>
                      <w:rPr>
                        <w:sz w:val="24"/>
                      </w:rPr>
                      <w:t>estocásticas</w:t>
                    </w:r>
                  </w:p>
                </w:txbxContent>
              </v:textbox>
              <w10:wrap type="none"/>
            </v:shape>
            <w10:wrap type="topAndBottom"/>
          </v:group>
        </w:pict>
      </w:r>
    </w:p>
    <w:p>
      <w:pPr>
        <w:spacing w:before="165"/>
        <w:ind w:left="5911" w:right="8" w:firstLine="0"/>
        <w:jc w:val="left"/>
        <w:rPr>
          <w:sz w:val="20"/>
        </w:rPr>
      </w:pPr>
      <w:r>
        <w:rPr>
          <w:sz w:val="20"/>
        </w:rPr>
        <w:t>Fuente: Modificado de Danielle, 2008</w:t>
      </w:r>
    </w:p>
    <w:p>
      <w:pPr>
        <w:pStyle w:val="BodyText"/>
        <w:rPr>
          <w:sz w:val="20"/>
        </w:rPr>
      </w:pPr>
    </w:p>
    <w:p>
      <w:pPr>
        <w:pStyle w:val="BodyText"/>
        <w:spacing w:before="11"/>
        <w:rPr>
          <w:sz w:val="19"/>
        </w:rPr>
      </w:pPr>
    </w:p>
    <w:p>
      <w:pPr>
        <w:pStyle w:val="BodyText"/>
        <w:ind w:left="122"/>
        <w:jc w:val="both"/>
      </w:pPr>
      <w:r>
        <w:rPr/>
        <w:pict>
          <v:line style="position:absolute;mso-position-horizontal-relative:page;mso-position-vertical-relative:paragraph;z-index:-460624" from="85.139999pt,.273129pt" to="526.789999pt,.273129pt" stroked="true" strokeweight="2.04pt" strokecolor="#000000">
            <w10:wrap type="none"/>
          </v:line>
        </w:pict>
      </w:r>
      <w:r>
        <w:rPr>
          <w:b/>
        </w:rPr>
        <w:t>Figura 13. </w:t>
      </w:r>
      <w:r>
        <w:rPr/>
        <w:t>Pasos para programar un modelo de simulación con el programa MexSim.</w:t>
      </w:r>
    </w:p>
    <w:p>
      <w:pPr>
        <w:pStyle w:val="BodyText"/>
      </w:pPr>
    </w:p>
    <w:p>
      <w:pPr>
        <w:pStyle w:val="BodyText"/>
        <w:spacing w:before="4"/>
      </w:pPr>
    </w:p>
    <w:p>
      <w:pPr>
        <w:pStyle w:val="Heading2"/>
        <w:numPr>
          <w:ilvl w:val="2"/>
          <w:numId w:val="18"/>
        </w:numPr>
        <w:tabs>
          <w:tab w:pos="665" w:val="left" w:leader="none"/>
        </w:tabs>
        <w:spacing w:line="240" w:lineRule="auto" w:before="1" w:after="0"/>
        <w:ind w:left="664" w:right="0" w:hanging="542"/>
        <w:jc w:val="both"/>
        <w:rPr>
          <w:i/>
        </w:rPr>
      </w:pPr>
      <w:bookmarkStart w:name="_TOC_250013" w:id="29"/>
      <w:r>
        <w:rPr>
          <w:i/>
        </w:rPr>
        <w:t>Verificación y validación del</w:t>
      </w:r>
      <w:r>
        <w:rPr>
          <w:i/>
          <w:spacing w:val="-7"/>
        </w:rPr>
        <w:t> </w:t>
      </w:r>
      <w:bookmarkEnd w:id="29"/>
      <w:r>
        <w:rPr>
          <w:i/>
        </w:rPr>
        <w:t>modelo</w:t>
      </w:r>
    </w:p>
    <w:p>
      <w:pPr>
        <w:pStyle w:val="BodyText"/>
        <w:rPr>
          <w:b/>
          <w:i/>
        </w:rPr>
      </w:pPr>
    </w:p>
    <w:p>
      <w:pPr>
        <w:pStyle w:val="BodyText"/>
        <w:spacing w:before="7"/>
        <w:rPr>
          <w:b/>
          <w:i/>
          <w:sz w:val="23"/>
        </w:rPr>
      </w:pPr>
    </w:p>
    <w:p>
      <w:pPr>
        <w:pStyle w:val="BodyText"/>
        <w:spacing w:line="360" w:lineRule="auto"/>
        <w:ind w:left="122" w:right="132"/>
        <w:jc w:val="both"/>
      </w:pPr>
      <w:r>
        <w:rPr/>
        <w:t>La verificación y validación del modelo es clave para asegurar que los resultados sean confiables y tener elementos concretos en la toma de decisiones. Este proceso se produce en la etapa de desarrollo y simulación. </w:t>
      </w:r>
      <w:r>
        <w:rPr>
          <w:spacing w:val="-3"/>
        </w:rPr>
        <w:t>La </w:t>
      </w:r>
      <w:r>
        <w:rPr/>
        <w:t>verificación es el proceso donde se prueba que cada ecuación</w:t>
      </w:r>
      <w:r>
        <w:rPr>
          <w:spacing w:val="-3"/>
        </w:rPr>
        <w:t> </w:t>
      </w:r>
      <w:r>
        <w:rPr/>
        <w:t>en</w:t>
      </w:r>
      <w:r>
        <w:rPr>
          <w:spacing w:val="-4"/>
        </w:rPr>
        <w:t> </w:t>
      </w:r>
      <w:r>
        <w:rPr/>
        <w:t>el</w:t>
      </w:r>
      <w:r>
        <w:rPr>
          <w:spacing w:val="-3"/>
        </w:rPr>
        <w:t> </w:t>
      </w:r>
      <w:r>
        <w:rPr/>
        <w:t>modelo</w:t>
      </w:r>
      <w:r>
        <w:rPr>
          <w:spacing w:val="-4"/>
        </w:rPr>
        <w:t> </w:t>
      </w:r>
      <w:r>
        <w:rPr/>
        <w:t>se</w:t>
      </w:r>
      <w:r>
        <w:rPr>
          <w:spacing w:val="-5"/>
        </w:rPr>
        <w:t> </w:t>
      </w:r>
      <w:r>
        <w:rPr/>
        <w:t>calcula</w:t>
      </w:r>
      <w:r>
        <w:rPr>
          <w:spacing w:val="-5"/>
        </w:rPr>
        <w:t> </w:t>
      </w:r>
      <w:r>
        <w:rPr/>
        <w:t>correctamente,</w:t>
      </w:r>
      <w:r>
        <w:rPr>
          <w:spacing w:val="-4"/>
        </w:rPr>
        <w:t> </w:t>
      </w:r>
      <w:r>
        <w:rPr/>
        <w:t>así,</w:t>
      </w:r>
      <w:r>
        <w:rPr>
          <w:spacing w:val="-4"/>
        </w:rPr>
        <w:t> </w:t>
      </w:r>
      <w:r>
        <w:rPr/>
        <w:t>como</w:t>
      </w:r>
      <w:r>
        <w:rPr>
          <w:spacing w:val="-3"/>
        </w:rPr>
        <w:t> </w:t>
      </w:r>
      <w:r>
        <w:rPr/>
        <w:t>el</w:t>
      </w:r>
      <w:r>
        <w:rPr>
          <w:spacing w:val="-3"/>
        </w:rPr>
        <w:t> </w:t>
      </w:r>
      <w:r>
        <w:rPr/>
        <w:t>control</w:t>
      </w:r>
      <w:r>
        <w:rPr>
          <w:spacing w:val="-4"/>
        </w:rPr>
        <w:t> </w:t>
      </w:r>
      <w:r>
        <w:rPr/>
        <w:t>de</w:t>
      </w:r>
      <w:r>
        <w:rPr>
          <w:spacing w:val="-5"/>
        </w:rPr>
        <w:t> </w:t>
      </w:r>
      <w:r>
        <w:rPr/>
        <w:t>la</w:t>
      </w:r>
      <w:r>
        <w:rPr>
          <w:spacing w:val="-4"/>
        </w:rPr>
        <w:t> </w:t>
      </w:r>
      <w:r>
        <w:rPr/>
        <w:t>lógica</w:t>
      </w:r>
      <w:r>
        <w:rPr>
          <w:spacing w:val="-5"/>
        </w:rPr>
        <w:t> </w:t>
      </w:r>
      <w:r>
        <w:rPr/>
        <w:t>del</w:t>
      </w:r>
      <w:r>
        <w:rPr>
          <w:spacing w:val="-3"/>
        </w:rPr>
        <w:t> </w:t>
      </w:r>
      <w:r>
        <w:rPr/>
        <w:t>modelo para asegurar que todas las ecuaciones se especifican adecuadamente. Es decir, la verificación</w:t>
      </w:r>
      <w:r>
        <w:rPr>
          <w:spacing w:val="34"/>
        </w:rPr>
        <w:t> </w:t>
      </w:r>
      <w:r>
        <w:rPr/>
        <w:t>es</w:t>
      </w:r>
      <w:r>
        <w:rPr>
          <w:spacing w:val="34"/>
        </w:rPr>
        <w:t> </w:t>
      </w:r>
      <w:r>
        <w:rPr/>
        <w:t>el</w:t>
      </w:r>
      <w:r>
        <w:rPr>
          <w:spacing w:val="34"/>
        </w:rPr>
        <w:t> </w:t>
      </w:r>
      <w:r>
        <w:rPr/>
        <w:t>proceso</w:t>
      </w:r>
      <w:r>
        <w:rPr>
          <w:spacing w:val="33"/>
        </w:rPr>
        <w:t> </w:t>
      </w:r>
      <w:r>
        <w:rPr/>
        <w:t>mediante</w:t>
      </w:r>
      <w:r>
        <w:rPr>
          <w:spacing w:val="33"/>
        </w:rPr>
        <w:t> </w:t>
      </w:r>
      <w:r>
        <w:rPr/>
        <w:t>el</w:t>
      </w:r>
      <w:r>
        <w:rPr>
          <w:spacing w:val="34"/>
        </w:rPr>
        <w:t> </w:t>
      </w:r>
      <w:r>
        <w:rPr/>
        <w:t>cual</w:t>
      </w:r>
      <w:r>
        <w:rPr>
          <w:spacing w:val="34"/>
        </w:rPr>
        <w:t> </w:t>
      </w:r>
      <w:r>
        <w:rPr/>
        <w:t>se</w:t>
      </w:r>
      <w:r>
        <w:rPr>
          <w:spacing w:val="33"/>
        </w:rPr>
        <w:t> </w:t>
      </w:r>
      <w:r>
        <w:rPr/>
        <w:t>confirma</w:t>
      </w:r>
      <w:r>
        <w:rPr>
          <w:spacing w:val="36"/>
        </w:rPr>
        <w:t> </w:t>
      </w:r>
      <w:r>
        <w:rPr/>
        <w:t>la</w:t>
      </w:r>
      <w:r>
        <w:rPr>
          <w:spacing w:val="33"/>
        </w:rPr>
        <w:t> </w:t>
      </w:r>
      <w:r>
        <w:rPr/>
        <w:t>precisión</w:t>
      </w:r>
      <w:r>
        <w:rPr>
          <w:spacing w:val="33"/>
        </w:rPr>
        <w:t> </w:t>
      </w:r>
      <w:r>
        <w:rPr/>
        <w:t>de</w:t>
      </w:r>
      <w:r>
        <w:rPr>
          <w:spacing w:val="35"/>
        </w:rPr>
        <w:t> </w:t>
      </w:r>
      <w:r>
        <w:rPr/>
        <w:t>las</w:t>
      </w:r>
      <w:r>
        <w:rPr>
          <w:spacing w:val="33"/>
        </w:rPr>
        <w:t> </w:t>
      </w:r>
      <w:r>
        <w:rPr/>
        <w:t>ecuaciones</w:t>
      </w:r>
      <w:r>
        <w:rPr>
          <w:spacing w:val="38"/>
        </w:rPr>
        <w:t> </w:t>
      </w:r>
      <w:r>
        <w:rPr/>
        <w:t>y</w:t>
      </w:r>
    </w:p>
    <w:p>
      <w:pPr>
        <w:spacing w:after="0" w:line="360" w:lineRule="auto"/>
        <w:jc w:val="both"/>
        <w:sectPr>
          <w:pgSz w:w="12240" w:h="15840"/>
          <w:pgMar w:header="0" w:footer="657" w:top="1360" w:bottom="840" w:left="1580" w:right="1560"/>
        </w:sectPr>
      </w:pPr>
    </w:p>
    <w:p>
      <w:pPr>
        <w:pStyle w:val="BodyText"/>
        <w:spacing w:line="362" w:lineRule="auto" w:before="50"/>
        <w:ind w:left="122" w:right="138"/>
        <w:jc w:val="both"/>
      </w:pPr>
      <w:r>
        <w:rPr/>
        <w:t>fiabilidad</w:t>
      </w:r>
      <w:r>
        <w:rPr>
          <w:spacing w:val="-5"/>
        </w:rPr>
        <w:t> </w:t>
      </w:r>
      <w:r>
        <w:rPr/>
        <w:t>del</w:t>
      </w:r>
      <w:r>
        <w:rPr>
          <w:spacing w:val="-4"/>
        </w:rPr>
        <w:t> </w:t>
      </w:r>
      <w:r>
        <w:rPr/>
        <w:t>modelo.</w:t>
      </w:r>
      <w:r>
        <w:rPr>
          <w:spacing w:val="-5"/>
        </w:rPr>
        <w:t> </w:t>
      </w:r>
      <w:r>
        <w:rPr/>
        <w:t>La</w:t>
      </w:r>
      <w:r>
        <w:rPr>
          <w:spacing w:val="-4"/>
        </w:rPr>
        <w:t> </w:t>
      </w:r>
      <w:r>
        <w:rPr/>
        <w:t>validación</w:t>
      </w:r>
      <w:r>
        <w:rPr>
          <w:spacing w:val="-4"/>
        </w:rPr>
        <w:t> </w:t>
      </w:r>
      <w:r>
        <w:rPr/>
        <w:t>es</w:t>
      </w:r>
      <w:r>
        <w:rPr>
          <w:spacing w:val="-5"/>
        </w:rPr>
        <w:t> </w:t>
      </w:r>
      <w:r>
        <w:rPr/>
        <w:t>el</w:t>
      </w:r>
      <w:r>
        <w:rPr>
          <w:spacing w:val="-4"/>
        </w:rPr>
        <w:t> </w:t>
      </w:r>
      <w:r>
        <w:rPr/>
        <w:t>proceso</w:t>
      </w:r>
      <w:r>
        <w:rPr>
          <w:spacing w:val="-5"/>
        </w:rPr>
        <w:t> </w:t>
      </w:r>
      <w:r>
        <w:rPr/>
        <w:t>de</w:t>
      </w:r>
      <w:r>
        <w:rPr>
          <w:spacing w:val="-6"/>
        </w:rPr>
        <w:t> </w:t>
      </w:r>
      <w:r>
        <w:rPr/>
        <w:t>comprobar</w:t>
      </w:r>
      <w:r>
        <w:rPr>
          <w:spacing w:val="-6"/>
        </w:rPr>
        <w:t> </w:t>
      </w:r>
      <w:r>
        <w:rPr/>
        <w:t>la</w:t>
      </w:r>
      <w:r>
        <w:rPr>
          <w:spacing w:val="-5"/>
        </w:rPr>
        <w:t> </w:t>
      </w:r>
      <w:r>
        <w:rPr/>
        <w:t>precisión</w:t>
      </w:r>
      <w:r>
        <w:rPr>
          <w:spacing w:val="-5"/>
        </w:rPr>
        <w:t> </w:t>
      </w:r>
      <w:r>
        <w:rPr/>
        <w:t>de</w:t>
      </w:r>
      <w:r>
        <w:rPr>
          <w:spacing w:val="-6"/>
        </w:rPr>
        <w:t> </w:t>
      </w:r>
      <w:r>
        <w:rPr/>
        <w:t>las</w:t>
      </w:r>
      <w:r>
        <w:rPr>
          <w:spacing w:val="-5"/>
        </w:rPr>
        <w:t> </w:t>
      </w:r>
      <w:r>
        <w:rPr/>
        <w:t>variables aleatorias y pronósticos generados por el modelo (Richardson,</w:t>
      </w:r>
      <w:r>
        <w:rPr>
          <w:spacing w:val="-10"/>
        </w:rPr>
        <w:t> </w:t>
      </w:r>
      <w:r>
        <w:rPr/>
        <w:t>2007).</w:t>
      </w:r>
    </w:p>
    <w:p>
      <w:pPr>
        <w:pStyle w:val="BodyText"/>
      </w:pPr>
    </w:p>
    <w:p>
      <w:pPr>
        <w:pStyle w:val="BodyText"/>
        <w:spacing w:line="360" w:lineRule="auto" w:before="140"/>
        <w:ind w:left="122" w:right="134"/>
        <w:jc w:val="both"/>
      </w:pPr>
      <w:r>
        <w:rPr/>
        <w:t>Las distribuciones de variables aleatorias se deben comprobar antes de su vinculación a las variables deterministas para asegurarse de que tienen las mismas características que las distribuciones de las variables originales. Para llevar a cabo el proceso de verificación y validación</w:t>
      </w:r>
      <w:r>
        <w:rPr>
          <w:spacing w:val="-9"/>
        </w:rPr>
        <w:t> </w:t>
      </w:r>
      <w:r>
        <w:rPr/>
        <w:t>se</w:t>
      </w:r>
      <w:r>
        <w:rPr>
          <w:spacing w:val="-10"/>
        </w:rPr>
        <w:t> </w:t>
      </w:r>
      <w:r>
        <w:rPr/>
        <w:t>corren</w:t>
      </w:r>
      <w:r>
        <w:rPr>
          <w:spacing w:val="-10"/>
        </w:rPr>
        <w:t> </w:t>
      </w:r>
      <w:r>
        <w:rPr/>
        <w:t>las</w:t>
      </w:r>
      <w:r>
        <w:rPr>
          <w:spacing w:val="-9"/>
        </w:rPr>
        <w:t> </w:t>
      </w:r>
      <w:r>
        <w:rPr/>
        <w:t>siguientes</w:t>
      </w:r>
      <w:r>
        <w:rPr>
          <w:spacing w:val="-9"/>
        </w:rPr>
        <w:t> </w:t>
      </w:r>
      <w:r>
        <w:rPr/>
        <w:t>pruebas</w:t>
      </w:r>
      <w:r>
        <w:rPr>
          <w:spacing w:val="-9"/>
        </w:rPr>
        <w:t> </w:t>
      </w:r>
      <w:r>
        <w:rPr/>
        <w:t>estadísticas,</w:t>
      </w:r>
      <w:r>
        <w:rPr>
          <w:spacing w:val="-9"/>
        </w:rPr>
        <w:t> </w:t>
      </w:r>
      <w:r>
        <w:rPr/>
        <w:t>una</w:t>
      </w:r>
      <w:r>
        <w:rPr>
          <w:spacing w:val="-11"/>
        </w:rPr>
        <w:t> </w:t>
      </w:r>
      <w:r>
        <w:rPr/>
        <w:t>prueba</w:t>
      </w:r>
      <w:r>
        <w:rPr>
          <w:spacing w:val="-11"/>
        </w:rPr>
        <w:t> </w:t>
      </w:r>
      <w:r>
        <w:rPr/>
        <w:t>de</w:t>
      </w:r>
      <w:r>
        <w:rPr>
          <w:spacing w:val="-10"/>
        </w:rPr>
        <w:t> </w:t>
      </w:r>
      <w:r>
        <w:rPr/>
        <w:t>t-Student</w:t>
      </w:r>
      <w:r>
        <w:rPr>
          <w:spacing w:val="-6"/>
        </w:rPr>
        <w:t> </w:t>
      </w:r>
      <w:r>
        <w:rPr/>
        <w:t>y</w:t>
      </w:r>
      <w:r>
        <w:rPr>
          <w:spacing w:val="-16"/>
        </w:rPr>
        <w:t> </w:t>
      </w:r>
      <w:r>
        <w:rPr/>
        <w:t>una</w:t>
      </w:r>
      <w:r>
        <w:rPr>
          <w:spacing w:val="-11"/>
        </w:rPr>
        <w:t> </w:t>
      </w:r>
      <w:r>
        <w:rPr/>
        <w:t>prueba de correlación de</w:t>
      </w:r>
      <w:r>
        <w:rPr>
          <w:spacing w:val="-5"/>
        </w:rPr>
        <w:t> </w:t>
      </w:r>
      <w:r>
        <w:rPr/>
        <w:t>matrices.</w:t>
      </w:r>
    </w:p>
    <w:p>
      <w:pPr>
        <w:pStyle w:val="BodyText"/>
      </w:pPr>
    </w:p>
    <w:p>
      <w:pPr>
        <w:pStyle w:val="BodyText"/>
        <w:spacing w:line="360" w:lineRule="auto" w:before="143"/>
        <w:ind w:left="122" w:right="135"/>
        <w:jc w:val="both"/>
      </w:pPr>
      <w:r>
        <w:rPr/>
        <w:t>La simulación de un modelo sin verificar y validar las numerosas ecuaciones y variables incluidas en el modelo aumenta la posibilidad de errores de salida, así como los costos y el tiempo invertidos en el análisis del proyecto evaluado. En la Tabla 8, se observa un ejemplo de como validar un modelo de simulación econométrica con el modelo MexSim.</w:t>
      </w:r>
    </w:p>
    <w:p>
      <w:pPr>
        <w:pStyle w:val="BodyText"/>
      </w:pPr>
    </w:p>
    <w:p>
      <w:pPr>
        <w:pStyle w:val="BodyText"/>
        <w:spacing w:before="164" w:after="8"/>
        <w:ind w:left="191"/>
        <w:jc w:val="both"/>
      </w:pPr>
      <w:r>
        <w:rPr>
          <w:b/>
        </w:rPr>
        <w:t>Tabla 8. </w:t>
      </w:r>
      <w:r>
        <w:rPr/>
        <w:t>Precios históricos de tres insumos alimenticios ($/kilogramo)</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3594,22" stroked="true" strokeweight="2.16pt" strokecolor="#000000"/>
            <v:line style="position:absolute" from="3594,22" to="3637,22" stroked="true" strokeweight="2.16pt" strokecolor="#000000"/>
            <v:line style="position:absolute" from="3637,22" to="5740,22" stroked="true" strokeweight="2.16pt" strokecolor="#000000"/>
            <v:line style="position:absolute" from="5740,22" to="5783,22" stroked="true" strokeweight="2.16pt" strokecolor="#000000"/>
            <v:line style="position:absolute" from="5783,22" to="7713,22" stroked="true" strokeweight="2.16pt" strokecolor="#000000"/>
            <v:line style="position:absolute" from="7713,22" to="7756,22" stroked="true" strokeweight="2.16pt" strokecolor="#000000"/>
            <v:line style="position:absolute" from="7756,22" to="8863,22" stroked="true" strokeweight="2.16pt" strokecolor="#000000"/>
          </v:group>
        </w:pict>
      </w:r>
      <w:r>
        <w:rPr>
          <w:position w:val="0"/>
          <w:sz w:val="4"/>
        </w:rPr>
      </w:r>
    </w:p>
    <w:p>
      <w:pPr>
        <w:pStyle w:val="BodyText"/>
        <w:spacing w:before="5"/>
        <w:rPr>
          <w:sz w:val="17"/>
        </w:r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27"/>
        <w:gridCol w:w="2476"/>
        <w:gridCol w:w="1923"/>
        <w:gridCol w:w="1215"/>
      </w:tblGrid>
      <w:tr>
        <w:trPr>
          <w:trHeight w:val="375" w:hRule="exact"/>
        </w:trPr>
        <w:tc>
          <w:tcPr>
            <w:tcW w:w="3227" w:type="dxa"/>
            <w:tcBorders>
              <w:bottom w:val="single" w:sz="17" w:space="0" w:color="000000"/>
            </w:tcBorders>
          </w:tcPr>
          <w:p>
            <w:pPr>
              <w:pStyle w:val="TableParagraph"/>
              <w:spacing w:before="69"/>
              <w:ind w:left="1077"/>
              <w:jc w:val="left"/>
              <w:rPr>
                <w:sz w:val="24"/>
              </w:rPr>
            </w:pPr>
            <w:r>
              <w:rPr>
                <w:sz w:val="24"/>
              </w:rPr>
              <w:t>Observaciones</w:t>
            </w:r>
          </w:p>
        </w:tc>
        <w:tc>
          <w:tcPr>
            <w:tcW w:w="2476" w:type="dxa"/>
            <w:tcBorders>
              <w:bottom w:val="single" w:sz="17" w:space="0" w:color="000000"/>
            </w:tcBorders>
          </w:tcPr>
          <w:p>
            <w:pPr>
              <w:pStyle w:val="TableParagraph"/>
              <w:spacing w:before="69"/>
              <w:ind w:left="738"/>
              <w:jc w:val="left"/>
              <w:rPr>
                <w:sz w:val="24"/>
              </w:rPr>
            </w:pPr>
            <w:r>
              <w:rPr>
                <w:sz w:val="24"/>
              </w:rPr>
              <w:t>Maíz amarillo</w:t>
            </w:r>
          </w:p>
        </w:tc>
        <w:tc>
          <w:tcPr>
            <w:tcW w:w="1923" w:type="dxa"/>
            <w:tcBorders>
              <w:bottom w:val="single" w:sz="17" w:space="0" w:color="000000"/>
            </w:tcBorders>
          </w:tcPr>
          <w:p>
            <w:pPr>
              <w:pStyle w:val="TableParagraph"/>
              <w:spacing w:before="69"/>
              <w:ind w:left="363" w:right="286"/>
              <w:jc w:val="center"/>
              <w:rPr>
                <w:sz w:val="24"/>
              </w:rPr>
            </w:pPr>
            <w:r>
              <w:rPr>
                <w:sz w:val="24"/>
              </w:rPr>
              <w:t>Maíz Blanco</w:t>
            </w:r>
          </w:p>
        </w:tc>
        <w:tc>
          <w:tcPr>
            <w:tcW w:w="1215" w:type="dxa"/>
            <w:tcBorders>
              <w:bottom w:val="single" w:sz="17" w:space="0" w:color="000000"/>
            </w:tcBorders>
          </w:tcPr>
          <w:p>
            <w:pPr>
              <w:pStyle w:val="TableParagraph"/>
              <w:spacing w:before="69"/>
              <w:ind w:right="291"/>
              <w:rPr>
                <w:sz w:val="24"/>
              </w:rPr>
            </w:pPr>
            <w:r>
              <w:rPr>
                <w:sz w:val="24"/>
              </w:rPr>
              <w:t>Sorgo</w:t>
            </w:r>
          </w:p>
        </w:tc>
      </w:tr>
      <w:tr>
        <w:trPr>
          <w:trHeight w:val="341" w:hRule="exact"/>
        </w:trPr>
        <w:tc>
          <w:tcPr>
            <w:tcW w:w="3227" w:type="dxa"/>
            <w:tcBorders>
              <w:top w:val="single" w:sz="17" w:space="0" w:color="000000"/>
            </w:tcBorders>
          </w:tcPr>
          <w:p>
            <w:pPr>
              <w:pStyle w:val="TableParagraph"/>
              <w:spacing w:before="18"/>
              <w:ind w:left="344"/>
              <w:jc w:val="center"/>
              <w:rPr>
                <w:sz w:val="24"/>
              </w:rPr>
            </w:pPr>
            <w:r>
              <w:rPr>
                <w:sz w:val="24"/>
              </w:rPr>
              <w:t>1</w:t>
            </w:r>
          </w:p>
        </w:tc>
        <w:tc>
          <w:tcPr>
            <w:tcW w:w="2476" w:type="dxa"/>
            <w:tcBorders>
              <w:top w:val="single" w:sz="17" w:space="0" w:color="000000"/>
            </w:tcBorders>
          </w:tcPr>
          <w:p>
            <w:pPr>
              <w:pStyle w:val="TableParagraph"/>
              <w:spacing w:before="18"/>
              <w:ind w:left="1185" w:right="829"/>
              <w:jc w:val="center"/>
              <w:rPr>
                <w:sz w:val="24"/>
              </w:rPr>
            </w:pPr>
            <w:r>
              <w:rPr>
                <w:sz w:val="24"/>
              </w:rPr>
              <w:t>1.50</w:t>
            </w:r>
          </w:p>
        </w:tc>
        <w:tc>
          <w:tcPr>
            <w:tcW w:w="1923" w:type="dxa"/>
            <w:tcBorders>
              <w:top w:val="single" w:sz="17" w:space="0" w:color="000000"/>
            </w:tcBorders>
          </w:tcPr>
          <w:p>
            <w:pPr>
              <w:pStyle w:val="TableParagraph"/>
              <w:spacing w:before="18"/>
              <w:ind w:left="363" w:right="286"/>
              <w:jc w:val="center"/>
              <w:rPr>
                <w:sz w:val="24"/>
              </w:rPr>
            </w:pPr>
            <w:r>
              <w:rPr>
                <w:sz w:val="24"/>
              </w:rPr>
              <w:t>2.42</w:t>
            </w:r>
          </w:p>
        </w:tc>
        <w:tc>
          <w:tcPr>
            <w:tcW w:w="1215" w:type="dxa"/>
            <w:tcBorders>
              <w:top w:val="single" w:sz="17" w:space="0" w:color="000000"/>
            </w:tcBorders>
          </w:tcPr>
          <w:p>
            <w:pPr>
              <w:pStyle w:val="TableParagraph"/>
              <w:spacing w:before="18"/>
              <w:ind w:left="427"/>
              <w:jc w:val="left"/>
              <w:rPr>
                <w:sz w:val="24"/>
              </w:rPr>
            </w:pPr>
            <w:r>
              <w:rPr>
                <w:sz w:val="24"/>
              </w:rPr>
              <w:t>1.37</w:t>
            </w:r>
          </w:p>
        </w:tc>
      </w:tr>
      <w:tr>
        <w:trPr>
          <w:trHeight w:val="300" w:hRule="exact"/>
        </w:trPr>
        <w:tc>
          <w:tcPr>
            <w:tcW w:w="3227" w:type="dxa"/>
          </w:tcPr>
          <w:p>
            <w:pPr>
              <w:pStyle w:val="TableParagraph"/>
              <w:spacing w:line="275" w:lineRule="exact"/>
              <w:ind w:left="344"/>
              <w:jc w:val="center"/>
              <w:rPr>
                <w:sz w:val="24"/>
              </w:rPr>
            </w:pPr>
            <w:r>
              <w:rPr>
                <w:sz w:val="24"/>
              </w:rPr>
              <w:t>2</w:t>
            </w:r>
          </w:p>
        </w:tc>
        <w:tc>
          <w:tcPr>
            <w:tcW w:w="2476" w:type="dxa"/>
          </w:tcPr>
          <w:p>
            <w:pPr>
              <w:pStyle w:val="TableParagraph"/>
              <w:spacing w:line="275" w:lineRule="exact"/>
              <w:ind w:left="1185" w:right="829"/>
              <w:jc w:val="center"/>
              <w:rPr>
                <w:sz w:val="24"/>
              </w:rPr>
            </w:pPr>
            <w:r>
              <w:rPr>
                <w:sz w:val="24"/>
              </w:rPr>
              <w:t>1.94</w:t>
            </w:r>
          </w:p>
        </w:tc>
        <w:tc>
          <w:tcPr>
            <w:tcW w:w="1923" w:type="dxa"/>
          </w:tcPr>
          <w:p>
            <w:pPr>
              <w:pStyle w:val="TableParagraph"/>
              <w:spacing w:line="275" w:lineRule="exact"/>
              <w:ind w:left="363" w:right="286"/>
              <w:jc w:val="center"/>
              <w:rPr>
                <w:sz w:val="24"/>
              </w:rPr>
            </w:pPr>
            <w:r>
              <w:rPr>
                <w:sz w:val="24"/>
              </w:rPr>
              <w:t>2.57</w:t>
            </w:r>
          </w:p>
        </w:tc>
        <w:tc>
          <w:tcPr>
            <w:tcW w:w="1215" w:type="dxa"/>
          </w:tcPr>
          <w:p>
            <w:pPr>
              <w:pStyle w:val="TableParagraph"/>
              <w:spacing w:line="275" w:lineRule="exact"/>
              <w:ind w:left="427"/>
              <w:jc w:val="left"/>
              <w:rPr>
                <w:sz w:val="24"/>
              </w:rPr>
            </w:pPr>
            <w:r>
              <w:rPr>
                <w:sz w:val="24"/>
              </w:rPr>
              <w:t>1.70</w:t>
            </w:r>
          </w:p>
        </w:tc>
      </w:tr>
      <w:tr>
        <w:trPr>
          <w:trHeight w:val="300" w:hRule="exact"/>
        </w:trPr>
        <w:tc>
          <w:tcPr>
            <w:tcW w:w="3227" w:type="dxa"/>
          </w:tcPr>
          <w:p>
            <w:pPr>
              <w:pStyle w:val="TableParagraph"/>
              <w:spacing w:line="275" w:lineRule="exact"/>
              <w:ind w:left="344"/>
              <w:jc w:val="center"/>
              <w:rPr>
                <w:sz w:val="24"/>
              </w:rPr>
            </w:pPr>
            <w:r>
              <w:rPr>
                <w:sz w:val="24"/>
              </w:rPr>
              <w:t>3</w:t>
            </w:r>
          </w:p>
        </w:tc>
        <w:tc>
          <w:tcPr>
            <w:tcW w:w="2476" w:type="dxa"/>
          </w:tcPr>
          <w:p>
            <w:pPr>
              <w:pStyle w:val="TableParagraph"/>
              <w:spacing w:line="275" w:lineRule="exact"/>
              <w:ind w:left="1185" w:right="829"/>
              <w:jc w:val="center"/>
              <w:rPr>
                <w:sz w:val="24"/>
              </w:rPr>
            </w:pPr>
            <w:r>
              <w:rPr>
                <w:sz w:val="24"/>
              </w:rPr>
              <w:t>2.54</w:t>
            </w:r>
          </w:p>
        </w:tc>
        <w:tc>
          <w:tcPr>
            <w:tcW w:w="1923" w:type="dxa"/>
          </w:tcPr>
          <w:p>
            <w:pPr>
              <w:pStyle w:val="TableParagraph"/>
              <w:spacing w:line="275" w:lineRule="exact"/>
              <w:ind w:left="363" w:right="286"/>
              <w:jc w:val="center"/>
              <w:rPr>
                <w:sz w:val="24"/>
              </w:rPr>
            </w:pPr>
            <w:r>
              <w:rPr>
                <w:sz w:val="24"/>
              </w:rPr>
              <w:t>3.72</w:t>
            </w:r>
          </w:p>
        </w:tc>
        <w:tc>
          <w:tcPr>
            <w:tcW w:w="1215" w:type="dxa"/>
          </w:tcPr>
          <w:p>
            <w:pPr>
              <w:pStyle w:val="TableParagraph"/>
              <w:spacing w:line="275" w:lineRule="exact"/>
              <w:ind w:left="427"/>
              <w:jc w:val="left"/>
              <w:rPr>
                <w:sz w:val="24"/>
              </w:rPr>
            </w:pPr>
            <w:r>
              <w:rPr>
                <w:sz w:val="24"/>
              </w:rPr>
              <w:t>2.27</w:t>
            </w:r>
          </w:p>
        </w:tc>
      </w:tr>
      <w:tr>
        <w:trPr>
          <w:trHeight w:val="300" w:hRule="exact"/>
        </w:trPr>
        <w:tc>
          <w:tcPr>
            <w:tcW w:w="3227" w:type="dxa"/>
          </w:tcPr>
          <w:p>
            <w:pPr>
              <w:pStyle w:val="TableParagraph"/>
              <w:spacing w:line="275" w:lineRule="exact"/>
              <w:ind w:left="344"/>
              <w:jc w:val="center"/>
              <w:rPr>
                <w:sz w:val="24"/>
              </w:rPr>
            </w:pPr>
            <w:r>
              <w:rPr>
                <w:sz w:val="24"/>
              </w:rPr>
              <w:t>4</w:t>
            </w:r>
          </w:p>
        </w:tc>
        <w:tc>
          <w:tcPr>
            <w:tcW w:w="2476" w:type="dxa"/>
          </w:tcPr>
          <w:p>
            <w:pPr>
              <w:pStyle w:val="TableParagraph"/>
              <w:spacing w:line="275" w:lineRule="exact"/>
              <w:ind w:left="1185" w:right="829"/>
              <w:jc w:val="center"/>
              <w:rPr>
                <w:sz w:val="24"/>
              </w:rPr>
            </w:pPr>
            <w:r>
              <w:rPr>
                <w:sz w:val="24"/>
              </w:rPr>
              <w:t>2.36</w:t>
            </w:r>
          </w:p>
        </w:tc>
        <w:tc>
          <w:tcPr>
            <w:tcW w:w="1923" w:type="dxa"/>
          </w:tcPr>
          <w:p>
            <w:pPr>
              <w:pStyle w:val="TableParagraph"/>
              <w:spacing w:line="275" w:lineRule="exact"/>
              <w:ind w:left="363" w:right="286"/>
              <w:jc w:val="center"/>
              <w:rPr>
                <w:sz w:val="24"/>
              </w:rPr>
            </w:pPr>
            <w:r>
              <w:rPr>
                <w:sz w:val="24"/>
              </w:rPr>
              <w:t>3.72</w:t>
            </w:r>
          </w:p>
        </w:tc>
        <w:tc>
          <w:tcPr>
            <w:tcW w:w="1215" w:type="dxa"/>
          </w:tcPr>
          <w:p>
            <w:pPr>
              <w:pStyle w:val="TableParagraph"/>
              <w:spacing w:line="275" w:lineRule="exact"/>
              <w:ind w:left="427"/>
              <w:jc w:val="left"/>
              <w:rPr>
                <w:sz w:val="24"/>
              </w:rPr>
            </w:pPr>
            <w:r>
              <w:rPr>
                <w:sz w:val="24"/>
              </w:rPr>
              <w:t>2.10</w:t>
            </w:r>
          </w:p>
        </w:tc>
      </w:tr>
      <w:tr>
        <w:trPr>
          <w:trHeight w:val="300" w:hRule="exact"/>
        </w:trPr>
        <w:tc>
          <w:tcPr>
            <w:tcW w:w="3227" w:type="dxa"/>
          </w:tcPr>
          <w:p>
            <w:pPr>
              <w:pStyle w:val="TableParagraph"/>
              <w:spacing w:line="275" w:lineRule="exact"/>
              <w:ind w:left="344"/>
              <w:jc w:val="center"/>
              <w:rPr>
                <w:sz w:val="24"/>
              </w:rPr>
            </w:pPr>
            <w:r>
              <w:rPr>
                <w:sz w:val="24"/>
              </w:rPr>
              <w:t>5</w:t>
            </w:r>
          </w:p>
        </w:tc>
        <w:tc>
          <w:tcPr>
            <w:tcW w:w="2476" w:type="dxa"/>
          </w:tcPr>
          <w:p>
            <w:pPr>
              <w:pStyle w:val="TableParagraph"/>
              <w:spacing w:line="275" w:lineRule="exact"/>
              <w:ind w:left="1185" w:right="829"/>
              <w:jc w:val="center"/>
              <w:rPr>
                <w:sz w:val="24"/>
              </w:rPr>
            </w:pPr>
            <w:r>
              <w:rPr>
                <w:sz w:val="24"/>
              </w:rPr>
              <w:t>2.28</w:t>
            </w:r>
          </w:p>
        </w:tc>
        <w:tc>
          <w:tcPr>
            <w:tcW w:w="1923" w:type="dxa"/>
          </w:tcPr>
          <w:p>
            <w:pPr>
              <w:pStyle w:val="TableParagraph"/>
              <w:spacing w:line="275" w:lineRule="exact"/>
              <w:ind w:left="363" w:right="286"/>
              <w:jc w:val="center"/>
              <w:rPr>
                <w:sz w:val="24"/>
              </w:rPr>
            </w:pPr>
            <w:r>
              <w:rPr>
                <w:sz w:val="24"/>
              </w:rPr>
              <w:t>2.61</w:t>
            </w:r>
          </w:p>
        </w:tc>
        <w:tc>
          <w:tcPr>
            <w:tcW w:w="1215" w:type="dxa"/>
          </w:tcPr>
          <w:p>
            <w:pPr>
              <w:pStyle w:val="TableParagraph"/>
              <w:spacing w:line="275" w:lineRule="exact"/>
              <w:ind w:left="427"/>
              <w:jc w:val="left"/>
              <w:rPr>
                <w:sz w:val="24"/>
              </w:rPr>
            </w:pPr>
            <w:r>
              <w:rPr>
                <w:sz w:val="24"/>
              </w:rPr>
              <w:t>2.12</w:t>
            </w:r>
          </w:p>
        </w:tc>
      </w:tr>
      <w:tr>
        <w:trPr>
          <w:trHeight w:val="300" w:hRule="exact"/>
        </w:trPr>
        <w:tc>
          <w:tcPr>
            <w:tcW w:w="3227" w:type="dxa"/>
          </w:tcPr>
          <w:p>
            <w:pPr>
              <w:pStyle w:val="TableParagraph"/>
              <w:spacing w:line="275" w:lineRule="exact"/>
              <w:ind w:left="344"/>
              <w:jc w:val="center"/>
              <w:rPr>
                <w:sz w:val="24"/>
              </w:rPr>
            </w:pPr>
            <w:r>
              <w:rPr>
                <w:sz w:val="24"/>
              </w:rPr>
              <w:t>6</w:t>
            </w:r>
          </w:p>
        </w:tc>
        <w:tc>
          <w:tcPr>
            <w:tcW w:w="2476" w:type="dxa"/>
          </w:tcPr>
          <w:p>
            <w:pPr>
              <w:pStyle w:val="TableParagraph"/>
              <w:spacing w:line="275" w:lineRule="exact"/>
              <w:ind w:left="1185" w:right="829"/>
              <w:jc w:val="center"/>
              <w:rPr>
                <w:sz w:val="24"/>
              </w:rPr>
            </w:pPr>
            <w:r>
              <w:rPr>
                <w:sz w:val="24"/>
              </w:rPr>
              <w:t>2.37</w:t>
            </w:r>
          </w:p>
        </w:tc>
        <w:tc>
          <w:tcPr>
            <w:tcW w:w="1923" w:type="dxa"/>
          </w:tcPr>
          <w:p>
            <w:pPr>
              <w:pStyle w:val="TableParagraph"/>
              <w:spacing w:line="275" w:lineRule="exact"/>
              <w:ind w:left="363" w:right="286"/>
              <w:jc w:val="center"/>
              <w:rPr>
                <w:sz w:val="24"/>
              </w:rPr>
            </w:pPr>
            <w:r>
              <w:rPr>
                <w:sz w:val="24"/>
              </w:rPr>
              <w:t>3.00</w:t>
            </w:r>
          </w:p>
        </w:tc>
        <w:tc>
          <w:tcPr>
            <w:tcW w:w="1215" w:type="dxa"/>
          </w:tcPr>
          <w:p>
            <w:pPr>
              <w:pStyle w:val="TableParagraph"/>
              <w:spacing w:line="275" w:lineRule="exact"/>
              <w:ind w:left="427"/>
              <w:jc w:val="left"/>
              <w:rPr>
                <w:sz w:val="24"/>
              </w:rPr>
            </w:pPr>
            <w:r>
              <w:rPr>
                <w:sz w:val="24"/>
              </w:rPr>
              <w:t>2.25</w:t>
            </w:r>
          </w:p>
        </w:tc>
      </w:tr>
      <w:tr>
        <w:trPr>
          <w:trHeight w:val="300" w:hRule="exact"/>
        </w:trPr>
        <w:tc>
          <w:tcPr>
            <w:tcW w:w="3227" w:type="dxa"/>
          </w:tcPr>
          <w:p>
            <w:pPr>
              <w:pStyle w:val="TableParagraph"/>
              <w:spacing w:line="275" w:lineRule="exact"/>
              <w:ind w:left="344"/>
              <w:jc w:val="center"/>
              <w:rPr>
                <w:sz w:val="24"/>
              </w:rPr>
            </w:pPr>
            <w:r>
              <w:rPr>
                <w:sz w:val="24"/>
              </w:rPr>
              <w:t>7</w:t>
            </w:r>
          </w:p>
        </w:tc>
        <w:tc>
          <w:tcPr>
            <w:tcW w:w="2476" w:type="dxa"/>
          </w:tcPr>
          <w:p>
            <w:pPr>
              <w:pStyle w:val="TableParagraph"/>
              <w:spacing w:line="275" w:lineRule="exact"/>
              <w:ind w:left="1185" w:right="829"/>
              <w:jc w:val="center"/>
              <w:rPr>
                <w:sz w:val="24"/>
              </w:rPr>
            </w:pPr>
            <w:r>
              <w:rPr>
                <w:sz w:val="24"/>
              </w:rPr>
              <w:t>2.07</w:t>
            </w:r>
          </w:p>
        </w:tc>
        <w:tc>
          <w:tcPr>
            <w:tcW w:w="1923" w:type="dxa"/>
          </w:tcPr>
          <w:p>
            <w:pPr>
              <w:pStyle w:val="TableParagraph"/>
              <w:spacing w:line="275" w:lineRule="exact"/>
              <w:ind w:left="363" w:right="286"/>
              <w:jc w:val="center"/>
              <w:rPr>
                <w:sz w:val="24"/>
              </w:rPr>
            </w:pPr>
            <w:r>
              <w:rPr>
                <w:sz w:val="24"/>
              </w:rPr>
              <w:t>3.24</w:t>
            </w:r>
          </w:p>
        </w:tc>
        <w:tc>
          <w:tcPr>
            <w:tcW w:w="1215" w:type="dxa"/>
          </w:tcPr>
          <w:p>
            <w:pPr>
              <w:pStyle w:val="TableParagraph"/>
              <w:spacing w:line="275" w:lineRule="exact"/>
              <w:ind w:left="427"/>
              <w:jc w:val="left"/>
              <w:rPr>
                <w:sz w:val="24"/>
              </w:rPr>
            </w:pPr>
            <w:r>
              <w:rPr>
                <w:sz w:val="24"/>
              </w:rPr>
              <w:t>1.87</w:t>
            </w:r>
          </w:p>
        </w:tc>
      </w:tr>
      <w:tr>
        <w:trPr>
          <w:trHeight w:val="300" w:hRule="exact"/>
        </w:trPr>
        <w:tc>
          <w:tcPr>
            <w:tcW w:w="3227" w:type="dxa"/>
          </w:tcPr>
          <w:p>
            <w:pPr>
              <w:pStyle w:val="TableParagraph"/>
              <w:spacing w:line="275" w:lineRule="exact"/>
              <w:ind w:left="344"/>
              <w:jc w:val="center"/>
              <w:rPr>
                <w:sz w:val="24"/>
              </w:rPr>
            </w:pPr>
            <w:r>
              <w:rPr>
                <w:sz w:val="24"/>
              </w:rPr>
              <w:t>8</w:t>
            </w:r>
          </w:p>
        </w:tc>
        <w:tc>
          <w:tcPr>
            <w:tcW w:w="2476" w:type="dxa"/>
          </w:tcPr>
          <w:p>
            <w:pPr>
              <w:pStyle w:val="TableParagraph"/>
              <w:spacing w:line="275" w:lineRule="exact"/>
              <w:ind w:left="1185" w:right="829"/>
              <w:jc w:val="center"/>
              <w:rPr>
                <w:sz w:val="24"/>
              </w:rPr>
            </w:pPr>
            <w:r>
              <w:rPr>
                <w:sz w:val="24"/>
              </w:rPr>
              <w:t>2.50</w:t>
            </w:r>
          </w:p>
        </w:tc>
        <w:tc>
          <w:tcPr>
            <w:tcW w:w="1923" w:type="dxa"/>
          </w:tcPr>
          <w:p>
            <w:pPr>
              <w:pStyle w:val="TableParagraph"/>
              <w:spacing w:line="275" w:lineRule="exact"/>
              <w:ind w:left="363" w:right="286"/>
              <w:jc w:val="center"/>
              <w:rPr>
                <w:sz w:val="24"/>
              </w:rPr>
            </w:pPr>
            <w:r>
              <w:rPr>
                <w:sz w:val="24"/>
              </w:rPr>
              <w:t>3.26</w:t>
            </w:r>
          </w:p>
        </w:tc>
        <w:tc>
          <w:tcPr>
            <w:tcW w:w="1215" w:type="dxa"/>
          </w:tcPr>
          <w:p>
            <w:pPr>
              <w:pStyle w:val="TableParagraph"/>
              <w:spacing w:line="275" w:lineRule="exact"/>
              <w:ind w:left="427"/>
              <w:jc w:val="left"/>
              <w:rPr>
                <w:sz w:val="24"/>
              </w:rPr>
            </w:pPr>
            <w:r>
              <w:rPr>
                <w:sz w:val="24"/>
              </w:rPr>
              <w:t>2.31</w:t>
            </w:r>
          </w:p>
        </w:tc>
      </w:tr>
      <w:tr>
        <w:trPr>
          <w:trHeight w:val="300" w:hRule="exact"/>
        </w:trPr>
        <w:tc>
          <w:tcPr>
            <w:tcW w:w="3227" w:type="dxa"/>
          </w:tcPr>
          <w:p>
            <w:pPr>
              <w:pStyle w:val="TableParagraph"/>
              <w:spacing w:line="275" w:lineRule="exact"/>
              <w:ind w:left="344"/>
              <w:jc w:val="center"/>
              <w:rPr>
                <w:sz w:val="24"/>
              </w:rPr>
            </w:pPr>
            <w:r>
              <w:rPr>
                <w:sz w:val="24"/>
              </w:rPr>
              <w:t>9</w:t>
            </w:r>
          </w:p>
        </w:tc>
        <w:tc>
          <w:tcPr>
            <w:tcW w:w="2476" w:type="dxa"/>
          </w:tcPr>
          <w:p>
            <w:pPr>
              <w:pStyle w:val="TableParagraph"/>
              <w:spacing w:line="275" w:lineRule="exact"/>
              <w:ind w:left="1185" w:right="829"/>
              <w:jc w:val="center"/>
              <w:rPr>
                <w:sz w:val="24"/>
              </w:rPr>
            </w:pPr>
            <w:r>
              <w:rPr>
                <w:sz w:val="24"/>
              </w:rPr>
              <w:t>2.26</w:t>
            </w:r>
          </w:p>
        </w:tc>
        <w:tc>
          <w:tcPr>
            <w:tcW w:w="1923" w:type="dxa"/>
          </w:tcPr>
          <w:p>
            <w:pPr>
              <w:pStyle w:val="TableParagraph"/>
              <w:spacing w:line="275" w:lineRule="exact"/>
              <w:ind w:left="363" w:right="286"/>
              <w:jc w:val="center"/>
              <w:rPr>
                <w:sz w:val="24"/>
              </w:rPr>
            </w:pPr>
            <w:r>
              <w:rPr>
                <w:sz w:val="24"/>
              </w:rPr>
              <w:t>3.45</w:t>
            </w:r>
          </w:p>
        </w:tc>
        <w:tc>
          <w:tcPr>
            <w:tcW w:w="1215" w:type="dxa"/>
          </w:tcPr>
          <w:p>
            <w:pPr>
              <w:pStyle w:val="TableParagraph"/>
              <w:spacing w:line="275" w:lineRule="exact"/>
              <w:ind w:left="427"/>
              <w:jc w:val="left"/>
              <w:rPr>
                <w:sz w:val="24"/>
              </w:rPr>
            </w:pPr>
            <w:r>
              <w:rPr>
                <w:sz w:val="24"/>
              </w:rPr>
              <w:t>2.13</w:t>
            </w:r>
          </w:p>
        </w:tc>
      </w:tr>
      <w:tr>
        <w:trPr>
          <w:trHeight w:val="300" w:hRule="exact"/>
        </w:trPr>
        <w:tc>
          <w:tcPr>
            <w:tcW w:w="3227" w:type="dxa"/>
          </w:tcPr>
          <w:p>
            <w:pPr>
              <w:pStyle w:val="TableParagraph"/>
              <w:spacing w:line="275" w:lineRule="exact"/>
              <w:ind w:left="1645" w:right="1301"/>
              <w:jc w:val="center"/>
              <w:rPr>
                <w:sz w:val="24"/>
              </w:rPr>
            </w:pPr>
            <w:r>
              <w:rPr>
                <w:sz w:val="24"/>
              </w:rPr>
              <w:t>10</w:t>
            </w:r>
          </w:p>
        </w:tc>
        <w:tc>
          <w:tcPr>
            <w:tcW w:w="2476" w:type="dxa"/>
          </w:tcPr>
          <w:p>
            <w:pPr>
              <w:pStyle w:val="TableParagraph"/>
              <w:spacing w:line="275" w:lineRule="exact"/>
              <w:ind w:left="1185" w:right="829"/>
              <w:jc w:val="center"/>
              <w:rPr>
                <w:sz w:val="24"/>
              </w:rPr>
            </w:pPr>
            <w:r>
              <w:rPr>
                <w:sz w:val="24"/>
              </w:rPr>
              <w:t>3.24</w:t>
            </w:r>
          </w:p>
        </w:tc>
        <w:tc>
          <w:tcPr>
            <w:tcW w:w="1923" w:type="dxa"/>
          </w:tcPr>
          <w:p>
            <w:pPr>
              <w:pStyle w:val="TableParagraph"/>
              <w:spacing w:line="275" w:lineRule="exact"/>
              <w:ind w:left="363" w:right="286"/>
              <w:jc w:val="center"/>
              <w:rPr>
                <w:sz w:val="24"/>
              </w:rPr>
            </w:pPr>
            <w:r>
              <w:rPr>
                <w:sz w:val="24"/>
              </w:rPr>
              <w:t>4.55</w:t>
            </w:r>
          </w:p>
        </w:tc>
        <w:tc>
          <w:tcPr>
            <w:tcW w:w="1215" w:type="dxa"/>
          </w:tcPr>
          <w:p>
            <w:pPr>
              <w:pStyle w:val="TableParagraph"/>
              <w:spacing w:line="275" w:lineRule="exact"/>
              <w:ind w:left="427"/>
              <w:jc w:val="left"/>
              <w:rPr>
                <w:sz w:val="24"/>
              </w:rPr>
            </w:pPr>
            <w:r>
              <w:rPr>
                <w:sz w:val="24"/>
              </w:rPr>
              <w:t>3.19</w:t>
            </w:r>
          </w:p>
        </w:tc>
      </w:tr>
      <w:tr>
        <w:trPr>
          <w:trHeight w:val="300" w:hRule="exact"/>
        </w:trPr>
        <w:tc>
          <w:tcPr>
            <w:tcW w:w="3227" w:type="dxa"/>
          </w:tcPr>
          <w:p>
            <w:pPr>
              <w:pStyle w:val="TableParagraph"/>
              <w:spacing w:line="275" w:lineRule="exact"/>
              <w:ind w:left="1645" w:right="1301"/>
              <w:jc w:val="center"/>
              <w:rPr>
                <w:sz w:val="24"/>
              </w:rPr>
            </w:pPr>
            <w:r>
              <w:rPr>
                <w:sz w:val="24"/>
              </w:rPr>
              <w:t>11</w:t>
            </w:r>
          </w:p>
        </w:tc>
        <w:tc>
          <w:tcPr>
            <w:tcW w:w="2476" w:type="dxa"/>
          </w:tcPr>
          <w:p>
            <w:pPr>
              <w:pStyle w:val="TableParagraph"/>
              <w:spacing w:line="275" w:lineRule="exact"/>
              <w:ind w:left="1185" w:right="829"/>
              <w:jc w:val="center"/>
              <w:rPr>
                <w:sz w:val="24"/>
              </w:rPr>
            </w:pPr>
            <w:r>
              <w:rPr>
                <w:sz w:val="24"/>
              </w:rPr>
              <w:t>2.71</w:t>
            </w:r>
          </w:p>
        </w:tc>
        <w:tc>
          <w:tcPr>
            <w:tcW w:w="1923" w:type="dxa"/>
          </w:tcPr>
          <w:p>
            <w:pPr>
              <w:pStyle w:val="TableParagraph"/>
              <w:spacing w:line="275" w:lineRule="exact"/>
              <w:ind w:left="363" w:right="286"/>
              <w:jc w:val="center"/>
              <w:rPr>
                <w:sz w:val="24"/>
              </w:rPr>
            </w:pPr>
            <w:r>
              <w:rPr>
                <w:sz w:val="24"/>
              </w:rPr>
              <w:t>4.30</w:t>
            </w:r>
          </w:p>
        </w:tc>
        <w:tc>
          <w:tcPr>
            <w:tcW w:w="1215" w:type="dxa"/>
          </w:tcPr>
          <w:p>
            <w:pPr>
              <w:pStyle w:val="TableParagraph"/>
              <w:spacing w:line="275" w:lineRule="exact"/>
              <w:ind w:left="427"/>
              <w:jc w:val="left"/>
              <w:rPr>
                <w:sz w:val="24"/>
              </w:rPr>
            </w:pPr>
            <w:r>
              <w:rPr>
                <w:sz w:val="24"/>
              </w:rPr>
              <w:t>2.34</w:t>
            </w:r>
          </w:p>
        </w:tc>
      </w:tr>
      <w:tr>
        <w:trPr>
          <w:trHeight w:val="300" w:hRule="exact"/>
        </w:trPr>
        <w:tc>
          <w:tcPr>
            <w:tcW w:w="3227" w:type="dxa"/>
          </w:tcPr>
          <w:p>
            <w:pPr>
              <w:pStyle w:val="TableParagraph"/>
              <w:spacing w:line="275" w:lineRule="exact"/>
              <w:ind w:left="1645" w:right="1301"/>
              <w:jc w:val="center"/>
              <w:rPr>
                <w:sz w:val="24"/>
              </w:rPr>
            </w:pPr>
            <w:r>
              <w:rPr>
                <w:sz w:val="24"/>
              </w:rPr>
              <w:t>12</w:t>
            </w:r>
          </w:p>
        </w:tc>
        <w:tc>
          <w:tcPr>
            <w:tcW w:w="2476" w:type="dxa"/>
          </w:tcPr>
          <w:p>
            <w:pPr>
              <w:pStyle w:val="TableParagraph"/>
              <w:spacing w:line="275" w:lineRule="exact"/>
              <w:ind w:left="1185" w:right="829"/>
              <w:jc w:val="center"/>
              <w:rPr>
                <w:sz w:val="24"/>
              </w:rPr>
            </w:pPr>
            <w:r>
              <w:rPr>
                <w:sz w:val="24"/>
              </w:rPr>
              <w:t>2.45</w:t>
            </w:r>
          </w:p>
        </w:tc>
        <w:tc>
          <w:tcPr>
            <w:tcW w:w="1923" w:type="dxa"/>
          </w:tcPr>
          <w:p>
            <w:pPr>
              <w:pStyle w:val="TableParagraph"/>
              <w:spacing w:line="275" w:lineRule="exact"/>
              <w:ind w:left="363" w:right="286"/>
              <w:jc w:val="center"/>
              <w:rPr>
                <w:sz w:val="24"/>
              </w:rPr>
            </w:pPr>
            <w:r>
              <w:rPr>
                <w:sz w:val="24"/>
              </w:rPr>
              <w:t>3.38</w:t>
            </w:r>
          </w:p>
        </w:tc>
        <w:tc>
          <w:tcPr>
            <w:tcW w:w="1215" w:type="dxa"/>
          </w:tcPr>
          <w:p>
            <w:pPr>
              <w:pStyle w:val="TableParagraph"/>
              <w:spacing w:line="275" w:lineRule="exact"/>
              <w:ind w:left="427"/>
              <w:jc w:val="left"/>
              <w:rPr>
                <w:sz w:val="24"/>
              </w:rPr>
            </w:pPr>
            <w:r>
              <w:rPr>
                <w:sz w:val="24"/>
              </w:rPr>
              <w:t>2.20</w:t>
            </w:r>
          </w:p>
        </w:tc>
      </w:tr>
      <w:tr>
        <w:trPr>
          <w:trHeight w:val="305" w:hRule="exact"/>
        </w:trPr>
        <w:tc>
          <w:tcPr>
            <w:tcW w:w="3227" w:type="dxa"/>
            <w:tcBorders>
              <w:bottom w:val="single" w:sz="17" w:space="0" w:color="000000"/>
            </w:tcBorders>
          </w:tcPr>
          <w:p>
            <w:pPr>
              <w:pStyle w:val="TableParagraph"/>
              <w:spacing w:line="275" w:lineRule="exact"/>
              <w:ind w:left="1645" w:right="1301"/>
              <w:jc w:val="center"/>
              <w:rPr>
                <w:sz w:val="24"/>
              </w:rPr>
            </w:pPr>
            <w:r>
              <w:rPr>
                <w:sz w:val="24"/>
              </w:rPr>
              <w:t>13</w:t>
            </w:r>
          </w:p>
        </w:tc>
        <w:tc>
          <w:tcPr>
            <w:tcW w:w="2476" w:type="dxa"/>
            <w:tcBorders>
              <w:bottom w:val="single" w:sz="17" w:space="0" w:color="000000"/>
            </w:tcBorders>
          </w:tcPr>
          <w:p>
            <w:pPr>
              <w:pStyle w:val="TableParagraph"/>
              <w:spacing w:line="275" w:lineRule="exact"/>
              <w:ind w:left="1185" w:right="829"/>
              <w:jc w:val="center"/>
              <w:rPr>
                <w:sz w:val="24"/>
              </w:rPr>
            </w:pPr>
            <w:r>
              <w:rPr>
                <w:sz w:val="24"/>
              </w:rPr>
              <w:t>2.01</w:t>
            </w:r>
          </w:p>
        </w:tc>
        <w:tc>
          <w:tcPr>
            <w:tcW w:w="1923" w:type="dxa"/>
            <w:tcBorders>
              <w:bottom w:val="single" w:sz="17" w:space="0" w:color="000000"/>
            </w:tcBorders>
          </w:tcPr>
          <w:p>
            <w:pPr>
              <w:pStyle w:val="TableParagraph"/>
              <w:spacing w:line="275" w:lineRule="exact"/>
              <w:ind w:left="363" w:right="286"/>
              <w:jc w:val="center"/>
              <w:rPr>
                <w:sz w:val="24"/>
              </w:rPr>
            </w:pPr>
            <w:r>
              <w:rPr>
                <w:sz w:val="24"/>
              </w:rPr>
              <w:t>2.61</w:t>
            </w:r>
          </w:p>
        </w:tc>
        <w:tc>
          <w:tcPr>
            <w:tcW w:w="1215" w:type="dxa"/>
            <w:tcBorders>
              <w:bottom w:val="single" w:sz="17" w:space="0" w:color="000000"/>
            </w:tcBorders>
          </w:tcPr>
          <w:p>
            <w:pPr>
              <w:pStyle w:val="TableParagraph"/>
              <w:spacing w:line="275" w:lineRule="exact"/>
              <w:ind w:left="427"/>
              <w:jc w:val="left"/>
              <w:rPr>
                <w:sz w:val="24"/>
              </w:rPr>
            </w:pPr>
            <w:r>
              <w:rPr>
                <w:sz w:val="24"/>
              </w:rPr>
              <w:t>1.82</w:t>
            </w:r>
          </w:p>
        </w:tc>
      </w:tr>
      <w:tr>
        <w:trPr>
          <w:trHeight w:val="338" w:hRule="exact"/>
        </w:trPr>
        <w:tc>
          <w:tcPr>
            <w:tcW w:w="3227" w:type="dxa"/>
            <w:tcBorders>
              <w:top w:val="single" w:sz="17" w:space="0" w:color="000000"/>
            </w:tcBorders>
          </w:tcPr>
          <w:p>
            <w:pPr>
              <w:pStyle w:val="TableParagraph"/>
              <w:spacing w:before="16"/>
              <w:ind w:left="69"/>
              <w:jc w:val="left"/>
              <w:rPr>
                <w:sz w:val="24"/>
              </w:rPr>
            </w:pPr>
            <w:r>
              <w:rPr>
                <w:sz w:val="24"/>
              </w:rPr>
              <w:t>Media</w:t>
            </w:r>
          </w:p>
        </w:tc>
        <w:tc>
          <w:tcPr>
            <w:tcW w:w="2476" w:type="dxa"/>
            <w:tcBorders>
              <w:top w:val="single" w:sz="17" w:space="0" w:color="000000"/>
            </w:tcBorders>
          </w:tcPr>
          <w:p>
            <w:pPr>
              <w:pStyle w:val="TableParagraph"/>
              <w:spacing w:before="16"/>
              <w:ind w:left="1146"/>
              <w:jc w:val="left"/>
              <w:rPr>
                <w:sz w:val="24"/>
              </w:rPr>
            </w:pPr>
            <w:r>
              <w:rPr>
                <w:sz w:val="24"/>
              </w:rPr>
              <w:t>2.325</w:t>
            </w:r>
          </w:p>
        </w:tc>
        <w:tc>
          <w:tcPr>
            <w:tcW w:w="1923" w:type="dxa"/>
            <w:tcBorders>
              <w:top w:val="single" w:sz="17" w:space="0" w:color="000000"/>
            </w:tcBorders>
          </w:tcPr>
          <w:p>
            <w:pPr>
              <w:pStyle w:val="TableParagraph"/>
              <w:spacing w:before="16"/>
              <w:ind w:left="363" w:right="166"/>
              <w:jc w:val="center"/>
              <w:rPr>
                <w:sz w:val="24"/>
              </w:rPr>
            </w:pPr>
            <w:r>
              <w:rPr>
                <w:sz w:val="24"/>
              </w:rPr>
              <w:t>3.294</w:t>
            </w:r>
          </w:p>
        </w:tc>
        <w:tc>
          <w:tcPr>
            <w:tcW w:w="1215" w:type="dxa"/>
            <w:tcBorders>
              <w:top w:val="single" w:sz="17" w:space="0" w:color="000000"/>
            </w:tcBorders>
          </w:tcPr>
          <w:p>
            <w:pPr>
              <w:pStyle w:val="TableParagraph"/>
              <w:spacing w:before="16"/>
              <w:ind w:right="245"/>
              <w:rPr>
                <w:sz w:val="24"/>
              </w:rPr>
            </w:pPr>
            <w:r>
              <w:rPr>
                <w:sz w:val="24"/>
              </w:rPr>
              <w:t>2.128</w:t>
            </w:r>
          </w:p>
        </w:tc>
      </w:tr>
      <w:tr>
        <w:trPr>
          <w:trHeight w:val="300" w:hRule="exact"/>
        </w:trPr>
        <w:tc>
          <w:tcPr>
            <w:tcW w:w="3227" w:type="dxa"/>
          </w:tcPr>
          <w:p>
            <w:pPr>
              <w:pStyle w:val="TableParagraph"/>
              <w:spacing w:line="275" w:lineRule="exact"/>
              <w:ind w:left="69"/>
              <w:jc w:val="left"/>
              <w:rPr>
                <w:sz w:val="24"/>
              </w:rPr>
            </w:pPr>
            <w:r>
              <w:rPr>
                <w:sz w:val="24"/>
              </w:rPr>
              <w:t>Desviación estándar</w:t>
            </w:r>
          </w:p>
        </w:tc>
        <w:tc>
          <w:tcPr>
            <w:tcW w:w="2476" w:type="dxa"/>
          </w:tcPr>
          <w:p>
            <w:pPr>
              <w:pStyle w:val="TableParagraph"/>
              <w:spacing w:line="275" w:lineRule="exact"/>
              <w:ind w:left="1206"/>
              <w:jc w:val="left"/>
              <w:rPr>
                <w:sz w:val="24"/>
              </w:rPr>
            </w:pPr>
            <w:r>
              <w:rPr>
                <w:sz w:val="24"/>
              </w:rPr>
              <w:t>0.400</w:t>
            </w:r>
          </w:p>
        </w:tc>
        <w:tc>
          <w:tcPr>
            <w:tcW w:w="1923" w:type="dxa"/>
          </w:tcPr>
          <w:p>
            <w:pPr>
              <w:pStyle w:val="TableParagraph"/>
              <w:spacing w:line="275" w:lineRule="exact"/>
              <w:ind w:left="363" w:right="166"/>
              <w:jc w:val="center"/>
              <w:rPr>
                <w:sz w:val="24"/>
              </w:rPr>
            </w:pPr>
            <w:r>
              <w:rPr>
                <w:sz w:val="24"/>
              </w:rPr>
              <w:t>0.639</w:t>
            </w:r>
          </w:p>
        </w:tc>
        <w:tc>
          <w:tcPr>
            <w:tcW w:w="1215" w:type="dxa"/>
          </w:tcPr>
          <w:p>
            <w:pPr>
              <w:pStyle w:val="TableParagraph"/>
              <w:spacing w:line="275" w:lineRule="exact"/>
              <w:ind w:right="245"/>
              <w:rPr>
                <w:sz w:val="24"/>
              </w:rPr>
            </w:pPr>
            <w:r>
              <w:rPr>
                <w:sz w:val="24"/>
              </w:rPr>
              <w:t>0.408</w:t>
            </w:r>
          </w:p>
        </w:tc>
      </w:tr>
      <w:tr>
        <w:trPr>
          <w:trHeight w:val="300" w:hRule="exact"/>
        </w:trPr>
        <w:tc>
          <w:tcPr>
            <w:tcW w:w="3227" w:type="dxa"/>
          </w:tcPr>
          <w:p>
            <w:pPr>
              <w:pStyle w:val="TableParagraph"/>
              <w:spacing w:line="275" w:lineRule="exact"/>
              <w:ind w:left="69"/>
              <w:jc w:val="left"/>
              <w:rPr>
                <w:sz w:val="24"/>
              </w:rPr>
            </w:pPr>
            <w:r>
              <w:rPr>
                <w:sz w:val="24"/>
              </w:rPr>
              <w:t>Coeficiente de variación</w:t>
            </w:r>
          </w:p>
        </w:tc>
        <w:tc>
          <w:tcPr>
            <w:tcW w:w="2476" w:type="dxa"/>
          </w:tcPr>
          <w:p>
            <w:pPr>
              <w:pStyle w:val="TableParagraph"/>
              <w:spacing w:line="275" w:lineRule="exact"/>
              <w:ind w:left="1086"/>
              <w:jc w:val="left"/>
              <w:rPr>
                <w:sz w:val="24"/>
              </w:rPr>
            </w:pPr>
            <w:r>
              <w:rPr>
                <w:sz w:val="24"/>
              </w:rPr>
              <w:t>17.213</w:t>
            </w:r>
          </w:p>
        </w:tc>
        <w:tc>
          <w:tcPr>
            <w:tcW w:w="1923" w:type="dxa"/>
          </w:tcPr>
          <w:p>
            <w:pPr>
              <w:pStyle w:val="TableParagraph"/>
              <w:spacing w:line="275" w:lineRule="exact"/>
              <w:ind w:left="363" w:right="286"/>
              <w:jc w:val="center"/>
              <w:rPr>
                <w:sz w:val="24"/>
              </w:rPr>
            </w:pPr>
            <w:r>
              <w:rPr>
                <w:sz w:val="24"/>
              </w:rPr>
              <w:t>19.391</w:t>
            </w:r>
          </w:p>
        </w:tc>
        <w:tc>
          <w:tcPr>
            <w:tcW w:w="1215" w:type="dxa"/>
          </w:tcPr>
          <w:p>
            <w:pPr>
              <w:pStyle w:val="TableParagraph"/>
              <w:spacing w:line="275" w:lineRule="exact"/>
              <w:ind w:right="245"/>
              <w:rPr>
                <w:sz w:val="24"/>
              </w:rPr>
            </w:pPr>
            <w:r>
              <w:rPr>
                <w:sz w:val="24"/>
              </w:rPr>
              <w:t>19.186</w:t>
            </w:r>
          </w:p>
        </w:tc>
      </w:tr>
      <w:tr>
        <w:trPr>
          <w:trHeight w:val="300" w:hRule="exact"/>
        </w:trPr>
        <w:tc>
          <w:tcPr>
            <w:tcW w:w="3227" w:type="dxa"/>
          </w:tcPr>
          <w:p>
            <w:pPr>
              <w:pStyle w:val="TableParagraph"/>
              <w:spacing w:line="275" w:lineRule="exact"/>
              <w:ind w:left="69"/>
              <w:jc w:val="left"/>
              <w:rPr>
                <w:sz w:val="24"/>
              </w:rPr>
            </w:pPr>
            <w:r>
              <w:rPr>
                <w:sz w:val="24"/>
              </w:rPr>
              <w:t>Mínimo</w:t>
            </w:r>
          </w:p>
        </w:tc>
        <w:tc>
          <w:tcPr>
            <w:tcW w:w="2476" w:type="dxa"/>
          </w:tcPr>
          <w:p>
            <w:pPr>
              <w:pStyle w:val="TableParagraph"/>
              <w:spacing w:line="275" w:lineRule="exact"/>
              <w:ind w:left="1206"/>
              <w:jc w:val="left"/>
              <w:rPr>
                <w:sz w:val="24"/>
              </w:rPr>
            </w:pPr>
            <w:r>
              <w:rPr>
                <w:sz w:val="24"/>
              </w:rPr>
              <w:t>1.500</w:t>
            </w:r>
          </w:p>
        </w:tc>
        <w:tc>
          <w:tcPr>
            <w:tcW w:w="1923" w:type="dxa"/>
          </w:tcPr>
          <w:p>
            <w:pPr>
              <w:pStyle w:val="TableParagraph"/>
              <w:spacing w:line="275" w:lineRule="exact"/>
              <w:ind w:left="363" w:right="166"/>
              <w:jc w:val="center"/>
              <w:rPr>
                <w:sz w:val="24"/>
              </w:rPr>
            </w:pPr>
            <w:r>
              <w:rPr>
                <w:sz w:val="24"/>
              </w:rPr>
              <w:t>2.420</w:t>
            </w:r>
          </w:p>
        </w:tc>
        <w:tc>
          <w:tcPr>
            <w:tcW w:w="1215" w:type="dxa"/>
          </w:tcPr>
          <w:p>
            <w:pPr>
              <w:pStyle w:val="TableParagraph"/>
              <w:spacing w:line="275" w:lineRule="exact"/>
              <w:ind w:right="245"/>
              <w:rPr>
                <w:sz w:val="24"/>
              </w:rPr>
            </w:pPr>
            <w:r>
              <w:rPr>
                <w:sz w:val="24"/>
              </w:rPr>
              <w:t>1.370</w:t>
            </w:r>
          </w:p>
        </w:tc>
      </w:tr>
      <w:tr>
        <w:trPr>
          <w:trHeight w:val="305" w:hRule="exact"/>
        </w:trPr>
        <w:tc>
          <w:tcPr>
            <w:tcW w:w="3227" w:type="dxa"/>
            <w:tcBorders>
              <w:bottom w:val="single" w:sz="17" w:space="0" w:color="000000"/>
            </w:tcBorders>
          </w:tcPr>
          <w:p>
            <w:pPr>
              <w:pStyle w:val="TableParagraph"/>
              <w:spacing w:line="275" w:lineRule="exact"/>
              <w:ind w:left="69"/>
              <w:jc w:val="left"/>
              <w:rPr>
                <w:sz w:val="24"/>
              </w:rPr>
            </w:pPr>
            <w:r>
              <w:rPr>
                <w:sz w:val="24"/>
              </w:rPr>
              <w:t>Máximo</w:t>
            </w:r>
          </w:p>
        </w:tc>
        <w:tc>
          <w:tcPr>
            <w:tcW w:w="2476" w:type="dxa"/>
            <w:tcBorders>
              <w:bottom w:val="single" w:sz="17" w:space="0" w:color="000000"/>
            </w:tcBorders>
          </w:tcPr>
          <w:p>
            <w:pPr>
              <w:pStyle w:val="TableParagraph"/>
              <w:spacing w:line="275" w:lineRule="exact"/>
              <w:ind w:left="1206"/>
              <w:jc w:val="left"/>
              <w:rPr>
                <w:sz w:val="24"/>
              </w:rPr>
            </w:pPr>
            <w:r>
              <w:rPr>
                <w:sz w:val="24"/>
              </w:rPr>
              <w:t>3.240</w:t>
            </w:r>
          </w:p>
        </w:tc>
        <w:tc>
          <w:tcPr>
            <w:tcW w:w="1923" w:type="dxa"/>
            <w:tcBorders>
              <w:bottom w:val="single" w:sz="17" w:space="0" w:color="000000"/>
            </w:tcBorders>
          </w:tcPr>
          <w:p>
            <w:pPr>
              <w:pStyle w:val="TableParagraph"/>
              <w:spacing w:line="275" w:lineRule="exact"/>
              <w:ind w:left="363" w:right="166"/>
              <w:jc w:val="center"/>
              <w:rPr>
                <w:sz w:val="24"/>
              </w:rPr>
            </w:pPr>
            <w:r>
              <w:rPr>
                <w:sz w:val="24"/>
              </w:rPr>
              <w:t>4.550</w:t>
            </w:r>
          </w:p>
        </w:tc>
        <w:tc>
          <w:tcPr>
            <w:tcW w:w="1215" w:type="dxa"/>
            <w:tcBorders>
              <w:bottom w:val="single" w:sz="17" w:space="0" w:color="000000"/>
            </w:tcBorders>
          </w:tcPr>
          <w:p>
            <w:pPr>
              <w:pStyle w:val="TableParagraph"/>
              <w:spacing w:line="275" w:lineRule="exact"/>
              <w:ind w:right="245"/>
              <w:rPr>
                <w:sz w:val="24"/>
              </w:rPr>
            </w:pPr>
            <w:r>
              <w:rPr>
                <w:sz w:val="24"/>
              </w:rPr>
              <w:t>3.190</w:t>
            </w:r>
          </w:p>
        </w:tc>
      </w:tr>
      <w:tr>
        <w:trPr>
          <w:trHeight w:val="412" w:hRule="exact"/>
        </w:trPr>
        <w:tc>
          <w:tcPr>
            <w:tcW w:w="3227" w:type="dxa"/>
            <w:tcBorders>
              <w:top w:val="single" w:sz="17" w:space="0" w:color="000000"/>
            </w:tcBorders>
          </w:tcPr>
          <w:p>
            <w:pPr>
              <w:pStyle w:val="TableParagraph"/>
              <w:spacing w:before="65"/>
              <w:ind w:left="69"/>
              <w:jc w:val="left"/>
              <w:rPr>
                <w:sz w:val="20"/>
              </w:rPr>
            </w:pPr>
            <w:r>
              <w:rPr>
                <w:sz w:val="20"/>
              </w:rPr>
              <w:t>Fuente: Richardson, 2005.</w:t>
            </w:r>
          </w:p>
        </w:tc>
        <w:tc>
          <w:tcPr>
            <w:tcW w:w="2476" w:type="dxa"/>
            <w:tcBorders>
              <w:top w:val="single" w:sz="17" w:space="0" w:color="000000"/>
            </w:tcBorders>
          </w:tcPr>
          <w:p>
            <w:pPr/>
          </w:p>
        </w:tc>
        <w:tc>
          <w:tcPr>
            <w:tcW w:w="1923" w:type="dxa"/>
            <w:tcBorders>
              <w:top w:val="single" w:sz="17" w:space="0" w:color="000000"/>
            </w:tcBorders>
          </w:tcPr>
          <w:p>
            <w:pPr/>
          </w:p>
        </w:tc>
        <w:tc>
          <w:tcPr>
            <w:tcW w:w="1215" w:type="dxa"/>
            <w:tcBorders>
              <w:top w:val="single" w:sz="17" w:space="0" w:color="000000"/>
            </w:tcBorders>
          </w:tcPr>
          <w:p>
            <w:pPr/>
          </w:p>
        </w:tc>
      </w:tr>
    </w:tbl>
    <w:p>
      <w:pPr>
        <w:spacing w:after="0"/>
        <w:sectPr>
          <w:pgSz w:w="12240" w:h="15840"/>
          <w:pgMar w:header="0" w:footer="657" w:top="1360" w:bottom="840" w:left="1580" w:right="1560"/>
        </w:sectPr>
      </w:pPr>
    </w:p>
    <w:p>
      <w:pPr>
        <w:pStyle w:val="BodyText"/>
        <w:spacing w:line="360" w:lineRule="auto" w:before="50"/>
        <w:ind w:left="122" w:right="296"/>
        <w:jc w:val="both"/>
      </w:pPr>
      <w:r>
        <w:rPr/>
        <w:t>En la Tabla 1 del Anexo. Se observa que el precio del maíz amarillo simulado, su media y desviación</w:t>
      </w:r>
      <w:r>
        <w:rPr>
          <w:spacing w:val="-6"/>
        </w:rPr>
        <w:t> </w:t>
      </w:r>
      <w:r>
        <w:rPr/>
        <w:t>estándar</w:t>
      </w:r>
      <w:r>
        <w:rPr>
          <w:spacing w:val="-7"/>
        </w:rPr>
        <w:t> </w:t>
      </w:r>
      <w:r>
        <w:rPr/>
        <w:t>fueron</w:t>
      </w:r>
      <w:r>
        <w:rPr>
          <w:spacing w:val="-6"/>
        </w:rPr>
        <w:t> </w:t>
      </w:r>
      <w:r>
        <w:rPr/>
        <w:t>estadísticamente</w:t>
      </w:r>
      <w:r>
        <w:rPr>
          <w:spacing w:val="-7"/>
        </w:rPr>
        <w:t> </w:t>
      </w:r>
      <w:r>
        <w:rPr/>
        <w:t>iguales</w:t>
      </w:r>
      <w:r>
        <w:rPr>
          <w:spacing w:val="-6"/>
        </w:rPr>
        <w:t> </w:t>
      </w:r>
      <w:r>
        <w:rPr/>
        <w:t>a</w:t>
      </w:r>
      <w:r>
        <w:rPr>
          <w:spacing w:val="-7"/>
        </w:rPr>
        <w:t> </w:t>
      </w:r>
      <w:r>
        <w:rPr/>
        <w:t>un</w:t>
      </w:r>
      <w:r>
        <w:rPr>
          <w:spacing w:val="-6"/>
        </w:rPr>
        <w:t> </w:t>
      </w:r>
      <w:r>
        <w:rPr/>
        <w:t>nivel</w:t>
      </w:r>
      <w:r>
        <w:rPr>
          <w:spacing w:val="-6"/>
        </w:rPr>
        <w:t> </w:t>
      </w:r>
      <w:r>
        <w:rPr/>
        <w:t>de</w:t>
      </w:r>
      <w:r>
        <w:rPr>
          <w:spacing w:val="-7"/>
        </w:rPr>
        <w:t> </w:t>
      </w:r>
      <w:r>
        <w:rPr/>
        <w:t>significancia</w:t>
      </w:r>
      <w:r>
        <w:rPr>
          <w:spacing w:val="-7"/>
        </w:rPr>
        <w:t> </w:t>
      </w:r>
      <w:r>
        <w:rPr/>
        <w:t>del</w:t>
      </w:r>
      <w:r>
        <w:rPr>
          <w:spacing w:val="-6"/>
        </w:rPr>
        <w:t> </w:t>
      </w:r>
      <w:r>
        <w:rPr/>
        <w:t>95%</w:t>
      </w:r>
      <w:r>
        <w:rPr>
          <w:spacing w:val="-7"/>
        </w:rPr>
        <w:t> </w:t>
      </w:r>
      <w:r>
        <w:rPr/>
        <w:t>en</w:t>
      </w:r>
      <w:r>
        <w:rPr>
          <w:spacing w:val="-6"/>
        </w:rPr>
        <w:t> </w:t>
      </w:r>
      <w:r>
        <w:rPr/>
        <w:t>la prueba de hipótesis se muestra que el modelo esta validado y listo para simularse (Tabla 9). La correlación de los rendimientos históricos y los rendimientos simulados fue el mismo como se observa en los datos históricos de rendimiento (Tabla 3 y Tabla 1 del</w:t>
      </w:r>
      <w:r>
        <w:rPr>
          <w:spacing w:val="-5"/>
        </w:rPr>
        <w:t> </w:t>
      </w:r>
      <w:r>
        <w:rPr/>
        <w:t>Anexo).</w:t>
      </w:r>
    </w:p>
    <w:p>
      <w:pPr>
        <w:pStyle w:val="BodyText"/>
      </w:pPr>
    </w:p>
    <w:p>
      <w:pPr>
        <w:pStyle w:val="BodyText"/>
        <w:spacing w:before="164"/>
        <w:ind w:left="191"/>
        <w:jc w:val="both"/>
      </w:pPr>
      <w:r>
        <w:rPr>
          <w:b/>
        </w:rPr>
        <w:t>Tabla 9</w:t>
      </w:r>
      <w:r>
        <w:rPr/>
        <w:t>. Validación de resultados para precios de maíz amarillo</w:t>
      </w:r>
    </w:p>
    <w:p>
      <w:pPr>
        <w:pStyle w:val="BodyText"/>
        <w:spacing w:line="340" w:lineRule="atLeast" w:before="5"/>
        <w:ind w:left="3470" w:right="2046" w:hanging="1415"/>
      </w:pPr>
      <w:r>
        <w:rPr/>
        <w:pict>
          <v:line style="position:absolute;mso-position-horizontal-relative:page;mso-position-vertical-relative:paragraph;z-index:-460552" from="85.103996pt,1.454309pt" to="535.773996pt,1.454309pt" stroked="true" strokeweight="2.16pt" strokecolor="#000000">
            <w10:wrap type="none"/>
          </v:line>
        </w:pict>
      </w:r>
      <w:r>
        <w:rPr/>
        <w:pict>
          <v:line style="position:absolute;mso-position-horizontal-relative:page;mso-position-vertical-relative:paragraph;z-index:-460528" from="85.103996pt,18.734308pt" to="535.773996pt,18.734308pt" stroked="true" strokeweight="2.16pt" strokecolor="#000000">
            <w10:wrap type="none"/>
          </v:line>
        </w:pict>
      </w:r>
      <w:r>
        <w:rPr/>
        <w:t>Prueba de hipótesis para parámetros de maíz amarillo Nivel de confianza 95%</w:t>
      </w:r>
    </w:p>
    <w:p>
      <w:pPr>
        <w:spacing w:after="0" w:line="340" w:lineRule="atLeast"/>
        <w:sectPr>
          <w:pgSz w:w="12240" w:h="15840"/>
          <w:pgMar w:header="0" w:footer="657" w:top="1360" w:bottom="840" w:left="1580" w:right="1400"/>
        </w:sectPr>
      </w:pPr>
    </w:p>
    <w:p>
      <w:pPr>
        <w:pStyle w:val="BodyText"/>
        <w:ind w:left="1655" w:hanging="41"/>
        <w:jc w:val="right"/>
      </w:pPr>
      <w:r>
        <w:rPr/>
        <w:t>Valor dado</w:t>
      </w:r>
    </w:p>
    <w:p>
      <w:pPr>
        <w:pStyle w:val="BodyText"/>
        <w:ind w:left="231" w:right="-19" w:firstLine="194"/>
      </w:pPr>
      <w:r>
        <w:rPr/>
        <w:br w:type="column"/>
      </w:r>
      <w:r>
        <w:rPr/>
        <w:t>Valor de</w:t>
      </w:r>
      <w:r>
        <w:rPr>
          <w:spacing w:val="-3"/>
        </w:rPr>
        <w:t> </w:t>
      </w:r>
      <w:r>
        <w:rPr/>
        <w:t>prueba</w:t>
      </w:r>
    </w:p>
    <w:p>
      <w:pPr>
        <w:pStyle w:val="BodyText"/>
        <w:ind w:left="523"/>
      </w:pPr>
      <w:r>
        <w:rPr/>
        <w:br w:type="column"/>
      </w:r>
      <w:r>
        <w:rPr/>
        <w:t>Valor</w:t>
      </w:r>
    </w:p>
    <w:p>
      <w:pPr>
        <w:pStyle w:val="BodyText"/>
        <w:tabs>
          <w:tab w:pos="1620" w:val="left" w:leader="none"/>
        </w:tabs>
        <w:ind w:left="491"/>
      </w:pPr>
      <w:r>
        <w:rPr/>
        <w:t>critico</w:t>
        <w:tab/>
      </w:r>
      <w:r>
        <w:rPr>
          <w:spacing w:val="-1"/>
        </w:rPr>
        <w:t>P-Valor</w:t>
      </w:r>
    </w:p>
    <w:p>
      <w:pPr>
        <w:pStyle w:val="BodyText"/>
      </w:pPr>
      <w:r>
        <w:rPr/>
        <w:br w:type="column"/>
      </w:r>
      <w:r>
        <w:rPr/>
      </w:r>
    </w:p>
    <w:p>
      <w:pPr>
        <w:pStyle w:val="BodyText"/>
      </w:pPr>
    </w:p>
    <w:p>
      <w:pPr>
        <w:pStyle w:val="BodyText"/>
        <w:ind w:left="165" w:right="912"/>
      </w:pPr>
      <w:r>
        <w:rPr/>
        <w:t>No se rechaza Ho de que la media</w:t>
      </w:r>
    </w:p>
    <w:p>
      <w:pPr>
        <w:spacing w:after="0"/>
        <w:sectPr>
          <w:type w:val="continuous"/>
          <w:pgSz w:w="12240" w:h="15840"/>
          <w:pgMar w:top="1360" w:bottom="280" w:left="1580" w:right="1400"/>
          <w:cols w:num="4" w:equalWidth="0">
            <w:col w:w="2201" w:space="40"/>
            <w:col w:w="1169" w:space="40"/>
            <w:col w:w="2380" w:space="40"/>
            <w:col w:w="3390"/>
          </w:cols>
        </w:sectPr>
      </w:pPr>
    </w:p>
    <w:p>
      <w:pPr>
        <w:pStyle w:val="BodyText"/>
        <w:tabs>
          <w:tab w:pos="1657" w:val="left" w:leader="none"/>
          <w:tab w:pos="2731" w:val="left" w:leader="none"/>
          <w:tab w:pos="4036" w:val="left" w:leader="none"/>
          <w:tab w:pos="5239" w:val="left" w:leader="none"/>
        </w:tabs>
        <w:ind w:left="191"/>
      </w:pPr>
      <w:r>
        <w:rPr/>
        <w:t>t-test</w:t>
        <w:tab/>
        <w:t>2.325</w:t>
        <w:tab/>
        <w:t>0.00</w:t>
        <w:tab/>
        <w:t>2.56</w:t>
        <w:tab/>
        <w:t>1.00</w:t>
      </w:r>
    </w:p>
    <w:p>
      <w:pPr>
        <w:pStyle w:val="BodyText"/>
      </w:pPr>
    </w:p>
    <w:p>
      <w:pPr>
        <w:pStyle w:val="BodyText"/>
        <w:ind w:left="191"/>
      </w:pPr>
      <w:r>
        <w:rPr/>
        <w:t>Chi-Square</w:t>
      </w:r>
    </w:p>
    <w:p>
      <w:pPr>
        <w:pStyle w:val="BodyText"/>
        <w:tabs>
          <w:tab w:pos="1657" w:val="left" w:leader="none"/>
          <w:tab w:pos="2671" w:val="left" w:leader="none"/>
          <w:tab w:pos="3818" w:val="left" w:leader="none"/>
          <w:tab w:pos="5659" w:val="right" w:leader="none"/>
        </w:tabs>
        <w:ind w:left="191"/>
      </w:pPr>
      <w:r>
        <w:rPr/>
        <w:t>Test</w:t>
        <w:tab/>
        <w:t>0.400</w:t>
        <w:tab/>
        <w:t>13.01</w:t>
        <w:tab/>
        <w:t>LB:</w:t>
      </w:r>
      <w:r>
        <w:rPr>
          <w:spacing w:val="-1"/>
        </w:rPr>
        <w:t> </w:t>
      </w:r>
      <w:r>
        <w:rPr/>
        <w:t>4.40</w:t>
        <w:tab/>
        <w:t>0.74</w:t>
      </w:r>
    </w:p>
    <w:p>
      <w:pPr>
        <w:pStyle w:val="BodyText"/>
        <w:spacing w:before="24"/>
        <w:ind w:right="884"/>
        <w:jc w:val="right"/>
      </w:pPr>
      <w:r>
        <w:rPr/>
        <w:t>UB: 23.40</w:t>
      </w:r>
    </w:p>
    <w:p>
      <w:pPr>
        <w:pStyle w:val="BodyText"/>
        <w:ind w:left="191" w:right="581"/>
      </w:pPr>
      <w:r>
        <w:rPr/>
        <w:br w:type="column"/>
      </w:r>
      <w:r>
        <w:rPr/>
        <w:t>es igual a 2.325</w:t>
      </w:r>
    </w:p>
    <w:p>
      <w:pPr>
        <w:pStyle w:val="BodyText"/>
        <w:ind w:left="191" w:right="581"/>
      </w:pPr>
      <w:r>
        <w:rPr/>
        <w:t>No se rechaza Ho de que la desviación estándar</w:t>
      </w:r>
    </w:p>
    <w:p>
      <w:pPr>
        <w:pStyle w:val="BodyText"/>
        <w:ind w:left="191" w:right="581"/>
      </w:pPr>
      <w:r>
        <w:rPr/>
        <w:t>es igual a 0.400</w:t>
      </w:r>
    </w:p>
    <w:p>
      <w:pPr>
        <w:spacing w:after="0"/>
        <w:sectPr>
          <w:type w:val="continuous"/>
          <w:pgSz w:w="12240" w:h="15840"/>
          <w:pgMar w:top="1360" w:bottom="280" w:left="1580" w:right="1400"/>
          <w:cols w:num="2" w:equalWidth="0">
            <w:col w:w="5660" w:space="182"/>
            <w:col w:w="3418"/>
          </w:cols>
        </w:sectPr>
      </w:pPr>
    </w:p>
    <w:p>
      <w:pPr>
        <w:pStyle w:val="BodyText"/>
        <w:spacing w:line="44" w:lineRule="exact"/>
        <w:ind w:left="100"/>
        <w:rPr>
          <w:sz w:val="4"/>
        </w:rPr>
      </w:pPr>
      <w:r>
        <w:rPr>
          <w:position w:val="0"/>
          <w:sz w:val="4"/>
        </w:rPr>
        <w:pict>
          <v:group style="width:452.9pt;height:2.2pt;mso-position-horizontal-relative:char;mso-position-vertical-relative:line" coordorigin="0,0" coordsize="9058,44">
            <v:line style="position:absolute" from="22,22" to="1436,22" stroked="true" strokeweight="2.16pt" strokecolor="#000000"/>
            <v:line style="position:absolute" from="1436,22" to="1479,22" stroked="true" strokeweight="2.16pt" strokecolor="#000000"/>
            <v:line style="position:absolute" from="1479,22" to="2223,22" stroked="true" strokeweight="2.16pt" strokecolor="#000000"/>
            <v:line style="position:absolute" from="2223,22" to="2267,22" stroked="true" strokeweight="2.16pt" strokecolor="#000000"/>
            <v:line style="position:absolute" from="2267,22" to="3459,22" stroked="true" strokeweight="2.16pt" strokecolor="#000000"/>
            <v:line style="position:absolute" from="3459,22" to="3503,22" stroked="true" strokeweight="2.16pt" strokecolor="#000000"/>
            <v:line style="position:absolute" from="3503,22" to="4835,22" stroked="true" strokeweight="2.16pt" strokecolor="#000000"/>
            <v:line style="position:absolute" from="4835,22" to="4878,22" stroked="true" strokeweight="2.16pt" strokecolor="#000000"/>
            <v:line style="position:absolute" from="4878,22" to="5867,22" stroked="true" strokeweight="2.16pt" strokecolor="#000000"/>
            <v:line style="position:absolute" from="5867,22" to="5910,22" stroked="true" strokeweight="2.16pt" strokecolor="#000000"/>
            <v:line style="position:absolute" from="5910,22" to="9035,22" stroked="true" strokeweight="2.16pt" strokecolor="#000000"/>
          </v:group>
        </w:pict>
      </w:r>
      <w:r>
        <w:rPr>
          <w:position w:val="0"/>
          <w:sz w:val="4"/>
        </w:rPr>
      </w:r>
    </w:p>
    <w:p>
      <w:pPr>
        <w:spacing w:before="72"/>
        <w:ind w:left="191" w:right="2046" w:firstLine="0"/>
        <w:jc w:val="left"/>
        <w:rPr>
          <w:sz w:val="20"/>
        </w:rPr>
      </w:pPr>
      <w:r>
        <w:rPr>
          <w:sz w:val="20"/>
        </w:rPr>
        <w:t>Fuente: Richardson, 2005.</w:t>
      </w:r>
    </w:p>
    <w:p>
      <w:pPr>
        <w:pStyle w:val="BodyText"/>
        <w:rPr>
          <w:sz w:val="20"/>
        </w:rPr>
      </w:pPr>
    </w:p>
    <w:p>
      <w:pPr>
        <w:pStyle w:val="BodyText"/>
        <w:spacing w:line="360" w:lineRule="auto" w:before="184"/>
        <w:ind w:left="122" w:right="297"/>
        <w:jc w:val="both"/>
      </w:pPr>
      <w:r>
        <w:rPr/>
        <w:t>En la validación del modelo hay un paso muy importante, los supuestos del modelo, los cuales tienen incidencia directa en los resultados del análisis. En este trabajo el análisis consideró los siguientes supuestos: 1) La escala de producción; 2) La producción de leche por</w:t>
      </w:r>
      <w:r>
        <w:rPr>
          <w:spacing w:val="-7"/>
        </w:rPr>
        <w:t> </w:t>
      </w:r>
      <w:r>
        <w:rPr/>
        <w:t>vaca;</w:t>
      </w:r>
      <w:r>
        <w:rPr>
          <w:spacing w:val="-6"/>
        </w:rPr>
        <w:t> </w:t>
      </w:r>
      <w:r>
        <w:rPr/>
        <w:t>3)</w:t>
      </w:r>
      <w:r>
        <w:rPr>
          <w:spacing w:val="-1"/>
        </w:rPr>
        <w:t> </w:t>
      </w:r>
      <w:r>
        <w:rPr/>
        <w:t>La</w:t>
      </w:r>
      <w:r>
        <w:rPr>
          <w:spacing w:val="-5"/>
        </w:rPr>
        <w:t> </w:t>
      </w:r>
      <w:r>
        <w:rPr/>
        <w:t>capacidad</w:t>
      </w:r>
      <w:r>
        <w:rPr>
          <w:spacing w:val="-6"/>
        </w:rPr>
        <w:t> </w:t>
      </w:r>
      <w:r>
        <w:rPr/>
        <w:t>aprovechada</w:t>
      </w:r>
      <w:r>
        <w:rPr>
          <w:spacing w:val="-7"/>
        </w:rPr>
        <w:t> </w:t>
      </w:r>
      <w:r>
        <w:rPr/>
        <w:t>de</w:t>
      </w:r>
      <w:r>
        <w:rPr>
          <w:spacing w:val="-5"/>
        </w:rPr>
        <w:t> </w:t>
      </w:r>
      <w:r>
        <w:rPr/>
        <w:t>las</w:t>
      </w:r>
      <w:r>
        <w:rPr>
          <w:spacing w:val="-7"/>
        </w:rPr>
        <w:t> </w:t>
      </w:r>
      <w:r>
        <w:rPr/>
        <w:t>instalaciones;</w:t>
      </w:r>
      <w:r>
        <w:rPr>
          <w:spacing w:val="-6"/>
        </w:rPr>
        <w:t> </w:t>
      </w:r>
      <w:r>
        <w:rPr/>
        <w:t>4)</w:t>
      </w:r>
      <w:r>
        <w:rPr>
          <w:spacing w:val="-2"/>
        </w:rPr>
        <w:t> </w:t>
      </w:r>
      <w:r>
        <w:rPr/>
        <w:t>La</w:t>
      </w:r>
      <w:r>
        <w:rPr>
          <w:spacing w:val="-5"/>
        </w:rPr>
        <w:t> </w:t>
      </w:r>
      <w:r>
        <w:rPr/>
        <w:t>tasa</w:t>
      </w:r>
      <w:r>
        <w:rPr>
          <w:spacing w:val="-7"/>
        </w:rPr>
        <w:t> </w:t>
      </w:r>
      <w:r>
        <w:rPr/>
        <w:t>de</w:t>
      </w:r>
      <w:r>
        <w:rPr>
          <w:spacing w:val="-7"/>
        </w:rPr>
        <w:t> </w:t>
      </w:r>
      <w:r>
        <w:rPr/>
        <w:t>subsidios;</w:t>
      </w:r>
      <w:r>
        <w:rPr>
          <w:spacing w:val="-3"/>
        </w:rPr>
        <w:t> </w:t>
      </w:r>
      <w:r>
        <w:rPr/>
        <w:t>y</w:t>
      </w:r>
      <w:r>
        <w:rPr>
          <w:spacing w:val="-11"/>
        </w:rPr>
        <w:t> </w:t>
      </w:r>
      <w:r>
        <w:rPr/>
        <w:t>5)</w:t>
      </w:r>
      <w:r>
        <w:rPr>
          <w:spacing w:val="-1"/>
        </w:rPr>
        <w:t> </w:t>
      </w:r>
      <w:r>
        <w:rPr/>
        <w:t>Los coeficientes</w:t>
      </w:r>
      <w:r>
        <w:rPr>
          <w:spacing w:val="-8"/>
        </w:rPr>
        <w:t> </w:t>
      </w:r>
      <w:r>
        <w:rPr/>
        <w:t>técnicos</w:t>
      </w:r>
      <w:r>
        <w:rPr>
          <w:spacing w:val="-8"/>
        </w:rPr>
        <w:t> </w:t>
      </w:r>
      <w:r>
        <w:rPr/>
        <w:t>se</w:t>
      </w:r>
      <w:r>
        <w:rPr>
          <w:spacing w:val="-7"/>
        </w:rPr>
        <w:t> </w:t>
      </w:r>
      <w:r>
        <w:rPr/>
        <w:t>mantienen</w:t>
      </w:r>
      <w:r>
        <w:rPr>
          <w:spacing w:val="-9"/>
        </w:rPr>
        <w:t> </w:t>
      </w:r>
      <w:r>
        <w:rPr/>
        <w:t>constantes</w:t>
      </w:r>
      <w:r>
        <w:rPr>
          <w:spacing w:val="-7"/>
        </w:rPr>
        <w:t> </w:t>
      </w:r>
      <w:r>
        <w:rPr/>
        <w:t>durante</w:t>
      </w:r>
      <w:r>
        <w:rPr>
          <w:spacing w:val="-9"/>
        </w:rPr>
        <w:t> </w:t>
      </w:r>
      <w:r>
        <w:rPr/>
        <w:t>el</w:t>
      </w:r>
      <w:r>
        <w:rPr>
          <w:spacing w:val="-8"/>
        </w:rPr>
        <w:t> </w:t>
      </w:r>
      <w:r>
        <w:rPr/>
        <w:t>horizonte</w:t>
      </w:r>
      <w:r>
        <w:rPr>
          <w:spacing w:val="-9"/>
        </w:rPr>
        <w:t> </w:t>
      </w:r>
      <w:r>
        <w:rPr/>
        <w:t>de</w:t>
      </w:r>
      <w:r>
        <w:rPr>
          <w:spacing w:val="-10"/>
        </w:rPr>
        <w:t> </w:t>
      </w:r>
      <w:r>
        <w:rPr/>
        <w:t>planeación</w:t>
      </w:r>
      <w:r>
        <w:rPr>
          <w:spacing w:val="-8"/>
        </w:rPr>
        <w:t> </w:t>
      </w:r>
      <w:r>
        <w:rPr/>
        <w:t>2010-2018;</w:t>
      </w:r>
    </w:p>
    <w:p>
      <w:pPr>
        <w:pStyle w:val="BodyText"/>
        <w:spacing w:line="360" w:lineRule="auto" w:before="4"/>
        <w:ind w:left="122" w:right="297"/>
        <w:jc w:val="both"/>
      </w:pPr>
      <w:r>
        <w:rPr/>
        <w:t>6) El nivel tecnológico se mantuvo inalterado, lo que permitió atribuir los cambios observados a permutaciones en las condiciones económicas; 7) El número de productores que</w:t>
      </w:r>
      <w:r>
        <w:rPr>
          <w:spacing w:val="-7"/>
        </w:rPr>
        <w:t> </w:t>
      </w:r>
      <w:r>
        <w:rPr/>
        <w:t>se</w:t>
      </w:r>
      <w:r>
        <w:rPr>
          <w:spacing w:val="-7"/>
        </w:rPr>
        <w:t> </w:t>
      </w:r>
      <w:r>
        <w:rPr/>
        <w:t>dedican</w:t>
      </w:r>
      <w:r>
        <w:rPr>
          <w:spacing w:val="-6"/>
        </w:rPr>
        <w:t> </w:t>
      </w:r>
      <w:r>
        <w:rPr/>
        <w:t>a</w:t>
      </w:r>
      <w:r>
        <w:rPr>
          <w:spacing w:val="-7"/>
        </w:rPr>
        <w:t> </w:t>
      </w:r>
      <w:r>
        <w:rPr/>
        <w:t>la</w:t>
      </w:r>
      <w:r>
        <w:rPr>
          <w:spacing w:val="-7"/>
        </w:rPr>
        <w:t> </w:t>
      </w:r>
      <w:r>
        <w:rPr/>
        <w:t>actividad</w:t>
      </w:r>
      <w:r>
        <w:rPr>
          <w:spacing w:val="-7"/>
        </w:rPr>
        <w:t> </w:t>
      </w:r>
      <w:r>
        <w:rPr/>
        <w:t>se</w:t>
      </w:r>
      <w:r>
        <w:rPr>
          <w:spacing w:val="-7"/>
        </w:rPr>
        <w:t> </w:t>
      </w:r>
      <w:r>
        <w:rPr/>
        <w:t>mantiene</w:t>
      </w:r>
      <w:r>
        <w:rPr>
          <w:spacing w:val="-5"/>
        </w:rPr>
        <w:t> </w:t>
      </w:r>
      <w:r>
        <w:rPr/>
        <w:t>constante,</w:t>
      </w:r>
      <w:r>
        <w:rPr>
          <w:spacing w:val="-7"/>
        </w:rPr>
        <w:t> </w:t>
      </w:r>
      <w:r>
        <w:rPr/>
        <w:t>es</w:t>
      </w:r>
      <w:r>
        <w:rPr>
          <w:spacing w:val="-6"/>
        </w:rPr>
        <w:t> </w:t>
      </w:r>
      <w:r>
        <w:rPr/>
        <w:t>decir,</w:t>
      </w:r>
      <w:r>
        <w:rPr>
          <w:spacing w:val="-7"/>
        </w:rPr>
        <w:t> </w:t>
      </w:r>
      <w:r>
        <w:rPr/>
        <w:t>que</w:t>
      </w:r>
      <w:r>
        <w:rPr>
          <w:spacing w:val="-7"/>
        </w:rPr>
        <w:t> </w:t>
      </w:r>
      <w:r>
        <w:rPr/>
        <w:t>la</w:t>
      </w:r>
      <w:r>
        <w:rPr>
          <w:spacing w:val="-7"/>
        </w:rPr>
        <w:t> </w:t>
      </w:r>
      <w:r>
        <w:rPr/>
        <w:t>incorporación</w:t>
      </w:r>
      <w:r>
        <w:rPr>
          <w:spacing w:val="-6"/>
        </w:rPr>
        <w:t> </w:t>
      </w:r>
      <w:r>
        <w:rPr/>
        <w:t>o</w:t>
      </w:r>
      <w:r>
        <w:rPr>
          <w:spacing w:val="-6"/>
        </w:rPr>
        <w:t> </w:t>
      </w:r>
      <w:r>
        <w:rPr/>
        <w:t>retiro</w:t>
      </w:r>
      <w:r>
        <w:rPr>
          <w:spacing w:val="-7"/>
        </w:rPr>
        <w:t> </w:t>
      </w:r>
      <w:r>
        <w:rPr/>
        <w:t>de productores no altera los resultados; 8) La tasa de descuento empleada para evaluar el proyecto se estableció en 10%; 9) En los egresos se consideró un sueldo para el productor, de acuerdo al salario vigente en la zona de estudio $100 por día de trabajo; 10) El pago de mano de obra familiar y los retiros de efectivo realizados por el productor son incluidos en el proceso de</w:t>
      </w:r>
      <w:r>
        <w:rPr>
          <w:spacing w:val="-5"/>
        </w:rPr>
        <w:t> </w:t>
      </w:r>
      <w:r>
        <w:rPr/>
        <w:t>simulación.</w:t>
      </w:r>
    </w:p>
    <w:p>
      <w:pPr>
        <w:spacing w:after="0" w:line="360" w:lineRule="auto"/>
        <w:jc w:val="both"/>
        <w:sectPr>
          <w:type w:val="continuous"/>
          <w:pgSz w:w="12240" w:h="15840"/>
          <w:pgMar w:top="1360" w:bottom="280" w:left="1580" w:right="1400"/>
        </w:sectPr>
      </w:pPr>
    </w:p>
    <w:p>
      <w:pPr>
        <w:pStyle w:val="Heading2"/>
        <w:spacing w:before="55"/>
        <w:ind w:left="122" w:firstLine="0"/>
        <w:rPr>
          <w:i/>
        </w:rPr>
      </w:pPr>
      <w:bookmarkStart w:name="_TOC_250012" w:id="30"/>
      <w:bookmarkEnd w:id="30"/>
      <w:r>
        <w:rPr>
          <w:i/>
        </w:rPr>
        <w:t>4.5.3. Construcción de un modelo para determinar la viabilidad económica y financiera</w:t>
      </w:r>
    </w:p>
    <w:p>
      <w:pPr>
        <w:pStyle w:val="BodyText"/>
        <w:rPr>
          <w:b/>
          <w:i/>
        </w:rPr>
      </w:pPr>
    </w:p>
    <w:p>
      <w:pPr>
        <w:pStyle w:val="BodyText"/>
        <w:spacing w:before="7"/>
        <w:rPr>
          <w:b/>
          <w:i/>
          <w:sz w:val="23"/>
        </w:rPr>
      </w:pPr>
    </w:p>
    <w:p>
      <w:pPr>
        <w:pStyle w:val="BodyText"/>
        <w:spacing w:line="360" w:lineRule="auto"/>
        <w:ind w:left="122" w:right="119"/>
        <w:jc w:val="both"/>
      </w:pPr>
      <w:r>
        <w:rPr/>
        <w:t>La pirámide de la Figura 14 muestra los pasos para la construcción de un modelo de arriba hacia abajo. Esta figura ilustra la forma en que se debe construir un modelo para simular la probabilidad</w:t>
      </w:r>
      <w:r>
        <w:rPr>
          <w:spacing w:val="-10"/>
        </w:rPr>
        <w:t> </w:t>
      </w:r>
      <w:r>
        <w:rPr/>
        <w:t>de</w:t>
      </w:r>
      <w:r>
        <w:rPr>
          <w:spacing w:val="-11"/>
        </w:rPr>
        <w:t> </w:t>
      </w:r>
      <w:r>
        <w:rPr/>
        <w:t>éxito</w:t>
      </w:r>
      <w:r>
        <w:rPr>
          <w:spacing w:val="-10"/>
        </w:rPr>
        <w:t> </w:t>
      </w:r>
      <w:r>
        <w:rPr/>
        <w:t>económico</w:t>
      </w:r>
      <w:r>
        <w:rPr>
          <w:spacing w:val="-7"/>
        </w:rPr>
        <w:t> </w:t>
      </w:r>
      <w:r>
        <w:rPr/>
        <w:t>y</w:t>
      </w:r>
      <w:r>
        <w:rPr>
          <w:spacing w:val="-14"/>
        </w:rPr>
        <w:t> </w:t>
      </w:r>
      <w:r>
        <w:rPr/>
        <w:t>financiero.</w:t>
      </w:r>
      <w:r>
        <w:rPr>
          <w:spacing w:val="-8"/>
        </w:rPr>
        <w:t> </w:t>
      </w:r>
      <w:r>
        <w:rPr/>
        <w:t>Los</w:t>
      </w:r>
      <w:r>
        <w:rPr>
          <w:spacing w:val="-7"/>
        </w:rPr>
        <w:t> </w:t>
      </w:r>
      <w:r>
        <w:rPr/>
        <w:t>ingresos</w:t>
      </w:r>
      <w:r>
        <w:rPr>
          <w:spacing w:val="-9"/>
        </w:rPr>
        <w:t> </w:t>
      </w:r>
      <w:r>
        <w:rPr/>
        <w:t>netos</w:t>
      </w:r>
      <w:r>
        <w:rPr>
          <w:spacing w:val="-9"/>
        </w:rPr>
        <w:t> </w:t>
      </w:r>
      <w:r>
        <w:rPr/>
        <w:t>en</w:t>
      </w:r>
      <w:r>
        <w:rPr>
          <w:spacing w:val="-10"/>
        </w:rPr>
        <w:t> </w:t>
      </w:r>
      <w:r>
        <w:rPr/>
        <w:t>efectivo</w:t>
      </w:r>
      <w:r>
        <w:rPr>
          <w:spacing w:val="-7"/>
        </w:rPr>
        <w:t> </w:t>
      </w:r>
      <w:r>
        <w:rPr/>
        <w:t>y</w:t>
      </w:r>
      <w:r>
        <w:rPr>
          <w:spacing w:val="-14"/>
        </w:rPr>
        <w:t> </w:t>
      </w:r>
      <w:r>
        <w:rPr/>
        <w:t>el</w:t>
      </w:r>
      <w:r>
        <w:rPr>
          <w:spacing w:val="-9"/>
        </w:rPr>
        <w:t> </w:t>
      </w:r>
      <w:r>
        <w:rPr/>
        <w:t>VAN</w:t>
      </w:r>
      <w:r>
        <w:rPr>
          <w:spacing w:val="-10"/>
        </w:rPr>
        <w:t> </w:t>
      </w:r>
      <w:r>
        <w:rPr/>
        <w:t>serán las VSC utilizadas como factores determinantes en la viabilidad económica y</w:t>
      </w:r>
      <w:r>
        <w:rPr>
          <w:spacing w:val="-15"/>
        </w:rPr>
        <w:t> </w:t>
      </w:r>
      <w:r>
        <w:rPr/>
        <w:t>financiera.</w:t>
      </w:r>
    </w:p>
    <w:p>
      <w:pPr>
        <w:pStyle w:val="BodyText"/>
      </w:pPr>
    </w:p>
    <w:p>
      <w:pPr>
        <w:pStyle w:val="BodyText"/>
        <w:spacing w:line="360" w:lineRule="auto" w:before="143"/>
        <w:ind w:left="122" w:right="117"/>
        <w:jc w:val="both"/>
      </w:pPr>
      <w:r>
        <w:rPr/>
        <w:t>El balance de caja, balance general y estado de resultados son la esencia del modelo. Estos estados contables contienen los resultados para calcular las VSC. El precio de los insumos alimenticios, los coeficientes técnicos (producción) y costos de producción serán utilizados en el modelo para simular las distribuciones de probabilidad para las VSC.</w:t>
      </w:r>
    </w:p>
    <w:p>
      <w:pPr>
        <w:pStyle w:val="BodyText"/>
        <w:rPr>
          <w:sz w:val="20"/>
        </w:rPr>
      </w:pPr>
    </w:p>
    <w:p>
      <w:pPr>
        <w:pStyle w:val="BodyText"/>
        <w:spacing w:before="8"/>
        <w:rPr>
          <w:sz w:val="15"/>
        </w:rPr>
      </w:pPr>
      <w:r>
        <w:rPr/>
        <w:pict>
          <v:group style="position:absolute;margin-left:87.599998pt;margin-top:11.010754pt;width:439pt;height:259pt;mso-position-horizontal-relative:page;mso-position-vertical-relative:paragraph;z-index:3352;mso-wrap-distance-left:0;mso-wrap-distance-right:0" coordorigin="1752,220" coordsize="8780,5180">
            <v:shape style="position:absolute;left:5208;top:220;width:1867;height:1147" type="#_x0000_t75" stroked="false">
              <v:imagedata r:id="rId96" o:title=""/>
            </v:shape>
            <v:shape style="position:absolute;left:4344;top:1228;width:3595;height:1154" type="#_x0000_t75" stroked="false">
              <v:imagedata r:id="rId97" o:title=""/>
            </v:shape>
            <v:shape style="position:absolute;left:3480;top:2236;width:5323;height:1147" type="#_x0000_t75" stroked="false">
              <v:imagedata r:id="rId98" o:title=""/>
            </v:shape>
            <v:shape style="position:absolute;left:2616;top:3244;width:7051;height:1147" type="#_x0000_t75" stroked="false">
              <v:imagedata r:id="rId99" o:title=""/>
            </v:shape>
            <v:shape style="position:absolute;left:1752;top:4252;width:8779;height:1147" type="#_x0000_t75" stroked="false">
              <v:imagedata r:id="rId100" o:title=""/>
            </v:shape>
            <v:shape style="position:absolute;left:4786;top:466;width:2712;height:2552" type="#_x0000_t202" filled="false" stroked="false">
              <v:textbox inset="0,0,0,0">
                <w:txbxContent>
                  <w:p>
                    <w:pPr>
                      <w:spacing w:line="245" w:lineRule="exact" w:before="0"/>
                      <w:ind w:left="346" w:right="346" w:firstLine="0"/>
                      <w:jc w:val="center"/>
                      <w:rPr>
                        <w:sz w:val="24"/>
                      </w:rPr>
                    </w:pPr>
                    <w:r>
                      <w:rPr>
                        <w:sz w:val="24"/>
                      </w:rPr>
                      <w:t>IT,</w:t>
                    </w:r>
                  </w:p>
                  <w:p>
                    <w:pPr>
                      <w:spacing w:before="69"/>
                      <w:ind w:left="820" w:right="0" w:firstLine="0"/>
                      <w:jc w:val="left"/>
                      <w:rPr>
                        <w:sz w:val="24"/>
                      </w:rPr>
                    </w:pPr>
                    <w:r>
                      <w:rPr>
                        <w:sz w:val="24"/>
                      </w:rPr>
                      <w:t>VAN anual</w:t>
                    </w:r>
                  </w:p>
                  <w:p>
                    <w:pPr>
                      <w:spacing w:line="240" w:lineRule="auto" w:before="11"/>
                      <w:rPr>
                        <w:sz w:val="28"/>
                      </w:rPr>
                    </w:pPr>
                  </w:p>
                  <w:p>
                    <w:pPr>
                      <w:spacing w:line="216" w:lineRule="auto" w:before="0"/>
                      <w:ind w:left="346" w:right="344" w:firstLine="0"/>
                      <w:jc w:val="center"/>
                      <w:rPr>
                        <w:sz w:val="24"/>
                      </w:rPr>
                    </w:pPr>
                    <w:r>
                      <w:rPr>
                        <w:sz w:val="24"/>
                      </w:rPr>
                      <w:t>Estados financieros, económicos y contables</w:t>
                    </w:r>
                  </w:p>
                  <w:p>
                    <w:pPr>
                      <w:spacing w:line="240" w:lineRule="auto" w:before="8"/>
                      <w:rPr>
                        <w:sz w:val="31"/>
                      </w:rPr>
                    </w:pPr>
                  </w:p>
                  <w:p>
                    <w:pPr>
                      <w:spacing w:line="262" w:lineRule="exact" w:before="0"/>
                      <w:ind w:left="0" w:right="0" w:firstLine="0"/>
                      <w:jc w:val="center"/>
                      <w:rPr>
                        <w:sz w:val="24"/>
                      </w:rPr>
                    </w:pPr>
                    <w:r>
                      <w:rPr>
                        <w:sz w:val="24"/>
                      </w:rPr>
                      <w:t>Ecuaciones para calcular las</w:t>
                    </w:r>
                  </w:p>
                  <w:p>
                    <w:pPr>
                      <w:spacing w:line="257" w:lineRule="exact" w:before="0"/>
                      <w:ind w:left="346" w:right="346" w:firstLine="0"/>
                      <w:jc w:val="center"/>
                      <w:rPr>
                        <w:sz w:val="24"/>
                      </w:rPr>
                    </w:pPr>
                    <w:r>
                      <w:rPr>
                        <w:sz w:val="24"/>
                      </w:rPr>
                      <w:t>variables financieras</w:t>
                    </w:r>
                  </w:p>
                </w:txbxContent>
              </v:textbox>
              <w10:wrap type="none"/>
            </v:shape>
            <v:shape style="position:absolute;left:3934;top:3539;width:4420;height:488" type="#_x0000_t202" filled="false" stroked="false">
              <v:textbox inset="0,0,0,0">
                <w:txbxContent>
                  <w:p>
                    <w:pPr>
                      <w:spacing w:line="216" w:lineRule="auto" w:before="0"/>
                      <w:ind w:left="1212" w:right="-17" w:hanging="1213"/>
                      <w:jc w:val="left"/>
                      <w:rPr>
                        <w:sz w:val="24"/>
                      </w:rPr>
                    </w:pPr>
                    <w:r>
                      <w:rPr>
                        <w:spacing w:val="-3"/>
                        <w:sz w:val="24"/>
                      </w:rPr>
                      <w:t>Tamaño </w:t>
                    </w:r>
                    <w:r>
                      <w:rPr>
                        <w:sz w:val="24"/>
                      </w:rPr>
                      <w:t>de la finca, nivel de endeudamiento y coeficientes técnicos</w:t>
                    </w:r>
                  </w:p>
                </w:txbxContent>
              </v:textbox>
              <w10:wrap type="none"/>
            </v:shape>
            <v:shape style="position:absolute;left:3706;top:4547;width:4930;height:488" type="#_x0000_t202" filled="false" stroked="false">
              <v:textbox inset="0,0,0,0">
                <w:txbxContent>
                  <w:p>
                    <w:pPr>
                      <w:spacing w:line="216" w:lineRule="auto" w:before="0"/>
                      <w:ind w:left="970" w:right="-11" w:hanging="970"/>
                      <w:jc w:val="left"/>
                      <w:rPr>
                        <w:sz w:val="24"/>
                      </w:rPr>
                    </w:pPr>
                    <w:r>
                      <w:rPr>
                        <w:sz w:val="24"/>
                      </w:rPr>
                      <w:t>Precios estocásticos y rendimientos por hectárea</w:t>
                    </w:r>
                    <w:r>
                      <w:rPr>
                        <w:spacing w:val="-11"/>
                        <w:sz w:val="24"/>
                      </w:rPr>
                      <w:t> </w:t>
                    </w:r>
                    <w:r>
                      <w:rPr>
                        <w:sz w:val="24"/>
                      </w:rPr>
                      <w:t>de cultivo y costos de</w:t>
                    </w:r>
                    <w:r>
                      <w:rPr>
                        <w:spacing w:val="-8"/>
                        <w:sz w:val="24"/>
                      </w:rPr>
                      <w:t> </w:t>
                    </w:r>
                    <w:r>
                      <w:rPr>
                        <w:sz w:val="24"/>
                      </w:rPr>
                      <w:t>producción</w:t>
                    </w:r>
                  </w:p>
                </w:txbxContent>
              </v:textbox>
              <w10:wrap type="none"/>
            </v:shape>
            <w10:wrap type="topAndBottom"/>
          </v:group>
        </w:pict>
      </w:r>
    </w:p>
    <w:p>
      <w:pPr>
        <w:spacing w:before="180"/>
        <w:ind w:left="5911" w:right="51" w:firstLine="0"/>
        <w:jc w:val="left"/>
        <w:rPr>
          <w:sz w:val="20"/>
        </w:rPr>
      </w:pPr>
      <w:r>
        <w:rPr>
          <w:sz w:val="20"/>
        </w:rPr>
        <w:t>Fuente: Modificado de Danielle, 2008</w:t>
      </w:r>
    </w:p>
    <w:p>
      <w:pPr>
        <w:pStyle w:val="BodyText"/>
        <w:rPr>
          <w:sz w:val="20"/>
        </w:rPr>
      </w:pPr>
    </w:p>
    <w:p>
      <w:pPr>
        <w:pStyle w:val="BodyText"/>
        <w:spacing w:before="11"/>
        <w:rPr>
          <w:sz w:val="19"/>
        </w:rPr>
      </w:pPr>
    </w:p>
    <w:p>
      <w:pPr>
        <w:pStyle w:val="BodyText"/>
        <w:spacing w:line="360" w:lineRule="auto"/>
        <w:ind w:left="122" w:right="125"/>
        <w:jc w:val="both"/>
      </w:pPr>
      <w:r>
        <w:rPr/>
        <w:pict>
          <v:line style="position:absolute;mso-position-horizontal-relative:page;mso-position-vertical-relative:paragraph;z-index:-460408" from="85.139999pt,.24313pt" to="526.789999pt,.24313pt" stroked="true" strokeweight="2.04pt" strokecolor="#000000">
            <w10:wrap type="none"/>
          </v:line>
        </w:pict>
      </w:r>
      <w:r>
        <w:rPr>
          <w:b/>
        </w:rPr>
        <w:t>Figura 14</w:t>
      </w:r>
      <w:r>
        <w:rPr/>
        <w:t>. Pasos para construir un modelo de simulación económica y financiera con el programa MexSim.</w:t>
      </w:r>
    </w:p>
    <w:p>
      <w:pPr>
        <w:spacing w:after="0" w:line="360" w:lineRule="auto"/>
        <w:jc w:val="both"/>
        <w:sectPr>
          <w:pgSz w:w="12240" w:h="15840"/>
          <w:pgMar w:header="0" w:footer="657" w:top="1360" w:bottom="840" w:left="1580" w:right="1580"/>
        </w:sectPr>
      </w:pPr>
    </w:p>
    <w:p>
      <w:pPr>
        <w:pStyle w:val="Heading1"/>
      </w:pPr>
      <w:bookmarkStart w:name="_TOC_250011" w:id="31"/>
      <w:bookmarkEnd w:id="31"/>
      <w:r>
        <w:rPr/>
        <w:t>4.5.4 Variables del modelo en el análisis de producción de cultivos</w:t>
      </w:r>
    </w:p>
    <w:p>
      <w:pPr>
        <w:pStyle w:val="BodyText"/>
        <w:rPr>
          <w:b/>
        </w:rPr>
      </w:pPr>
    </w:p>
    <w:p>
      <w:pPr>
        <w:pStyle w:val="BodyText"/>
        <w:spacing w:before="7"/>
        <w:rPr>
          <w:b/>
          <w:sz w:val="23"/>
        </w:rPr>
      </w:pPr>
    </w:p>
    <w:p>
      <w:pPr>
        <w:pStyle w:val="BodyText"/>
        <w:spacing w:line="360" w:lineRule="auto"/>
        <w:ind w:left="102" w:right="117"/>
        <w:jc w:val="both"/>
      </w:pPr>
      <w:r>
        <w:rPr/>
        <w:t>En esta sección se describe la estructura del modelo a partir de las variables estocásticas y deterministas. El precio de mercado de los insumos utilizados por los productores cambia cada año, por lo que es lógico, que estas variables se simulen en un horizonte de</w:t>
      </w:r>
      <w:r>
        <w:rPr>
          <w:spacing w:val="-32"/>
        </w:rPr>
        <w:t> </w:t>
      </w:r>
      <w:r>
        <w:rPr/>
        <w:t>planeación.</w:t>
      </w:r>
    </w:p>
    <w:p>
      <w:pPr>
        <w:pStyle w:val="BodyText"/>
      </w:pPr>
    </w:p>
    <w:p>
      <w:pPr>
        <w:pStyle w:val="BodyText"/>
        <w:spacing w:line="360" w:lineRule="auto" w:before="143"/>
        <w:ind w:left="102" w:right="116"/>
        <w:jc w:val="both"/>
      </w:pPr>
      <w:r>
        <w:rPr/>
        <w:t>Los</w:t>
      </w:r>
      <w:r>
        <w:rPr>
          <w:spacing w:val="-8"/>
        </w:rPr>
        <w:t> </w:t>
      </w:r>
      <w:r>
        <w:rPr/>
        <w:t>precios</w:t>
      </w:r>
      <w:r>
        <w:rPr>
          <w:spacing w:val="-3"/>
        </w:rPr>
        <w:t> </w:t>
      </w:r>
      <w:r>
        <w:rPr/>
        <w:t>y</w:t>
      </w:r>
      <w:r>
        <w:rPr>
          <w:spacing w:val="-11"/>
        </w:rPr>
        <w:t> </w:t>
      </w:r>
      <w:r>
        <w:rPr/>
        <w:t>rendimientos</w:t>
      </w:r>
      <w:r>
        <w:rPr>
          <w:spacing w:val="-7"/>
        </w:rPr>
        <w:t> </w:t>
      </w:r>
      <w:r>
        <w:rPr/>
        <w:t>del</w:t>
      </w:r>
      <w:r>
        <w:rPr>
          <w:spacing w:val="-8"/>
        </w:rPr>
        <w:t> </w:t>
      </w:r>
      <w:r>
        <w:rPr/>
        <w:t>año</w:t>
      </w:r>
      <w:r>
        <w:rPr>
          <w:spacing w:val="-9"/>
        </w:rPr>
        <w:t> </w:t>
      </w:r>
      <w:r>
        <w:rPr/>
        <w:t>base</w:t>
      </w:r>
      <w:r>
        <w:rPr>
          <w:spacing w:val="-9"/>
        </w:rPr>
        <w:t> </w:t>
      </w:r>
      <w:r>
        <w:rPr/>
        <w:t>(información</w:t>
      </w:r>
      <w:r>
        <w:rPr>
          <w:spacing w:val="-8"/>
        </w:rPr>
        <w:t> </w:t>
      </w:r>
      <w:r>
        <w:rPr/>
        <w:t>obtenida</w:t>
      </w:r>
      <w:r>
        <w:rPr>
          <w:spacing w:val="-9"/>
        </w:rPr>
        <w:t> </w:t>
      </w:r>
      <w:r>
        <w:rPr/>
        <w:t>de</w:t>
      </w:r>
      <w:r>
        <w:rPr>
          <w:spacing w:val="-10"/>
        </w:rPr>
        <w:t> </w:t>
      </w:r>
      <w:r>
        <w:rPr/>
        <w:t>los</w:t>
      </w:r>
      <w:r>
        <w:rPr>
          <w:spacing w:val="-8"/>
        </w:rPr>
        <w:t> </w:t>
      </w:r>
      <w:r>
        <w:rPr/>
        <w:t>panelistas)</w:t>
      </w:r>
      <w:r>
        <w:rPr>
          <w:spacing w:val="-7"/>
        </w:rPr>
        <w:t> </w:t>
      </w:r>
      <w:r>
        <w:rPr/>
        <w:t>e</w:t>
      </w:r>
      <w:r>
        <w:rPr>
          <w:spacing w:val="-10"/>
        </w:rPr>
        <w:t> </w:t>
      </w:r>
      <w:r>
        <w:rPr/>
        <w:t>históricos de ensilado de maíz, alfalfa, avena y maíz amarillo constituirán las variables que tendrán un proceso</w:t>
      </w:r>
      <w:r>
        <w:rPr>
          <w:spacing w:val="-5"/>
        </w:rPr>
        <w:t> </w:t>
      </w:r>
      <w:r>
        <w:rPr/>
        <w:t>estocástico.</w:t>
      </w:r>
      <w:r>
        <w:rPr>
          <w:spacing w:val="-5"/>
        </w:rPr>
        <w:t> </w:t>
      </w:r>
      <w:r>
        <w:rPr/>
        <w:t>Se</w:t>
      </w:r>
      <w:r>
        <w:rPr>
          <w:spacing w:val="-6"/>
        </w:rPr>
        <w:t> </w:t>
      </w:r>
      <w:r>
        <w:rPr/>
        <w:t>utilizó</w:t>
      </w:r>
      <w:r>
        <w:rPr>
          <w:spacing w:val="-6"/>
        </w:rPr>
        <w:t> </w:t>
      </w:r>
      <w:r>
        <w:rPr/>
        <w:t>una</w:t>
      </w:r>
      <w:r>
        <w:rPr>
          <w:spacing w:val="-6"/>
        </w:rPr>
        <w:t> </w:t>
      </w:r>
      <w:r>
        <w:rPr/>
        <w:t>Distribución</w:t>
      </w:r>
      <w:r>
        <w:rPr>
          <w:spacing w:val="-4"/>
        </w:rPr>
        <w:t> </w:t>
      </w:r>
      <w:r>
        <w:rPr/>
        <w:t>Multivariante</w:t>
      </w:r>
      <w:r>
        <w:rPr>
          <w:spacing w:val="-6"/>
        </w:rPr>
        <w:t> </w:t>
      </w:r>
      <w:r>
        <w:rPr/>
        <w:t>Empírica</w:t>
      </w:r>
      <w:r>
        <w:rPr>
          <w:spacing w:val="-6"/>
        </w:rPr>
        <w:t> </w:t>
      </w:r>
      <w:r>
        <w:rPr/>
        <w:t>(DME)</w:t>
      </w:r>
      <w:r>
        <w:rPr>
          <w:spacing w:val="-6"/>
        </w:rPr>
        <w:t> </w:t>
      </w:r>
      <w:r>
        <w:rPr/>
        <w:t>para</w:t>
      </w:r>
      <w:r>
        <w:rPr>
          <w:spacing w:val="-7"/>
        </w:rPr>
        <w:t> </w:t>
      </w:r>
      <w:r>
        <w:rPr/>
        <w:t>simular el precio de los</w:t>
      </w:r>
      <w:r>
        <w:rPr>
          <w:spacing w:val="-5"/>
        </w:rPr>
        <w:t> </w:t>
      </w:r>
      <w:r>
        <w:rPr/>
        <w:t>cultivos.</w:t>
      </w:r>
    </w:p>
    <w:p>
      <w:pPr>
        <w:pStyle w:val="BodyText"/>
      </w:pPr>
    </w:p>
    <w:p>
      <w:pPr>
        <w:pStyle w:val="BodyText"/>
        <w:spacing w:line="360" w:lineRule="auto" w:before="143"/>
        <w:ind w:left="102" w:right="116"/>
        <w:jc w:val="both"/>
      </w:pPr>
      <w:r>
        <w:rPr/>
        <w:t>El pronóstico de precios proyectados por la SAGARPA (2011a) de los insumos necesarios para</w:t>
      </w:r>
      <w:r>
        <w:rPr>
          <w:spacing w:val="-7"/>
        </w:rPr>
        <w:t> </w:t>
      </w:r>
      <w:r>
        <w:rPr/>
        <w:t>la</w:t>
      </w:r>
      <w:r>
        <w:rPr>
          <w:spacing w:val="-5"/>
        </w:rPr>
        <w:t> </w:t>
      </w:r>
      <w:r>
        <w:rPr/>
        <w:t>producción</w:t>
      </w:r>
      <w:r>
        <w:rPr>
          <w:spacing w:val="-4"/>
        </w:rPr>
        <w:t> </w:t>
      </w:r>
      <w:r>
        <w:rPr/>
        <w:t>de</w:t>
      </w:r>
      <w:r>
        <w:rPr>
          <w:spacing w:val="-6"/>
        </w:rPr>
        <w:t> </w:t>
      </w:r>
      <w:r>
        <w:rPr/>
        <w:t>cultivos</w:t>
      </w:r>
      <w:r>
        <w:rPr>
          <w:spacing w:val="-5"/>
        </w:rPr>
        <w:t> </w:t>
      </w:r>
      <w:r>
        <w:rPr/>
        <w:t>se</w:t>
      </w:r>
      <w:r>
        <w:rPr>
          <w:spacing w:val="-4"/>
        </w:rPr>
        <w:t> </w:t>
      </w:r>
      <w:r>
        <w:rPr/>
        <w:t>utilizó</w:t>
      </w:r>
      <w:r>
        <w:rPr>
          <w:spacing w:val="-4"/>
        </w:rPr>
        <w:t> </w:t>
      </w:r>
      <w:r>
        <w:rPr/>
        <w:t>en</w:t>
      </w:r>
      <w:r>
        <w:rPr>
          <w:spacing w:val="-5"/>
        </w:rPr>
        <w:t> </w:t>
      </w:r>
      <w:r>
        <w:rPr/>
        <w:t>el</w:t>
      </w:r>
      <w:r>
        <w:rPr>
          <w:spacing w:val="-7"/>
        </w:rPr>
        <w:t> </w:t>
      </w:r>
      <w:r>
        <w:rPr/>
        <w:t>modelo.</w:t>
      </w:r>
      <w:r>
        <w:rPr>
          <w:spacing w:val="-5"/>
        </w:rPr>
        <w:t> </w:t>
      </w:r>
      <w:r>
        <w:rPr/>
        <w:t>En</w:t>
      </w:r>
      <w:r>
        <w:rPr>
          <w:spacing w:val="-5"/>
        </w:rPr>
        <w:t> </w:t>
      </w:r>
      <w:r>
        <w:rPr/>
        <w:t>la</w:t>
      </w:r>
      <w:r>
        <w:rPr>
          <w:spacing w:val="-5"/>
        </w:rPr>
        <w:t> </w:t>
      </w:r>
      <w:r>
        <w:rPr/>
        <w:t>Tabla</w:t>
      </w:r>
      <w:r>
        <w:rPr>
          <w:spacing w:val="-5"/>
        </w:rPr>
        <w:t> </w:t>
      </w:r>
      <w:r>
        <w:rPr/>
        <w:t>10,</w:t>
      </w:r>
      <w:r>
        <w:rPr>
          <w:spacing w:val="-5"/>
        </w:rPr>
        <w:t> </w:t>
      </w:r>
      <w:r>
        <w:rPr/>
        <w:t>se</w:t>
      </w:r>
      <w:r>
        <w:rPr>
          <w:spacing w:val="-6"/>
        </w:rPr>
        <w:t> </w:t>
      </w:r>
      <w:r>
        <w:rPr/>
        <w:t>observan</w:t>
      </w:r>
      <w:r>
        <w:rPr>
          <w:spacing w:val="-5"/>
        </w:rPr>
        <w:t> </w:t>
      </w:r>
      <w:r>
        <w:rPr/>
        <w:t>los</w:t>
      </w:r>
      <w:r>
        <w:rPr>
          <w:spacing w:val="-5"/>
        </w:rPr>
        <w:t> </w:t>
      </w:r>
      <w:r>
        <w:rPr/>
        <w:t>costos de producción para cada cultivo, los cuales, fueron estimados de acuerdo a la información proporcionada por los</w:t>
      </w:r>
      <w:r>
        <w:rPr>
          <w:spacing w:val="-4"/>
        </w:rPr>
        <w:t> </w:t>
      </w:r>
      <w:r>
        <w:rPr/>
        <w:t>panelistas.</w:t>
      </w:r>
    </w:p>
    <w:p>
      <w:pPr>
        <w:pStyle w:val="BodyText"/>
      </w:pPr>
    </w:p>
    <w:p>
      <w:pPr>
        <w:pStyle w:val="BodyText"/>
        <w:spacing w:before="140" w:after="30"/>
        <w:ind w:left="171" w:right="351"/>
      </w:pPr>
      <w:r>
        <w:rPr>
          <w:b/>
        </w:rPr>
        <w:t>Tabla 10</w:t>
      </w:r>
      <w:r>
        <w:rPr/>
        <w:t>. Costos de producción por hectárea de cultivo en sistemas lecheros de pequeña escala año base, 2013</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949"/>
        <w:gridCol w:w="2346"/>
        <w:gridCol w:w="1261"/>
        <w:gridCol w:w="1240"/>
        <w:gridCol w:w="995"/>
      </w:tblGrid>
      <w:tr>
        <w:trPr>
          <w:trHeight w:val="341" w:hRule="exact"/>
        </w:trPr>
        <w:tc>
          <w:tcPr>
            <w:tcW w:w="2949" w:type="dxa"/>
            <w:vMerge w:val="restart"/>
            <w:tcBorders>
              <w:left w:val="nil"/>
              <w:right w:val="nil"/>
            </w:tcBorders>
          </w:tcPr>
          <w:p>
            <w:pPr/>
          </w:p>
        </w:tc>
        <w:tc>
          <w:tcPr>
            <w:tcW w:w="2346" w:type="dxa"/>
            <w:tcBorders>
              <w:left w:val="nil"/>
              <w:right w:val="nil"/>
            </w:tcBorders>
          </w:tcPr>
          <w:p>
            <w:pPr>
              <w:pStyle w:val="TableParagraph"/>
              <w:spacing w:before="4"/>
              <w:ind w:left="99" w:right="-25"/>
              <w:jc w:val="left"/>
              <w:rPr>
                <w:sz w:val="24"/>
              </w:rPr>
            </w:pPr>
            <w:r>
              <w:rPr>
                <w:sz w:val="24"/>
              </w:rPr>
              <w:t>Ensilado de maíz</w:t>
            </w:r>
          </w:p>
        </w:tc>
        <w:tc>
          <w:tcPr>
            <w:tcW w:w="1261" w:type="dxa"/>
            <w:tcBorders>
              <w:left w:val="nil"/>
              <w:right w:val="nil"/>
            </w:tcBorders>
          </w:tcPr>
          <w:p>
            <w:pPr>
              <w:pStyle w:val="TableParagraph"/>
              <w:spacing w:before="4"/>
              <w:ind w:left="-14" w:right="313"/>
              <w:rPr>
                <w:sz w:val="24"/>
              </w:rPr>
            </w:pPr>
            <w:r>
              <w:rPr>
                <w:sz w:val="24"/>
              </w:rPr>
              <w:t>Alfalfa</w:t>
            </w:r>
          </w:p>
        </w:tc>
        <w:tc>
          <w:tcPr>
            <w:tcW w:w="1240" w:type="dxa"/>
            <w:tcBorders>
              <w:left w:val="nil"/>
              <w:right w:val="nil"/>
            </w:tcBorders>
          </w:tcPr>
          <w:p>
            <w:pPr>
              <w:pStyle w:val="TableParagraph"/>
              <w:spacing w:before="13"/>
              <w:ind w:right="85"/>
              <w:rPr>
                <w:sz w:val="24"/>
              </w:rPr>
            </w:pPr>
            <w:r>
              <w:rPr>
                <w:sz w:val="24"/>
              </w:rPr>
              <w:t>Avena</w:t>
            </w:r>
          </w:p>
        </w:tc>
        <w:tc>
          <w:tcPr>
            <w:tcW w:w="995" w:type="dxa"/>
            <w:tcBorders>
              <w:left w:val="nil"/>
              <w:right w:val="nil"/>
            </w:tcBorders>
          </w:tcPr>
          <w:p>
            <w:pPr>
              <w:pStyle w:val="TableParagraph"/>
              <w:spacing w:before="13"/>
              <w:ind w:right="67"/>
              <w:rPr>
                <w:sz w:val="24"/>
              </w:rPr>
            </w:pPr>
            <w:r>
              <w:rPr>
                <w:sz w:val="24"/>
              </w:rPr>
              <w:t>Maíz</w:t>
            </w:r>
          </w:p>
        </w:tc>
      </w:tr>
      <w:tr>
        <w:trPr>
          <w:trHeight w:val="358" w:hRule="exact"/>
        </w:trPr>
        <w:tc>
          <w:tcPr>
            <w:tcW w:w="2949" w:type="dxa"/>
            <w:vMerge/>
            <w:tcBorders>
              <w:left w:val="nil"/>
              <w:bottom w:val="nil"/>
              <w:right w:val="nil"/>
            </w:tcBorders>
          </w:tcPr>
          <w:p>
            <w:pPr/>
          </w:p>
        </w:tc>
        <w:tc>
          <w:tcPr>
            <w:tcW w:w="2346" w:type="dxa"/>
            <w:tcBorders>
              <w:left w:val="nil"/>
              <w:bottom w:val="nil"/>
              <w:right w:val="nil"/>
            </w:tcBorders>
          </w:tcPr>
          <w:p>
            <w:pPr>
              <w:pStyle w:val="TableParagraph"/>
              <w:spacing w:before="13"/>
              <w:ind w:left="1374" w:right="-25"/>
              <w:jc w:val="left"/>
              <w:rPr>
                <w:sz w:val="24"/>
              </w:rPr>
            </w:pPr>
            <w:r>
              <w:rPr>
                <w:spacing w:val="-1"/>
                <w:sz w:val="24"/>
              </w:rPr>
              <w:t>$/hectárea</w:t>
            </w:r>
          </w:p>
        </w:tc>
        <w:tc>
          <w:tcPr>
            <w:tcW w:w="1261" w:type="dxa"/>
            <w:tcBorders>
              <w:left w:val="nil"/>
              <w:bottom w:val="nil"/>
              <w:right w:val="nil"/>
            </w:tcBorders>
          </w:tcPr>
          <w:p>
            <w:pPr/>
          </w:p>
        </w:tc>
        <w:tc>
          <w:tcPr>
            <w:tcW w:w="1240" w:type="dxa"/>
            <w:tcBorders>
              <w:left w:val="nil"/>
              <w:bottom w:val="nil"/>
              <w:right w:val="nil"/>
            </w:tcBorders>
          </w:tcPr>
          <w:p>
            <w:pPr/>
          </w:p>
        </w:tc>
        <w:tc>
          <w:tcPr>
            <w:tcW w:w="995" w:type="dxa"/>
            <w:tcBorders>
              <w:left w:val="nil"/>
              <w:bottom w:val="nil"/>
              <w:right w:val="nil"/>
            </w:tcBorders>
          </w:tcPr>
          <w:p>
            <w:pPr/>
          </w:p>
        </w:tc>
      </w:tr>
      <w:tr>
        <w:trPr>
          <w:trHeight w:val="661" w:hRule="exact"/>
        </w:trPr>
        <w:tc>
          <w:tcPr>
            <w:tcW w:w="2949" w:type="dxa"/>
            <w:tcBorders>
              <w:top w:val="nil"/>
              <w:left w:val="nil"/>
              <w:bottom w:val="nil"/>
              <w:right w:val="nil"/>
            </w:tcBorders>
          </w:tcPr>
          <w:p>
            <w:pPr>
              <w:pStyle w:val="TableParagraph"/>
              <w:spacing w:before="20"/>
              <w:ind w:left="69"/>
              <w:jc w:val="left"/>
              <w:rPr>
                <w:b/>
                <w:sz w:val="24"/>
              </w:rPr>
            </w:pPr>
            <w:r>
              <w:rPr>
                <w:b/>
                <w:sz w:val="24"/>
              </w:rPr>
              <w:t>Costos variables</w:t>
            </w:r>
          </w:p>
          <w:p>
            <w:pPr>
              <w:pStyle w:val="TableParagraph"/>
              <w:spacing w:before="29"/>
              <w:ind w:left="309"/>
              <w:jc w:val="left"/>
              <w:rPr>
                <w:sz w:val="24"/>
              </w:rPr>
            </w:pPr>
            <w:r>
              <w:rPr>
                <w:sz w:val="24"/>
              </w:rPr>
              <w:t>Costo de la semilla</w:t>
            </w:r>
          </w:p>
        </w:tc>
        <w:tc>
          <w:tcPr>
            <w:tcW w:w="2346" w:type="dxa"/>
            <w:tcBorders>
              <w:top w:val="nil"/>
              <w:left w:val="nil"/>
              <w:bottom w:val="nil"/>
              <w:right w:val="nil"/>
            </w:tcBorders>
          </w:tcPr>
          <w:p>
            <w:pPr>
              <w:pStyle w:val="TableParagraph"/>
              <w:spacing w:before="3"/>
              <w:jc w:val="left"/>
              <w:rPr>
                <w:sz w:val="28"/>
              </w:rPr>
            </w:pPr>
          </w:p>
          <w:p>
            <w:pPr>
              <w:pStyle w:val="TableParagraph"/>
              <w:ind w:left="1093" w:right="-25"/>
              <w:jc w:val="left"/>
              <w:rPr>
                <w:sz w:val="24"/>
              </w:rPr>
            </w:pPr>
            <w:r>
              <w:rPr>
                <w:sz w:val="24"/>
              </w:rPr>
              <w:t>600.00</w:t>
            </w:r>
          </w:p>
        </w:tc>
        <w:tc>
          <w:tcPr>
            <w:tcW w:w="1261" w:type="dxa"/>
            <w:tcBorders>
              <w:top w:val="nil"/>
              <w:left w:val="nil"/>
              <w:bottom w:val="nil"/>
              <w:right w:val="nil"/>
            </w:tcBorders>
          </w:tcPr>
          <w:p>
            <w:pPr>
              <w:pStyle w:val="TableParagraph"/>
              <w:spacing w:before="3"/>
              <w:jc w:val="left"/>
              <w:rPr>
                <w:sz w:val="28"/>
              </w:rPr>
            </w:pPr>
          </w:p>
          <w:p>
            <w:pPr>
              <w:pStyle w:val="TableParagraph"/>
              <w:ind w:left="-14" w:right="312"/>
              <w:rPr>
                <w:sz w:val="24"/>
              </w:rPr>
            </w:pPr>
            <w:r>
              <w:rPr>
                <w:sz w:val="24"/>
              </w:rPr>
              <w:t>3,333.33</w:t>
            </w:r>
          </w:p>
        </w:tc>
        <w:tc>
          <w:tcPr>
            <w:tcW w:w="1240" w:type="dxa"/>
            <w:tcBorders>
              <w:top w:val="nil"/>
              <w:left w:val="nil"/>
              <w:bottom w:val="nil"/>
              <w:right w:val="nil"/>
            </w:tcBorders>
          </w:tcPr>
          <w:p>
            <w:pPr>
              <w:pStyle w:val="TableParagraph"/>
              <w:jc w:val="left"/>
              <w:rPr>
                <w:sz w:val="31"/>
              </w:rPr>
            </w:pPr>
          </w:p>
          <w:p>
            <w:pPr>
              <w:pStyle w:val="TableParagraph"/>
              <w:ind w:right="83"/>
              <w:rPr>
                <w:sz w:val="24"/>
              </w:rPr>
            </w:pPr>
            <w:r>
              <w:rPr>
                <w:sz w:val="24"/>
              </w:rPr>
              <w:t>2000.00</w:t>
            </w:r>
          </w:p>
        </w:tc>
        <w:tc>
          <w:tcPr>
            <w:tcW w:w="995" w:type="dxa"/>
            <w:tcBorders>
              <w:top w:val="nil"/>
              <w:left w:val="nil"/>
              <w:bottom w:val="nil"/>
              <w:right w:val="nil"/>
            </w:tcBorders>
          </w:tcPr>
          <w:p>
            <w:pPr>
              <w:pStyle w:val="TableParagraph"/>
              <w:jc w:val="left"/>
              <w:rPr>
                <w:sz w:val="31"/>
              </w:rPr>
            </w:pPr>
          </w:p>
          <w:p>
            <w:pPr>
              <w:pStyle w:val="TableParagraph"/>
              <w:ind w:right="67"/>
              <w:rPr>
                <w:sz w:val="24"/>
              </w:rPr>
            </w:pPr>
            <w:r>
              <w:rPr>
                <w:sz w:val="24"/>
              </w:rPr>
              <w:t>600.00</w:t>
            </w:r>
          </w:p>
        </w:tc>
      </w:tr>
      <w:tr>
        <w:trPr>
          <w:trHeight w:val="341" w:hRule="exact"/>
        </w:trPr>
        <w:tc>
          <w:tcPr>
            <w:tcW w:w="2949" w:type="dxa"/>
            <w:tcBorders>
              <w:top w:val="nil"/>
              <w:left w:val="nil"/>
              <w:bottom w:val="nil"/>
              <w:right w:val="nil"/>
            </w:tcBorders>
          </w:tcPr>
          <w:p>
            <w:pPr>
              <w:pStyle w:val="TableParagraph"/>
              <w:spacing w:before="2"/>
              <w:ind w:left="309"/>
              <w:jc w:val="left"/>
              <w:rPr>
                <w:sz w:val="24"/>
              </w:rPr>
            </w:pPr>
            <w:r>
              <w:rPr>
                <w:sz w:val="24"/>
              </w:rPr>
              <w:t>Mano de obra</w:t>
            </w:r>
          </w:p>
        </w:tc>
        <w:tc>
          <w:tcPr>
            <w:tcW w:w="2346" w:type="dxa"/>
            <w:tcBorders>
              <w:top w:val="nil"/>
              <w:left w:val="nil"/>
              <w:bottom w:val="nil"/>
              <w:right w:val="nil"/>
            </w:tcBorders>
          </w:tcPr>
          <w:p>
            <w:pPr>
              <w:pStyle w:val="TableParagraph"/>
              <w:spacing w:before="2"/>
              <w:ind w:left="1093" w:right="-25"/>
              <w:jc w:val="left"/>
              <w:rPr>
                <w:sz w:val="24"/>
              </w:rPr>
            </w:pPr>
            <w:r>
              <w:rPr>
                <w:sz w:val="24"/>
              </w:rPr>
              <w:t>600.00</w:t>
            </w:r>
          </w:p>
        </w:tc>
        <w:tc>
          <w:tcPr>
            <w:tcW w:w="1261" w:type="dxa"/>
            <w:tcBorders>
              <w:top w:val="nil"/>
              <w:left w:val="nil"/>
              <w:bottom w:val="nil"/>
              <w:right w:val="nil"/>
            </w:tcBorders>
          </w:tcPr>
          <w:p>
            <w:pPr>
              <w:pStyle w:val="TableParagraph"/>
              <w:spacing w:before="2"/>
              <w:ind w:left="-14" w:right="312"/>
              <w:rPr>
                <w:sz w:val="24"/>
              </w:rPr>
            </w:pPr>
            <w:r>
              <w:rPr>
                <w:sz w:val="24"/>
              </w:rPr>
              <w:t>1,800.00</w:t>
            </w:r>
          </w:p>
        </w:tc>
        <w:tc>
          <w:tcPr>
            <w:tcW w:w="1240" w:type="dxa"/>
            <w:tcBorders>
              <w:top w:val="nil"/>
              <w:left w:val="nil"/>
              <w:bottom w:val="nil"/>
              <w:right w:val="nil"/>
            </w:tcBorders>
          </w:tcPr>
          <w:p>
            <w:pPr>
              <w:pStyle w:val="TableParagraph"/>
              <w:spacing w:before="36"/>
              <w:ind w:right="83"/>
              <w:rPr>
                <w:sz w:val="24"/>
              </w:rPr>
            </w:pPr>
            <w:r>
              <w:rPr>
                <w:sz w:val="24"/>
              </w:rPr>
              <w:t>2000.00</w:t>
            </w:r>
          </w:p>
        </w:tc>
        <w:tc>
          <w:tcPr>
            <w:tcW w:w="995" w:type="dxa"/>
            <w:tcBorders>
              <w:top w:val="nil"/>
              <w:left w:val="nil"/>
              <w:bottom w:val="nil"/>
              <w:right w:val="nil"/>
            </w:tcBorders>
          </w:tcPr>
          <w:p>
            <w:pPr>
              <w:pStyle w:val="TableParagraph"/>
              <w:spacing w:before="36"/>
              <w:ind w:right="67"/>
              <w:rPr>
                <w:sz w:val="24"/>
              </w:rPr>
            </w:pPr>
            <w:r>
              <w:rPr>
                <w:sz w:val="24"/>
              </w:rPr>
              <w:t>580.00</w:t>
            </w:r>
          </w:p>
        </w:tc>
      </w:tr>
      <w:tr>
        <w:trPr>
          <w:trHeight w:val="340" w:hRule="exact"/>
        </w:trPr>
        <w:tc>
          <w:tcPr>
            <w:tcW w:w="2949" w:type="dxa"/>
            <w:tcBorders>
              <w:top w:val="nil"/>
              <w:left w:val="nil"/>
              <w:bottom w:val="nil"/>
              <w:right w:val="nil"/>
            </w:tcBorders>
          </w:tcPr>
          <w:p>
            <w:pPr>
              <w:pStyle w:val="TableParagraph"/>
              <w:spacing w:before="2"/>
              <w:ind w:left="309"/>
              <w:jc w:val="left"/>
              <w:rPr>
                <w:sz w:val="24"/>
              </w:rPr>
            </w:pPr>
            <w:r>
              <w:rPr>
                <w:sz w:val="24"/>
              </w:rPr>
              <w:t>Herbicidas</w:t>
            </w:r>
          </w:p>
        </w:tc>
        <w:tc>
          <w:tcPr>
            <w:tcW w:w="2346" w:type="dxa"/>
            <w:tcBorders>
              <w:top w:val="nil"/>
              <w:left w:val="nil"/>
              <w:bottom w:val="nil"/>
              <w:right w:val="nil"/>
            </w:tcBorders>
          </w:tcPr>
          <w:p>
            <w:pPr>
              <w:pStyle w:val="TableParagraph"/>
              <w:spacing w:before="2"/>
              <w:ind w:left="1093" w:right="-25"/>
              <w:jc w:val="left"/>
              <w:rPr>
                <w:sz w:val="24"/>
              </w:rPr>
            </w:pPr>
            <w:r>
              <w:rPr>
                <w:sz w:val="24"/>
              </w:rPr>
              <w:t>110.00</w:t>
            </w:r>
          </w:p>
        </w:tc>
        <w:tc>
          <w:tcPr>
            <w:tcW w:w="1261" w:type="dxa"/>
            <w:tcBorders>
              <w:top w:val="nil"/>
              <w:left w:val="nil"/>
              <w:bottom w:val="nil"/>
              <w:right w:val="nil"/>
            </w:tcBorders>
          </w:tcPr>
          <w:p>
            <w:pPr>
              <w:pStyle w:val="TableParagraph"/>
              <w:spacing w:before="34"/>
              <w:ind w:left="-14" w:right="312"/>
              <w:rPr>
                <w:sz w:val="24"/>
              </w:rPr>
            </w:pPr>
            <w:r>
              <w:rPr>
                <w:sz w:val="24"/>
              </w:rPr>
              <w:t>100.00</w:t>
            </w:r>
          </w:p>
        </w:tc>
        <w:tc>
          <w:tcPr>
            <w:tcW w:w="1240" w:type="dxa"/>
            <w:tcBorders>
              <w:top w:val="nil"/>
              <w:left w:val="nil"/>
              <w:bottom w:val="nil"/>
              <w:right w:val="nil"/>
            </w:tcBorders>
          </w:tcPr>
          <w:p>
            <w:pPr>
              <w:pStyle w:val="TableParagraph"/>
              <w:spacing w:before="34"/>
              <w:ind w:right="83"/>
              <w:rPr>
                <w:sz w:val="24"/>
              </w:rPr>
            </w:pPr>
            <w:r>
              <w:rPr>
                <w:sz w:val="24"/>
              </w:rPr>
              <w:t>110.00</w:t>
            </w:r>
          </w:p>
        </w:tc>
        <w:tc>
          <w:tcPr>
            <w:tcW w:w="995" w:type="dxa"/>
            <w:tcBorders>
              <w:top w:val="nil"/>
              <w:left w:val="nil"/>
              <w:bottom w:val="nil"/>
              <w:right w:val="nil"/>
            </w:tcBorders>
          </w:tcPr>
          <w:p>
            <w:pPr>
              <w:pStyle w:val="TableParagraph"/>
              <w:spacing w:before="34"/>
              <w:ind w:right="67"/>
              <w:rPr>
                <w:sz w:val="24"/>
              </w:rPr>
            </w:pPr>
            <w:r>
              <w:rPr>
                <w:sz w:val="24"/>
              </w:rPr>
              <w:t>120.00</w:t>
            </w:r>
          </w:p>
        </w:tc>
      </w:tr>
      <w:tr>
        <w:trPr>
          <w:trHeight w:val="340" w:hRule="exact"/>
        </w:trPr>
        <w:tc>
          <w:tcPr>
            <w:tcW w:w="2949" w:type="dxa"/>
            <w:tcBorders>
              <w:top w:val="nil"/>
              <w:left w:val="nil"/>
              <w:bottom w:val="nil"/>
              <w:right w:val="nil"/>
            </w:tcBorders>
          </w:tcPr>
          <w:p>
            <w:pPr>
              <w:pStyle w:val="TableParagraph"/>
              <w:spacing w:before="4"/>
              <w:ind w:left="309"/>
              <w:jc w:val="left"/>
              <w:rPr>
                <w:sz w:val="24"/>
              </w:rPr>
            </w:pPr>
            <w:r>
              <w:rPr>
                <w:sz w:val="24"/>
              </w:rPr>
              <w:t>Abono orgánico</w:t>
            </w:r>
          </w:p>
        </w:tc>
        <w:tc>
          <w:tcPr>
            <w:tcW w:w="2346" w:type="dxa"/>
            <w:tcBorders>
              <w:top w:val="nil"/>
              <w:left w:val="nil"/>
              <w:bottom w:val="nil"/>
              <w:right w:val="nil"/>
            </w:tcBorders>
          </w:tcPr>
          <w:p>
            <w:pPr>
              <w:pStyle w:val="TableParagraph"/>
              <w:spacing w:before="4"/>
              <w:ind w:left="1093" w:right="-25"/>
              <w:jc w:val="left"/>
              <w:rPr>
                <w:sz w:val="24"/>
              </w:rPr>
            </w:pPr>
            <w:r>
              <w:rPr>
                <w:sz w:val="24"/>
              </w:rPr>
              <w:t>799.20</w:t>
            </w:r>
          </w:p>
        </w:tc>
        <w:tc>
          <w:tcPr>
            <w:tcW w:w="1261" w:type="dxa"/>
            <w:tcBorders>
              <w:top w:val="nil"/>
              <w:left w:val="nil"/>
              <w:bottom w:val="nil"/>
              <w:right w:val="nil"/>
            </w:tcBorders>
          </w:tcPr>
          <w:p>
            <w:pPr>
              <w:pStyle w:val="TableParagraph"/>
              <w:spacing w:before="4"/>
              <w:ind w:left="-14" w:right="312"/>
              <w:rPr>
                <w:sz w:val="24"/>
              </w:rPr>
            </w:pPr>
            <w:r>
              <w:rPr>
                <w:sz w:val="24"/>
              </w:rPr>
              <w:t>850.00</w:t>
            </w:r>
          </w:p>
        </w:tc>
        <w:tc>
          <w:tcPr>
            <w:tcW w:w="1240" w:type="dxa"/>
            <w:tcBorders>
              <w:top w:val="nil"/>
              <w:left w:val="nil"/>
              <w:bottom w:val="nil"/>
              <w:right w:val="nil"/>
            </w:tcBorders>
          </w:tcPr>
          <w:p>
            <w:pPr>
              <w:pStyle w:val="TableParagraph"/>
              <w:spacing w:before="35"/>
              <w:ind w:right="83"/>
              <w:rPr>
                <w:sz w:val="24"/>
              </w:rPr>
            </w:pPr>
            <w:r>
              <w:rPr>
                <w:sz w:val="24"/>
              </w:rPr>
              <w:t>800.00</w:t>
            </w:r>
          </w:p>
        </w:tc>
        <w:tc>
          <w:tcPr>
            <w:tcW w:w="995" w:type="dxa"/>
            <w:tcBorders>
              <w:top w:val="nil"/>
              <w:left w:val="nil"/>
              <w:bottom w:val="nil"/>
              <w:right w:val="nil"/>
            </w:tcBorders>
          </w:tcPr>
          <w:p>
            <w:pPr>
              <w:pStyle w:val="TableParagraph"/>
              <w:spacing w:before="35"/>
              <w:ind w:right="67"/>
              <w:rPr>
                <w:sz w:val="24"/>
              </w:rPr>
            </w:pPr>
            <w:r>
              <w:rPr>
                <w:sz w:val="24"/>
              </w:rPr>
              <w:t>810.00</w:t>
            </w:r>
          </w:p>
        </w:tc>
      </w:tr>
      <w:tr>
        <w:trPr>
          <w:trHeight w:val="341" w:hRule="exact"/>
        </w:trPr>
        <w:tc>
          <w:tcPr>
            <w:tcW w:w="2949" w:type="dxa"/>
            <w:tcBorders>
              <w:top w:val="nil"/>
              <w:left w:val="nil"/>
              <w:bottom w:val="nil"/>
              <w:right w:val="nil"/>
            </w:tcBorders>
          </w:tcPr>
          <w:p>
            <w:pPr>
              <w:pStyle w:val="TableParagraph"/>
              <w:spacing w:before="2"/>
              <w:ind w:left="309"/>
              <w:jc w:val="left"/>
              <w:rPr>
                <w:sz w:val="24"/>
              </w:rPr>
            </w:pPr>
            <w:r>
              <w:rPr>
                <w:sz w:val="24"/>
              </w:rPr>
              <w:t>Abono inorgánico</w:t>
            </w:r>
          </w:p>
        </w:tc>
        <w:tc>
          <w:tcPr>
            <w:tcW w:w="2346" w:type="dxa"/>
            <w:tcBorders>
              <w:top w:val="nil"/>
              <w:left w:val="nil"/>
              <w:bottom w:val="nil"/>
              <w:right w:val="nil"/>
            </w:tcBorders>
          </w:tcPr>
          <w:p>
            <w:pPr>
              <w:pStyle w:val="TableParagraph"/>
              <w:spacing w:before="2"/>
              <w:ind w:left="1093" w:right="-25"/>
              <w:jc w:val="left"/>
              <w:rPr>
                <w:sz w:val="24"/>
              </w:rPr>
            </w:pPr>
            <w:r>
              <w:rPr>
                <w:sz w:val="24"/>
              </w:rPr>
              <w:t>150.00</w:t>
            </w:r>
          </w:p>
        </w:tc>
        <w:tc>
          <w:tcPr>
            <w:tcW w:w="1261" w:type="dxa"/>
            <w:tcBorders>
              <w:top w:val="nil"/>
              <w:left w:val="nil"/>
              <w:bottom w:val="nil"/>
              <w:right w:val="nil"/>
            </w:tcBorders>
          </w:tcPr>
          <w:p>
            <w:pPr>
              <w:pStyle w:val="TableParagraph"/>
              <w:spacing w:before="2"/>
              <w:ind w:left="-14" w:right="312"/>
              <w:rPr>
                <w:sz w:val="24"/>
              </w:rPr>
            </w:pPr>
            <w:r>
              <w:rPr>
                <w:sz w:val="24"/>
              </w:rPr>
              <w:t>200.00</w:t>
            </w:r>
          </w:p>
        </w:tc>
        <w:tc>
          <w:tcPr>
            <w:tcW w:w="1240" w:type="dxa"/>
            <w:tcBorders>
              <w:top w:val="nil"/>
              <w:left w:val="nil"/>
              <w:bottom w:val="nil"/>
              <w:right w:val="nil"/>
            </w:tcBorders>
          </w:tcPr>
          <w:p>
            <w:pPr>
              <w:pStyle w:val="TableParagraph"/>
              <w:spacing w:before="36"/>
              <w:ind w:left="811"/>
              <w:jc w:val="left"/>
              <w:rPr>
                <w:sz w:val="24"/>
              </w:rPr>
            </w:pPr>
            <w:r>
              <w:rPr>
                <w:w w:val="99"/>
                <w:sz w:val="24"/>
              </w:rPr>
              <w:t>-</w:t>
            </w:r>
          </w:p>
        </w:tc>
        <w:tc>
          <w:tcPr>
            <w:tcW w:w="995" w:type="dxa"/>
            <w:tcBorders>
              <w:top w:val="nil"/>
              <w:left w:val="nil"/>
              <w:bottom w:val="nil"/>
              <w:right w:val="nil"/>
            </w:tcBorders>
          </w:tcPr>
          <w:p>
            <w:pPr>
              <w:pStyle w:val="TableParagraph"/>
              <w:spacing w:before="36"/>
              <w:ind w:right="67"/>
              <w:rPr>
                <w:sz w:val="24"/>
              </w:rPr>
            </w:pPr>
            <w:r>
              <w:rPr>
                <w:sz w:val="24"/>
              </w:rPr>
              <w:t>200.00</w:t>
            </w:r>
          </w:p>
        </w:tc>
      </w:tr>
      <w:tr>
        <w:trPr>
          <w:trHeight w:val="340" w:hRule="exact"/>
        </w:trPr>
        <w:tc>
          <w:tcPr>
            <w:tcW w:w="2949" w:type="dxa"/>
            <w:tcBorders>
              <w:top w:val="nil"/>
              <w:left w:val="nil"/>
              <w:bottom w:val="nil"/>
              <w:right w:val="nil"/>
            </w:tcBorders>
          </w:tcPr>
          <w:p>
            <w:pPr>
              <w:pStyle w:val="TableParagraph"/>
              <w:spacing w:before="2"/>
              <w:ind w:left="309"/>
              <w:jc w:val="left"/>
              <w:rPr>
                <w:sz w:val="24"/>
              </w:rPr>
            </w:pPr>
            <w:r>
              <w:rPr>
                <w:sz w:val="24"/>
              </w:rPr>
              <w:t>Tractor</w:t>
            </w:r>
          </w:p>
        </w:tc>
        <w:tc>
          <w:tcPr>
            <w:tcW w:w="2346" w:type="dxa"/>
            <w:tcBorders>
              <w:top w:val="nil"/>
              <w:left w:val="nil"/>
              <w:bottom w:val="nil"/>
              <w:right w:val="nil"/>
            </w:tcBorders>
          </w:tcPr>
          <w:p>
            <w:pPr>
              <w:pStyle w:val="TableParagraph"/>
              <w:spacing w:before="2"/>
              <w:ind w:left="913" w:right="-25"/>
              <w:jc w:val="left"/>
              <w:rPr>
                <w:sz w:val="24"/>
              </w:rPr>
            </w:pPr>
            <w:r>
              <w:rPr>
                <w:sz w:val="24"/>
              </w:rPr>
              <w:t>1,800.00</w:t>
            </w:r>
          </w:p>
        </w:tc>
        <w:tc>
          <w:tcPr>
            <w:tcW w:w="1261" w:type="dxa"/>
            <w:tcBorders>
              <w:top w:val="nil"/>
              <w:left w:val="nil"/>
              <w:bottom w:val="nil"/>
              <w:right w:val="nil"/>
            </w:tcBorders>
          </w:tcPr>
          <w:p>
            <w:pPr>
              <w:pStyle w:val="TableParagraph"/>
              <w:spacing w:before="34"/>
              <w:ind w:left="-14" w:right="312"/>
              <w:rPr>
                <w:sz w:val="24"/>
              </w:rPr>
            </w:pPr>
            <w:r>
              <w:rPr>
                <w:sz w:val="24"/>
              </w:rPr>
              <w:t>1,800.00</w:t>
            </w:r>
          </w:p>
        </w:tc>
        <w:tc>
          <w:tcPr>
            <w:tcW w:w="1240" w:type="dxa"/>
            <w:tcBorders>
              <w:top w:val="nil"/>
              <w:left w:val="nil"/>
              <w:bottom w:val="nil"/>
              <w:right w:val="nil"/>
            </w:tcBorders>
          </w:tcPr>
          <w:p>
            <w:pPr>
              <w:pStyle w:val="TableParagraph"/>
              <w:spacing w:before="34"/>
              <w:ind w:right="83"/>
              <w:rPr>
                <w:sz w:val="24"/>
              </w:rPr>
            </w:pPr>
            <w:r>
              <w:rPr>
                <w:sz w:val="24"/>
              </w:rPr>
              <w:t>1,800.00</w:t>
            </w:r>
          </w:p>
        </w:tc>
        <w:tc>
          <w:tcPr>
            <w:tcW w:w="995" w:type="dxa"/>
            <w:tcBorders>
              <w:top w:val="nil"/>
              <w:left w:val="nil"/>
              <w:bottom w:val="nil"/>
              <w:right w:val="nil"/>
            </w:tcBorders>
          </w:tcPr>
          <w:p>
            <w:pPr>
              <w:pStyle w:val="TableParagraph"/>
              <w:spacing w:before="34"/>
              <w:ind w:right="67"/>
              <w:rPr>
                <w:sz w:val="24"/>
              </w:rPr>
            </w:pPr>
            <w:r>
              <w:rPr>
                <w:sz w:val="24"/>
              </w:rPr>
              <w:t>1,800.00</w:t>
            </w:r>
          </w:p>
        </w:tc>
      </w:tr>
      <w:tr>
        <w:trPr>
          <w:trHeight w:val="340" w:hRule="exact"/>
        </w:trPr>
        <w:tc>
          <w:tcPr>
            <w:tcW w:w="2949" w:type="dxa"/>
            <w:tcBorders>
              <w:top w:val="nil"/>
              <w:left w:val="nil"/>
              <w:bottom w:val="nil"/>
              <w:right w:val="nil"/>
            </w:tcBorders>
          </w:tcPr>
          <w:p>
            <w:pPr>
              <w:pStyle w:val="TableParagraph"/>
              <w:spacing w:before="4"/>
              <w:ind w:left="309"/>
              <w:jc w:val="left"/>
              <w:rPr>
                <w:sz w:val="24"/>
              </w:rPr>
            </w:pPr>
            <w:r>
              <w:rPr>
                <w:sz w:val="24"/>
              </w:rPr>
              <w:t>Riego</w:t>
            </w:r>
          </w:p>
        </w:tc>
        <w:tc>
          <w:tcPr>
            <w:tcW w:w="2346" w:type="dxa"/>
            <w:tcBorders>
              <w:top w:val="nil"/>
              <w:left w:val="nil"/>
              <w:bottom w:val="nil"/>
              <w:right w:val="nil"/>
            </w:tcBorders>
          </w:tcPr>
          <w:p>
            <w:pPr>
              <w:pStyle w:val="TableParagraph"/>
              <w:spacing w:before="4"/>
              <w:ind w:left="405"/>
              <w:jc w:val="center"/>
              <w:rPr>
                <w:sz w:val="24"/>
              </w:rPr>
            </w:pPr>
            <w:r>
              <w:rPr>
                <w:w w:val="99"/>
                <w:sz w:val="24"/>
              </w:rPr>
              <w:t>-</w:t>
            </w:r>
          </w:p>
        </w:tc>
        <w:tc>
          <w:tcPr>
            <w:tcW w:w="1261" w:type="dxa"/>
            <w:tcBorders>
              <w:top w:val="nil"/>
              <w:left w:val="nil"/>
              <w:bottom w:val="nil"/>
              <w:right w:val="nil"/>
            </w:tcBorders>
          </w:tcPr>
          <w:p>
            <w:pPr>
              <w:pStyle w:val="TableParagraph"/>
              <w:spacing w:before="35"/>
              <w:ind w:left="-14" w:right="312"/>
              <w:rPr>
                <w:sz w:val="24"/>
              </w:rPr>
            </w:pPr>
            <w:r>
              <w:rPr>
                <w:sz w:val="24"/>
              </w:rPr>
              <w:t>7,200.00</w:t>
            </w:r>
          </w:p>
        </w:tc>
        <w:tc>
          <w:tcPr>
            <w:tcW w:w="1240" w:type="dxa"/>
            <w:tcBorders>
              <w:top w:val="nil"/>
              <w:left w:val="nil"/>
              <w:bottom w:val="nil"/>
              <w:right w:val="nil"/>
            </w:tcBorders>
          </w:tcPr>
          <w:p>
            <w:pPr>
              <w:pStyle w:val="TableParagraph"/>
              <w:spacing w:before="4"/>
              <w:ind w:left="751"/>
              <w:jc w:val="left"/>
              <w:rPr>
                <w:sz w:val="24"/>
              </w:rPr>
            </w:pPr>
            <w:r>
              <w:rPr>
                <w:w w:val="99"/>
                <w:sz w:val="24"/>
              </w:rPr>
              <w:t>-</w:t>
            </w:r>
          </w:p>
        </w:tc>
        <w:tc>
          <w:tcPr>
            <w:tcW w:w="995" w:type="dxa"/>
            <w:tcBorders>
              <w:top w:val="nil"/>
              <w:left w:val="nil"/>
              <w:bottom w:val="nil"/>
              <w:right w:val="nil"/>
            </w:tcBorders>
          </w:tcPr>
          <w:p>
            <w:pPr>
              <w:pStyle w:val="TableParagraph"/>
              <w:spacing w:before="4"/>
              <w:ind w:left="42"/>
              <w:jc w:val="center"/>
              <w:rPr>
                <w:sz w:val="24"/>
              </w:rPr>
            </w:pPr>
            <w:r>
              <w:rPr>
                <w:w w:val="99"/>
                <w:sz w:val="24"/>
              </w:rPr>
              <w:t>-</w:t>
            </w:r>
          </w:p>
        </w:tc>
      </w:tr>
      <w:tr>
        <w:trPr>
          <w:trHeight w:val="341" w:hRule="exact"/>
        </w:trPr>
        <w:tc>
          <w:tcPr>
            <w:tcW w:w="2949" w:type="dxa"/>
            <w:tcBorders>
              <w:top w:val="nil"/>
              <w:left w:val="nil"/>
              <w:bottom w:val="nil"/>
              <w:right w:val="nil"/>
            </w:tcBorders>
          </w:tcPr>
          <w:p>
            <w:pPr>
              <w:pStyle w:val="TableParagraph"/>
              <w:spacing w:before="2"/>
              <w:ind w:left="309"/>
              <w:jc w:val="left"/>
              <w:rPr>
                <w:sz w:val="24"/>
              </w:rPr>
            </w:pPr>
            <w:r>
              <w:rPr>
                <w:sz w:val="24"/>
              </w:rPr>
              <w:t>Gasolina</w:t>
            </w:r>
          </w:p>
        </w:tc>
        <w:tc>
          <w:tcPr>
            <w:tcW w:w="2346" w:type="dxa"/>
            <w:tcBorders>
              <w:top w:val="nil"/>
              <w:left w:val="nil"/>
              <w:bottom w:val="nil"/>
              <w:right w:val="nil"/>
            </w:tcBorders>
          </w:tcPr>
          <w:p>
            <w:pPr>
              <w:pStyle w:val="TableParagraph"/>
              <w:spacing w:before="2"/>
              <w:ind w:left="1093" w:right="-25"/>
              <w:jc w:val="left"/>
              <w:rPr>
                <w:sz w:val="24"/>
              </w:rPr>
            </w:pPr>
            <w:r>
              <w:rPr>
                <w:sz w:val="24"/>
              </w:rPr>
              <w:t>100.00</w:t>
            </w:r>
          </w:p>
        </w:tc>
        <w:tc>
          <w:tcPr>
            <w:tcW w:w="1261" w:type="dxa"/>
            <w:tcBorders>
              <w:top w:val="nil"/>
              <w:left w:val="nil"/>
              <w:bottom w:val="nil"/>
              <w:right w:val="nil"/>
            </w:tcBorders>
          </w:tcPr>
          <w:p>
            <w:pPr>
              <w:pStyle w:val="TableParagraph"/>
              <w:spacing w:before="36"/>
              <w:ind w:left="-14" w:right="312"/>
              <w:rPr>
                <w:sz w:val="24"/>
              </w:rPr>
            </w:pPr>
            <w:r>
              <w:rPr>
                <w:sz w:val="24"/>
              </w:rPr>
              <w:t>1,200.00</w:t>
            </w:r>
          </w:p>
        </w:tc>
        <w:tc>
          <w:tcPr>
            <w:tcW w:w="1240" w:type="dxa"/>
            <w:tcBorders>
              <w:top w:val="nil"/>
              <w:left w:val="nil"/>
              <w:bottom w:val="nil"/>
              <w:right w:val="nil"/>
            </w:tcBorders>
          </w:tcPr>
          <w:p>
            <w:pPr>
              <w:pStyle w:val="TableParagraph"/>
              <w:spacing w:before="36"/>
              <w:ind w:right="83"/>
              <w:rPr>
                <w:sz w:val="24"/>
              </w:rPr>
            </w:pPr>
            <w:r>
              <w:rPr>
                <w:sz w:val="24"/>
              </w:rPr>
              <w:t>100.00</w:t>
            </w:r>
          </w:p>
        </w:tc>
        <w:tc>
          <w:tcPr>
            <w:tcW w:w="995" w:type="dxa"/>
            <w:tcBorders>
              <w:top w:val="nil"/>
              <w:left w:val="nil"/>
              <w:bottom w:val="nil"/>
              <w:right w:val="nil"/>
            </w:tcBorders>
          </w:tcPr>
          <w:p>
            <w:pPr>
              <w:pStyle w:val="TableParagraph"/>
              <w:spacing w:before="36"/>
              <w:ind w:right="67"/>
              <w:rPr>
                <w:sz w:val="24"/>
              </w:rPr>
            </w:pPr>
            <w:r>
              <w:rPr>
                <w:sz w:val="24"/>
              </w:rPr>
              <w:t>120.00</w:t>
            </w:r>
          </w:p>
        </w:tc>
      </w:tr>
      <w:tr>
        <w:trPr>
          <w:trHeight w:val="305" w:hRule="exact"/>
        </w:trPr>
        <w:tc>
          <w:tcPr>
            <w:tcW w:w="2949" w:type="dxa"/>
            <w:tcBorders>
              <w:top w:val="nil"/>
              <w:left w:val="nil"/>
              <w:bottom w:val="nil"/>
              <w:right w:val="nil"/>
            </w:tcBorders>
          </w:tcPr>
          <w:p>
            <w:pPr>
              <w:pStyle w:val="TableParagraph"/>
              <w:spacing w:before="2"/>
              <w:ind w:left="309"/>
              <w:jc w:val="left"/>
              <w:rPr>
                <w:sz w:val="24"/>
              </w:rPr>
            </w:pPr>
            <w:r>
              <w:rPr>
                <w:sz w:val="24"/>
              </w:rPr>
              <w:t>Costo por ensilar</w:t>
            </w:r>
          </w:p>
        </w:tc>
        <w:tc>
          <w:tcPr>
            <w:tcW w:w="2346" w:type="dxa"/>
            <w:tcBorders>
              <w:top w:val="nil"/>
              <w:left w:val="nil"/>
              <w:bottom w:val="nil"/>
              <w:right w:val="nil"/>
            </w:tcBorders>
          </w:tcPr>
          <w:p>
            <w:pPr>
              <w:pStyle w:val="TableParagraph"/>
              <w:spacing w:before="2"/>
              <w:ind w:left="973" w:right="-25"/>
              <w:jc w:val="left"/>
              <w:rPr>
                <w:sz w:val="24"/>
              </w:rPr>
            </w:pPr>
            <w:r>
              <w:rPr>
                <w:sz w:val="24"/>
              </w:rPr>
              <w:t>2000.00</w:t>
            </w:r>
          </w:p>
        </w:tc>
        <w:tc>
          <w:tcPr>
            <w:tcW w:w="1261" w:type="dxa"/>
            <w:tcBorders>
              <w:top w:val="nil"/>
              <w:left w:val="nil"/>
              <w:bottom w:val="nil"/>
              <w:right w:val="nil"/>
            </w:tcBorders>
          </w:tcPr>
          <w:p>
            <w:pPr>
              <w:pStyle w:val="TableParagraph"/>
              <w:spacing w:before="34"/>
              <w:ind w:right="164"/>
              <w:jc w:val="center"/>
              <w:rPr>
                <w:sz w:val="24"/>
              </w:rPr>
            </w:pPr>
            <w:r>
              <w:rPr>
                <w:w w:val="99"/>
                <w:sz w:val="24"/>
              </w:rPr>
              <w:t>-</w:t>
            </w:r>
          </w:p>
        </w:tc>
        <w:tc>
          <w:tcPr>
            <w:tcW w:w="1240" w:type="dxa"/>
            <w:tcBorders>
              <w:top w:val="nil"/>
              <w:left w:val="nil"/>
              <w:bottom w:val="nil"/>
              <w:right w:val="nil"/>
            </w:tcBorders>
          </w:tcPr>
          <w:p>
            <w:pPr>
              <w:pStyle w:val="TableParagraph"/>
              <w:spacing w:before="34"/>
              <w:ind w:left="751"/>
              <w:jc w:val="left"/>
              <w:rPr>
                <w:sz w:val="24"/>
              </w:rPr>
            </w:pPr>
            <w:r>
              <w:rPr>
                <w:w w:val="99"/>
                <w:sz w:val="24"/>
              </w:rPr>
              <w:t>-</w:t>
            </w:r>
          </w:p>
        </w:tc>
        <w:tc>
          <w:tcPr>
            <w:tcW w:w="995" w:type="dxa"/>
            <w:tcBorders>
              <w:top w:val="nil"/>
              <w:left w:val="nil"/>
              <w:bottom w:val="nil"/>
              <w:right w:val="nil"/>
            </w:tcBorders>
          </w:tcPr>
          <w:p>
            <w:pPr>
              <w:pStyle w:val="TableParagraph"/>
              <w:spacing w:before="34"/>
              <w:ind w:left="225"/>
              <w:jc w:val="center"/>
              <w:rPr>
                <w:sz w:val="24"/>
              </w:rPr>
            </w:pPr>
            <w:r>
              <w:rPr>
                <w:w w:val="99"/>
                <w:sz w:val="24"/>
              </w:rPr>
              <w:t>-</w:t>
            </w:r>
          </w:p>
        </w:tc>
      </w:tr>
      <w:tr>
        <w:trPr>
          <w:trHeight w:val="361" w:hRule="exact"/>
        </w:trPr>
        <w:tc>
          <w:tcPr>
            <w:tcW w:w="2949" w:type="dxa"/>
            <w:tcBorders>
              <w:top w:val="nil"/>
              <w:left w:val="nil"/>
              <w:bottom w:val="nil"/>
              <w:right w:val="nil"/>
            </w:tcBorders>
          </w:tcPr>
          <w:p>
            <w:pPr>
              <w:pStyle w:val="TableParagraph"/>
              <w:spacing w:before="43"/>
              <w:ind w:left="69"/>
              <w:jc w:val="left"/>
              <w:rPr>
                <w:b/>
                <w:sz w:val="24"/>
              </w:rPr>
            </w:pPr>
            <w:r>
              <w:rPr>
                <w:b/>
                <w:sz w:val="24"/>
              </w:rPr>
              <w:t>Costos fijos</w:t>
            </w:r>
          </w:p>
        </w:tc>
        <w:tc>
          <w:tcPr>
            <w:tcW w:w="2346" w:type="dxa"/>
            <w:tcBorders>
              <w:top w:val="nil"/>
              <w:left w:val="nil"/>
              <w:bottom w:val="nil"/>
              <w:right w:val="nil"/>
            </w:tcBorders>
          </w:tcPr>
          <w:p>
            <w:pPr/>
          </w:p>
        </w:tc>
        <w:tc>
          <w:tcPr>
            <w:tcW w:w="1261" w:type="dxa"/>
            <w:tcBorders>
              <w:top w:val="nil"/>
              <w:left w:val="nil"/>
              <w:bottom w:val="nil"/>
              <w:right w:val="nil"/>
            </w:tcBorders>
          </w:tcPr>
          <w:p>
            <w:pPr/>
          </w:p>
        </w:tc>
        <w:tc>
          <w:tcPr>
            <w:tcW w:w="1240" w:type="dxa"/>
            <w:tcBorders>
              <w:top w:val="nil"/>
              <w:left w:val="nil"/>
              <w:bottom w:val="nil"/>
              <w:right w:val="nil"/>
            </w:tcBorders>
          </w:tcPr>
          <w:p>
            <w:pPr/>
          </w:p>
        </w:tc>
        <w:tc>
          <w:tcPr>
            <w:tcW w:w="995" w:type="dxa"/>
            <w:tcBorders>
              <w:top w:val="nil"/>
              <w:left w:val="nil"/>
              <w:bottom w:val="nil"/>
              <w:right w:val="nil"/>
            </w:tcBorders>
          </w:tcPr>
          <w:p>
            <w:pPr/>
          </w:p>
        </w:tc>
      </w:tr>
      <w:tr>
        <w:trPr>
          <w:trHeight w:val="354" w:hRule="exact"/>
        </w:trPr>
        <w:tc>
          <w:tcPr>
            <w:tcW w:w="2949" w:type="dxa"/>
            <w:tcBorders>
              <w:top w:val="nil"/>
              <w:left w:val="nil"/>
              <w:bottom w:val="nil"/>
              <w:right w:val="nil"/>
            </w:tcBorders>
          </w:tcPr>
          <w:p>
            <w:pPr>
              <w:pStyle w:val="TableParagraph"/>
              <w:spacing w:before="16"/>
              <w:ind w:left="249"/>
              <w:jc w:val="left"/>
              <w:rPr>
                <w:sz w:val="24"/>
              </w:rPr>
            </w:pPr>
            <w:r>
              <w:rPr>
                <w:sz w:val="24"/>
              </w:rPr>
              <w:t>Depreciación de vehículo</w:t>
            </w:r>
          </w:p>
        </w:tc>
        <w:tc>
          <w:tcPr>
            <w:tcW w:w="2346" w:type="dxa"/>
            <w:tcBorders>
              <w:top w:val="nil"/>
              <w:left w:val="nil"/>
              <w:bottom w:val="nil"/>
              <w:right w:val="nil"/>
            </w:tcBorders>
          </w:tcPr>
          <w:p>
            <w:pPr>
              <w:pStyle w:val="TableParagraph"/>
              <w:spacing w:line="261" w:lineRule="exact"/>
              <w:ind w:left="1213" w:right="-25"/>
              <w:jc w:val="left"/>
              <w:rPr>
                <w:sz w:val="24"/>
              </w:rPr>
            </w:pPr>
            <w:r>
              <w:rPr>
                <w:sz w:val="24"/>
              </w:rPr>
              <w:t>40.00</w:t>
            </w:r>
          </w:p>
        </w:tc>
        <w:tc>
          <w:tcPr>
            <w:tcW w:w="1261" w:type="dxa"/>
            <w:tcBorders>
              <w:top w:val="nil"/>
              <w:left w:val="nil"/>
              <w:bottom w:val="nil"/>
              <w:right w:val="nil"/>
            </w:tcBorders>
          </w:tcPr>
          <w:p>
            <w:pPr>
              <w:pStyle w:val="TableParagraph"/>
              <w:spacing w:before="49"/>
              <w:ind w:left="-14" w:right="312"/>
              <w:rPr>
                <w:sz w:val="24"/>
              </w:rPr>
            </w:pPr>
            <w:r>
              <w:rPr>
                <w:sz w:val="24"/>
              </w:rPr>
              <w:t>60.00</w:t>
            </w:r>
          </w:p>
        </w:tc>
        <w:tc>
          <w:tcPr>
            <w:tcW w:w="1240" w:type="dxa"/>
            <w:tcBorders>
              <w:top w:val="nil"/>
              <w:left w:val="nil"/>
              <w:bottom w:val="nil"/>
              <w:right w:val="nil"/>
            </w:tcBorders>
          </w:tcPr>
          <w:p>
            <w:pPr>
              <w:pStyle w:val="TableParagraph"/>
              <w:spacing w:before="49"/>
              <w:ind w:right="83"/>
              <w:rPr>
                <w:sz w:val="24"/>
              </w:rPr>
            </w:pPr>
            <w:r>
              <w:rPr>
                <w:sz w:val="24"/>
              </w:rPr>
              <w:t>32.00</w:t>
            </w:r>
          </w:p>
        </w:tc>
        <w:tc>
          <w:tcPr>
            <w:tcW w:w="995" w:type="dxa"/>
            <w:tcBorders>
              <w:top w:val="nil"/>
              <w:left w:val="nil"/>
              <w:bottom w:val="nil"/>
              <w:right w:val="nil"/>
            </w:tcBorders>
          </w:tcPr>
          <w:p>
            <w:pPr>
              <w:pStyle w:val="TableParagraph"/>
              <w:spacing w:before="49"/>
              <w:ind w:right="67"/>
              <w:rPr>
                <w:sz w:val="24"/>
              </w:rPr>
            </w:pPr>
            <w:r>
              <w:rPr>
                <w:sz w:val="24"/>
              </w:rPr>
              <w:t>28.00</w:t>
            </w:r>
          </w:p>
        </w:tc>
      </w:tr>
      <w:tr>
        <w:trPr>
          <w:trHeight w:val="340" w:hRule="exact"/>
        </w:trPr>
        <w:tc>
          <w:tcPr>
            <w:tcW w:w="2949" w:type="dxa"/>
            <w:tcBorders>
              <w:top w:val="nil"/>
              <w:left w:val="nil"/>
              <w:bottom w:val="nil"/>
              <w:right w:val="nil"/>
            </w:tcBorders>
          </w:tcPr>
          <w:p>
            <w:pPr>
              <w:pStyle w:val="TableParagraph"/>
              <w:spacing w:before="7"/>
              <w:ind w:left="69"/>
              <w:jc w:val="left"/>
              <w:rPr>
                <w:b/>
                <w:sz w:val="24"/>
              </w:rPr>
            </w:pPr>
            <w:r>
              <w:rPr>
                <w:b/>
                <w:sz w:val="24"/>
              </w:rPr>
              <w:t>Costo total por hectárea</w:t>
            </w:r>
          </w:p>
        </w:tc>
        <w:tc>
          <w:tcPr>
            <w:tcW w:w="2346" w:type="dxa"/>
            <w:tcBorders>
              <w:top w:val="nil"/>
              <w:left w:val="nil"/>
              <w:bottom w:val="nil"/>
              <w:right w:val="nil"/>
            </w:tcBorders>
          </w:tcPr>
          <w:p>
            <w:pPr>
              <w:pStyle w:val="TableParagraph"/>
              <w:spacing w:before="2"/>
              <w:ind w:left="913" w:right="-25"/>
              <w:jc w:val="left"/>
              <w:rPr>
                <w:sz w:val="24"/>
              </w:rPr>
            </w:pPr>
            <w:r>
              <w:rPr>
                <w:sz w:val="24"/>
              </w:rPr>
              <w:t>6,199.20</w:t>
            </w:r>
          </w:p>
        </w:tc>
        <w:tc>
          <w:tcPr>
            <w:tcW w:w="1261" w:type="dxa"/>
            <w:tcBorders>
              <w:top w:val="nil"/>
              <w:left w:val="nil"/>
              <w:bottom w:val="nil"/>
              <w:right w:val="nil"/>
            </w:tcBorders>
          </w:tcPr>
          <w:p>
            <w:pPr>
              <w:pStyle w:val="TableParagraph"/>
              <w:spacing w:before="34"/>
              <w:ind w:left="-14" w:right="312"/>
              <w:rPr>
                <w:sz w:val="24"/>
              </w:rPr>
            </w:pPr>
            <w:r>
              <w:rPr>
                <w:sz w:val="24"/>
              </w:rPr>
              <w:t>16,543.33</w:t>
            </w:r>
          </w:p>
        </w:tc>
        <w:tc>
          <w:tcPr>
            <w:tcW w:w="1240" w:type="dxa"/>
            <w:tcBorders>
              <w:top w:val="nil"/>
              <w:left w:val="nil"/>
              <w:bottom w:val="nil"/>
              <w:right w:val="nil"/>
            </w:tcBorders>
          </w:tcPr>
          <w:p>
            <w:pPr>
              <w:pStyle w:val="TableParagraph"/>
              <w:spacing w:before="34"/>
              <w:ind w:right="83"/>
              <w:rPr>
                <w:sz w:val="24"/>
              </w:rPr>
            </w:pPr>
            <w:r>
              <w:rPr>
                <w:sz w:val="24"/>
              </w:rPr>
              <w:t>6,642.00</w:t>
            </w:r>
          </w:p>
        </w:tc>
        <w:tc>
          <w:tcPr>
            <w:tcW w:w="995" w:type="dxa"/>
            <w:tcBorders>
              <w:top w:val="nil"/>
              <w:left w:val="nil"/>
              <w:bottom w:val="nil"/>
              <w:right w:val="nil"/>
            </w:tcBorders>
          </w:tcPr>
          <w:p>
            <w:pPr>
              <w:pStyle w:val="TableParagraph"/>
              <w:spacing w:before="34"/>
              <w:ind w:right="67"/>
              <w:rPr>
                <w:sz w:val="24"/>
              </w:rPr>
            </w:pPr>
            <w:r>
              <w:rPr>
                <w:sz w:val="24"/>
              </w:rPr>
              <w:t>4,258.00</w:t>
            </w:r>
          </w:p>
        </w:tc>
      </w:tr>
      <w:tr>
        <w:trPr>
          <w:trHeight w:val="341" w:hRule="exact"/>
        </w:trPr>
        <w:tc>
          <w:tcPr>
            <w:tcW w:w="2949" w:type="dxa"/>
            <w:tcBorders>
              <w:top w:val="nil"/>
              <w:left w:val="nil"/>
              <w:right w:val="nil"/>
            </w:tcBorders>
          </w:tcPr>
          <w:p>
            <w:pPr>
              <w:pStyle w:val="TableParagraph"/>
              <w:spacing w:before="8"/>
              <w:ind w:left="69"/>
              <w:jc w:val="left"/>
              <w:rPr>
                <w:b/>
                <w:sz w:val="24"/>
              </w:rPr>
            </w:pPr>
            <w:r>
              <w:rPr>
                <w:b/>
                <w:sz w:val="24"/>
              </w:rPr>
              <w:t>Costo por kilogramo ($/kg)</w:t>
            </w:r>
          </w:p>
        </w:tc>
        <w:tc>
          <w:tcPr>
            <w:tcW w:w="2346" w:type="dxa"/>
            <w:tcBorders>
              <w:top w:val="nil"/>
              <w:left w:val="nil"/>
              <w:right w:val="nil"/>
            </w:tcBorders>
          </w:tcPr>
          <w:p>
            <w:pPr>
              <w:pStyle w:val="TableParagraph"/>
              <w:spacing w:before="4"/>
              <w:ind w:left="1333" w:right="-25"/>
              <w:jc w:val="left"/>
              <w:rPr>
                <w:sz w:val="24"/>
              </w:rPr>
            </w:pPr>
            <w:r>
              <w:rPr>
                <w:sz w:val="24"/>
              </w:rPr>
              <w:t>0.31</w:t>
            </w:r>
          </w:p>
        </w:tc>
        <w:tc>
          <w:tcPr>
            <w:tcW w:w="1261" w:type="dxa"/>
            <w:tcBorders>
              <w:top w:val="nil"/>
              <w:left w:val="nil"/>
              <w:right w:val="nil"/>
            </w:tcBorders>
          </w:tcPr>
          <w:p>
            <w:pPr>
              <w:pStyle w:val="TableParagraph"/>
              <w:spacing w:before="35"/>
              <w:ind w:left="-14" w:right="312"/>
              <w:rPr>
                <w:sz w:val="24"/>
              </w:rPr>
            </w:pPr>
            <w:r>
              <w:rPr>
                <w:sz w:val="24"/>
              </w:rPr>
              <w:t>0.18</w:t>
            </w:r>
          </w:p>
        </w:tc>
        <w:tc>
          <w:tcPr>
            <w:tcW w:w="1240" w:type="dxa"/>
            <w:tcBorders>
              <w:top w:val="nil"/>
              <w:left w:val="nil"/>
              <w:right w:val="nil"/>
            </w:tcBorders>
          </w:tcPr>
          <w:p>
            <w:pPr>
              <w:pStyle w:val="TableParagraph"/>
              <w:spacing w:before="35"/>
              <w:ind w:right="83"/>
              <w:rPr>
                <w:sz w:val="24"/>
              </w:rPr>
            </w:pPr>
            <w:r>
              <w:rPr>
                <w:sz w:val="24"/>
              </w:rPr>
              <w:t>0.32</w:t>
            </w:r>
          </w:p>
        </w:tc>
        <w:tc>
          <w:tcPr>
            <w:tcW w:w="995" w:type="dxa"/>
            <w:tcBorders>
              <w:top w:val="nil"/>
              <w:left w:val="nil"/>
              <w:right w:val="nil"/>
            </w:tcBorders>
          </w:tcPr>
          <w:p>
            <w:pPr>
              <w:pStyle w:val="TableParagraph"/>
              <w:spacing w:before="35"/>
              <w:ind w:right="67"/>
              <w:rPr>
                <w:sz w:val="24"/>
              </w:rPr>
            </w:pPr>
            <w:r>
              <w:rPr>
                <w:sz w:val="24"/>
              </w:rPr>
              <w:t>1.70</w:t>
            </w:r>
          </w:p>
        </w:tc>
      </w:tr>
    </w:tbl>
    <w:p>
      <w:pPr>
        <w:spacing w:before="58"/>
        <w:ind w:left="171" w:right="0" w:firstLine="0"/>
        <w:jc w:val="left"/>
        <w:rPr>
          <w:sz w:val="20"/>
        </w:rPr>
      </w:pPr>
      <w:r>
        <w:rPr>
          <w:sz w:val="20"/>
        </w:rPr>
        <w:t>Fuente: Elaboración propia con información de campo.</w:t>
      </w:r>
    </w:p>
    <w:p>
      <w:pPr>
        <w:spacing w:after="0"/>
        <w:jc w:val="left"/>
        <w:rPr>
          <w:sz w:val="20"/>
        </w:rPr>
        <w:sectPr>
          <w:pgSz w:w="12240" w:h="15840"/>
          <w:pgMar w:header="0" w:footer="657" w:top="1360" w:bottom="840" w:left="1600" w:right="1580"/>
        </w:sectPr>
      </w:pPr>
    </w:p>
    <w:p>
      <w:pPr>
        <w:pStyle w:val="Heading2"/>
        <w:spacing w:before="55"/>
        <w:ind w:left="102" w:firstLine="0"/>
        <w:rPr>
          <w:i/>
        </w:rPr>
      </w:pPr>
      <w:bookmarkStart w:name="_TOC_250010" w:id="32"/>
      <w:bookmarkEnd w:id="32"/>
      <w:r>
        <w:rPr>
          <w:i/>
        </w:rPr>
        <w:t>4.5.4.1 Precio estocástico de cultivos</w:t>
      </w:r>
    </w:p>
    <w:p>
      <w:pPr>
        <w:pStyle w:val="BodyText"/>
        <w:rPr>
          <w:b/>
          <w:i/>
        </w:rPr>
      </w:pPr>
    </w:p>
    <w:p>
      <w:pPr>
        <w:pStyle w:val="BodyText"/>
        <w:spacing w:before="7"/>
        <w:rPr>
          <w:b/>
          <w:i/>
          <w:sz w:val="23"/>
        </w:rPr>
      </w:pPr>
    </w:p>
    <w:p>
      <w:pPr>
        <w:pStyle w:val="BodyText"/>
        <w:spacing w:line="360" w:lineRule="auto"/>
        <w:ind w:left="102" w:right="118"/>
        <w:jc w:val="both"/>
      </w:pPr>
      <w:r>
        <w:rPr/>
        <w:t>El modelo proyecta el costo de producción de los cultivos en el horizonte de planeación tomando en cuenta tres variables; 1) el costo promedio calculado a partir de la información de</w:t>
      </w:r>
      <w:r>
        <w:rPr>
          <w:spacing w:val="-17"/>
        </w:rPr>
        <w:t> </w:t>
      </w:r>
      <w:r>
        <w:rPr/>
        <w:t>los</w:t>
      </w:r>
      <w:r>
        <w:rPr>
          <w:spacing w:val="-15"/>
        </w:rPr>
        <w:t> </w:t>
      </w:r>
      <w:r>
        <w:rPr/>
        <w:t>panelistas</w:t>
      </w:r>
      <w:r>
        <w:rPr>
          <w:spacing w:val="-16"/>
        </w:rPr>
        <w:t> </w:t>
      </w:r>
      <w:r>
        <w:rPr/>
        <w:t>(año</w:t>
      </w:r>
      <w:r>
        <w:rPr>
          <w:spacing w:val="-16"/>
        </w:rPr>
        <w:t> </w:t>
      </w:r>
      <w:r>
        <w:rPr/>
        <w:t>base);</w:t>
      </w:r>
      <w:r>
        <w:rPr>
          <w:spacing w:val="-15"/>
        </w:rPr>
        <w:t> </w:t>
      </w:r>
      <w:r>
        <w:rPr/>
        <w:t>2)</w:t>
      </w:r>
      <w:r>
        <w:rPr>
          <w:spacing w:val="-17"/>
        </w:rPr>
        <w:t> </w:t>
      </w:r>
      <w:r>
        <w:rPr/>
        <w:t>el</w:t>
      </w:r>
      <w:r>
        <w:rPr>
          <w:spacing w:val="-13"/>
        </w:rPr>
        <w:t> </w:t>
      </w:r>
      <w:r>
        <w:rPr/>
        <w:t>rendimiento</w:t>
      </w:r>
      <w:r>
        <w:rPr>
          <w:spacing w:val="-16"/>
        </w:rPr>
        <w:t> </w:t>
      </w:r>
      <w:r>
        <w:rPr/>
        <w:t>por</w:t>
      </w:r>
      <w:r>
        <w:rPr>
          <w:spacing w:val="-17"/>
        </w:rPr>
        <w:t> </w:t>
      </w:r>
      <w:r>
        <w:rPr/>
        <w:t>hectárea</w:t>
      </w:r>
      <w:r>
        <w:rPr>
          <w:spacing w:val="-17"/>
        </w:rPr>
        <w:t> </w:t>
      </w:r>
      <w:r>
        <w:rPr/>
        <w:t>de</w:t>
      </w:r>
      <w:r>
        <w:rPr>
          <w:spacing w:val="-17"/>
        </w:rPr>
        <w:t> </w:t>
      </w:r>
      <w:r>
        <w:rPr/>
        <w:t>cultivo</w:t>
      </w:r>
      <w:r>
        <w:rPr>
          <w:spacing w:val="-14"/>
        </w:rPr>
        <w:t> </w:t>
      </w:r>
      <w:r>
        <w:rPr/>
        <w:t>del</w:t>
      </w:r>
      <w:r>
        <w:rPr>
          <w:spacing w:val="-15"/>
        </w:rPr>
        <w:t> </w:t>
      </w:r>
      <w:r>
        <w:rPr/>
        <w:t>año</w:t>
      </w:r>
      <w:r>
        <w:rPr>
          <w:spacing w:val="-13"/>
        </w:rPr>
        <w:t> </w:t>
      </w:r>
      <w:r>
        <w:rPr/>
        <w:t>base</w:t>
      </w:r>
      <w:r>
        <w:rPr>
          <w:spacing w:val="-17"/>
        </w:rPr>
        <w:t> </w:t>
      </w:r>
      <w:r>
        <w:rPr/>
        <w:t>e</w:t>
      </w:r>
      <w:r>
        <w:rPr>
          <w:spacing w:val="-17"/>
        </w:rPr>
        <w:t> </w:t>
      </w:r>
      <w:r>
        <w:rPr/>
        <w:t>históricos </w:t>
      </w:r>
      <w:r>
        <w:rPr>
          <w:spacing w:val="-3"/>
        </w:rPr>
        <w:t>y; </w:t>
      </w:r>
      <w:r>
        <w:rPr/>
        <w:t>3) la tasa de inflación proyectada por SAGARPA</w:t>
      </w:r>
      <w:r>
        <w:rPr>
          <w:spacing w:val="1"/>
        </w:rPr>
        <w:t> </w:t>
      </w:r>
      <w:r>
        <w:rPr/>
        <w:t>(2011a).</w:t>
      </w:r>
    </w:p>
    <w:p>
      <w:pPr>
        <w:pStyle w:val="BodyText"/>
      </w:pPr>
    </w:p>
    <w:p>
      <w:pPr>
        <w:pStyle w:val="BodyText"/>
        <w:spacing w:line="360" w:lineRule="auto" w:before="143"/>
        <w:ind w:left="102" w:right="117"/>
        <w:jc w:val="both"/>
      </w:pPr>
      <w:r>
        <w:rPr/>
        <w:t>En la validación de las ecuaciones para determinar el precio estocástico de los cultivos, el modelo estima una desviación estándar uniforme correlacionada (DEUC) a partir de una matriz de correlación de precios (MCP). Las distribuciones empíricas para el precio de cada </w:t>
      </w:r>
      <w:r>
        <w:rPr>
          <w:position w:val="2"/>
        </w:rPr>
        <w:t>cultivo se expresan como desviaciones porcentuales (S</w:t>
      </w:r>
      <w:r>
        <w:rPr>
          <w:sz w:val="16"/>
        </w:rPr>
        <w:t>i</w:t>
      </w:r>
      <w:r>
        <w:rPr>
          <w:position w:val="2"/>
        </w:rPr>
        <w:t>) de la media (como los datos históricos</w:t>
      </w:r>
      <w:r>
        <w:rPr>
          <w:spacing w:val="-6"/>
          <w:position w:val="2"/>
        </w:rPr>
        <w:t> </w:t>
      </w:r>
      <w:r>
        <w:rPr>
          <w:position w:val="2"/>
        </w:rPr>
        <w:t>no</w:t>
      </w:r>
      <w:r>
        <w:rPr>
          <w:spacing w:val="-6"/>
          <w:position w:val="2"/>
        </w:rPr>
        <w:t> </w:t>
      </w:r>
      <w:r>
        <w:rPr>
          <w:position w:val="2"/>
        </w:rPr>
        <w:t>tiene</w:t>
      </w:r>
      <w:r>
        <w:rPr>
          <w:spacing w:val="-7"/>
          <w:position w:val="2"/>
        </w:rPr>
        <w:t> </w:t>
      </w:r>
      <w:r>
        <w:rPr>
          <w:position w:val="2"/>
        </w:rPr>
        <w:t>ninguna</w:t>
      </w:r>
      <w:r>
        <w:rPr>
          <w:spacing w:val="-7"/>
          <w:position w:val="2"/>
        </w:rPr>
        <w:t> </w:t>
      </w:r>
      <w:r>
        <w:rPr>
          <w:position w:val="2"/>
        </w:rPr>
        <w:t>tendencia)</w:t>
      </w:r>
      <w:r>
        <w:rPr>
          <w:spacing w:val="-1"/>
          <w:position w:val="2"/>
        </w:rPr>
        <w:t> </w:t>
      </w:r>
      <w:r>
        <w:rPr>
          <w:position w:val="2"/>
        </w:rPr>
        <w:t>y</w:t>
      </w:r>
      <w:r>
        <w:rPr>
          <w:spacing w:val="-10"/>
          <w:position w:val="2"/>
        </w:rPr>
        <w:t> </w:t>
      </w:r>
      <w:r>
        <w:rPr>
          <w:position w:val="2"/>
        </w:rPr>
        <w:t>las</w:t>
      </w:r>
      <w:r>
        <w:rPr>
          <w:spacing w:val="-7"/>
          <w:position w:val="2"/>
        </w:rPr>
        <w:t> </w:t>
      </w:r>
      <w:r>
        <w:rPr>
          <w:position w:val="2"/>
        </w:rPr>
        <w:t>probabilidades</w:t>
      </w:r>
      <w:r>
        <w:rPr>
          <w:spacing w:val="-6"/>
          <w:position w:val="2"/>
        </w:rPr>
        <w:t> </w:t>
      </w:r>
      <w:r>
        <w:rPr>
          <w:position w:val="2"/>
        </w:rPr>
        <w:t>de</w:t>
      </w:r>
      <w:r>
        <w:rPr>
          <w:spacing w:val="-7"/>
          <w:position w:val="2"/>
        </w:rPr>
        <w:t> </w:t>
      </w:r>
      <w:r>
        <w:rPr>
          <w:position w:val="2"/>
        </w:rPr>
        <w:t>ocurrencia</w:t>
      </w:r>
      <w:r>
        <w:rPr>
          <w:spacing w:val="-4"/>
          <w:position w:val="2"/>
        </w:rPr>
        <w:t> </w:t>
      </w:r>
      <w:r>
        <w:rPr>
          <w:position w:val="2"/>
        </w:rPr>
        <w:t>(F</w:t>
      </w:r>
      <w:r>
        <w:rPr>
          <w:spacing w:val="-8"/>
          <w:position w:val="2"/>
        </w:rPr>
        <w:t> </w:t>
      </w:r>
      <w:r>
        <w:rPr>
          <w:position w:val="2"/>
        </w:rPr>
        <w:t>(S</w:t>
      </w:r>
      <w:r>
        <w:rPr>
          <w:sz w:val="16"/>
        </w:rPr>
        <w:t>i</w:t>
      </w:r>
      <w:r>
        <w:rPr>
          <w:position w:val="2"/>
        </w:rPr>
        <w:t>).</w:t>
      </w:r>
      <w:r>
        <w:rPr>
          <w:spacing w:val="-4"/>
          <w:position w:val="2"/>
        </w:rPr>
        <w:t> </w:t>
      </w:r>
      <w:r>
        <w:rPr>
          <w:position w:val="2"/>
        </w:rPr>
        <w:t>Las</w:t>
      </w:r>
      <w:r>
        <w:rPr>
          <w:spacing w:val="-6"/>
          <w:position w:val="2"/>
        </w:rPr>
        <w:t> </w:t>
      </w:r>
      <w:r>
        <w:rPr>
          <w:position w:val="2"/>
        </w:rPr>
        <w:t>DEUC, las  desviaciones  porcentuales  (S</w:t>
      </w:r>
      <w:r>
        <w:rPr>
          <w:sz w:val="16"/>
        </w:rPr>
        <w:t>i</w:t>
      </w:r>
      <w:r>
        <w:rPr>
          <w:position w:val="2"/>
        </w:rPr>
        <w:t>),  y  probabilidades  (F  (S</w:t>
      </w:r>
      <w:r>
        <w:rPr>
          <w:sz w:val="16"/>
        </w:rPr>
        <w:t>i</w:t>
      </w:r>
      <w:r>
        <w:rPr>
          <w:position w:val="2"/>
        </w:rPr>
        <w:t>)  se  pueden  utilizar  con</w:t>
      </w:r>
      <w:r>
        <w:rPr>
          <w:spacing w:val="52"/>
          <w:position w:val="2"/>
        </w:rPr>
        <w:t> </w:t>
      </w:r>
      <w:r>
        <w:rPr>
          <w:position w:val="2"/>
        </w:rPr>
        <w:t>los</w:t>
      </w:r>
    </w:p>
    <w:p>
      <w:pPr>
        <w:pStyle w:val="BodyText"/>
        <w:spacing w:line="300" w:lineRule="exact"/>
        <w:ind w:left="102"/>
        <w:jc w:val="both"/>
      </w:pPr>
      <w:r>
        <w:rPr>
          <w:spacing w:val="-1"/>
          <w:w w:val="99"/>
          <w:position w:val="2"/>
        </w:rPr>
        <w:t>re</w:t>
      </w:r>
      <w:r>
        <w:rPr>
          <w:w w:val="99"/>
          <w:position w:val="2"/>
        </w:rPr>
        <w:t>ndimientos</w:t>
      </w:r>
      <w:r>
        <w:rPr>
          <w:spacing w:val="23"/>
          <w:w w:val="99"/>
          <w:position w:val="2"/>
        </w:rPr>
        <w:t> </w:t>
      </w:r>
      <w:r>
        <w:rPr>
          <w:w w:val="99"/>
          <w:position w:val="2"/>
        </w:rPr>
        <w:t>medios</w:t>
      </w:r>
      <w:r>
        <w:rPr>
          <w:spacing w:val="23"/>
          <w:w w:val="99"/>
          <w:position w:val="2"/>
        </w:rPr>
        <w:t> </w:t>
      </w:r>
      <w:r>
        <w:rPr>
          <w:spacing w:val="1"/>
          <w:w w:val="99"/>
          <w:position w:val="2"/>
        </w:rPr>
        <w:t>p</w:t>
      </w:r>
      <w:r>
        <w:rPr>
          <w:w w:val="99"/>
          <w:position w:val="2"/>
        </w:rPr>
        <w:t>revis</w:t>
      </w:r>
      <w:r>
        <w:rPr>
          <w:spacing w:val="1"/>
          <w:w w:val="99"/>
          <w:position w:val="2"/>
        </w:rPr>
        <w:t>t</w:t>
      </w:r>
      <w:r>
        <w:rPr>
          <w:w w:val="99"/>
          <w:position w:val="2"/>
        </w:rPr>
        <w:t>os</w:t>
      </w:r>
      <w:r>
        <w:rPr>
          <w:spacing w:val="24"/>
          <w:position w:val="2"/>
        </w:rPr>
        <w:t> </w:t>
      </w:r>
      <w:r>
        <w:rPr>
          <w:position w:val="2"/>
        </w:rPr>
        <w:t>(</w:t>
      </w:r>
      <w:r>
        <w:rPr>
          <w:w w:val="99"/>
          <w:position w:val="2"/>
        </w:rPr>
        <w:t>Q)</w:t>
      </w:r>
      <w:r>
        <w:rPr>
          <w:spacing w:val="22"/>
          <w:position w:val="2"/>
        </w:rPr>
        <w:t> </w:t>
      </w:r>
      <w:r>
        <w:rPr>
          <w:position w:val="2"/>
        </w:rPr>
        <w:t>p</w:t>
      </w:r>
      <w:r>
        <w:rPr>
          <w:spacing w:val="-1"/>
          <w:position w:val="2"/>
        </w:rPr>
        <w:t>a</w:t>
      </w:r>
      <w:r>
        <w:rPr>
          <w:spacing w:val="1"/>
          <w:position w:val="2"/>
        </w:rPr>
        <w:t>r</w:t>
      </w:r>
      <w:r>
        <w:rPr>
          <w:position w:val="2"/>
        </w:rPr>
        <w:t>a</w:t>
      </w:r>
      <w:r>
        <w:rPr>
          <w:spacing w:val="22"/>
          <w:position w:val="2"/>
        </w:rPr>
        <w:t> </w:t>
      </w:r>
      <w:r>
        <w:rPr>
          <w:w w:val="99"/>
          <w:position w:val="2"/>
        </w:rPr>
        <w:t>si</w:t>
      </w:r>
      <w:r>
        <w:rPr>
          <w:spacing w:val="1"/>
          <w:w w:val="99"/>
          <w:position w:val="2"/>
        </w:rPr>
        <w:t>m</w:t>
      </w:r>
      <w:r>
        <w:rPr>
          <w:w w:val="99"/>
          <w:position w:val="2"/>
        </w:rPr>
        <w:t>ular</w:t>
      </w:r>
      <w:r>
        <w:rPr>
          <w:spacing w:val="26"/>
          <w:w w:val="99"/>
          <w:position w:val="2"/>
        </w:rPr>
        <w:t> </w:t>
      </w:r>
      <w:r>
        <w:rPr>
          <w:spacing w:val="-1"/>
          <w:w w:val="99"/>
          <w:position w:val="2"/>
        </w:rPr>
        <w:t>e</w:t>
      </w:r>
      <w:r>
        <w:rPr>
          <w:w w:val="99"/>
          <w:position w:val="2"/>
        </w:rPr>
        <w:t>l</w:t>
      </w:r>
      <w:r>
        <w:rPr>
          <w:spacing w:val="24"/>
          <w:w w:val="99"/>
          <w:position w:val="2"/>
        </w:rPr>
        <w:t> </w:t>
      </w:r>
      <w:r>
        <w:rPr>
          <w:spacing w:val="-1"/>
          <w:w w:val="99"/>
          <w:position w:val="2"/>
        </w:rPr>
        <w:t>c</w:t>
      </w:r>
      <w:r>
        <w:rPr>
          <w:w w:val="99"/>
          <w:position w:val="2"/>
        </w:rPr>
        <w:t>osto</w:t>
      </w:r>
      <w:r>
        <w:rPr>
          <w:spacing w:val="24"/>
          <w:w w:val="99"/>
          <w:position w:val="2"/>
        </w:rPr>
        <w:t> </w:t>
      </w:r>
      <w:r>
        <w:rPr>
          <w:w w:val="99"/>
          <w:position w:val="2"/>
        </w:rPr>
        <w:t>de</w:t>
      </w:r>
      <w:r>
        <w:rPr>
          <w:spacing w:val="22"/>
          <w:w w:val="99"/>
          <w:position w:val="2"/>
        </w:rPr>
        <w:t> </w:t>
      </w:r>
      <w:r>
        <w:rPr>
          <w:w w:val="99"/>
          <w:position w:val="2"/>
        </w:rPr>
        <w:t>los</w:t>
      </w:r>
      <w:r>
        <w:rPr>
          <w:spacing w:val="26"/>
          <w:position w:val="2"/>
        </w:rPr>
        <w:t> </w:t>
      </w:r>
      <w:r>
        <w:rPr>
          <w:spacing w:val="-1"/>
          <w:position w:val="2"/>
        </w:rPr>
        <w:t>c</w:t>
      </w:r>
      <w:r>
        <w:rPr>
          <w:position w:val="2"/>
        </w:rPr>
        <w:t>ultivos</w:t>
      </w:r>
      <w:r>
        <w:rPr>
          <w:spacing w:val="24"/>
          <w:position w:val="2"/>
        </w:rPr>
        <w:t> </w:t>
      </w:r>
      <w:r>
        <w:rPr>
          <w:spacing w:val="-1"/>
          <w:position w:val="2"/>
        </w:rPr>
        <w:t>a</w:t>
      </w:r>
      <w:r>
        <w:rPr>
          <w:position w:val="2"/>
        </w:rPr>
        <w:t>l</w:t>
      </w:r>
      <w:r>
        <w:rPr>
          <w:spacing w:val="24"/>
          <w:position w:val="2"/>
        </w:rPr>
        <w:t> </w:t>
      </w:r>
      <w:r>
        <w:rPr>
          <w:spacing w:val="-1"/>
          <w:position w:val="2"/>
        </w:rPr>
        <w:t>a</w:t>
      </w:r>
      <w:r>
        <w:rPr>
          <w:spacing w:val="1"/>
          <w:position w:val="2"/>
        </w:rPr>
        <w:t>z</w:t>
      </w:r>
      <w:r>
        <w:rPr>
          <w:spacing w:val="-1"/>
          <w:position w:val="2"/>
        </w:rPr>
        <w:t>a</w:t>
      </w:r>
      <w:r>
        <w:rPr>
          <w:position w:val="2"/>
        </w:rPr>
        <w:t>r</w:t>
      </w:r>
      <w:r>
        <w:rPr>
          <w:spacing w:val="25"/>
          <w:position w:val="2"/>
        </w:rPr>
        <w:t> </w:t>
      </w:r>
      <w:r>
        <w:rPr>
          <w:spacing w:val="1"/>
          <w:position w:val="2"/>
        </w:rPr>
        <w:t>(</w:t>
      </w:r>
      <w:r>
        <w:rPr>
          <w:rFonts w:ascii="Cambria Math" w:hAnsi="Cambria Math" w:eastAsia="Cambria Math"/>
          <w:spacing w:val="-110"/>
          <w:w w:val="102"/>
          <w:position w:val="2"/>
        </w:rPr>
        <w:t>�</w:t>
      </w:r>
      <w:r>
        <w:rPr>
          <w:rFonts w:ascii="Cambria Math" w:hAnsi="Cambria Math" w:eastAsia="Cambria Math"/>
          <w:spacing w:val="20"/>
          <w:position w:val="7"/>
        </w:rPr>
        <w:t>̂</w:t>
      </w:r>
      <w:r>
        <w:rPr>
          <w:w w:val="100"/>
          <w:sz w:val="16"/>
        </w:rPr>
        <w:t>j</w:t>
      </w:r>
      <w:r>
        <w:rPr>
          <w:w w:val="99"/>
          <w:position w:val="2"/>
        </w:rPr>
        <w:t>)</w:t>
      </w:r>
      <w:r>
        <w:rPr>
          <w:spacing w:val="23"/>
          <w:w w:val="99"/>
          <w:position w:val="2"/>
        </w:rPr>
        <w:t> </w:t>
      </w:r>
      <w:r>
        <w:rPr>
          <w:spacing w:val="-1"/>
          <w:w w:val="99"/>
          <w:position w:val="2"/>
        </w:rPr>
        <w:t>e</w:t>
      </w:r>
      <w:r>
        <w:rPr>
          <w:w w:val="99"/>
          <w:position w:val="2"/>
        </w:rPr>
        <w:t>n</w:t>
      </w:r>
      <w:r>
        <w:rPr>
          <w:spacing w:val="24"/>
          <w:w w:val="99"/>
          <w:position w:val="2"/>
        </w:rPr>
        <w:t> </w:t>
      </w:r>
      <w:r>
        <w:rPr>
          <w:spacing w:val="-1"/>
          <w:w w:val="99"/>
          <w:position w:val="2"/>
        </w:rPr>
        <w:t>e</w:t>
      </w:r>
      <w:r>
        <w:rPr>
          <w:w w:val="99"/>
          <w:position w:val="2"/>
        </w:rPr>
        <w:t>l</w:t>
      </w:r>
    </w:p>
    <w:p>
      <w:pPr>
        <w:pStyle w:val="BodyText"/>
        <w:spacing w:before="139"/>
        <w:ind w:left="102"/>
        <w:jc w:val="both"/>
      </w:pPr>
      <w:r>
        <w:rPr/>
        <w:t>modelo.</w:t>
      </w:r>
    </w:p>
    <w:p>
      <w:pPr>
        <w:pStyle w:val="BodyText"/>
      </w:pPr>
    </w:p>
    <w:p>
      <w:pPr>
        <w:pStyle w:val="BodyText"/>
        <w:spacing w:before="10"/>
        <w:rPr>
          <w:sz w:val="20"/>
        </w:rPr>
      </w:pPr>
    </w:p>
    <w:p>
      <w:pPr>
        <w:pStyle w:val="BodyText"/>
        <w:tabs>
          <w:tab w:pos="8585" w:val="left" w:leader="none"/>
        </w:tabs>
        <w:ind w:left="102" w:firstLine="2705"/>
      </w:pPr>
      <w:r>
        <w:rPr>
          <w:rFonts w:ascii="Cambria Math" w:hAnsi="Cambria Math" w:eastAsia="Cambria Math"/>
          <w:spacing w:val="-108"/>
          <w:w w:val="102"/>
          <w:position w:val="2"/>
        </w:rPr>
        <w:t>�</w:t>
      </w:r>
      <w:r>
        <w:rPr>
          <w:rFonts w:ascii="Cambria Math" w:hAnsi="Cambria Math" w:eastAsia="Cambria Math"/>
          <w:spacing w:val="21"/>
          <w:position w:val="7"/>
        </w:rPr>
        <w:t>̃</w:t>
      </w:r>
      <w:r>
        <w:rPr>
          <w:w w:val="100"/>
          <w:sz w:val="16"/>
        </w:rPr>
        <w:t>j</w:t>
      </w:r>
      <w:r>
        <w:rPr>
          <w:spacing w:val="-1"/>
          <w:position w:val="2"/>
        </w:rPr>
        <w:t>=</w:t>
      </w:r>
      <w:r>
        <w:rPr>
          <w:rFonts w:ascii="Cambria Math" w:hAnsi="Cambria Math" w:eastAsia="Cambria Math"/>
          <w:spacing w:val="-110"/>
          <w:w w:val="102"/>
          <w:position w:val="2"/>
        </w:rPr>
        <w:t>�</w:t>
      </w:r>
      <w:r>
        <w:rPr>
          <w:rFonts w:ascii="Cambria Math" w:hAnsi="Cambria Math" w:eastAsia="Cambria Math"/>
          <w:spacing w:val="20"/>
          <w:position w:val="7"/>
        </w:rPr>
        <w:t>̂</w:t>
      </w:r>
      <w:r>
        <w:rPr>
          <w:w w:val="100"/>
          <w:sz w:val="16"/>
        </w:rPr>
        <w:t>j</w:t>
      </w:r>
      <w:r>
        <w:rPr>
          <w:sz w:val="16"/>
        </w:rPr>
        <w:t> </w:t>
      </w:r>
      <w:r>
        <w:rPr>
          <w:spacing w:val="-20"/>
          <w:sz w:val="16"/>
        </w:rPr>
        <w:t> </w:t>
      </w:r>
      <w:r>
        <w:rPr>
          <w:position w:val="2"/>
        </w:rPr>
        <w:t>*</w:t>
      </w:r>
      <w:r>
        <w:rPr>
          <w:spacing w:val="1"/>
          <w:position w:val="2"/>
        </w:rPr>
        <w:t>[</w:t>
      </w:r>
      <w:r>
        <w:rPr>
          <w:position w:val="2"/>
        </w:rPr>
        <w:t>1</w:t>
      </w:r>
      <w:r>
        <w:rPr>
          <w:spacing w:val="-1"/>
          <w:position w:val="2"/>
        </w:rPr>
        <w:t>+</w:t>
      </w:r>
      <w:r>
        <w:rPr>
          <w:w w:val="99"/>
          <w:position w:val="2"/>
        </w:rPr>
        <w:t>DME</w:t>
      </w:r>
      <w:r>
        <w:rPr>
          <w:position w:val="2"/>
        </w:rPr>
        <w:t> </w:t>
      </w:r>
      <w:r>
        <w:rPr>
          <w:spacing w:val="-2"/>
          <w:position w:val="2"/>
        </w:rPr>
        <w:t>(</w:t>
      </w:r>
      <w:r>
        <w:rPr>
          <w:spacing w:val="1"/>
          <w:w w:val="99"/>
          <w:position w:val="2"/>
        </w:rPr>
        <w:t>S</w:t>
      </w:r>
      <w:r>
        <w:rPr>
          <w:w w:val="100"/>
          <w:sz w:val="16"/>
        </w:rPr>
        <w:t>i</w:t>
      </w:r>
      <w:r>
        <w:rPr>
          <w:position w:val="2"/>
        </w:rPr>
        <w:t>, </w:t>
      </w:r>
      <w:r>
        <w:rPr>
          <w:spacing w:val="-2"/>
          <w:w w:val="99"/>
          <w:position w:val="2"/>
        </w:rPr>
        <w:t>F</w:t>
      </w:r>
      <w:r>
        <w:rPr>
          <w:w w:val="99"/>
          <w:position w:val="2"/>
        </w:rPr>
        <w:t>(S</w:t>
      </w:r>
      <w:r>
        <w:rPr>
          <w:w w:val="100"/>
          <w:sz w:val="16"/>
        </w:rPr>
        <w:t>i</w:t>
      </w:r>
      <w:r>
        <w:rPr>
          <w:w w:val="99"/>
          <w:position w:val="2"/>
        </w:rPr>
        <w:t>),</w:t>
      </w:r>
      <w:r>
        <w:rPr>
          <w:spacing w:val="-3"/>
          <w:w w:val="99"/>
          <w:position w:val="2"/>
        </w:rPr>
        <w:t>C</w:t>
      </w:r>
      <w:r>
        <w:rPr>
          <w:spacing w:val="-2"/>
          <w:w w:val="100"/>
          <w:sz w:val="16"/>
        </w:rPr>
        <w:t>i</w:t>
      </w:r>
      <w:r>
        <w:rPr>
          <w:spacing w:val="-1"/>
          <w:w w:val="99"/>
          <w:position w:val="2"/>
        </w:rPr>
        <w:t>)</w:t>
      </w:r>
      <w:r>
        <w:rPr>
          <w:w w:val="99"/>
          <w:position w:val="2"/>
        </w:rPr>
        <w:t>]</w:t>
        <w:tab/>
      </w:r>
      <w:r>
        <w:rPr>
          <w:w w:val="99"/>
          <w:position w:val="4"/>
        </w:rPr>
        <w:t>26)</w:t>
      </w:r>
    </w:p>
    <w:p>
      <w:pPr>
        <w:pStyle w:val="BodyText"/>
        <w:rPr>
          <w:sz w:val="28"/>
        </w:rPr>
      </w:pPr>
    </w:p>
    <w:p>
      <w:pPr>
        <w:pStyle w:val="BodyText"/>
        <w:rPr>
          <w:sz w:val="28"/>
        </w:rPr>
      </w:pPr>
    </w:p>
    <w:p>
      <w:pPr>
        <w:pStyle w:val="BodyText"/>
        <w:spacing w:before="4"/>
        <w:rPr>
          <w:sz w:val="28"/>
        </w:rPr>
      </w:pPr>
    </w:p>
    <w:p>
      <w:pPr>
        <w:pStyle w:val="BodyText"/>
        <w:spacing w:line="360" w:lineRule="auto"/>
        <w:ind w:left="102" w:right="116"/>
        <w:jc w:val="both"/>
      </w:pPr>
      <w:r>
        <w:rPr/>
        <w:t>Una DME se utiliza para asegurar que las variables aleatorias se correlacionan de la misma forma que las variables históricas utilizadas en el análisis. El modelo utiliza los parámetros de la DME para eliminar la tendencia de los datos y la expresión de los residuos como </w:t>
      </w:r>
      <w:r>
        <w:rPr>
          <w:position w:val="2"/>
        </w:rPr>
        <w:t>fracciones</w:t>
      </w:r>
      <w:r>
        <w:rPr>
          <w:spacing w:val="-9"/>
          <w:position w:val="2"/>
        </w:rPr>
        <w:t> </w:t>
      </w:r>
      <w:r>
        <w:rPr>
          <w:position w:val="2"/>
        </w:rPr>
        <w:t>de</w:t>
      </w:r>
      <w:r>
        <w:rPr>
          <w:spacing w:val="-10"/>
          <w:position w:val="2"/>
        </w:rPr>
        <w:t> </w:t>
      </w:r>
      <w:r>
        <w:rPr>
          <w:position w:val="2"/>
        </w:rPr>
        <w:t>tendencia</w:t>
      </w:r>
      <w:r>
        <w:rPr>
          <w:spacing w:val="-7"/>
          <w:position w:val="2"/>
        </w:rPr>
        <w:t> </w:t>
      </w:r>
      <w:r>
        <w:rPr>
          <w:position w:val="2"/>
        </w:rPr>
        <w:t>(S</w:t>
      </w:r>
      <w:r>
        <w:rPr>
          <w:sz w:val="16"/>
        </w:rPr>
        <w:t>i</w:t>
      </w:r>
      <w:r>
        <w:rPr>
          <w:position w:val="2"/>
        </w:rPr>
        <w:t>)</w:t>
      </w:r>
      <w:r>
        <w:rPr>
          <w:spacing w:val="-7"/>
          <w:position w:val="2"/>
        </w:rPr>
        <w:t> </w:t>
      </w:r>
      <w:r>
        <w:rPr>
          <w:position w:val="2"/>
        </w:rPr>
        <w:t>y</w:t>
      </w:r>
      <w:r>
        <w:rPr>
          <w:spacing w:val="-16"/>
          <w:position w:val="2"/>
        </w:rPr>
        <w:t> </w:t>
      </w:r>
      <w:r>
        <w:rPr>
          <w:position w:val="2"/>
        </w:rPr>
        <w:t>probabilidades</w:t>
      </w:r>
      <w:r>
        <w:rPr>
          <w:spacing w:val="-8"/>
          <w:position w:val="2"/>
        </w:rPr>
        <w:t> </w:t>
      </w:r>
      <w:r>
        <w:rPr>
          <w:position w:val="2"/>
        </w:rPr>
        <w:t>acumuladas</w:t>
      </w:r>
      <w:r>
        <w:rPr>
          <w:spacing w:val="-8"/>
          <w:position w:val="2"/>
        </w:rPr>
        <w:t> </w:t>
      </w:r>
      <w:r>
        <w:rPr>
          <w:position w:val="2"/>
        </w:rPr>
        <w:t>(F</w:t>
      </w:r>
      <w:r>
        <w:rPr>
          <w:spacing w:val="-11"/>
          <w:position w:val="2"/>
        </w:rPr>
        <w:t> </w:t>
      </w:r>
      <w:r>
        <w:rPr>
          <w:position w:val="2"/>
        </w:rPr>
        <w:t>(S</w:t>
      </w:r>
      <w:r>
        <w:rPr>
          <w:sz w:val="16"/>
        </w:rPr>
        <w:t>i</w:t>
      </w:r>
      <w:r>
        <w:rPr>
          <w:position w:val="2"/>
        </w:rPr>
        <w:t>).</w:t>
      </w:r>
      <w:r>
        <w:rPr>
          <w:spacing w:val="-9"/>
          <w:position w:val="2"/>
        </w:rPr>
        <w:t> </w:t>
      </w:r>
      <w:r>
        <w:rPr>
          <w:position w:val="2"/>
        </w:rPr>
        <w:t>Este</w:t>
      </w:r>
      <w:r>
        <w:rPr>
          <w:spacing w:val="-9"/>
          <w:position w:val="2"/>
        </w:rPr>
        <w:t> </w:t>
      </w:r>
      <w:r>
        <w:rPr>
          <w:position w:val="2"/>
        </w:rPr>
        <w:t>método</w:t>
      </w:r>
      <w:r>
        <w:rPr>
          <w:spacing w:val="-9"/>
          <w:position w:val="2"/>
        </w:rPr>
        <w:t> </w:t>
      </w:r>
      <w:r>
        <w:rPr>
          <w:position w:val="2"/>
        </w:rPr>
        <w:t>de</w:t>
      </w:r>
      <w:r>
        <w:rPr>
          <w:spacing w:val="-10"/>
          <w:position w:val="2"/>
        </w:rPr>
        <w:t> </w:t>
      </w:r>
      <w:r>
        <w:rPr>
          <w:position w:val="2"/>
        </w:rPr>
        <w:t>estimación, </w:t>
      </w:r>
      <w:r>
        <w:rPr/>
        <w:t>asegura que el coeficiente de variación (CV) y media para las variables aleatorias simuladas sea igual al CV y media de las variables de los datos históricos (Richardson, 2007). Para consultar el proceso de análisis de una DME ver Anexo Tabla</w:t>
      </w:r>
      <w:r>
        <w:rPr>
          <w:spacing w:val="-7"/>
        </w:rPr>
        <w:t> </w:t>
      </w:r>
      <w:r>
        <w:rPr/>
        <w:t>2.</w:t>
      </w:r>
    </w:p>
    <w:p>
      <w:pPr>
        <w:pStyle w:val="BodyText"/>
      </w:pPr>
    </w:p>
    <w:p>
      <w:pPr>
        <w:pStyle w:val="BodyText"/>
        <w:spacing w:line="333" w:lineRule="auto" w:before="143"/>
        <w:ind w:left="102" w:right="114"/>
        <w:jc w:val="both"/>
      </w:pPr>
      <w:r>
        <w:rPr/>
        <w:t>Los</w:t>
      </w:r>
      <w:r>
        <w:rPr>
          <w:spacing w:val="-8"/>
        </w:rPr>
        <w:t> </w:t>
      </w:r>
      <w:r>
        <w:rPr/>
        <w:t>rendimientos</w:t>
      </w:r>
      <w:r>
        <w:rPr>
          <w:spacing w:val="-11"/>
        </w:rPr>
        <w:t> </w:t>
      </w:r>
      <w:r>
        <w:rPr/>
        <w:t>de</w:t>
      </w:r>
      <w:r>
        <w:rPr>
          <w:spacing w:val="-10"/>
        </w:rPr>
        <w:t> </w:t>
      </w:r>
      <w:r>
        <w:rPr/>
        <w:t>cada</w:t>
      </w:r>
      <w:r>
        <w:rPr>
          <w:spacing w:val="-10"/>
        </w:rPr>
        <w:t> </w:t>
      </w:r>
      <w:r>
        <w:rPr/>
        <w:t>cultivo</w:t>
      </w:r>
      <w:r>
        <w:rPr>
          <w:spacing w:val="-11"/>
        </w:rPr>
        <w:t> </w:t>
      </w:r>
      <w:r>
        <w:rPr/>
        <w:t>se</w:t>
      </w:r>
      <w:r>
        <w:rPr>
          <w:spacing w:val="-12"/>
        </w:rPr>
        <w:t> </w:t>
      </w:r>
      <w:r>
        <w:rPr/>
        <w:t>usaron</w:t>
      </w:r>
      <w:r>
        <w:rPr>
          <w:spacing w:val="-10"/>
        </w:rPr>
        <w:t> </w:t>
      </w:r>
      <w:r>
        <w:rPr/>
        <w:t>para</w:t>
      </w:r>
      <w:r>
        <w:rPr>
          <w:spacing w:val="-12"/>
        </w:rPr>
        <w:t> </w:t>
      </w:r>
      <w:r>
        <w:rPr/>
        <w:t>calcular</w:t>
      </w:r>
      <w:r>
        <w:rPr>
          <w:spacing w:val="-11"/>
        </w:rPr>
        <w:t> </w:t>
      </w:r>
      <w:r>
        <w:rPr/>
        <w:t>los</w:t>
      </w:r>
      <w:r>
        <w:rPr>
          <w:spacing w:val="-10"/>
        </w:rPr>
        <w:t> </w:t>
      </w:r>
      <w:r>
        <w:rPr/>
        <w:t>costos</w:t>
      </w:r>
      <w:r>
        <w:rPr>
          <w:spacing w:val="-10"/>
        </w:rPr>
        <w:t> </w:t>
      </w:r>
      <w:r>
        <w:rPr/>
        <w:t>de</w:t>
      </w:r>
      <w:r>
        <w:rPr>
          <w:spacing w:val="-12"/>
        </w:rPr>
        <w:t> </w:t>
      </w:r>
      <w:r>
        <w:rPr/>
        <w:t>producción.</w:t>
      </w:r>
      <w:r>
        <w:rPr>
          <w:spacing w:val="-9"/>
        </w:rPr>
        <w:t> </w:t>
      </w:r>
      <w:r>
        <w:rPr/>
        <w:t>El</w:t>
      </w:r>
      <w:r>
        <w:rPr>
          <w:spacing w:val="-11"/>
        </w:rPr>
        <w:t> </w:t>
      </w:r>
      <w:r>
        <w:rPr/>
        <w:t>ingreso </w:t>
      </w:r>
      <w:r>
        <w:rPr>
          <w:position w:val="2"/>
        </w:rPr>
        <w:t>tot</w:t>
      </w:r>
      <w:r>
        <w:rPr>
          <w:spacing w:val="-1"/>
          <w:position w:val="2"/>
        </w:rPr>
        <w:t>a</w:t>
      </w:r>
      <w:r>
        <w:rPr>
          <w:position w:val="2"/>
        </w:rPr>
        <w:t>l </w:t>
      </w:r>
      <w:r>
        <w:rPr>
          <w:spacing w:val="-1"/>
          <w:position w:val="2"/>
        </w:rPr>
        <w:t>e</w:t>
      </w:r>
      <w:r>
        <w:rPr>
          <w:position w:val="2"/>
        </w:rPr>
        <w:t>stoc</w:t>
      </w:r>
      <w:r>
        <w:rPr>
          <w:spacing w:val="-2"/>
          <w:position w:val="2"/>
        </w:rPr>
        <w:t>á</w:t>
      </w:r>
      <w:r>
        <w:rPr>
          <w:w w:val="99"/>
          <w:position w:val="2"/>
        </w:rPr>
        <w:t>st</w:t>
      </w:r>
      <w:r>
        <w:rPr>
          <w:spacing w:val="1"/>
          <w:w w:val="99"/>
          <w:position w:val="2"/>
        </w:rPr>
        <w:t>i</w:t>
      </w:r>
      <w:r>
        <w:rPr>
          <w:spacing w:val="-1"/>
          <w:position w:val="2"/>
        </w:rPr>
        <w:t>c</w:t>
      </w:r>
      <w:r>
        <w:rPr>
          <w:position w:val="2"/>
        </w:rPr>
        <w:t>o de</w:t>
      </w:r>
      <w:r>
        <w:rPr>
          <w:spacing w:val="-1"/>
          <w:position w:val="2"/>
        </w:rPr>
        <w:t> </w:t>
      </w:r>
      <w:r>
        <w:rPr>
          <w:spacing w:val="1"/>
          <w:position w:val="2"/>
        </w:rPr>
        <w:t>c</w:t>
      </w:r>
      <w:r>
        <w:rPr>
          <w:spacing w:val="-1"/>
          <w:position w:val="2"/>
        </w:rPr>
        <w:t>a</w:t>
      </w:r>
      <w:r>
        <w:rPr>
          <w:position w:val="2"/>
        </w:rPr>
        <w:t>da</w:t>
      </w:r>
      <w:r>
        <w:rPr>
          <w:spacing w:val="1"/>
          <w:position w:val="2"/>
        </w:rPr>
        <w:t> </w:t>
      </w:r>
      <w:r>
        <w:rPr>
          <w:spacing w:val="-1"/>
          <w:position w:val="2"/>
        </w:rPr>
        <w:t>c</w:t>
      </w:r>
      <w:r>
        <w:rPr>
          <w:position w:val="2"/>
        </w:rPr>
        <w:t>ultivo</w:t>
      </w:r>
      <w:r>
        <w:rPr>
          <w:spacing w:val="1"/>
          <w:position w:val="2"/>
        </w:rPr>
        <w:t> </w:t>
      </w:r>
      <w:r>
        <w:rPr>
          <w:spacing w:val="-1"/>
          <w:position w:val="2"/>
        </w:rPr>
        <w:t>(</w:t>
      </w:r>
      <w:r>
        <w:rPr>
          <w:rFonts w:ascii="Cambria Math" w:hAnsi="Cambria Math" w:eastAsia="Cambria Math"/>
          <w:spacing w:val="-87"/>
          <w:w w:val="57"/>
          <w:position w:val="2"/>
        </w:rPr>
        <w:t>�</w:t>
      </w:r>
      <w:r>
        <w:rPr>
          <w:rFonts w:ascii="Cambria Math" w:hAnsi="Cambria Math" w:eastAsia="Cambria Math"/>
          <w:spacing w:val="-140"/>
          <w:position w:val="6"/>
        </w:rPr>
        <w:t>̃</w:t>
      </w:r>
      <w:r>
        <w:rPr>
          <w:rFonts w:ascii="Cambria Math" w:hAnsi="Cambria Math" w:eastAsia="Cambria Math"/>
          <w:w w:val="90"/>
          <w:position w:val="2"/>
        </w:rPr>
        <w:t>�</w:t>
      </w:r>
      <w:r>
        <w:rPr>
          <w:rFonts w:ascii="Cambria Math" w:hAnsi="Cambria Math" w:eastAsia="Cambria Math"/>
          <w:spacing w:val="13"/>
          <w:position w:val="2"/>
        </w:rPr>
        <w:t> </w:t>
      </w:r>
      <w:r>
        <w:rPr>
          <w:position w:val="2"/>
        </w:rPr>
        <w:t>C</w:t>
      </w:r>
      <w:r>
        <w:rPr>
          <w:w w:val="100"/>
          <w:sz w:val="16"/>
        </w:rPr>
        <w:t>j</w:t>
      </w:r>
      <w:r>
        <w:rPr>
          <w:w w:val="99"/>
          <w:position w:val="2"/>
        </w:rPr>
        <w:t>) </w:t>
      </w:r>
      <w:r>
        <w:rPr>
          <w:w w:val="99"/>
          <w:position w:val="2"/>
        </w:rPr>
        <w:t>s</w:t>
      </w:r>
      <w:r>
        <w:rPr>
          <w:spacing w:val="-2"/>
          <w:w w:val="99"/>
          <w:position w:val="2"/>
        </w:rPr>
        <w:t>e</w:t>
      </w:r>
      <w:r>
        <w:rPr>
          <w:w w:val="99"/>
          <w:position w:val="2"/>
        </w:rPr>
        <w:t>rá</w:t>
      </w:r>
      <w:r>
        <w:rPr>
          <w:spacing w:val="-2"/>
          <w:w w:val="99"/>
          <w:position w:val="2"/>
        </w:rPr>
        <w:t> </w:t>
      </w:r>
      <w:r>
        <w:rPr>
          <w:w w:val="99"/>
          <w:position w:val="2"/>
        </w:rPr>
        <w:t>una</w:t>
      </w:r>
      <w:r>
        <w:rPr>
          <w:spacing w:val="-1"/>
          <w:w w:val="99"/>
          <w:position w:val="2"/>
        </w:rPr>
        <w:t> f</w:t>
      </w:r>
      <w:r>
        <w:rPr>
          <w:w w:val="99"/>
          <w:position w:val="2"/>
        </w:rPr>
        <w:t>u</w:t>
      </w:r>
      <w:r>
        <w:rPr>
          <w:spacing w:val="2"/>
          <w:w w:val="99"/>
          <w:position w:val="2"/>
        </w:rPr>
        <w:t>n</w:t>
      </w:r>
      <w:r>
        <w:rPr>
          <w:spacing w:val="-1"/>
          <w:w w:val="99"/>
          <w:position w:val="2"/>
        </w:rPr>
        <w:t>c</w:t>
      </w:r>
      <w:r>
        <w:rPr>
          <w:w w:val="99"/>
          <w:position w:val="2"/>
        </w:rPr>
        <w:t>ión</w:t>
      </w:r>
      <w:r>
        <w:rPr>
          <w:spacing w:val="-1"/>
          <w:w w:val="99"/>
          <w:position w:val="2"/>
        </w:rPr>
        <w:t> </w:t>
      </w:r>
      <w:r>
        <w:rPr>
          <w:w w:val="99"/>
          <w:position w:val="2"/>
        </w:rPr>
        <w:t>del p</w:t>
      </w:r>
      <w:r>
        <w:rPr>
          <w:spacing w:val="-1"/>
          <w:w w:val="99"/>
          <w:position w:val="2"/>
        </w:rPr>
        <w:t>rec</w:t>
      </w:r>
      <w:r>
        <w:rPr>
          <w:w w:val="99"/>
          <w:position w:val="2"/>
        </w:rPr>
        <w:t>io </w:t>
      </w:r>
      <w:r>
        <w:rPr>
          <w:spacing w:val="2"/>
          <w:w w:val="99"/>
          <w:position w:val="2"/>
        </w:rPr>
        <w:t>n</w:t>
      </w:r>
      <w:r>
        <w:rPr>
          <w:spacing w:val="-1"/>
          <w:w w:val="99"/>
          <w:position w:val="2"/>
        </w:rPr>
        <w:t>ac</w:t>
      </w:r>
      <w:r>
        <w:rPr>
          <w:w w:val="99"/>
          <w:position w:val="2"/>
        </w:rPr>
        <w:t>ional</w:t>
      </w:r>
      <w:r>
        <w:rPr>
          <w:spacing w:val="2"/>
          <w:w w:val="99"/>
          <w:position w:val="2"/>
        </w:rPr>
        <w:t> </w:t>
      </w:r>
      <w:r>
        <w:rPr>
          <w:spacing w:val="-1"/>
          <w:w w:val="99"/>
          <w:position w:val="2"/>
        </w:rPr>
        <w:t>e</w:t>
      </w:r>
      <w:r>
        <w:rPr>
          <w:w w:val="99"/>
          <w:position w:val="2"/>
        </w:rPr>
        <w:t>stoc</w:t>
      </w:r>
      <w:r>
        <w:rPr>
          <w:spacing w:val="-2"/>
          <w:w w:val="99"/>
          <w:position w:val="2"/>
        </w:rPr>
        <w:t>á</w:t>
      </w:r>
      <w:r>
        <w:rPr>
          <w:w w:val="99"/>
          <w:position w:val="2"/>
        </w:rPr>
        <w:t>st</w:t>
      </w:r>
      <w:r>
        <w:rPr>
          <w:spacing w:val="1"/>
          <w:w w:val="99"/>
          <w:position w:val="2"/>
        </w:rPr>
        <w:t>i</w:t>
      </w:r>
      <w:r>
        <w:rPr>
          <w:spacing w:val="-1"/>
          <w:position w:val="2"/>
        </w:rPr>
        <w:t>c</w:t>
      </w:r>
      <w:r>
        <w:rPr>
          <w:position w:val="2"/>
        </w:rPr>
        <w:t>o</w:t>
      </w:r>
      <w:r>
        <w:rPr>
          <w:spacing w:val="1"/>
          <w:position w:val="2"/>
        </w:rPr>
        <w:t> (</w:t>
      </w:r>
      <w:r>
        <w:rPr>
          <w:rFonts w:ascii="Cambria Math" w:hAnsi="Cambria Math" w:eastAsia="Cambria Math"/>
          <w:spacing w:val="-104"/>
          <w:w w:val="94"/>
          <w:position w:val="2"/>
        </w:rPr>
        <w:t>�</w:t>
      </w:r>
      <w:r>
        <w:rPr>
          <w:rFonts w:ascii="Cambria Math" w:hAnsi="Cambria Math" w:eastAsia="Cambria Math"/>
          <w:spacing w:val="14"/>
          <w:position w:val="6"/>
        </w:rPr>
        <w:t>̃</w:t>
      </w:r>
      <w:r>
        <w:rPr>
          <w:w w:val="100"/>
          <w:sz w:val="16"/>
        </w:rPr>
        <w:t>j</w:t>
      </w:r>
      <w:r>
        <w:rPr>
          <w:w w:val="99"/>
          <w:position w:val="2"/>
        </w:rPr>
        <w:t>) y</w:t>
      </w:r>
      <w:r>
        <w:rPr>
          <w:spacing w:val="-3"/>
          <w:w w:val="99"/>
          <w:position w:val="2"/>
        </w:rPr>
        <w:t> </w:t>
      </w:r>
      <w:r>
        <w:rPr>
          <w:spacing w:val="-1"/>
          <w:w w:val="99"/>
          <w:position w:val="2"/>
        </w:rPr>
        <w:t>e</w:t>
      </w:r>
      <w:r>
        <w:rPr>
          <w:w w:val="99"/>
          <w:position w:val="2"/>
        </w:rPr>
        <w:t>l </w:t>
      </w:r>
      <w:r>
        <w:rPr>
          <w:spacing w:val="1"/>
          <w:w w:val="99"/>
          <w:position w:val="2"/>
        </w:rPr>
        <w:t>r</w:t>
      </w:r>
      <w:r>
        <w:rPr>
          <w:spacing w:val="-1"/>
          <w:w w:val="99"/>
          <w:position w:val="2"/>
        </w:rPr>
        <w:t>e</w:t>
      </w:r>
      <w:r>
        <w:rPr>
          <w:w w:val="99"/>
          <w:position w:val="2"/>
        </w:rPr>
        <w:t>ndimiento</w:t>
      </w:r>
      <w:r>
        <w:rPr>
          <w:spacing w:val="-1"/>
          <w:w w:val="99"/>
          <w:position w:val="2"/>
        </w:rPr>
        <w:t> </w:t>
      </w:r>
      <w:r>
        <w:rPr>
          <w:w w:val="99"/>
          <w:position w:val="2"/>
        </w:rPr>
        <w:t>por</w:t>
      </w:r>
      <w:r>
        <w:rPr>
          <w:spacing w:val="-1"/>
          <w:w w:val="99"/>
          <w:position w:val="2"/>
        </w:rPr>
        <w:t> </w:t>
      </w:r>
      <w:r>
        <w:rPr>
          <w:w w:val="99"/>
          <w:position w:val="2"/>
        </w:rPr>
        <w:t>h</w:t>
      </w:r>
      <w:r>
        <w:rPr>
          <w:spacing w:val="1"/>
          <w:w w:val="99"/>
          <w:position w:val="2"/>
        </w:rPr>
        <w:t>e</w:t>
      </w:r>
      <w:r>
        <w:rPr>
          <w:spacing w:val="-1"/>
          <w:w w:val="99"/>
          <w:position w:val="2"/>
        </w:rPr>
        <w:t>c</w:t>
      </w:r>
      <w:r>
        <w:rPr>
          <w:w w:val="99"/>
          <w:position w:val="2"/>
        </w:rPr>
        <w:t>tá</w:t>
      </w:r>
      <w:r>
        <w:rPr>
          <w:spacing w:val="-2"/>
          <w:w w:val="99"/>
          <w:position w:val="2"/>
        </w:rPr>
        <w:t>r</w:t>
      </w:r>
      <w:r>
        <w:rPr>
          <w:spacing w:val="-1"/>
          <w:w w:val="99"/>
          <w:position w:val="2"/>
        </w:rPr>
        <w:t>e</w:t>
      </w:r>
      <w:r>
        <w:rPr>
          <w:w w:val="99"/>
          <w:position w:val="2"/>
        </w:rPr>
        <w:t>a</w:t>
      </w:r>
      <w:r>
        <w:rPr>
          <w:spacing w:val="1"/>
          <w:w w:val="99"/>
          <w:position w:val="2"/>
        </w:rPr>
        <w:t> </w:t>
      </w:r>
      <w:r>
        <w:rPr>
          <w:spacing w:val="-1"/>
          <w:w w:val="99"/>
          <w:position w:val="2"/>
        </w:rPr>
        <w:t>c</w:t>
      </w:r>
      <w:r>
        <w:rPr>
          <w:w w:val="99"/>
          <w:position w:val="2"/>
        </w:rPr>
        <w:t>ultivada</w:t>
      </w:r>
      <w:r>
        <w:rPr>
          <w:spacing w:val="-1"/>
          <w:w w:val="99"/>
          <w:position w:val="2"/>
        </w:rPr>
        <w:t> </w:t>
      </w:r>
      <w:r>
        <w:rPr>
          <w:spacing w:val="1"/>
          <w:w w:val="99"/>
          <w:position w:val="2"/>
        </w:rPr>
        <w:t>(</w:t>
      </w:r>
      <w:r>
        <w:rPr>
          <w:rFonts w:ascii="Cambria Math" w:hAnsi="Cambria Math" w:eastAsia="Cambria Math"/>
          <w:spacing w:val="-108"/>
          <w:w w:val="102"/>
          <w:position w:val="2"/>
        </w:rPr>
        <w:t>�</w:t>
      </w:r>
      <w:r>
        <w:rPr>
          <w:rFonts w:ascii="Cambria Math" w:hAnsi="Cambria Math" w:eastAsia="Cambria Math"/>
          <w:spacing w:val="21"/>
          <w:position w:val="7"/>
        </w:rPr>
        <w:t>̃</w:t>
      </w:r>
      <w:r>
        <w:rPr>
          <w:w w:val="100"/>
          <w:sz w:val="16"/>
        </w:rPr>
        <w:t>j</w:t>
      </w:r>
      <w:r>
        <w:rPr>
          <w:spacing w:val="-1"/>
          <w:w w:val="99"/>
          <w:position w:val="2"/>
        </w:rPr>
        <w:t>)</w:t>
      </w:r>
      <w:r>
        <w:rPr>
          <w:w w:val="99"/>
          <w:position w:val="2"/>
        </w:rPr>
        <w:t>.</w:t>
      </w:r>
    </w:p>
    <w:p>
      <w:pPr>
        <w:spacing w:after="0" w:line="333" w:lineRule="auto"/>
        <w:jc w:val="both"/>
        <w:sectPr>
          <w:pgSz w:w="12240" w:h="15840"/>
          <w:pgMar w:header="0" w:footer="657" w:top="1360" w:bottom="840" w:left="1600" w:right="1580"/>
        </w:sectPr>
      </w:pPr>
    </w:p>
    <w:p>
      <w:pPr>
        <w:pStyle w:val="BodyText"/>
        <w:tabs>
          <w:tab w:pos="8539" w:val="left" w:leader="none"/>
        </w:tabs>
        <w:spacing w:before="34"/>
        <w:ind w:left="3752"/>
      </w:pPr>
      <w:r>
        <w:rPr>
          <w:rFonts w:ascii="Cambria Math" w:hAnsi="Cambria Math" w:eastAsia="Cambria Math"/>
          <w:spacing w:val="-87"/>
          <w:w w:val="57"/>
          <w:position w:val="2"/>
        </w:rPr>
        <w:t>�</w:t>
      </w:r>
      <w:r>
        <w:rPr>
          <w:rFonts w:ascii="Cambria Math" w:hAnsi="Cambria Math" w:eastAsia="Cambria Math"/>
          <w:spacing w:val="-140"/>
          <w:position w:val="6"/>
        </w:rPr>
        <w:t>̃</w:t>
      </w:r>
      <w:r>
        <w:rPr>
          <w:rFonts w:ascii="Cambria Math" w:hAnsi="Cambria Math" w:eastAsia="Cambria Math"/>
          <w:spacing w:val="6"/>
          <w:w w:val="90"/>
          <w:position w:val="2"/>
        </w:rPr>
        <w:t>�</w:t>
      </w:r>
      <w:r>
        <w:rPr>
          <w:position w:val="2"/>
        </w:rPr>
        <w:t>=</w:t>
      </w:r>
      <w:r>
        <w:rPr>
          <w:spacing w:val="-1"/>
          <w:position w:val="2"/>
        </w:rPr>
        <w:t> </w:t>
      </w:r>
      <w:r>
        <w:rPr>
          <w:rFonts w:ascii="Cambria Math" w:hAnsi="Cambria Math" w:eastAsia="Cambria Math"/>
          <w:spacing w:val="-104"/>
          <w:w w:val="94"/>
          <w:position w:val="2"/>
        </w:rPr>
        <w:t>�</w:t>
      </w:r>
      <w:r>
        <w:rPr>
          <w:rFonts w:ascii="Cambria Math" w:hAnsi="Cambria Math" w:eastAsia="Cambria Math"/>
          <w:spacing w:val="14"/>
          <w:position w:val="6"/>
        </w:rPr>
        <w:t>̃</w:t>
      </w:r>
      <w:r>
        <w:rPr>
          <w:w w:val="100"/>
          <w:sz w:val="16"/>
        </w:rPr>
        <w:t>j</w:t>
      </w:r>
      <w:r>
        <w:rPr>
          <w:position w:val="2"/>
        </w:rPr>
        <w:t>*</w:t>
      </w:r>
      <w:r>
        <w:rPr>
          <w:rFonts w:ascii="Cambria Math" w:hAnsi="Cambria Math" w:eastAsia="Cambria Math"/>
          <w:spacing w:val="-108"/>
          <w:w w:val="102"/>
          <w:position w:val="2"/>
        </w:rPr>
        <w:t>�</w:t>
      </w:r>
      <w:r>
        <w:rPr>
          <w:rFonts w:ascii="Cambria Math" w:hAnsi="Cambria Math" w:eastAsia="Cambria Math"/>
          <w:spacing w:val="21"/>
          <w:position w:val="7"/>
        </w:rPr>
        <w:t>̃</w:t>
      </w:r>
      <w:r>
        <w:rPr>
          <w:w w:val="100"/>
          <w:sz w:val="16"/>
        </w:rPr>
        <w:t>j</w:t>
      </w:r>
      <w:r>
        <w:rPr>
          <w:sz w:val="16"/>
        </w:rPr>
        <w:tab/>
      </w:r>
      <w:r>
        <w:rPr>
          <w:position w:val="4"/>
        </w:rPr>
        <w:t>27)</w:t>
      </w:r>
    </w:p>
    <w:p>
      <w:pPr>
        <w:pStyle w:val="BodyText"/>
        <w:rPr>
          <w:sz w:val="28"/>
        </w:rPr>
      </w:pPr>
    </w:p>
    <w:p>
      <w:pPr>
        <w:pStyle w:val="BodyText"/>
        <w:spacing w:line="357" w:lineRule="auto" w:before="232"/>
        <w:ind w:left="102" w:right="116"/>
        <w:jc w:val="both"/>
      </w:pPr>
      <w:r>
        <w:rPr>
          <w:position w:val="2"/>
        </w:rPr>
        <w:t>El costo total por cultivo (CT</w:t>
      </w:r>
      <w:r>
        <w:rPr>
          <w:sz w:val="16"/>
        </w:rPr>
        <w:t>j</w:t>
      </w:r>
      <w:r>
        <w:rPr>
          <w:position w:val="2"/>
        </w:rPr>
        <w:t>) estará dado por la sumatoria de los costos variables (CV</w:t>
      </w:r>
      <w:r>
        <w:rPr>
          <w:sz w:val="16"/>
        </w:rPr>
        <w:t>ji</w:t>
      </w:r>
      <w:r>
        <w:rPr>
          <w:position w:val="2"/>
        </w:rPr>
        <w:t>) más sus costos fijos (CF</w:t>
      </w:r>
      <w:r>
        <w:rPr>
          <w:sz w:val="16"/>
        </w:rPr>
        <w:t>j</w:t>
      </w:r>
      <w:r>
        <w:rPr>
          <w:position w:val="2"/>
        </w:rPr>
        <w:t>).</w:t>
      </w:r>
    </w:p>
    <w:p>
      <w:pPr>
        <w:pStyle w:val="BodyText"/>
        <w:spacing w:before="6"/>
        <w:rPr>
          <w:sz w:val="35"/>
        </w:rPr>
      </w:pPr>
    </w:p>
    <w:p>
      <w:pPr>
        <w:tabs>
          <w:tab w:pos="8539" w:val="left" w:leader="none"/>
        </w:tabs>
        <w:spacing w:before="0"/>
        <w:ind w:left="3297" w:right="0" w:firstLine="0"/>
        <w:jc w:val="left"/>
        <w:rPr>
          <w:sz w:val="24"/>
        </w:rPr>
      </w:pPr>
      <w:r>
        <w:rPr>
          <w:spacing w:val="-6"/>
          <w:w w:val="95"/>
          <w:position w:val="2"/>
          <w:sz w:val="24"/>
        </w:rPr>
        <w:t>CT</w:t>
      </w:r>
      <w:r>
        <w:rPr>
          <w:spacing w:val="-6"/>
          <w:w w:val="95"/>
          <w:sz w:val="16"/>
        </w:rPr>
        <w:t>j</w:t>
      </w:r>
      <w:r>
        <w:rPr>
          <w:spacing w:val="-6"/>
          <w:w w:val="95"/>
          <w:position w:val="2"/>
          <w:sz w:val="24"/>
        </w:rPr>
        <w:t>=</w:t>
      </w:r>
      <w:r>
        <w:rPr>
          <w:rFonts w:ascii="Cambria Math" w:hAnsi="Cambria Math" w:eastAsia="Cambria Math"/>
          <w:spacing w:val="-6"/>
          <w:w w:val="95"/>
          <w:position w:val="3"/>
          <w:sz w:val="24"/>
        </w:rPr>
        <w:t>∑</w:t>
      </w:r>
      <w:r>
        <w:rPr>
          <w:rFonts w:ascii="Cambria Math" w:hAnsi="Cambria Math" w:eastAsia="Cambria Math"/>
          <w:spacing w:val="-6"/>
          <w:w w:val="95"/>
          <w:position w:val="2"/>
          <w:sz w:val="24"/>
        </w:rPr>
        <w:t>(��</w:t>
      </w:r>
      <w:r>
        <w:rPr>
          <w:rFonts w:ascii="Cambria Math" w:hAnsi="Cambria Math" w:eastAsia="Cambria Math"/>
          <w:spacing w:val="-6"/>
          <w:w w:val="95"/>
          <w:position w:val="-2"/>
          <w:sz w:val="17"/>
        </w:rPr>
        <w:t>�� </w:t>
      </w:r>
      <w:r>
        <w:rPr>
          <w:rFonts w:ascii="Cambria Math" w:hAnsi="Cambria Math" w:eastAsia="Cambria Math"/>
          <w:w w:val="95"/>
          <w:position w:val="2"/>
          <w:sz w:val="24"/>
        </w:rPr>
        <w:t>)</w:t>
      </w:r>
      <w:r>
        <w:rPr>
          <w:rFonts w:ascii="Cambria Math" w:hAnsi="Cambria Math" w:eastAsia="Cambria Math"/>
          <w:spacing w:val="-39"/>
          <w:w w:val="95"/>
          <w:position w:val="2"/>
          <w:sz w:val="24"/>
        </w:rPr>
        <w:t> </w:t>
      </w:r>
      <w:r>
        <w:rPr>
          <w:rFonts w:ascii="Cambria Math" w:hAnsi="Cambria Math" w:eastAsia="Cambria Math"/>
          <w:w w:val="95"/>
          <w:position w:val="2"/>
          <w:sz w:val="24"/>
        </w:rPr>
        <w:t>+</w:t>
      </w:r>
      <w:r>
        <w:rPr>
          <w:rFonts w:ascii="Cambria Math" w:hAnsi="Cambria Math" w:eastAsia="Cambria Math"/>
          <w:spacing w:val="-18"/>
          <w:w w:val="95"/>
          <w:position w:val="2"/>
          <w:sz w:val="24"/>
        </w:rPr>
        <w:t> </w:t>
      </w:r>
      <w:r>
        <w:rPr>
          <w:rFonts w:ascii="Cambria Math" w:hAnsi="Cambria Math" w:eastAsia="Cambria Math"/>
          <w:spacing w:val="-17"/>
          <w:w w:val="95"/>
          <w:position w:val="2"/>
          <w:sz w:val="24"/>
        </w:rPr>
        <w:t>��</w:t>
      </w:r>
      <w:r>
        <w:rPr>
          <w:rFonts w:ascii="Cambria Math" w:hAnsi="Cambria Math" w:eastAsia="Cambria Math"/>
          <w:spacing w:val="-17"/>
          <w:w w:val="95"/>
          <w:position w:val="-2"/>
          <w:sz w:val="17"/>
        </w:rPr>
        <w:t>�</w:t>
        <w:tab/>
      </w:r>
      <w:r>
        <w:rPr>
          <w:position w:val="2"/>
          <w:sz w:val="24"/>
        </w:rPr>
        <w:t>28)</w:t>
      </w:r>
    </w:p>
    <w:p>
      <w:pPr>
        <w:pStyle w:val="BodyText"/>
        <w:rPr>
          <w:sz w:val="28"/>
        </w:rPr>
      </w:pPr>
    </w:p>
    <w:p>
      <w:pPr>
        <w:pStyle w:val="BodyText"/>
        <w:spacing w:before="225"/>
        <w:ind w:left="102"/>
        <w:jc w:val="both"/>
      </w:pPr>
      <w:r>
        <w:rPr>
          <w:position w:val="2"/>
        </w:rPr>
        <w:t>La misma estructura de modelo se utiliza para la estimación de CT</w:t>
      </w:r>
      <w:r>
        <w:rPr>
          <w:sz w:val="16"/>
        </w:rPr>
        <w:t>j </w:t>
      </w:r>
      <w:r>
        <w:rPr>
          <w:position w:val="2"/>
        </w:rPr>
        <w:t>en cada cultivo.</w:t>
      </w:r>
    </w:p>
    <w:p>
      <w:pPr>
        <w:pStyle w:val="BodyText"/>
      </w:pPr>
    </w:p>
    <w:p>
      <w:pPr>
        <w:pStyle w:val="BodyText"/>
        <w:spacing w:before="3"/>
      </w:pPr>
    </w:p>
    <w:p>
      <w:pPr>
        <w:pStyle w:val="Heading2"/>
        <w:spacing w:before="0"/>
        <w:ind w:left="102" w:firstLine="0"/>
        <w:rPr>
          <w:i/>
        </w:rPr>
      </w:pPr>
      <w:bookmarkStart w:name="_TOC_250009" w:id="33"/>
      <w:bookmarkEnd w:id="33"/>
      <w:r>
        <w:rPr>
          <w:i/>
        </w:rPr>
        <w:t>4.5.5 Variables generales estocásticas del modelo</w:t>
      </w:r>
    </w:p>
    <w:p>
      <w:pPr>
        <w:pStyle w:val="BodyText"/>
        <w:rPr>
          <w:b/>
          <w:i/>
        </w:rPr>
      </w:pPr>
    </w:p>
    <w:p>
      <w:pPr>
        <w:pStyle w:val="BodyText"/>
        <w:spacing w:before="6"/>
        <w:rPr>
          <w:b/>
          <w:i/>
          <w:sz w:val="23"/>
        </w:rPr>
      </w:pPr>
    </w:p>
    <w:p>
      <w:pPr>
        <w:pStyle w:val="BodyText"/>
        <w:spacing w:line="360" w:lineRule="auto"/>
        <w:ind w:left="102" w:right="118"/>
        <w:jc w:val="both"/>
      </w:pPr>
      <w:r>
        <w:rPr/>
        <w:t>En la siguiente sección se explica con mayor detalle las variables que utiliza el modelo para estimar la viabilidad económica y financiera, empezando con las variables estocásticas, variables</w:t>
      </w:r>
      <w:r>
        <w:rPr>
          <w:spacing w:val="-14"/>
        </w:rPr>
        <w:t> </w:t>
      </w:r>
      <w:r>
        <w:rPr/>
        <w:t>deterministas</w:t>
      </w:r>
      <w:r>
        <w:rPr>
          <w:spacing w:val="-10"/>
        </w:rPr>
        <w:t> </w:t>
      </w:r>
      <w:r>
        <w:rPr/>
        <w:t>y</w:t>
      </w:r>
      <w:r>
        <w:rPr>
          <w:spacing w:val="-15"/>
        </w:rPr>
        <w:t> </w:t>
      </w:r>
      <w:r>
        <w:rPr/>
        <w:t>las</w:t>
      </w:r>
      <w:r>
        <w:rPr>
          <w:spacing w:val="-14"/>
        </w:rPr>
        <w:t> </w:t>
      </w:r>
      <w:r>
        <w:rPr/>
        <w:t>VSC</w:t>
      </w:r>
      <w:r>
        <w:rPr>
          <w:spacing w:val="-14"/>
        </w:rPr>
        <w:t> </w:t>
      </w:r>
      <w:r>
        <w:rPr/>
        <w:t>o</w:t>
      </w:r>
      <w:r>
        <w:rPr>
          <w:spacing w:val="-14"/>
        </w:rPr>
        <w:t> </w:t>
      </w:r>
      <w:r>
        <w:rPr/>
        <w:t>financieras.</w:t>
      </w:r>
      <w:r>
        <w:rPr>
          <w:spacing w:val="-12"/>
        </w:rPr>
        <w:t> </w:t>
      </w:r>
      <w:r>
        <w:rPr/>
        <w:t>La</w:t>
      </w:r>
      <w:r>
        <w:rPr>
          <w:spacing w:val="-11"/>
        </w:rPr>
        <w:t> </w:t>
      </w:r>
      <w:r>
        <w:rPr/>
        <w:t>Tabla</w:t>
      </w:r>
      <w:r>
        <w:rPr>
          <w:spacing w:val="-14"/>
        </w:rPr>
        <w:t> </w:t>
      </w:r>
      <w:r>
        <w:rPr/>
        <w:t>11,</w:t>
      </w:r>
      <w:r>
        <w:rPr>
          <w:spacing w:val="-14"/>
        </w:rPr>
        <w:t> </w:t>
      </w:r>
      <w:r>
        <w:rPr/>
        <w:t>muestra</w:t>
      </w:r>
      <w:r>
        <w:rPr>
          <w:spacing w:val="-14"/>
        </w:rPr>
        <w:t> </w:t>
      </w:r>
      <w:r>
        <w:rPr/>
        <w:t>las</w:t>
      </w:r>
      <w:r>
        <w:rPr>
          <w:spacing w:val="-14"/>
        </w:rPr>
        <w:t> </w:t>
      </w:r>
      <w:r>
        <w:rPr/>
        <w:t>variables</w:t>
      </w:r>
      <w:r>
        <w:rPr>
          <w:spacing w:val="-14"/>
        </w:rPr>
        <w:t> </w:t>
      </w:r>
      <w:r>
        <w:rPr/>
        <w:t>de</w:t>
      </w:r>
      <w:r>
        <w:rPr>
          <w:spacing w:val="-13"/>
        </w:rPr>
        <w:t> </w:t>
      </w:r>
      <w:r>
        <w:rPr/>
        <w:t>entrada y salida utilizadas en el estudio del sistema lechero de pequeña</w:t>
      </w:r>
      <w:r>
        <w:rPr>
          <w:spacing w:val="-11"/>
        </w:rPr>
        <w:t> </w:t>
      </w:r>
      <w:r>
        <w:rPr/>
        <w:t>escala.</w:t>
      </w:r>
    </w:p>
    <w:p>
      <w:pPr>
        <w:pStyle w:val="BodyText"/>
      </w:pPr>
    </w:p>
    <w:p>
      <w:pPr>
        <w:pStyle w:val="BodyText"/>
        <w:spacing w:before="145" w:after="35"/>
        <w:ind w:left="171"/>
        <w:jc w:val="both"/>
      </w:pPr>
      <w:r>
        <w:rPr>
          <w:b/>
        </w:rPr>
        <w:t>Tabla 11</w:t>
      </w:r>
      <w:r>
        <w:rPr/>
        <w:t>. Variables de entrada y salida para el sistema lechero de pequeña escala</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106"/>
        <w:gridCol w:w="2592"/>
        <w:gridCol w:w="3025"/>
      </w:tblGrid>
      <w:tr>
        <w:trPr>
          <w:trHeight w:val="339" w:hRule="exact"/>
        </w:trPr>
        <w:tc>
          <w:tcPr>
            <w:tcW w:w="3106" w:type="dxa"/>
            <w:tcBorders>
              <w:left w:val="nil"/>
              <w:bottom w:val="single" w:sz="17" w:space="0" w:color="000000"/>
              <w:right w:val="nil"/>
            </w:tcBorders>
          </w:tcPr>
          <w:p>
            <w:pPr>
              <w:pStyle w:val="TableParagraph"/>
              <w:spacing w:before="6"/>
              <w:ind w:left="309"/>
              <w:jc w:val="left"/>
              <w:rPr>
                <w:b/>
                <w:sz w:val="24"/>
              </w:rPr>
            </w:pPr>
            <w:r>
              <w:rPr>
                <w:b/>
                <w:sz w:val="24"/>
              </w:rPr>
              <w:t>Variables de entrada</w:t>
            </w:r>
          </w:p>
        </w:tc>
        <w:tc>
          <w:tcPr>
            <w:tcW w:w="2592" w:type="dxa"/>
            <w:tcBorders>
              <w:left w:val="nil"/>
              <w:bottom w:val="single" w:sz="17" w:space="0" w:color="000000"/>
              <w:right w:val="nil"/>
            </w:tcBorders>
          </w:tcPr>
          <w:p>
            <w:pPr>
              <w:pStyle w:val="TableParagraph"/>
              <w:spacing w:before="6"/>
              <w:ind w:left="495"/>
              <w:jc w:val="left"/>
              <w:rPr>
                <w:b/>
                <w:sz w:val="24"/>
              </w:rPr>
            </w:pPr>
            <w:r>
              <w:rPr>
                <w:b/>
                <w:sz w:val="24"/>
              </w:rPr>
              <w:t>Variables de salida</w:t>
            </w:r>
          </w:p>
        </w:tc>
        <w:tc>
          <w:tcPr>
            <w:tcW w:w="3025" w:type="dxa"/>
            <w:tcBorders>
              <w:left w:val="nil"/>
              <w:bottom w:val="single" w:sz="17" w:space="0" w:color="000000"/>
              <w:right w:val="nil"/>
            </w:tcBorders>
          </w:tcPr>
          <w:p>
            <w:pPr>
              <w:pStyle w:val="TableParagraph"/>
              <w:spacing w:before="16"/>
              <w:ind w:right="127"/>
              <w:rPr>
                <w:b/>
                <w:sz w:val="24"/>
              </w:rPr>
            </w:pPr>
            <w:r>
              <w:rPr>
                <w:b/>
                <w:sz w:val="24"/>
              </w:rPr>
              <w:t>Precios de entrada y salida</w:t>
            </w:r>
          </w:p>
        </w:tc>
      </w:tr>
      <w:tr>
        <w:trPr>
          <w:trHeight w:val="290" w:hRule="exact"/>
        </w:trPr>
        <w:tc>
          <w:tcPr>
            <w:tcW w:w="3106" w:type="dxa"/>
            <w:tcBorders>
              <w:top w:val="single" w:sz="17" w:space="0" w:color="000000"/>
              <w:left w:val="nil"/>
              <w:bottom w:val="nil"/>
              <w:right w:val="nil"/>
            </w:tcBorders>
          </w:tcPr>
          <w:p>
            <w:pPr>
              <w:pStyle w:val="TableParagraph"/>
              <w:spacing w:line="275" w:lineRule="exact"/>
              <w:ind w:left="309"/>
              <w:jc w:val="left"/>
              <w:rPr>
                <w:b/>
                <w:sz w:val="24"/>
              </w:rPr>
            </w:pPr>
            <w:r>
              <w:rPr>
                <w:b/>
                <w:sz w:val="24"/>
              </w:rPr>
              <w:t>Cultivos</w:t>
            </w:r>
          </w:p>
        </w:tc>
        <w:tc>
          <w:tcPr>
            <w:tcW w:w="2592" w:type="dxa"/>
            <w:tcBorders>
              <w:top w:val="single" w:sz="17" w:space="0" w:color="000000"/>
              <w:left w:val="nil"/>
              <w:bottom w:val="nil"/>
              <w:right w:val="nil"/>
            </w:tcBorders>
          </w:tcPr>
          <w:p>
            <w:pPr/>
          </w:p>
        </w:tc>
        <w:tc>
          <w:tcPr>
            <w:tcW w:w="3025" w:type="dxa"/>
            <w:tcBorders>
              <w:top w:val="single" w:sz="17" w:space="0" w:color="000000"/>
              <w:left w:val="nil"/>
              <w:bottom w:val="nil"/>
              <w:right w:val="nil"/>
            </w:tcBorders>
          </w:tcPr>
          <w:p>
            <w:pPr>
              <w:pStyle w:val="TableParagraph"/>
              <w:spacing w:line="270" w:lineRule="exact"/>
              <w:ind w:left="929"/>
              <w:jc w:val="left"/>
              <w:rPr>
                <w:sz w:val="24"/>
              </w:rPr>
            </w:pPr>
            <w:r>
              <w:rPr>
                <w:sz w:val="24"/>
              </w:rPr>
              <w:t>Semilla</w:t>
            </w:r>
          </w:p>
        </w:tc>
      </w:tr>
      <w:tr>
        <w:trPr>
          <w:trHeight w:val="262" w:hRule="exact"/>
        </w:trPr>
        <w:tc>
          <w:tcPr>
            <w:tcW w:w="3106" w:type="dxa"/>
            <w:tcBorders>
              <w:top w:val="nil"/>
              <w:left w:val="nil"/>
              <w:bottom w:val="nil"/>
              <w:right w:val="nil"/>
            </w:tcBorders>
          </w:tcPr>
          <w:p>
            <w:pPr>
              <w:pStyle w:val="TableParagraph"/>
              <w:spacing w:line="244" w:lineRule="exact"/>
              <w:ind w:left="549"/>
              <w:jc w:val="left"/>
              <w:rPr>
                <w:sz w:val="24"/>
              </w:rPr>
            </w:pPr>
            <w:r>
              <w:rPr>
                <w:sz w:val="24"/>
              </w:rPr>
              <w:t>Maíz para silo</w:t>
            </w:r>
          </w:p>
        </w:tc>
        <w:tc>
          <w:tcPr>
            <w:tcW w:w="2592" w:type="dxa"/>
            <w:tcBorders>
              <w:top w:val="nil"/>
              <w:left w:val="nil"/>
              <w:bottom w:val="nil"/>
              <w:right w:val="nil"/>
            </w:tcBorders>
          </w:tcPr>
          <w:p>
            <w:pPr>
              <w:pStyle w:val="TableParagraph"/>
              <w:spacing w:line="244" w:lineRule="exact"/>
              <w:ind w:left="735"/>
              <w:jc w:val="left"/>
              <w:rPr>
                <w:sz w:val="24"/>
              </w:rPr>
            </w:pPr>
            <w:r>
              <w:rPr>
                <w:sz w:val="24"/>
              </w:rPr>
              <w:t>Silo</w:t>
            </w:r>
          </w:p>
        </w:tc>
        <w:tc>
          <w:tcPr>
            <w:tcW w:w="3025" w:type="dxa"/>
            <w:tcBorders>
              <w:top w:val="nil"/>
              <w:left w:val="nil"/>
              <w:bottom w:val="nil"/>
              <w:right w:val="nil"/>
            </w:tcBorders>
          </w:tcPr>
          <w:p>
            <w:pPr>
              <w:pStyle w:val="TableParagraph"/>
              <w:spacing w:line="244" w:lineRule="exact"/>
              <w:ind w:left="929"/>
              <w:jc w:val="left"/>
              <w:rPr>
                <w:sz w:val="24"/>
              </w:rPr>
            </w:pPr>
            <w:r>
              <w:rPr>
                <w:sz w:val="24"/>
              </w:rPr>
              <w:t>Alimentación</w:t>
            </w:r>
          </w:p>
        </w:tc>
      </w:tr>
      <w:tr>
        <w:trPr>
          <w:trHeight w:val="284" w:hRule="exact"/>
        </w:trPr>
        <w:tc>
          <w:tcPr>
            <w:tcW w:w="3106" w:type="dxa"/>
            <w:tcBorders>
              <w:top w:val="nil"/>
              <w:left w:val="nil"/>
              <w:bottom w:val="nil"/>
              <w:right w:val="nil"/>
            </w:tcBorders>
          </w:tcPr>
          <w:p>
            <w:pPr>
              <w:pStyle w:val="TableParagraph"/>
              <w:spacing w:line="268" w:lineRule="exact"/>
              <w:ind w:left="549"/>
              <w:jc w:val="left"/>
              <w:rPr>
                <w:sz w:val="24"/>
              </w:rPr>
            </w:pPr>
            <w:r>
              <w:rPr>
                <w:sz w:val="24"/>
              </w:rPr>
              <w:t>Alfalfa</w:t>
            </w:r>
          </w:p>
        </w:tc>
        <w:tc>
          <w:tcPr>
            <w:tcW w:w="2592" w:type="dxa"/>
            <w:tcBorders>
              <w:top w:val="nil"/>
              <w:left w:val="nil"/>
              <w:bottom w:val="nil"/>
              <w:right w:val="nil"/>
            </w:tcBorders>
          </w:tcPr>
          <w:p>
            <w:pPr>
              <w:pStyle w:val="TableParagraph"/>
              <w:spacing w:line="268" w:lineRule="exact"/>
              <w:ind w:left="735"/>
              <w:jc w:val="left"/>
              <w:rPr>
                <w:sz w:val="24"/>
              </w:rPr>
            </w:pPr>
            <w:r>
              <w:rPr>
                <w:sz w:val="24"/>
              </w:rPr>
              <w:t>Forraje</w:t>
            </w:r>
          </w:p>
        </w:tc>
        <w:tc>
          <w:tcPr>
            <w:tcW w:w="3025" w:type="dxa"/>
            <w:tcBorders>
              <w:top w:val="nil"/>
              <w:left w:val="nil"/>
              <w:bottom w:val="nil"/>
              <w:right w:val="nil"/>
            </w:tcBorders>
          </w:tcPr>
          <w:p>
            <w:pPr>
              <w:pStyle w:val="TableParagraph"/>
              <w:spacing w:line="268" w:lineRule="exact"/>
              <w:ind w:left="929"/>
              <w:jc w:val="left"/>
              <w:rPr>
                <w:sz w:val="24"/>
              </w:rPr>
            </w:pPr>
            <w:r>
              <w:rPr>
                <w:sz w:val="24"/>
              </w:rPr>
              <w:t>Medicamentos</w:t>
            </w:r>
          </w:p>
        </w:tc>
      </w:tr>
      <w:tr>
        <w:trPr>
          <w:trHeight w:val="283" w:hRule="exact"/>
        </w:trPr>
        <w:tc>
          <w:tcPr>
            <w:tcW w:w="3106" w:type="dxa"/>
            <w:tcBorders>
              <w:top w:val="nil"/>
              <w:left w:val="nil"/>
              <w:bottom w:val="nil"/>
              <w:right w:val="nil"/>
            </w:tcBorders>
          </w:tcPr>
          <w:p>
            <w:pPr>
              <w:pStyle w:val="TableParagraph"/>
              <w:spacing w:line="267" w:lineRule="exact"/>
              <w:ind w:left="549"/>
              <w:jc w:val="left"/>
              <w:rPr>
                <w:sz w:val="24"/>
              </w:rPr>
            </w:pPr>
            <w:r>
              <w:rPr>
                <w:sz w:val="24"/>
              </w:rPr>
              <w:t>Avena</w:t>
            </w:r>
          </w:p>
        </w:tc>
        <w:tc>
          <w:tcPr>
            <w:tcW w:w="2592" w:type="dxa"/>
            <w:tcBorders>
              <w:top w:val="nil"/>
              <w:left w:val="nil"/>
              <w:bottom w:val="nil"/>
              <w:right w:val="nil"/>
            </w:tcBorders>
          </w:tcPr>
          <w:p>
            <w:pPr>
              <w:pStyle w:val="TableParagraph"/>
              <w:spacing w:line="267" w:lineRule="exact"/>
              <w:ind w:left="735"/>
              <w:jc w:val="left"/>
              <w:rPr>
                <w:sz w:val="24"/>
              </w:rPr>
            </w:pPr>
            <w:r>
              <w:rPr>
                <w:sz w:val="24"/>
              </w:rPr>
              <w:t>Grano</w:t>
            </w:r>
          </w:p>
        </w:tc>
        <w:tc>
          <w:tcPr>
            <w:tcW w:w="3025" w:type="dxa"/>
            <w:tcBorders>
              <w:top w:val="nil"/>
              <w:left w:val="nil"/>
              <w:bottom w:val="nil"/>
              <w:right w:val="nil"/>
            </w:tcBorders>
          </w:tcPr>
          <w:p>
            <w:pPr>
              <w:pStyle w:val="TableParagraph"/>
              <w:spacing w:line="267" w:lineRule="exact"/>
              <w:ind w:left="929"/>
              <w:jc w:val="left"/>
              <w:rPr>
                <w:sz w:val="24"/>
              </w:rPr>
            </w:pPr>
            <w:r>
              <w:rPr>
                <w:sz w:val="24"/>
              </w:rPr>
              <w:t>Mano de obra</w:t>
            </w:r>
          </w:p>
        </w:tc>
      </w:tr>
      <w:tr>
        <w:trPr>
          <w:trHeight w:val="284" w:hRule="exact"/>
        </w:trPr>
        <w:tc>
          <w:tcPr>
            <w:tcW w:w="3106" w:type="dxa"/>
            <w:tcBorders>
              <w:top w:val="nil"/>
              <w:left w:val="nil"/>
              <w:bottom w:val="nil"/>
              <w:right w:val="nil"/>
            </w:tcBorders>
          </w:tcPr>
          <w:p>
            <w:pPr>
              <w:pStyle w:val="TableParagraph"/>
              <w:spacing w:line="267" w:lineRule="exact"/>
              <w:ind w:left="549"/>
              <w:jc w:val="left"/>
              <w:rPr>
                <w:sz w:val="24"/>
              </w:rPr>
            </w:pPr>
            <w:r>
              <w:rPr>
                <w:sz w:val="24"/>
              </w:rPr>
              <w:t>Maíz para grano</w:t>
            </w:r>
          </w:p>
        </w:tc>
        <w:tc>
          <w:tcPr>
            <w:tcW w:w="2592" w:type="dxa"/>
            <w:tcBorders>
              <w:top w:val="nil"/>
              <w:left w:val="nil"/>
              <w:bottom w:val="nil"/>
              <w:right w:val="nil"/>
            </w:tcBorders>
          </w:tcPr>
          <w:p>
            <w:pPr>
              <w:pStyle w:val="TableParagraph"/>
              <w:spacing w:line="267" w:lineRule="exact"/>
              <w:ind w:left="735"/>
              <w:jc w:val="left"/>
              <w:rPr>
                <w:sz w:val="24"/>
              </w:rPr>
            </w:pPr>
            <w:r>
              <w:rPr>
                <w:sz w:val="24"/>
              </w:rPr>
              <w:t>Zacate</w:t>
            </w:r>
          </w:p>
        </w:tc>
        <w:tc>
          <w:tcPr>
            <w:tcW w:w="3025" w:type="dxa"/>
            <w:tcBorders>
              <w:top w:val="nil"/>
              <w:left w:val="nil"/>
              <w:bottom w:val="nil"/>
              <w:right w:val="nil"/>
            </w:tcBorders>
          </w:tcPr>
          <w:p>
            <w:pPr>
              <w:pStyle w:val="TableParagraph"/>
              <w:spacing w:line="267" w:lineRule="exact"/>
              <w:ind w:left="929"/>
              <w:jc w:val="left"/>
              <w:rPr>
                <w:sz w:val="24"/>
              </w:rPr>
            </w:pPr>
            <w:r>
              <w:rPr>
                <w:sz w:val="24"/>
              </w:rPr>
              <w:t>Agua</w:t>
            </w:r>
          </w:p>
        </w:tc>
      </w:tr>
      <w:tr>
        <w:trPr>
          <w:trHeight w:val="284" w:hRule="exact"/>
        </w:trPr>
        <w:tc>
          <w:tcPr>
            <w:tcW w:w="3106" w:type="dxa"/>
            <w:tcBorders>
              <w:top w:val="nil"/>
              <w:left w:val="nil"/>
              <w:bottom w:val="nil"/>
              <w:right w:val="nil"/>
            </w:tcBorders>
          </w:tcPr>
          <w:p>
            <w:pPr>
              <w:pStyle w:val="TableParagraph"/>
              <w:spacing w:line="268" w:lineRule="exact"/>
              <w:ind w:left="549"/>
              <w:jc w:val="left"/>
              <w:rPr>
                <w:sz w:val="24"/>
              </w:rPr>
            </w:pPr>
            <w:r>
              <w:rPr>
                <w:sz w:val="24"/>
              </w:rPr>
              <w:t>Costos variables</w:t>
            </w:r>
          </w:p>
        </w:tc>
        <w:tc>
          <w:tcPr>
            <w:tcW w:w="2592" w:type="dxa"/>
            <w:tcBorders>
              <w:top w:val="nil"/>
              <w:left w:val="nil"/>
              <w:bottom w:val="nil"/>
              <w:right w:val="nil"/>
            </w:tcBorders>
          </w:tcPr>
          <w:p>
            <w:pPr>
              <w:pStyle w:val="TableParagraph"/>
              <w:spacing w:line="268" w:lineRule="exact"/>
              <w:ind w:left="735"/>
              <w:jc w:val="left"/>
              <w:rPr>
                <w:sz w:val="24"/>
              </w:rPr>
            </w:pPr>
            <w:r>
              <w:rPr>
                <w:sz w:val="24"/>
              </w:rPr>
              <w:t>Leche</w:t>
            </w:r>
          </w:p>
        </w:tc>
        <w:tc>
          <w:tcPr>
            <w:tcW w:w="3025" w:type="dxa"/>
            <w:tcBorders>
              <w:top w:val="nil"/>
              <w:left w:val="nil"/>
              <w:bottom w:val="nil"/>
              <w:right w:val="nil"/>
            </w:tcBorders>
          </w:tcPr>
          <w:p>
            <w:pPr>
              <w:pStyle w:val="TableParagraph"/>
              <w:spacing w:line="268" w:lineRule="exact"/>
              <w:ind w:left="929"/>
              <w:jc w:val="left"/>
              <w:rPr>
                <w:sz w:val="24"/>
              </w:rPr>
            </w:pPr>
            <w:r>
              <w:rPr>
                <w:sz w:val="24"/>
              </w:rPr>
              <w:t>Tractor</w:t>
            </w:r>
          </w:p>
        </w:tc>
      </w:tr>
      <w:tr>
        <w:trPr>
          <w:trHeight w:val="283" w:hRule="exact"/>
        </w:trPr>
        <w:tc>
          <w:tcPr>
            <w:tcW w:w="3106" w:type="dxa"/>
            <w:tcBorders>
              <w:top w:val="nil"/>
              <w:left w:val="nil"/>
              <w:bottom w:val="nil"/>
              <w:right w:val="nil"/>
            </w:tcBorders>
          </w:tcPr>
          <w:p>
            <w:pPr>
              <w:pStyle w:val="TableParagraph"/>
              <w:spacing w:line="267" w:lineRule="exact"/>
              <w:ind w:left="549"/>
              <w:jc w:val="left"/>
              <w:rPr>
                <w:sz w:val="24"/>
              </w:rPr>
            </w:pPr>
            <w:r>
              <w:rPr>
                <w:sz w:val="24"/>
              </w:rPr>
              <w:t>Costos Fijos</w:t>
            </w:r>
          </w:p>
        </w:tc>
        <w:tc>
          <w:tcPr>
            <w:tcW w:w="2592" w:type="dxa"/>
            <w:tcBorders>
              <w:top w:val="nil"/>
              <w:left w:val="nil"/>
              <w:bottom w:val="nil"/>
              <w:right w:val="nil"/>
            </w:tcBorders>
          </w:tcPr>
          <w:p>
            <w:pPr>
              <w:pStyle w:val="TableParagraph"/>
              <w:spacing w:line="267" w:lineRule="exact"/>
              <w:ind w:left="735"/>
              <w:jc w:val="left"/>
              <w:rPr>
                <w:sz w:val="24"/>
              </w:rPr>
            </w:pPr>
            <w:r>
              <w:rPr>
                <w:sz w:val="24"/>
              </w:rPr>
              <w:t>Subproductos</w:t>
            </w:r>
          </w:p>
        </w:tc>
        <w:tc>
          <w:tcPr>
            <w:tcW w:w="3025" w:type="dxa"/>
            <w:tcBorders>
              <w:top w:val="nil"/>
              <w:left w:val="nil"/>
              <w:bottom w:val="nil"/>
              <w:right w:val="nil"/>
            </w:tcBorders>
          </w:tcPr>
          <w:p>
            <w:pPr>
              <w:pStyle w:val="TableParagraph"/>
              <w:spacing w:line="267" w:lineRule="exact"/>
              <w:ind w:left="929"/>
              <w:jc w:val="left"/>
              <w:rPr>
                <w:sz w:val="24"/>
              </w:rPr>
            </w:pPr>
            <w:r>
              <w:rPr>
                <w:sz w:val="24"/>
              </w:rPr>
              <w:t>Abono orgánico</w:t>
            </w:r>
          </w:p>
        </w:tc>
      </w:tr>
      <w:tr>
        <w:trPr>
          <w:trHeight w:val="287" w:hRule="exact"/>
        </w:trPr>
        <w:tc>
          <w:tcPr>
            <w:tcW w:w="3106" w:type="dxa"/>
            <w:tcBorders>
              <w:top w:val="nil"/>
              <w:left w:val="nil"/>
              <w:bottom w:val="nil"/>
              <w:right w:val="nil"/>
            </w:tcBorders>
          </w:tcPr>
          <w:p>
            <w:pPr>
              <w:pStyle w:val="TableParagraph"/>
              <w:spacing w:line="271" w:lineRule="exact"/>
              <w:ind w:left="309"/>
              <w:jc w:val="left"/>
              <w:rPr>
                <w:b/>
                <w:sz w:val="24"/>
              </w:rPr>
            </w:pPr>
            <w:r>
              <w:rPr>
                <w:b/>
                <w:sz w:val="24"/>
              </w:rPr>
              <w:t>Producción de leche</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7" w:lineRule="exact"/>
              <w:ind w:left="929"/>
              <w:jc w:val="left"/>
              <w:rPr>
                <w:sz w:val="24"/>
              </w:rPr>
            </w:pPr>
            <w:r>
              <w:rPr>
                <w:sz w:val="24"/>
              </w:rPr>
              <w:t>Abono inorgánico</w:t>
            </w:r>
          </w:p>
        </w:tc>
      </w:tr>
      <w:tr>
        <w:trPr>
          <w:trHeight w:val="282" w:hRule="exact"/>
        </w:trPr>
        <w:tc>
          <w:tcPr>
            <w:tcW w:w="3106" w:type="dxa"/>
            <w:tcBorders>
              <w:top w:val="nil"/>
              <w:left w:val="nil"/>
              <w:bottom w:val="nil"/>
              <w:right w:val="nil"/>
            </w:tcBorders>
          </w:tcPr>
          <w:p>
            <w:pPr>
              <w:pStyle w:val="TableParagraph"/>
              <w:spacing w:line="265" w:lineRule="exact"/>
              <w:ind w:left="549"/>
              <w:jc w:val="left"/>
              <w:rPr>
                <w:sz w:val="24"/>
              </w:rPr>
            </w:pPr>
            <w:r>
              <w:rPr>
                <w:sz w:val="24"/>
              </w:rPr>
              <w:t>Costos variables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5" w:lineRule="exact"/>
              <w:ind w:left="929"/>
              <w:jc w:val="left"/>
              <w:rPr>
                <w:sz w:val="24"/>
              </w:rPr>
            </w:pPr>
            <w:r>
              <w:rPr>
                <w:sz w:val="24"/>
              </w:rPr>
              <w:t>Riego</w:t>
            </w:r>
          </w:p>
        </w:tc>
      </w:tr>
      <w:tr>
        <w:trPr>
          <w:trHeight w:val="284" w:hRule="exact"/>
        </w:trPr>
        <w:tc>
          <w:tcPr>
            <w:tcW w:w="3106" w:type="dxa"/>
            <w:tcBorders>
              <w:top w:val="nil"/>
              <w:left w:val="nil"/>
              <w:bottom w:val="nil"/>
              <w:right w:val="nil"/>
            </w:tcBorders>
          </w:tcPr>
          <w:p>
            <w:pPr>
              <w:pStyle w:val="TableParagraph"/>
              <w:spacing w:line="267" w:lineRule="exact"/>
              <w:ind w:left="549"/>
              <w:jc w:val="left"/>
              <w:rPr>
                <w:sz w:val="24"/>
              </w:rPr>
            </w:pPr>
            <w:r>
              <w:rPr>
                <w:sz w:val="24"/>
              </w:rPr>
              <w:t>Costos fijos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7" w:lineRule="exact"/>
              <w:ind w:left="929"/>
              <w:jc w:val="left"/>
              <w:rPr>
                <w:sz w:val="24"/>
              </w:rPr>
            </w:pPr>
            <w:r>
              <w:rPr>
                <w:sz w:val="24"/>
              </w:rPr>
              <w:t>Gasolina</w:t>
            </w:r>
          </w:p>
        </w:tc>
      </w:tr>
      <w:tr>
        <w:trPr>
          <w:trHeight w:val="287" w:hRule="exact"/>
        </w:trPr>
        <w:tc>
          <w:tcPr>
            <w:tcW w:w="3106" w:type="dxa"/>
            <w:tcBorders>
              <w:top w:val="nil"/>
              <w:left w:val="nil"/>
              <w:bottom w:val="nil"/>
              <w:right w:val="nil"/>
            </w:tcBorders>
          </w:tcPr>
          <w:p>
            <w:pPr>
              <w:pStyle w:val="TableParagraph"/>
              <w:spacing w:line="272" w:lineRule="exact"/>
              <w:ind w:left="249"/>
              <w:jc w:val="left"/>
              <w:rPr>
                <w:b/>
                <w:sz w:val="24"/>
              </w:rPr>
            </w:pPr>
            <w:r>
              <w:rPr>
                <w:b/>
                <w:sz w:val="24"/>
              </w:rPr>
              <w:t>Venta de subproductos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7" w:lineRule="exact"/>
              <w:ind w:left="929"/>
              <w:jc w:val="left"/>
              <w:rPr>
                <w:sz w:val="24"/>
              </w:rPr>
            </w:pPr>
            <w:r>
              <w:rPr>
                <w:sz w:val="24"/>
              </w:rPr>
              <w:t>Depreciaciones</w:t>
            </w:r>
          </w:p>
        </w:tc>
      </w:tr>
      <w:tr>
        <w:trPr>
          <w:trHeight w:val="284" w:hRule="exact"/>
        </w:trPr>
        <w:tc>
          <w:tcPr>
            <w:tcW w:w="3106" w:type="dxa"/>
            <w:tcBorders>
              <w:top w:val="nil"/>
              <w:left w:val="nil"/>
              <w:bottom w:val="nil"/>
              <w:right w:val="nil"/>
            </w:tcBorders>
          </w:tcPr>
          <w:p>
            <w:pPr>
              <w:pStyle w:val="TableParagraph"/>
              <w:spacing w:line="265" w:lineRule="exact"/>
              <w:ind w:left="489"/>
              <w:jc w:val="left"/>
              <w:rPr>
                <w:sz w:val="24"/>
              </w:rPr>
            </w:pPr>
            <w:r>
              <w:rPr>
                <w:sz w:val="24"/>
              </w:rPr>
              <w:t>Vacas de desecho</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70" w:lineRule="exact"/>
              <w:ind w:left="389"/>
              <w:jc w:val="left"/>
              <w:rPr>
                <w:b/>
                <w:sz w:val="24"/>
              </w:rPr>
            </w:pPr>
            <w:r>
              <w:rPr>
                <w:b/>
                <w:sz w:val="24"/>
              </w:rPr>
              <w:t>Precios de salida</w:t>
            </w:r>
          </w:p>
        </w:tc>
      </w:tr>
      <w:tr>
        <w:trPr>
          <w:trHeight w:val="281" w:hRule="exact"/>
        </w:trPr>
        <w:tc>
          <w:tcPr>
            <w:tcW w:w="3106" w:type="dxa"/>
            <w:tcBorders>
              <w:top w:val="nil"/>
              <w:left w:val="nil"/>
              <w:bottom w:val="nil"/>
              <w:right w:val="nil"/>
            </w:tcBorders>
          </w:tcPr>
          <w:p>
            <w:pPr>
              <w:pStyle w:val="TableParagraph"/>
              <w:spacing w:line="264" w:lineRule="exact"/>
              <w:ind w:left="489"/>
              <w:jc w:val="left"/>
              <w:rPr>
                <w:sz w:val="24"/>
              </w:rPr>
            </w:pPr>
            <w:r>
              <w:rPr>
                <w:sz w:val="24"/>
              </w:rPr>
              <w:t>Becerros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4" w:lineRule="exact"/>
              <w:ind w:left="689"/>
              <w:jc w:val="left"/>
              <w:rPr>
                <w:sz w:val="24"/>
              </w:rPr>
            </w:pPr>
            <w:r>
              <w:rPr>
                <w:sz w:val="24"/>
              </w:rPr>
              <w:t>Precio de cultivos</w:t>
            </w:r>
          </w:p>
        </w:tc>
      </w:tr>
      <w:tr>
        <w:trPr>
          <w:trHeight w:val="284" w:hRule="exact"/>
        </w:trPr>
        <w:tc>
          <w:tcPr>
            <w:tcW w:w="3106" w:type="dxa"/>
            <w:tcBorders>
              <w:top w:val="nil"/>
              <w:left w:val="nil"/>
              <w:bottom w:val="nil"/>
              <w:right w:val="nil"/>
            </w:tcBorders>
          </w:tcPr>
          <w:p>
            <w:pPr>
              <w:pStyle w:val="TableParagraph"/>
              <w:spacing w:line="267" w:lineRule="exact"/>
              <w:ind w:left="489"/>
              <w:jc w:val="left"/>
              <w:rPr>
                <w:sz w:val="24"/>
              </w:rPr>
            </w:pPr>
            <w:r>
              <w:rPr>
                <w:sz w:val="24"/>
              </w:rPr>
              <w:t>Becerras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7" w:lineRule="exact"/>
              <w:ind w:left="689"/>
              <w:jc w:val="left"/>
              <w:rPr>
                <w:sz w:val="24"/>
              </w:rPr>
            </w:pPr>
            <w:r>
              <w:rPr>
                <w:sz w:val="24"/>
              </w:rPr>
              <w:t>Precio de la leche</w:t>
            </w:r>
          </w:p>
        </w:tc>
      </w:tr>
      <w:tr>
        <w:trPr>
          <w:trHeight w:val="287" w:hRule="exact"/>
        </w:trPr>
        <w:tc>
          <w:tcPr>
            <w:tcW w:w="3106" w:type="dxa"/>
            <w:tcBorders>
              <w:top w:val="nil"/>
              <w:left w:val="nil"/>
              <w:bottom w:val="nil"/>
              <w:right w:val="nil"/>
            </w:tcBorders>
          </w:tcPr>
          <w:p>
            <w:pPr>
              <w:pStyle w:val="TableParagraph"/>
              <w:spacing w:line="273" w:lineRule="exact"/>
              <w:ind w:left="189"/>
              <w:jc w:val="left"/>
              <w:rPr>
                <w:b/>
                <w:sz w:val="24"/>
              </w:rPr>
            </w:pPr>
            <w:r>
              <w:rPr>
                <w:b/>
                <w:sz w:val="24"/>
              </w:rPr>
              <w:t>Otros ingresos</w:t>
            </w:r>
          </w:p>
        </w:tc>
        <w:tc>
          <w:tcPr>
            <w:tcW w:w="2592" w:type="dxa"/>
            <w:tcBorders>
              <w:top w:val="nil"/>
              <w:left w:val="nil"/>
              <w:bottom w:val="nil"/>
              <w:right w:val="nil"/>
            </w:tcBorders>
          </w:tcPr>
          <w:p>
            <w:pPr/>
          </w:p>
        </w:tc>
        <w:tc>
          <w:tcPr>
            <w:tcW w:w="3025" w:type="dxa"/>
            <w:tcBorders>
              <w:top w:val="nil"/>
              <w:left w:val="nil"/>
              <w:bottom w:val="nil"/>
              <w:right w:val="nil"/>
            </w:tcBorders>
          </w:tcPr>
          <w:p>
            <w:pPr>
              <w:pStyle w:val="TableParagraph"/>
              <w:spacing w:line="268" w:lineRule="exact"/>
              <w:ind w:right="95"/>
              <w:rPr>
                <w:sz w:val="24"/>
              </w:rPr>
            </w:pPr>
            <w:r>
              <w:rPr>
                <w:sz w:val="24"/>
              </w:rPr>
              <w:t>Precio de subproductos</w:t>
            </w:r>
          </w:p>
        </w:tc>
      </w:tr>
      <w:tr>
        <w:trPr>
          <w:trHeight w:val="299" w:hRule="exact"/>
        </w:trPr>
        <w:tc>
          <w:tcPr>
            <w:tcW w:w="3106" w:type="dxa"/>
            <w:tcBorders>
              <w:top w:val="nil"/>
              <w:left w:val="nil"/>
              <w:bottom w:val="single" w:sz="17" w:space="0" w:color="000000"/>
              <w:right w:val="nil"/>
            </w:tcBorders>
          </w:tcPr>
          <w:p>
            <w:pPr>
              <w:pStyle w:val="TableParagraph"/>
              <w:spacing w:line="264" w:lineRule="exact"/>
              <w:ind w:left="429"/>
              <w:jc w:val="left"/>
              <w:rPr>
                <w:sz w:val="24"/>
              </w:rPr>
            </w:pPr>
            <w:r>
              <w:rPr>
                <w:sz w:val="24"/>
              </w:rPr>
              <w:t>Subsidios</w:t>
            </w:r>
          </w:p>
        </w:tc>
        <w:tc>
          <w:tcPr>
            <w:tcW w:w="2592" w:type="dxa"/>
            <w:tcBorders>
              <w:top w:val="nil"/>
              <w:left w:val="nil"/>
              <w:bottom w:val="single" w:sz="17" w:space="0" w:color="000000"/>
              <w:right w:val="nil"/>
            </w:tcBorders>
          </w:tcPr>
          <w:p>
            <w:pPr/>
          </w:p>
        </w:tc>
        <w:tc>
          <w:tcPr>
            <w:tcW w:w="3025" w:type="dxa"/>
            <w:tcBorders>
              <w:top w:val="nil"/>
              <w:left w:val="nil"/>
              <w:bottom w:val="single" w:sz="17" w:space="0" w:color="000000"/>
              <w:right w:val="nil"/>
            </w:tcBorders>
          </w:tcPr>
          <w:p>
            <w:pPr/>
          </w:p>
        </w:tc>
      </w:tr>
    </w:tbl>
    <w:p>
      <w:pPr>
        <w:spacing w:line="202" w:lineRule="exact" w:before="0"/>
        <w:ind w:left="171" w:right="0" w:firstLine="0"/>
        <w:jc w:val="left"/>
        <w:rPr>
          <w:sz w:val="20"/>
        </w:rPr>
      </w:pPr>
      <w:r>
        <w:rPr>
          <w:sz w:val="20"/>
        </w:rPr>
        <w:t>Fuente: Elaboración propia.</w:t>
      </w:r>
    </w:p>
    <w:p>
      <w:pPr>
        <w:spacing w:after="0" w:line="202" w:lineRule="exact"/>
        <w:jc w:val="left"/>
        <w:rPr>
          <w:sz w:val="20"/>
        </w:rPr>
        <w:sectPr>
          <w:pgSz w:w="12240" w:h="15840"/>
          <w:pgMar w:header="0" w:footer="657" w:top="1340" w:bottom="840" w:left="1600" w:right="1580"/>
        </w:sectPr>
      </w:pPr>
    </w:p>
    <w:p>
      <w:pPr>
        <w:pStyle w:val="BodyText"/>
        <w:spacing w:line="360" w:lineRule="auto" w:before="50"/>
        <w:ind w:left="102" w:right="116"/>
        <w:jc w:val="both"/>
      </w:pPr>
      <w:r>
        <w:rPr/>
        <w:t>La inflación proyectada y tasa de interés son utilizadas para simular el costo de producción de</w:t>
      </w:r>
      <w:r>
        <w:rPr>
          <w:spacing w:val="-10"/>
        </w:rPr>
        <w:t> </w:t>
      </w:r>
      <w:r>
        <w:rPr/>
        <w:t>la</w:t>
      </w:r>
      <w:r>
        <w:rPr>
          <w:spacing w:val="-9"/>
        </w:rPr>
        <w:t> </w:t>
      </w:r>
      <w:r>
        <w:rPr/>
        <w:t>leche,</w:t>
      </w:r>
      <w:r>
        <w:rPr>
          <w:spacing w:val="-9"/>
        </w:rPr>
        <w:t> </w:t>
      </w:r>
      <w:r>
        <w:rPr/>
        <w:t>subproductos</w:t>
      </w:r>
      <w:r>
        <w:rPr>
          <w:spacing w:val="-3"/>
        </w:rPr>
        <w:t> </w:t>
      </w:r>
      <w:r>
        <w:rPr/>
        <w:t>y</w:t>
      </w:r>
      <w:r>
        <w:rPr>
          <w:spacing w:val="-11"/>
        </w:rPr>
        <w:t> </w:t>
      </w:r>
      <w:r>
        <w:rPr/>
        <w:t>cultivos</w:t>
      </w:r>
      <w:r>
        <w:rPr>
          <w:spacing w:val="-7"/>
        </w:rPr>
        <w:t> </w:t>
      </w:r>
      <w:r>
        <w:rPr/>
        <w:t>en</w:t>
      </w:r>
      <w:r>
        <w:rPr>
          <w:spacing w:val="-6"/>
        </w:rPr>
        <w:t> </w:t>
      </w:r>
      <w:r>
        <w:rPr/>
        <w:t>el</w:t>
      </w:r>
      <w:r>
        <w:rPr>
          <w:spacing w:val="-8"/>
        </w:rPr>
        <w:t> </w:t>
      </w:r>
      <w:r>
        <w:rPr/>
        <w:t>horizonte</w:t>
      </w:r>
      <w:r>
        <w:rPr>
          <w:spacing w:val="-9"/>
        </w:rPr>
        <w:t> </w:t>
      </w:r>
      <w:r>
        <w:rPr/>
        <w:t>de</w:t>
      </w:r>
      <w:r>
        <w:rPr>
          <w:spacing w:val="-10"/>
        </w:rPr>
        <w:t> </w:t>
      </w:r>
      <w:r>
        <w:rPr/>
        <w:t>planeación</w:t>
      </w:r>
      <w:r>
        <w:rPr>
          <w:spacing w:val="-6"/>
        </w:rPr>
        <w:t> </w:t>
      </w:r>
      <w:r>
        <w:rPr/>
        <w:t>analizado.</w:t>
      </w:r>
      <w:r>
        <w:rPr>
          <w:spacing w:val="-6"/>
        </w:rPr>
        <w:t> </w:t>
      </w:r>
      <w:r>
        <w:rPr/>
        <w:t>La</w:t>
      </w:r>
      <w:r>
        <w:rPr>
          <w:spacing w:val="-10"/>
        </w:rPr>
        <w:t> </w:t>
      </w:r>
      <w:r>
        <w:rPr/>
        <w:t>probabilidad de éxito económico y financiero dependerá de los días de operación, costos de producción, precio</w:t>
      </w:r>
      <w:r>
        <w:rPr>
          <w:spacing w:val="-6"/>
        </w:rPr>
        <w:t> </w:t>
      </w:r>
      <w:r>
        <w:rPr/>
        <w:t>de</w:t>
      </w:r>
      <w:r>
        <w:rPr>
          <w:spacing w:val="-7"/>
        </w:rPr>
        <w:t> </w:t>
      </w:r>
      <w:r>
        <w:rPr/>
        <w:t>venta</w:t>
      </w:r>
      <w:r>
        <w:rPr>
          <w:spacing w:val="-7"/>
        </w:rPr>
        <w:t> </w:t>
      </w:r>
      <w:r>
        <w:rPr/>
        <w:t>de</w:t>
      </w:r>
      <w:r>
        <w:rPr>
          <w:spacing w:val="-7"/>
        </w:rPr>
        <w:t> </w:t>
      </w:r>
      <w:r>
        <w:rPr/>
        <w:t>productos,</w:t>
      </w:r>
      <w:r>
        <w:rPr>
          <w:spacing w:val="-6"/>
        </w:rPr>
        <w:t> </w:t>
      </w:r>
      <w:r>
        <w:rPr/>
        <w:t>subproductos</w:t>
      </w:r>
      <w:r>
        <w:rPr>
          <w:spacing w:val="1"/>
        </w:rPr>
        <w:t> </w:t>
      </w:r>
      <w:r>
        <w:rPr/>
        <w:t>y</w:t>
      </w:r>
      <w:r>
        <w:rPr>
          <w:spacing w:val="-11"/>
        </w:rPr>
        <w:t> </w:t>
      </w:r>
      <w:r>
        <w:rPr/>
        <w:t>otros</w:t>
      </w:r>
      <w:r>
        <w:rPr>
          <w:spacing w:val="-6"/>
        </w:rPr>
        <w:t> </w:t>
      </w:r>
      <w:r>
        <w:rPr/>
        <w:t>ingresos.</w:t>
      </w:r>
      <w:r>
        <w:rPr>
          <w:spacing w:val="-5"/>
        </w:rPr>
        <w:t> </w:t>
      </w:r>
      <w:r>
        <w:rPr/>
        <w:t>En</w:t>
      </w:r>
      <w:r>
        <w:rPr>
          <w:spacing w:val="-4"/>
        </w:rPr>
        <w:t> </w:t>
      </w:r>
      <w:r>
        <w:rPr/>
        <w:t>esta</w:t>
      </w:r>
      <w:r>
        <w:rPr>
          <w:spacing w:val="-6"/>
        </w:rPr>
        <w:t> </w:t>
      </w:r>
      <w:r>
        <w:rPr/>
        <w:t>sección</w:t>
      </w:r>
      <w:r>
        <w:rPr>
          <w:spacing w:val="-6"/>
        </w:rPr>
        <w:t> </w:t>
      </w:r>
      <w:r>
        <w:rPr/>
        <w:t>se</w:t>
      </w:r>
      <w:r>
        <w:rPr>
          <w:spacing w:val="-7"/>
        </w:rPr>
        <w:t> </w:t>
      </w:r>
      <w:r>
        <w:rPr/>
        <w:t>describen</w:t>
      </w:r>
      <w:r>
        <w:rPr>
          <w:spacing w:val="-6"/>
        </w:rPr>
        <w:t> </w:t>
      </w:r>
      <w:r>
        <w:rPr/>
        <w:t>las ecuaciones usadas por el</w:t>
      </w:r>
      <w:r>
        <w:rPr>
          <w:spacing w:val="-4"/>
        </w:rPr>
        <w:t> </w:t>
      </w:r>
      <w:r>
        <w:rPr/>
        <w:t>modelo:</w:t>
      </w:r>
    </w:p>
    <w:p>
      <w:pPr>
        <w:pStyle w:val="BodyText"/>
      </w:pPr>
    </w:p>
    <w:p>
      <w:pPr>
        <w:pStyle w:val="ListParagraph"/>
        <w:numPr>
          <w:ilvl w:val="0"/>
          <w:numId w:val="19"/>
        </w:numPr>
        <w:tabs>
          <w:tab w:pos="482" w:val="left" w:leader="none"/>
        </w:tabs>
        <w:spacing w:line="240" w:lineRule="auto" w:before="142" w:after="0"/>
        <w:ind w:left="481" w:right="0" w:hanging="379"/>
        <w:jc w:val="both"/>
        <w:rPr>
          <w:sz w:val="24"/>
        </w:rPr>
      </w:pPr>
      <w:r>
        <w:rPr>
          <w:b/>
          <w:position w:val="2"/>
          <w:sz w:val="24"/>
        </w:rPr>
        <w:t>Precio  por litro de leche</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18"/>
          <w:position w:val="2"/>
          <w:sz w:val="24"/>
        </w:rPr>
        <w:t> </w:t>
      </w:r>
      <w:r>
        <w:rPr>
          <w:position w:val="2"/>
          <w:sz w:val="24"/>
        </w:rPr>
        <w:t>C</w:t>
      </w:r>
      <w:r>
        <w:rPr>
          <w:sz w:val="16"/>
        </w:rPr>
        <w:t>10</w:t>
      </w:r>
      <w:r>
        <w:rPr>
          <w:position w:val="2"/>
          <w:sz w:val="24"/>
        </w:rPr>
        <w:t>)]</w:t>
      </w:r>
    </w:p>
    <w:p>
      <w:pPr>
        <w:pStyle w:val="ListParagraph"/>
        <w:numPr>
          <w:ilvl w:val="0"/>
          <w:numId w:val="19"/>
        </w:numPr>
        <w:tabs>
          <w:tab w:pos="482" w:val="left" w:leader="none"/>
        </w:tabs>
        <w:spacing w:line="240" w:lineRule="auto" w:before="136" w:after="0"/>
        <w:ind w:left="481" w:right="0" w:hanging="379"/>
        <w:jc w:val="both"/>
        <w:rPr>
          <w:sz w:val="24"/>
        </w:rPr>
      </w:pPr>
      <w:r>
        <w:rPr>
          <w:b/>
          <w:position w:val="2"/>
          <w:sz w:val="24"/>
        </w:rPr>
        <w:t>Precio de maíz para silo</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8"/>
          <w:position w:val="2"/>
          <w:sz w:val="24"/>
        </w:rPr>
        <w:t> </w:t>
      </w:r>
      <w:r>
        <w:rPr>
          <w:position w:val="2"/>
          <w:sz w:val="24"/>
        </w:rPr>
        <w:t>C</w:t>
      </w:r>
      <w:r>
        <w:rPr>
          <w:sz w:val="16"/>
        </w:rPr>
        <w:t>9</w:t>
      </w:r>
      <w:r>
        <w:rPr>
          <w:position w:val="2"/>
          <w:sz w:val="24"/>
        </w:rPr>
        <w:t>)]</w:t>
      </w:r>
    </w:p>
    <w:p>
      <w:pPr>
        <w:pStyle w:val="ListParagraph"/>
        <w:numPr>
          <w:ilvl w:val="0"/>
          <w:numId w:val="19"/>
        </w:numPr>
        <w:tabs>
          <w:tab w:pos="482" w:val="left" w:leader="none"/>
        </w:tabs>
        <w:spacing w:line="240" w:lineRule="auto" w:before="134" w:after="0"/>
        <w:ind w:left="481" w:right="0" w:hanging="379"/>
        <w:jc w:val="both"/>
        <w:rPr>
          <w:sz w:val="24"/>
        </w:rPr>
      </w:pPr>
      <w:r>
        <w:rPr>
          <w:b/>
          <w:position w:val="2"/>
          <w:sz w:val="24"/>
        </w:rPr>
        <w:t>Precio de alfalfa verde</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6"/>
          <w:position w:val="2"/>
          <w:sz w:val="24"/>
        </w:rPr>
        <w:t> </w:t>
      </w:r>
      <w:r>
        <w:rPr>
          <w:position w:val="2"/>
          <w:sz w:val="24"/>
        </w:rPr>
        <w:t>C</w:t>
      </w:r>
      <w:r>
        <w:rPr>
          <w:sz w:val="16"/>
        </w:rPr>
        <w:t>8</w:t>
      </w:r>
      <w:r>
        <w:rPr>
          <w:position w:val="2"/>
          <w:sz w:val="24"/>
        </w:rPr>
        <w:t>)]</w:t>
      </w:r>
    </w:p>
    <w:p>
      <w:pPr>
        <w:pStyle w:val="ListParagraph"/>
        <w:numPr>
          <w:ilvl w:val="0"/>
          <w:numId w:val="19"/>
        </w:numPr>
        <w:tabs>
          <w:tab w:pos="482" w:val="left" w:leader="none"/>
        </w:tabs>
        <w:spacing w:line="240" w:lineRule="auto" w:before="137" w:after="0"/>
        <w:ind w:left="481" w:right="0" w:hanging="379"/>
        <w:jc w:val="both"/>
        <w:rPr>
          <w:sz w:val="24"/>
        </w:rPr>
      </w:pPr>
      <w:r>
        <w:rPr>
          <w:b/>
          <w:position w:val="2"/>
          <w:sz w:val="24"/>
        </w:rPr>
        <w:t>Precio de avena</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5"/>
          <w:position w:val="2"/>
          <w:sz w:val="24"/>
        </w:rPr>
        <w:t> </w:t>
      </w:r>
      <w:r>
        <w:rPr>
          <w:position w:val="2"/>
          <w:sz w:val="24"/>
        </w:rPr>
        <w:t>C</w:t>
      </w:r>
      <w:r>
        <w:rPr>
          <w:sz w:val="16"/>
        </w:rPr>
        <w:t>7</w:t>
      </w:r>
      <w:r>
        <w:rPr>
          <w:position w:val="2"/>
          <w:sz w:val="24"/>
        </w:rPr>
        <w:t>)]</w:t>
      </w:r>
    </w:p>
    <w:p>
      <w:pPr>
        <w:pStyle w:val="ListParagraph"/>
        <w:numPr>
          <w:ilvl w:val="0"/>
          <w:numId w:val="19"/>
        </w:numPr>
        <w:tabs>
          <w:tab w:pos="482" w:val="left" w:leader="none"/>
        </w:tabs>
        <w:spacing w:line="240" w:lineRule="auto" w:before="134" w:after="0"/>
        <w:ind w:left="481" w:right="0" w:hanging="379"/>
        <w:jc w:val="both"/>
        <w:rPr>
          <w:sz w:val="24"/>
        </w:rPr>
      </w:pPr>
      <w:r>
        <w:rPr>
          <w:b/>
          <w:position w:val="2"/>
          <w:sz w:val="24"/>
        </w:rPr>
        <w:t>Precio del maíz para grano</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11"/>
          <w:position w:val="2"/>
          <w:sz w:val="24"/>
        </w:rPr>
        <w:t> </w:t>
      </w:r>
      <w:r>
        <w:rPr>
          <w:position w:val="2"/>
          <w:sz w:val="24"/>
        </w:rPr>
        <w:t>C</w:t>
      </w:r>
      <w:r>
        <w:rPr>
          <w:sz w:val="16"/>
        </w:rPr>
        <w:t>6</w:t>
      </w:r>
      <w:r>
        <w:rPr>
          <w:position w:val="2"/>
          <w:sz w:val="24"/>
        </w:rPr>
        <w:t>)]</w:t>
      </w:r>
    </w:p>
    <w:p>
      <w:pPr>
        <w:pStyle w:val="ListParagraph"/>
        <w:numPr>
          <w:ilvl w:val="0"/>
          <w:numId w:val="19"/>
        </w:numPr>
        <w:tabs>
          <w:tab w:pos="482" w:val="left" w:leader="none"/>
        </w:tabs>
        <w:spacing w:line="240" w:lineRule="auto" w:before="136" w:after="0"/>
        <w:ind w:left="481" w:right="0" w:hanging="379"/>
        <w:jc w:val="both"/>
        <w:rPr>
          <w:sz w:val="24"/>
        </w:rPr>
      </w:pPr>
      <w:r>
        <w:rPr>
          <w:b/>
          <w:position w:val="2"/>
          <w:sz w:val="24"/>
        </w:rPr>
        <w:t>Precio de subproductos</w:t>
      </w:r>
      <w:r>
        <w:rPr>
          <w:b/>
          <w:position w:val="1"/>
          <w:sz w:val="16"/>
        </w:rPr>
        <w:t>t </w:t>
      </w:r>
      <w:r>
        <w:rPr>
          <w:position w:val="2"/>
          <w:sz w:val="24"/>
        </w:rPr>
        <w:t>= Precio medio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7"/>
          <w:position w:val="2"/>
          <w:sz w:val="24"/>
        </w:rPr>
        <w:t> </w:t>
      </w:r>
      <w:r>
        <w:rPr>
          <w:position w:val="2"/>
          <w:sz w:val="24"/>
        </w:rPr>
        <w:t>C</w:t>
      </w:r>
      <w:r>
        <w:rPr>
          <w:sz w:val="16"/>
        </w:rPr>
        <w:t>5</w:t>
      </w:r>
      <w:r>
        <w:rPr>
          <w:position w:val="2"/>
          <w:sz w:val="24"/>
        </w:rPr>
        <w:t>)]</w:t>
      </w:r>
    </w:p>
    <w:p>
      <w:pPr>
        <w:pStyle w:val="ListParagraph"/>
        <w:numPr>
          <w:ilvl w:val="0"/>
          <w:numId w:val="19"/>
        </w:numPr>
        <w:tabs>
          <w:tab w:pos="482" w:val="left" w:leader="none"/>
        </w:tabs>
        <w:spacing w:line="240" w:lineRule="auto" w:before="134" w:after="0"/>
        <w:ind w:left="481" w:right="0" w:hanging="379"/>
        <w:jc w:val="both"/>
        <w:rPr>
          <w:sz w:val="24"/>
        </w:rPr>
      </w:pPr>
      <w:r>
        <w:rPr>
          <w:b/>
          <w:position w:val="2"/>
          <w:sz w:val="24"/>
        </w:rPr>
        <w:t>Tasa de inflación</w:t>
      </w:r>
      <w:r>
        <w:rPr>
          <w:b/>
          <w:position w:val="1"/>
          <w:sz w:val="16"/>
        </w:rPr>
        <w:t>t </w:t>
      </w:r>
      <w:r>
        <w:rPr>
          <w:position w:val="2"/>
          <w:sz w:val="24"/>
        </w:rPr>
        <w:t>= Tasa de inflación</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9"/>
          <w:position w:val="2"/>
          <w:sz w:val="24"/>
        </w:rPr>
        <w:t> </w:t>
      </w:r>
      <w:r>
        <w:rPr>
          <w:position w:val="2"/>
          <w:sz w:val="24"/>
        </w:rPr>
        <w:t>C</w:t>
      </w:r>
      <w:r>
        <w:rPr>
          <w:sz w:val="16"/>
        </w:rPr>
        <w:t>4</w:t>
      </w:r>
      <w:r>
        <w:rPr>
          <w:position w:val="2"/>
          <w:sz w:val="24"/>
        </w:rPr>
        <w:t>)]</w:t>
      </w:r>
    </w:p>
    <w:p>
      <w:pPr>
        <w:pStyle w:val="ListParagraph"/>
        <w:numPr>
          <w:ilvl w:val="0"/>
          <w:numId w:val="19"/>
        </w:numPr>
        <w:tabs>
          <w:tab w:pos="482" w:val="left" w:leader="none"/>
        </w:tabs>
        <w:spacing w:line="240" w:lineRule="auto" w:before="136" w:after="0"/>
        <w:ind w:left="481" w:right="0" w:hanging="379"/>
        <w:jc w:val="both"/>
        <w:rPr>
          <w:sz w:val="24"/>
        </w:rPr>
      </w:pPr>
      <w:r>
        <w:rPr>
          <w:b/>
          <w:position w:val="2"/>
          <w:sz w:val="24"/>
        </w:rPr>
        <w:t>Tasa de interés</w:t>
      </w:r>
      <w:r>
        <w:rPr>
          <w:b/>
          <w:position w:val="1"/>
          <w:sz w:val="16"/>
        </w:rPr>
        <w:t>t </w:t>
      </w:r>
      <w:r>
        <w:rPr>
          <w:position w:val="2"/>
          <w:sz w:val="24"/>
        </w:rPr>
        <w:t>= Tasa de interés</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7"/>
          <w:position w:val="2"/>
          <w:sz w:val="24"/>
        </w:rPr>
        <w:t> </w:t>
      </w:r>
      <w:r>
        <w:rPr>
          <w:position w:val="2"/>
          <w:sz w:val="24"/>
        </w:rPr>
        <w:t>C</w:t>
      </w:r>
      <w:r>
        <w:rPr>
          <w:sz w:val="16"/>
        </w:rPr>
        <w:t>3</w:t>
      </w:r>
      <w:r>
        <w:rPr>
          <w:position w:val="2"/>
          <w:sz w:val="24"/>
        </w:rPr>
        <w:t>)]</w:t>
      </w:r>
    </w:p>
    <w:p>
      <w:pPr>
        <w:pStyle w:val="ListParagraph"/>
        <w:numPr>
          <w:ilvl w:val="0"/>
          <w:numId w:val="19"/>
        </w:numPr>
        <w:tabs>
          <w:tab w:pos="482" w:val="left" w:leader="none"/>
        </w:tabs>
        <w:spacing w:line="240" w:lineRule="auto" w:before="134" w:after="0"/>
        <w:ind w:left="481" w:right="0" w:hanging="379"/>
        <w:jc w:val="both"/>
        <w:rPr>
          <w:sz w:val="24"/>
        </w:rPr>
      </w:pPr>
      <w:r>
        <w:rPr>
          <w:b/>
          <w:position w:val="2"/>
          <w:sz w:val="24"/>
        </w:rPr>
        <w:t>Tipo de cambio</w:t>
      </w:r>
      <w:r>
        <w:rPr>
          <w:b/>
          <w:position w:val="1"/>
          <w:sz w:val="16"/>
        </w:rPr>
        <w:t>t </w:t>
      </w:r>
      <w:r>
        <w:rPr>
          <w:position w:val="2"/>
          <w:sz w:val="24"/>
        </w:rPr>
        <w:t>= Tipo de cambio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22"/>
          <w:position w:val="2"/>
          <w:sz w:val="24"/>
        </w:rPr>
        <w:t> </w:t>
      </w:r>
      <w:r>
        <w:rPr>
          <w:position w:val="2"/>
          <w:sz w:val="24"/>
        </w:rPr>
        <w:t>C</w:t>
      </w:r>
      <w:r>
        <w:rPr>
          <w:sz w:val="16"/>
        </w:rPr>
        <w:t>2</w:t>
      </w:r>
      <w:r>
        <w:rPr>
          <w:position w:val="2"/>
          <w:sz w:val="24"/>
        </w:rPr>
        <w:t>)]</w:t>
      </w:r>
    </w:p>
    <w:p>
      <w:pPr>
        <w:pStyle w:val="ListParagraph"/>
        <w:numPr>
          <w:ilvl w:val="0"/>
          <w:numId w:val="19"/>
        </w:numPr>
        <w:tabs>
          <w:tab w:pos="482" w:val="left" w:leader="none"/>
        </w:tabs>
        <w:spacing w:line="240" w:lineRule="auto" w:before="136" w:after="0"/>
        <w:ind w:left="481" w:right="0" w:hanging="379"/>
        <w:jc w:val="both"/>
        <w:rPr>
          <w:sz w:val="24"/>
        </w:rPr>
      </w:pPr>
      <w:r>
        <w:rPr>
          <w:b/>
          <w:position w:val="2"/>
          <w:sz w:val="24"/>
        </w:rPr>
        <w:t>Precio del petróleo</w:t>
      </w:r>
      <w:r>
        <w:rPr>
          <w:b/>
          <w:position w:val="1"/>
          <w:sz w:val="16"/>
        </w:rPr>
        <w:t>t  </w:t>
      </w:r>
      <w:r>
        <w:rPr>
          <w:position w:val="2"/>
          <w:sz w:val="24"/>
        </w:rPr>
        <w:t>= Precio</w:t>
      </w:r>
      <w:r>
        <w:rPr>
          <w:sz w:val="16"/>
        </w:rPr>
        <w:t>t </w:t>
      </w:r>
      <w:r>
        <w:rPr>
          <w:position w:val="2"/>
          <w:sz w:val="24"/>
        </w:rPr>
        <w:t>* [1 + DME (S</w:t>
      </w:r>
      <w:r>
        <w:rPr>
          <w:sz w:val="16"/>
        </w:rPr>
        <w:t>i</w:t>
      </w:r>
      <w:r>
        <w:rPr>
          <w:position w:val="2"/>
          <w:sz w:val="24"/>
        </w:rPr>
        <w:t>, F(S</w:t>
      </w:r>
      <w:r>
        <w:rPr>
          <w:sz w:val="16"/>
        </w:rPr>
        <w:t>i</w:t>
      </w:r>
      <w:r>
        <w:rPr>
          <w:position w:val="2"/>
          <w:sz w:val="24"/>
        </w:rPr>
        <w:t>),</w:t>
      </w:r>
      <w:r>
        <w:rPr>
          <w:spacing w:val="-10"/>
          <w:position w:val="2"/>
          <w:sz w:val="24"/>
        </w:rPr>
        <w:t> </w:t>
      </w:r>
      <w:r>
        <w:rPr>
          <w:position w:val="2"/>
          <w:sz w:val="24"/>
        </w:rPr>
        <w:t>C</w:t>
      </w:r>
      <w:r>
        <w:rPr>
          <w:sz w:val="16"/>
        </w:rPr>
        <w:t>1</w:t>
      </w:r>
      <w:r>
        <w:rPr>
          <w:position w:val="2"/>
          <w:sz w:val="24"/>
        </w:rPr>
        <w:t>)]</w:t>
      </w:r>
    </w:p>
    <w:p>
      <w:pPr>
        <w:pStyle w:val="BodyText"/>
      </w:pPr>
    </w:p>
    <w:p>
      <w:pPr>
        <w:pStyle w:val="BodyText"/>
        <w:spacing w:before="10"/>
        <w:rPr>
          <w:sz w:val="23"/>
        </w:rPr>
      </w:pPr>
    </w:p>
    <w:p>
      <w:pPr>
        <w:pStyle w:val="BodyText"/>
        <w:spacing w:line="360" w:lineRule="auto"/>
        <w:ind w:left="102" w:right="117"/>
        <w:jc w:val="both"/>
      </w:pPr>
      <w:r>
        <w:rPr/>
        <w:t>El nombre de las variables que se indican en color negro, son las variables que se</w:t>
      </w:r>
      <w:r>
        <w:rPr>
          <w:spacing w:val="-21"/>
        </w:rPr>
        <w:t> </w:t>
      </w:r>
      <w:r>
        <w:rPr/>
        <w:t>someterán </w:t>
      </w:r>
      <w:r>
        <w:rPr>
          <w:position w:val="2"/>
        </w:rPr>
        <w:t>al proceso de simulación estocástica. Los valores de C</w:t>
      </w:r>
      <w:r>
        <w:rPr>
          <w:sz w:val="16"/>
        </w:rPr>
        <w:t>10 </w:t>
      </w:r>
      <w:r>
        <w:rPr>
          <w:position w:val="2"/>
        </w:rPr>
        <w:t>a C</w:t>
      </w:r>
      <w:r>
        <w:rPr>
          <w:sz w:val="16"/>
        </w:rPr>
        <w:t>1 </w:t>
      </w:r>
      <w:r>
        <w:rPr>
          <w:position w:val="2"/>
        </w:rPr>
        <w:t>en las ecuaciones 29-38 </w:t>
      </w:r>
      <w:r>
        <w:rPr/>
        <w:t>representan las desviaciones estándar uniformes correlacionadas que aseguran que las variables aleatorias están correlacionadas de manera</w:t>
      </w:r>
      <w:r>
        <w:rPr>
          <w:spacing w:val="-14"/>
        </w:rPr>
        <w:t> </w:t>
      </w:r>
      <w:r>
        <w:rPr/>
        <w:t>apropiada.</w:t>
      </w:r>
    </w:p>
    <w:p>
      <w:pPr>
        <w:pStyle w:val="BodyText"/>
      </w:pPr>
    </w:p>
    <w:p>
      <w:pPr>
        <w:pStyle w:val="Heading2"/>
        <w:numPr>
          <w:ilvl w:val="3"/>
          <w:numId w:val="20"/>
        </w:numPr>
        <w:tabs>
          <w:tab w:pos="822" w:val="left" w:leader="none"/>
        </w:tabs>
        <w:spacing w:line="240" w:lineRule="auto" w:before="148" w:after="0"/>
        <w:ind w:left="822" w:right="0" w:hanging="720"/>
        <w:jc w:val="both"/>
        <w:rPr>
          <w:i/>
        </w:rPr>
      </w:pPr>
      <w:bookmarkStart w:name="_TOC_250008" w:id="34"/>
      <w:bookmarkEnd w:id="34"/>
      <w:r>
        <w:rPr>
          <w:i/>
        </w:rPr>
        <w:t>Ingresos</w:t>
      </w:r>
    </w:p>
    <w:p>
      <w:pPr>
        <w:pStyle w:val="BodyText"/>
        <w:rPr>
          <w:b/>
          <w:i/>
        </w:rPr>
      </w:pPr>
    </w:p>
    <w:p>
      <w:pPr>
        <w:pStyle w:val="BodyText"/>
        <w:spacing w:before="5"/>
        <w:rPr>
          <w:b/>
          <w:i/>
          <w:sz w:val="23"/>
        </w:rPr>
      </w:pPr>
    </w:p>
    <w:p>
      <w:pPr>
        <w:pStyle w:val="BodyText"/>
        <w:spacing w:line="360" w:lineRule="auto" w:before="1"/>
        <w:ind w:left="102" w:right="117"/>
        <w:jc w:val="both"/>
      </w:pPr>
      <w:r>
        <w:rPr>
          <w:position w:val="2"/>
        </w:rPr>
        <w:t>Los ingresos se componen por los ingresos de mercado (IM</w:t>
      </w:r>
      <w:r>
        <w:rPr>
          <w:sz w:val="16"/>
        </w:rPr>
        <w:t>t</w:t>
      </w:r>
      <w:r>
        <w:rPr>
          <w:position w:val="2"/>
        </w:rPr>
        <w:t>), que están referidos a los ingresos por venta de leche, ingresos por trasferencias (IT</w:t>
      </w:r>
      <w:r>
        <w:rPr>
          <w:sz w:val="16"/>
        </w:rPr>
        <w:t>t</w:t>
      </w:r>
      <w:r>
        <w:rPr>
          <w:position w:val="2"/>
        </w:rPr>
        <w:t>), que son todos aquellos ingresos </w:t>
      </w:r>
      <w:r>
        <w:rPr/>
        <w:t>de los apoyos gubernamentales que recibe la URP8 y, otros ingresos (OI) que están compuestos por los ingresos derivados de subproductos como; venta de becerros, becerras, vaquillas, toretes y vacas de desecho.</w:t>
      </w:r>
    </w:p>
    <w:p>
      <w:pPr>
        <w:pStyle w:val="BodyText"/>
      </w:pPr>
    </w:p>
    <w:p>
      <w:pPr>
        <w:tabs>
          <w:tab w:pos="8539" w:val="left" w:leader="none"/>
        </w:tabs>
        <w:spacing w:before="142"/>
        <w:ind w:left="2627" w:right="0" w:firstLine="0"/>
        <w:jc w:val="left"/>
        <w:rPr>
          <w:sz w:val="24"/>
        </w:rPr>
      </w:pPr>
      <w:r>
        <w:rPr>
          <w:position w:val="2"/>
          <w:sz w:val="24"/>
        </w:rPr>
        <w:t>Ingresos totales</w:t>
      </w:r>
      <w:r>
        <w:rPr>
          <w:sz w:val="16"/>
        </w:rPr>
        <w:t>t </w:t>
      </w:r>
      <w:r>
        <w:rPr>
          <w:position w:val="2"/>
          <w:sz w:val="24"/>
        </w:rPr>
        <w:t>= IM</w:t>
      </w:r>
      <w:r>
        <w:rPr>
          <w:sz w:val="16"/>
        </w:rPr>
        <w:t>t </w:t>
      </w:r>
      <w:r>
        <w:rPr>
          <w:position w:val="2"/>
          <w:sz w:val="24"/>
        </w:rPr>
        <w:t>+ IT</w:t>
      </w:r>
      <w:r>
        <w:rPr>
          <w:sz w:val="16"/>
        </w:rPr>
        <w:t>t </w:t>
      </w:r>
      <w:r>
        <w:rPr>
          <w:spacing w:val="11"/>
          <w:sz w:val="16"/>
        </w:rPr>
        <w:t> </w:t>
      </w:r>
      <w:r>
        <w:rPr>
          <w:position w:val="2"/>
          <w:sz w:val="24"/>
        </w:rPr>
        <w:t>+</w:t>
      </w:r>
      <w:r>
        <w:rPr>
          <w:spacing w:val="-1"/>
          <w:position w:val="2"/>
          <w:sz w:val="24"/>
        </w:rPr>
        <w:t> </w:t>
      </w:r>
      <w:r>
        <w:rPr>
          <w:position w:val="2"/>
          <w:sz w:val="24"/>
        </w:rPr>
        <w:t>OI</w:t>
      </w:r>
      <w:r>
        <w:rPr>
          <w:sz w:val="16"/>
        </w:rPr>
        <w:t>t</w:t>
        <w:tab/>
      </w:r>
      <w:r>
        <w:rPr>
          <w:position w:val="2"/>
          <w:sz w:val="24"/>
        </w:rPr>
        <w:t>39)</w:t>
      </w:r>
    </w:p>
    <w:p>
      <w:pPr>
        <w:spacing w:after="0"/>
        <w:jc w:val="left"/>
        <w:rPr>
          <w:sz w:val="24"/>
        </w:rPr>
        <w:sectPr>
          <w:pgSz w:w="12240" w:h="15840"/>
          <w:pgMar w:header="0" w:footer="657" w:top="1360" w:bottom="840" w:left="1600" w:right="1580"/>
        </w:sectPr>
      </w:pPr>
    </w:p>
    <w:p>
      <w:pPr>
        <w:pStyle w:val="Heading2"/>
        <w:numPr>
          <w:ilvl w:val="3"/>
          <w:numId w:val="20"/>
        </w:numPr>
        <w:tabs>
          <w:tab w:pos="822" w:val="left" w:leader="none"/>
        </w:tabs>
        <w:spacing w:line="240" w:lineRule="auto" w:before="55" w:after="0"/>
        <w:ind w:left="822" w:right="0" w:hanging="720"/>
        <w:jc w:val="both"/>
        <w:rPr>
          <w:i/>
        </w:rPr>
      </w:pPr>
      <w:bookmarkStart w:name="_TOC_250007" w:id="35"/>
      <w:bookmarkEnd w:id="35"/>
      <w:r>
        <w:rPr>
          <w:i/>
        </w:rPr>
        <w:t>Gastos</w:t>
      </w:r>
    </w:p>
    <w:p>
      <w:pPr>
        <w:pStyle w:val="BodyText"/>
        <w:rPr>
          <w:b/>
          <w:i/>
        </w:rPr>
      </w:pPr>
    </w:p>
    <w:p>
      <w:pPr>
        <w:pStyle w:val="BodyText"/>
        <w:spacing w:before="6"/>
        <w:rPr>
          <w:b/>
          <w:i/>
          <w:sz w:val="23"/>
        </w:rPr>
      </w:pPr>
    </w:p>
    <w:p>
      <w:pPr>
        <w:pStyle w:val="ListParagraph"/>
        <w:numPr>
          <w:ilvl w:val="0"/>
          <w:numId w:val="21"/>
        </w:numPr>
        <w:tabs>
          <w:tab w:pos="482" w:val="left" w:leader="none"/>
        </w:tabs>
        <w:spacing w:line="240" w:lineRule="auto" w:before="0" w:after="0"/>
        <w:ind w:left="102" w:right="0" w:firstLine="0"/>
        <w:jc w:val="both"/>
        <w:rPr>
          <w:sz w:val="24"/>
        </w:rPr>
      </w:pPr>
      <w:r>
        <w:rPr>
          <w:position w:val="2"/>
          <w:sz w:val="24"/>
        </w:rPr>
        <w:t>Costo de las semillas</w:t>
      </w:r>
      <w:r>
        <w:rPr>
          <w:sz w:val="16"/>
        </w:rPr>
        <w:t>t   </w:t>
      </w:r>
      <w:r>
        <w:rPr>
          <w:position w:val="2"/>
          <w:sz w:val="24"/>
        </w:rPr>
        <w:t>= Costo por kilogramo</w:t>
      </w:r>
      <w:r>
        <w:rPr>
          <w:sz w:val="16"/>
        </w:rPr>
        <w:t>t-1 </w:t>
      </w:r>
      <w:r>
        <w:rPr>
          <w:position w:val="2"/>
          <w:sz w:val="24"/>
        </w:rPr>
        <w:t>*(1+ la tasa de</w:t>
      </w:r>
      <w:r>
        <w:rPr>
          <w:spacing w:val="-27"/>
          <w:position w:val="2"/>
          <w:sz w:val="24"/>
        </w:rPr>
        <w:t> </w:t>
      </w:r>
      <w:r>
        <w:rPr>
          <w:position w:val="2"/>
          <w:sz w:val="24"/>
        </w:rPr>
        <w:t>inflación</w:t>
      </w:r>
      <w:r>
        <w:rPr>
          <w:sz w:val="16"/>
        </w:rPr>
        <w:t>t</w:t>
      </w:r>
      <w:r>
        <w:rPr>
          <w:position w:val="2"/>
          <w:sz w:val="24"/>
        </w:rPr>
        <w:t>)</w:t>
      </w:r>
    </w:p>
    <w:p>
      <w:pPr>
        <w:pStyle w:val="ListParagraph"/>
        <w:numPr>
          <w:ilvl w:val="0"/>
          <w:numId w:val="21"/>
        </w:numPr>
        <w:tabs>
          <w:tab w:pos="479" w:val="left" w:leader="none"/>
        </w:tabs>
        <w:spacing w:line="357" w:lineRule="auto" w:before="136" w:after="0"/>
        <w:ind w:left="102" w:right="117" w:firstLine="0"/>
        <w:jc w:val="left"/>
        <w:rPr>
          <w:sz w:val="24"/>
        </w:rPr>
      </w:pPr>
      <w:r>
        <w:rPr>
          <w:position w:val="2"/>
          <w:sz w:val="24"/>
        </w:rPr>
        <w:t>Costo de la mano de obra</w:t>
      </w:r>
      <w:r>
        <w:rPr>
          <w:sz w:val="16"/>
        </w:rPr>
        <w:t>t </w:t>
      </w:r>
      <w:r>
        <w:rPr>
          <w:position w:val="2"/>
          <w:sz w:val="24"/>
        </w:rPr>
        <w:t>= Costo anual de mano de obra</w:t>
      </w:r>
      <w:r>
        <w:rPr>
          <w:sz w:val="16"/>
        </w:rPr>
        <w:t>t </w:t>
      </w:r>
      <w:r>
        <w:rPr>
          <w:position w:val="2"/>
          <w:sz w:val="24"/>
        </w:rPr>
        <w:t>*(1 + la tasa de inflación para costo de mano de</w:t>
      </w:r>
      <w:r>
        <w:rPr>
          <w:spacing w:val="-4"/>
          <w:position w:val="2"/>
          <w:sz w:val="24"/>
        </w:rPr>
        <w:t> </w:t>
      </w:r>
      <w:r>
        <w:rPr>
          <w:position w:val="2"/>
          <w:sz w:val="24"/>
        </w:rPr>
        <w:t>obra</w:t>
      </w:r>
      <w:r>
        <w:rPr>
          <w:sz w:val="16"/>
        </w:rPr>
        <w:t>t</w:t>
      </w:r>
      <w:r>
        <w:rPr>
          <w:position w:val="2"/>
          <w:sz w:val="24"/>
        </w:rPr>
        <w:t>)</w:t>
      </w:r>
    </w:p>
    <w:p>
      <w:pPr>
        <w:pStyle w:val="ListParagraph"/>
        <w:numPr>
          <w:ilvl w:val="0"/>
          <w:numId w:val="21"/>
        </w:numPr>
        <w:tabs>
          <w:tab w:pos="482" w:val="left" w:leader="none"/>
        </w:tabs>
        <w:spacing w:line="240" w:lineRule="auto" w:before="5" w:after="0"/>
        <w:ind w:left="481" w:right="0" w:hanging="379"/>
        <w:jc w:val="both"/>
        <w:rPr>
          <w:sz w:val="24"/>
        </w:rPr>
      </w:pPr>
      <w:r>
        <w:rPr>
          <w:position w:val="2"/>
          <w:sz w:val="24"/>
        </w:rPr>
        <w:t>Costo de herbicidas</w:t>
      </w:r>
      <w:r>
        <w:rPr>
          <w:sz w:val="16"/>
        </w:rPr>
        <w:t>t </w:t>
      </w:r>
      <w:r>
        <w:rPr>
          <w:position w:val="2"/>
          <w:sz w:val="24"/>
        </w:rPr>
        <w:t>= Costo por litro</w:t>
      </w:r>
      <w:r>
        <w:rPr>
          <w:sz w:val="16"/>
        </w:rPr>
        <w:t>t </w:t>
      </w:r>
      <w:r>
        <w:rPr>
          <w:position w:val="2"/>
          <w:sz w:val="24"/>
        </w:rPr>
        <w:t>*(1+ la tasa de</w:t>
      </w:r>
      <w:r>
        <w:rPr>
          <w:spacing w:val="12"/>
          <w:position w:val="2"/>
          <w:sz w:val="24"/>
        </w:rPr>
        <w:t> </w:t>
      </w:r>
      <w:r>
        <w:rPr>
          <w:position w:val="2"/>
          <w:sz w:val="24"/>
        </w:rPr>
        <w:t>inflación</w:t>
      </w:r>
      <w:r>
        <w:rPr>
          <w:sz w:val="16"/>
        </w:rPr>
        <w:t>t</w:t>
      </w:r>
      <w:r>
        <w:rPr>
          <w:position w:val="2"/>
          <w:sz w:val="24"/>
        </w:rPr>
        <w:t>)</w:t>
      </w:r>
    </w:p>
    <w:p>
      <w:pPr>
        <w:pStyle w:val="ListParagraph"/>
        <w:numPr>
          <w:ilvl w:val="0"/>
          <w:numId w:val="21"/>
        </w:numPr>
        <w:tabs>
          <w:tab w:pos="482" w:val="left" w:leader="none"/>
        </w:tabs>
        <w:spacing w:line="240" w:lineRule="auto" w:before="134" w:after="0"/>
        <w:ind w:left="482" w:right="0" w:hanging="380"/>
        <w:jc w:val="both"/>
        <w:rPr>
          <w:sz w:val="24"/>
        </w:rPr>
      </w:pPr>
      <w:r>
        <w:rPr>
          <w:position w:val="2"/>
          <w:sz w:val="24"/>
        </w:rPr>
        <w:t>Costo de abono orgánico</w:t>
      </w:r>
      <w:r>
        <w:rPr>
          <w:sz w:val="16"/>
        </w:rPr>
        <w:t>t </w:t>
      </w:r>
      <w:r>
        <w:rPr>
          <w:position w:val="2"/>
          <w:sz w:val="24"/>
        </w:rPr>
        <w:t>= Costo por kilogramo</w:t>
      </w:r>
      <w:r>
        <w:rPr>
          <w:sz w:val="16"/>
        </w:rPr>
        <w:t>t </w:t>
      </w:r>
      <w:r>
        <w:rPr>
          <w:position w:val="2"/>
          <w:sz w:val="24"/>
        </w:rPr>
        <w:t>*(1+ la tasa de</w:t>
      </w:r>
      <w:r>
        <w:rPr>
          <w:spacing w:val="31"/>
          <w:position w:val="2"/>
          <w:sz w:val="24"/>
        </w:rPr>
        <w:t> </w:t>
      </w:r>
      <w:r>
        <w:rPr>
          <w:position w:val="2"/>
          <w:sz w:val="24"/>
        </w:rPr>
        <w:t>inflación</w:t>
      </w:r>
      <w:r>
        <w:rPr>
          <w:sz w:val="16"/>
        </w:rPr>
        <w:t>t</w:t>
      </w:r>
      <w:r>
        <w:rPr>
          <w:position w:val="2"/>
          <w:sz w:val="24"/>
        </w:rPr>
        <w:t>)</w:t>
      </w:r>
    </w:p>
    <w:p>
      <w:pPr>
        <w:pStyle w:val="ListParagraph"/>
        <w:numPr>
          <w:ilvl w:val="0"/>
          <w:numId w:val="21"/>
        </w:numPr>
        <w:tabs>
          <w:tab w:pos="482" w:val="left" w:leader="none"/>
        </w:tabs>
        <w:spacing w:line="240" w:lineRule="auto" w:before="136" w:after="0"/>
        <w:ind w:left="482" w:right="0" w:hanging="380"/>
        <w:jc w:val="both"/>
        <w:rPr>
          <w:sz w:val="24"/>
        </w:rPr>
      </w:pPr>
      <w:r>
        <w:rPr>
          <w:position w:val="2"/>
          <w:sz w:val="24"/>
        </w:rPr>
        <w:t>Costo de abono inorgánico</w:t>
      </w:r>
      <w:r>
        <w:rPr>
          <w:sz w:val="16"/>
        </w:rPr>
        <w:t>t </w:t>
      </w:r>
      <w:r>
        <w:rPr>
          <w:position w:val="2"/>
          <w:sz w:val="24"/>
        </w:rPr>
        <w:t>= Costo por kilogramo</w:t>
      </w:r>
      <w:r>
        <w:rPr>
          <w:sz w:val="16"/>
        </w:rPr>
        <w:t>t </w:t>
      </w:r>
      <w:r>
        <w:rPr>
          <w:position w:val="2"/>
          <w:sz w:val="24"/>
        </w:rPr>
        <w:t>*(1 + la tasa de</w:t>
      </w:r>
      <w:r>
        <w:rPr>
          <w:spacing w:val="30"/>
          <w:position w:val="2"/>
          <w:sz w:val="24"/>
        </w:rPr>
        <w:t> </w:t>
      </w:r>
      <w:r>
        <w:rPr>
          <w:position w:val="2"/>
          <w:sz w:val="24"/>
        </w:rPr>
        <w:t>inflación</w:t>
      </w:r>
      <w:r>
        <w:rPr>
          <w:sz w:val="16"/>
        </w:rPr>
        <w:t>t</w:t>
      </w:r>
      <w:r>
        <w:rPr>
          <w:position w:val="2"/>
          <w:sz w:val="24"/>
        </w:rPr>
        <w:t>)</w:t>
      </w:r>
    </w:p>
    <w:p>
      <w:pPr>
        <w:pStyle w:val="ListParagraph"/>
        <w:numPr>
          <w:ilvl w:val="0"/>
          <w:numId w:val="21"/>
        </w:numPr>
        <w:tabs>
          <w:tab w:pos="482" w:val="left" w:leader="none"/>
        </w:tabs>
        <w:spacing w:line="240" w:lineRule="auto" w:before="134" w:after="0"/>
        <w:ind w:left="481" w:right="0" w:hanging="379"/>
        <w:jc w:val="both"/>
        <w:rPr>
          <w:sz w:val="24"/>
        </w:rPr>
      </w:pPr>
      <w:r>
        <w:rPr>
          <w:position w:val="2"/>
          <w:sz w:val="24"/>
        </w:rPr>
        <w:t>Costo de tractor</w:t>
      </w:r>
      <w:r>
        <w:rPr>
          <w:sz w:val="16"/>
        </w:rPr>
        <w:t>t </w:t>
      </w:r>
      <w:r>
        <w:rPr>
          <w:position w:val="2"/>
          <w:sz w:val="24"/>
        </w:rPr>
        <w:t>= Costo por arrendamiento</w:t>
      </w:r>
      <w:r>
        <w:rPr>
          <w:sz w:val="16"/>
        </w:rPr>
        <w:t>t  </w:t>
      </w:r>
      <w:r>
        <w:rPr>
          <w:position w:val="2"/>
          <w:sz w:val="24"/>
        </w:rPr>
        <w:t>*(1+ la tasa de</w:t>
      </w:r>
      <w:r>
        <w:rPr>
          <w:spacing w:val="-10"/>
          <w:position w:val="2"/>
          <w:sz w:val="24"/>
        </w:rPr>
        <w:t> </w:t>
      </w:r>
      <w:r>
        <w:rPr>
          <w:position w:val="2"/>
          <w:sz w:val="24"/>
        </w:rPr>
        <w:t>inflación</w:t>
      </w:r>
      <w:r>
        <w:rPr>
          <w:sz w:val="16"/>
        </w:rPr>
        <w:t>t</w:t>
      </w:r>
      <w:r>
        <w:rPr>
          <w:position w:val="2"/>
          <w:sz w:val="24"/>
        </w:rPr>
        <w:t>)</w:t>
      </w:r>
    </w:p>
    <w:p>
      <w:pPr>
        <w:pStyle w:val="ListParagraph"/>
        <w:numPr>
          <w:ilvl w:val="0"/>
          <w:numId w:val="21"/>
        </w:numPr>
        <w:tabs>
          <w:tab w:pos="482" w:val="left" w:leader="none"/>
        </w:tabs>
        <w:spacing w:line="240" w:lineRule="auto" w:before="137" w:after="0"/>
        <w:ind w:left="481" w:right="0" w:hanging="379"/>
        <w:jc w:val="both"/>
        <w:rPr>
          <w:sz w:val="24"/>
        </w:rPr>
      </w:pPr>
      <w:r>
        <w:rPr>
          <w:position w:val="2"/>
          <w:sz w:val="24"/>
        </w:rPr>
        <w:t>Riego</w:t>
      </w:r>
      <w:r>
        <w:rPr>
          <w:sz w:val="16"/>
        </w:rPr>
        <w:t>t </w:t>
      </w:r>
      <w:r>
        <w:rPr>
          <w:position w:val="2"/>
          <w:sz w:val="24"/>
        </w:rPr>
        <w:t>= Costo anual de riego</w:t>
      </w:r>
      <w:r>
        <w:rPr>
          <w:sz w:val="16"/>
        </w:rPr>
        <w:t>t </w:t>
      </w:r>
      <w:r>
        <w:rPr>
          <w:position w:val="2"/>
          <w:sz w:val="24"/>
        </w:rPr>
        <w:t>*(1 + la tasa de inflación para costo de</w:t>
      </w:r>
      <w:r>
        <w:rPr>
          <w:spacing w:val="26"/>
          <w:position w:val="2"/>
          <w:sz w:val="24"/>
        </w:rPr>
        <w:t> </w:t>
      </w:r>
      <w:r>
        <w:rPr>
          <w:position w:val="2"/>
          <w:sz w:val="24"/>
        </w:rPr>
        <w:t>riego</w:t>
      </w:r>
      <w:r>
        <w:rPr>
          <w:sz w:val="16"/>
        </w:rPr>
        <w:t>t</w:t>
      </w:r>
      <w:r>
        <w:rPr>
          <w:position w:val="2"/>
          <w:sz w:val="24"/>
        </w:rPr>
        <w:t>)</w:t>
      </w:r>
    </w:p>
    <w:p>
      <w:pPr>
        <w:pStyle w:val="ListParagraph"/>
        <w:numPr>
          <w:ilvl w:val="0"/>
          <w:numId w:val="21"/>
        </w:numPr>
        <w:tabs>
          <w:tab w:pos="482" w:val="left" w:leader="none"/>
        </w:tabs>
        <w:spacing w:line="240" w:lineRule="auto" w:before="134" w:after="0"/>
        <w:ind w:left="481" w:right="0" w:hanging="379"/>
        <w:jc w:val="both"/>
        <w:rPr>
          <w:sz w:val="24"/>
        </w:rPr>
      </w:pPr>
      <w:r>
        <w:rPr>
          <w:position w:val="2"/>
          <w:sz w:val="24"/>
        </w:rPr>
        <w:t>Gasolina</w:t>
      </w:r>
      <w:r>
        <w:rPr>
          <w:sz w:val="16"/>
        </w:rPr>
        <w:t>t </w:t>
      </w:r>
      <w:r>
        <w:rPr>
          <w:position w:val="2"/>
          <w:sz w:val="24"/>
        </w:rPr>
        <w:t>= Costo por litro</w:t>
      </w:r>
      <w:r>
        <w:rPr>
          <w:sz w:val="16"/>
        </w:rPr>
        <w:t>t </w:t>
      </w:r>
      <w:r>
        <w:rPr>
          <w:position w:val="2"/>
          <w:sz w:val="24"/>
        </w:rPr>
        <w:t>*(1 + la tasa de</w:t>
      </w:r>
      <w:r>
        <w:rPr>
          <w:spacing w:val="32"/>
          <w:position w:val="2"/>
          <w:sz w:val="24"/>
        </w:rPr>
        <w:t> </w:t>
      </w:r>
      <w:r>
        <w:rPr>
          <w:position w:val="2"/>
          <w:sz w:val="24"/>
        </w:rPr>
        <w:t>inflación</w:t>
      </w:r>
      <w:r>
        <w:rPr>
          <w:sz w:val="16"/>
        </w:rPr>
        <w:t>t</w:t>
      </w:r>
      <w:r>
        <w:rPr>
          <w:position w:val="2"/>
          <w:sz w:val="24"/>
        </w:rPr>
        <w:t>)</w:t>
      </w:r>
    </w:p>
    <w:p>
      <w:pPr>
        <w:pStyle w:val="ListParagraph"/>
        <w:numPr>
          <w:ilvl w:val="0"/>
          <w:numId w:val="21"/>
        </w:numPr>
        <w:tabs>
          <w:tab w:pos="491" w:val="left" w:leader="none"/>
        </w:tabs>
        <w:spacing w:line="357" w:lineRule="auto" w:before="136" w:after="0"/>
        <w:ind w:left="102" w:right="117" w:firstLine="0"/>
        <w:jc w:val="left"/>
        <w:rPr>
          <w:sz w:val="24"/>
        </w:rPr>
      </w:pPr>
      <w:r>
        <w:rPr>
          <w:position w:val="2"/>
          <w:sz w:val="24"/>
        </w:rPr>
        <w:t>Costo por ensilar</w:t>
      </w:r>
      <w:r>
        <w:rPr>
          <w:sz w:val="16"/>
        </w:rPr>
        <w:t>t = </w:t>
      </w:r>
      <w:r>
        <w:rPr>
          <w:position w:val="2"/>
          <w:sz w:val="24"/>
        </w:rPr>
        <w:t>Costo de mano de obra</w:t>
      </w:r>
      <w:r>
        <w:rPr>
          <w:sz w:val="16"/>
        </w:rPr>
        <w:t>t </w:t>
      </w:r>
      <w:r>
        <w:rPr>
          <w:position w:val="2"/>
          <w:sz w:val="24"/>
        </w:rPr>
        <w:t>+ Costo de materiales para ensilar</w:t>
      </w:r>
      <w:r>
        <w:rPr>
          <w:sz w:val="16"/>
        </w:rPr>
        <w:t>t </w:t>
      </w:r>
      <w:r>
        <w:rPr>
          <w:position w:val="2"/>
          <w:sz w:val="24"/>
        </w:rPr>
        <w:t>*(1 + la tasa de</w:t>
      </w:r>
      <w:r>
        <w:rPr>
          <w:spacing w:val="-4"/>
          <w:position w:val="2"/>
          <w:sz w:val="24"/>
        </w:rPr>
        <w:t> </w:t>
      </w:r>
      <w:r>
        <w:rPr>
          <w:position w:val="2"/>
          <w:sz w:val="24"/>
        </w:rPr>
        <w:t>inflación</w:t>
      </w:r>
      <w:r>
        <w:rPr>
          <w:sz w:val="16"/>
        </w:rPr>
        <w:t>t</w:t>
      </w:r>
      <w:r>
        <w:rPr>
          <w:position w:val="2"/>
          <w:sz w:val="24"/>
        </w:rPr>
        <w:t>).</w:t>
      </w:r>
    </w:p>
    <w:p>
      <w:pPr>
        <w:pStyle w:val="BodyText"/>
      </w:pPr>
    </w:p>
    <w:p>
      <w:pPr>
        <w:pStyle w:val="BodyText"/>
        <w:spacing w:line="360" w:lineRule="auto" w:before="142"/>
        <w:ind w:left="102" w:right="116"/>
        <w:jc w:val="both"/>
      </w:pPr>
      <w:r>
        <w:rPr/>
        <w:t>La depreciación para maquinaria y equipo agrícola se calculó, asumiendo un programa de depreciación en línea recta y de acuerdo a los porcentajes de depreciación que marca la SAGARPA para el sector primario o agropecuario.</w:t>
      </w:r>
    </w:p>
    <w:p>
      <w:pPr>
        <w:pStyle w:val="BodyText"/>
        <w:spacing w:before="7"/>
        <w:rPr>
          <w:sz w:val="29"/>
        </w:rPr>
      </w:pPr>
    </w:p>
    <w:p>
      <w:pPr>
        <w:spacing w:after="0"/>
        <w:rPr>
          <w:sz w:val="29"/>
        </w:rPr>
        <w:sectPr>
          <w:footerReference w:type="default" r:id="rId101"/>
          <w:pgSz w:w="12240" w:h="15840"/>
          <w:pgMar w:footer="657" w:header="0" w:top="1360" w:bottom="840" w:left="1600" w:right="1580"/>
        </w:sectPr>
      </w:pPr>
    </w:p>
    <w:p>
      <w:pPr>
        <w:tabs>
          <w:tab w:pos="497" w:val="left" w:leader="none"/>
        </w:tabs>
        <w:spacing w:line="109" w:lineRule="exact" w:before="76"/>
        <w:ind w:left="0" w:right="0" w:firstLine="0"/>
        <w:jc w:val="right"/>
        <w:rPr>
          <w:rFonts w:ascii="Cambria Math" w:hAnsi="Cambria Math" w:eastAsia="Cambria Math"/>
          <w:sz w:val="17"/>
        </w:rPr>
      </w:pPr>
      <w:r>
        <w:rPr>
          <w:rFonts w:ascii="Cambria Math" w:hAnsi="Cambria Math" w:eastAsia="Cambria Math"/>
          <w:position w:val="-3"/>
          <w:sz w:val="17"/>
        </w:rPr>
        <w:t>��</w:t>
        <w:tab/>
      </w:r>
      <w:r>
        <w:rPr>
          <w:sz w:val="17"/>
          <w:u w:val="single"/>
        </w:rPr>
        <w:t> </w:t>
      </w:r>
      <w:r>
        <w:rPr>
          <w:rFonts w:ascii="Cambria Math" w:hAnsi="Cambria Math" w:eastAsia="Cambria Math"/>
          <w:spacing w:val="-45"/>
          <w:sz w:val="17"/>
          <w:u w:val="single"/>
        </w:rPr>
        <w:t>(𝑃</w:t>
      </w:r>
      <w:r>
        <w:rPr>
          <w:rFonts w:ascii="Cambria Math" w:hAnsi="Cambria Math" w:eastAsia="Cambria Math"/>
          <w:spacing w:val="-45"/>
          <w:position w:val="-3"/>
          <w:sz w:val="14"/>
          <w:u w:val="single"/>
        </w:rPr>
        <w:t>𝑖</w:t>
      </w:r>
      <w:r>
        <w:rPr>
          <w:rFonts w:ascii="Cambria Math" w:hAnsi="Cambria Math" w:eastAsia="Cambria Math"/>
          <w:spacing w:val="-45"/>
          <w:sz w:val="17"/>
          <w:u w:val="single"/>
        </w:rPr>
        <w:t>−��</w:t>
      </w:r>
      <w:r>
        <w:rPr>
          <w:rFonts w:ascii="Cambria Math" w:hAnsi="Cambria Math" w:eastAsia="Cambria Math"/>
          <w:spacing w:val="-45"/>
          <w:position w:val="-3"/>
          <w:sz w:val="14"/>
          <w:u w:val="single"/>
        </w:rPr>
        <w:t>𝑖</w:t>
      </w:r>
      <w:r>
        <w:rPr>
          <w:rFonts w:ascii="Cambria Math" w:hAnsi="Cambria Math" w:eastAsia="Cambria Math"/>
          <w:spacing w:val="-45"/>
          <w:sz w:val="17"/>
          <w:u w:val="single"/>
        </w:rPr>
        <w:t>)</w:t>
      </w:r>
    </w:p>
    <w:p>
      <w:pPr>
        <w:pStyle w:val="ListParagraph"/>
        <w:numPr>
          <w:ilvl w:val="0"/>
          <w:numId w:val="21"/>
        </w:numPr>
        <w:tabs>
          <w:tab w:pos="3100" w:val="left" w:leader="none"/>
        </w:tabs>
        <w:spacing w:line="106" w:lineRule="exact" w:before="79" w:after="0"/>
        <w:ind w:left="3099" w:right="198" w:hanging="321"/>
        <w:jc w:val="right"/>
        <w:rPr>
          <w:sz w:val="24"/>
        </w:rPr>
      </w:pPr>
      <w:r>
        <w:rPr>
          <w:sz w:val="24"/>
        </w:rPr>
        <w:br w:type="column"/>
      </w:r>
    </w:p>
    <w:p>
      <w:pPr>
        <w:spacing w:after="0" w:line="106" w:lineRule="exact"/>
        <w:jc w:val="right"/>
        <w:rPr>
          <w:sz w:val="24"/>
        </w:rPr>
        <w:sectPr>
          <w:type w:val="continuous"/>
          <w:pgSz w:w="12240" w:h="15840"/>
          <w:pgMar w:top="1360" w:bottom="280" w:left="1600" w:right="1580"/>
          <w:cols w:num="2" w:equalWidth="0">
            <w:col w:w="5722" w:space="40"/>
            <w:col w:w="3298"/>
          </w:cols>
        </w:sectPr>
      </w:pPr>
    </w:p>
    <w:p>
      <w:pPr>
        <w:spacing w:line="291" w:lineRule="exact" w:before="0"/>
        <w:ind w:left="2665" w:right="0" w:firstLine="0"/>
        <w:jc w:val="left"/>
        <w:rPr>
          <w:rFonts w:ascii="Cambria Math" w:hAnsi="Cambria Math" w:eastAsia="Cambria Math"/>
          <w:sz w:val="24"/>
        </w:rPr>
      </w:pPr>
      <w:r>
        <w:rPr>
          <w:position w:val="2"/>
          <w:sz w:val="24"/>
        </w:rPr>
        <w:t>Depreciación</w:t>
      </w:r>
      <w:r>
        <w:rPr>
          <w:sz w:val="16"/>
        </w:rPr>
        <w:t>t </w:t>
      </w:r>
      <w:r>
        <w:rPr>
          <w:position w:val="2"/>
          <w:sz w:val="24"/>
        </w:rPr>
        <w:t>= </w:t>
      </w:r>
      <w:r>
        <w:rPr>
          <w:rFonts w:ascii="Cambria Math" w:hAnsi="Cambria Math" w:eastAsia="Cambria Math"/>
          <w:position w:val="2"/>
          <w:sz w:val="24"/>
        </w:rPr>
        <w:t>[�</w:t>
      </w:r>
      <w:r>
        <w:rPr>
          <w:rFonts w:ascii="Cambria Math" w:hAnsi="Cambria Math" w:eastAsia="Cambria Math"/>
          <w:position w:val="-3"/>
          <w:sz w:val="17"/>
        </w:rPr>
        <w:t>1� </w:t>
      </w:r>
      <w:r>
        <w:rPr>
          <w:rFonts w:ascii="Cambria Math" w:hAnsi="Cambria Math" w:eastAsia="Cambria Math"/>
          <w:position w:val="2"/>
          <w:sz w:val="24"/>
        </w:rPr>
        <w:t>=</w:t>
      </w:r>
    </w:p>
    <w:p>
      <w:pPr>
        <w:spacing w:line="200" w:lineRule="exact" w:before="0"/>
        <w:ind w:left="743" w:right="0" w:firstLine="0"/>
        <w:jc w:val="left"/>
        <w:rPr>
          <w:rFonts w:ascii="Cambria Math"/>
          <w:sz w:val="24"/>
        </w:rPr>
      </w:pPr>
      <w:r>
        <w:rPr/>
        <w:br w:type="column"/>
      </w:r>
      <w:r>
        <w:rPr>
          <w:rFonts w:ascii="Cambria Math"/>
          <w:w w:val="105"/>
          <w:sz w:val="24"/>
        </w:rPr>
        <w:t>]</w:t>
      </w:r>
    </w:p>
    <w:p>
      <w:pPr>
        <w:spacing w:line="185" w:lineRule="exact" w:before="0"/>
        <w:ind w:left="237" w:right="0" w:firstLine="0"/>
        <w:jc w:val="lef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spacing w:after="0" w:line="185" w:lineRule="exact"/>
        <w:jc w:val="left"/>
        <w:rPr>
          <w:rFonts w:ascii="Cambria Math" w:eastAsia="Cambria Math"/>
          <w:sz w:val="14"/>
        </w:rPr>
        <w:sectPr>
          <w:type w:val="continuous"/>
          <w:pgSz w:w="12240" w:h="15840"/>
          <w:pgMar w:top="1360" w:bottom="280" w:left="1600" w:right="1580"/>
          <w:cols w:num="2" w:equalWidth="0">
            <w:col w:w="4938" w:space="40"/>
            <w:col w:w="4082"/>
          </w:cols>
        </w:sectPr>
      </w:pPr>
    </w:p>
    <w:p>
      <w:pPr>
        <w:pStyle w:val="BodyText"/>
        <w:rPr>
          <w:rFonts w:ascii="Cambria Math"/>
          <w:sz w:val="20"/>
        </w:rPr>
      </w:pPr>
    </w:p>
    <w:p>
      <w:pPr>
        <w:pStyle w:val="BodyText"/>
        <w:spacing w:before="4"/>
        <w:rPr>
          <w:rFonts w:ascii="Cambria Math"/>
          <w:sz w:val="22"/>
        </w:rPr>
      </w:pPr>
    </w:p>
    <w:p>
      <w:pPr>
        <w:pStyle w:val="BodyText"/>
        <w:spacing w:before="75"/>
        <w:ind w:left="102"/>
      </w:pPr>
      <w:r>
        <w:rPr/>
        <w:pict>
          <v:shape style="position:absolute;margin-left:127.459999pt;margin-top:12.801236pt;width:7.95pt;height:8.550pt;mso-position-horizontal-relative:page;mso-position-vertical-relative:paragraph;z-index:-460384"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53"/>
                      <w:sz w:val="17"/>
                    </w:rPr>
                    <w:t>�</w:t>
                  </w:r>
                </w:p>
              </w:txbxContent>
            </v:textbox>
            <w10:wrap type="none"/>
          </v:shape>
        </w:pict>
      </w:r>
      <w:r>
        <w:rPr/>
        <w:t>Donde </w:t>
      </w:r>
      <w:r>
        <w:rPr>
          <w:rFonts w:ascii="Cambria Math" w:hAnsi="Cambria Math" w:eastAsia="Cambria Math"/>
        </w:rPr>
        <w:t>�</w:t>
      </w:r>
      <w:r>
        <w:rPr>
          <w:rFonts w:ascii="Cambria Math" w:hAnsi="Cambria Math" w:eastAsia="Cambria Math"/>
          <w:position w:val="10"/>
          <w:sz w:val="17"/>
        </w:rPr>
        <w:t>�� </w:t>
      </w:r>
      <w:r>
        <w:rPr/>
        <w:t>es el costo anual por depreciación del insumo </w:t>
      </w:r>
      <w:r>
        <w:rPr>
          <w:rFonts w:ascii="Cambria Math" w:hAnsi="Cambria Math" w:eastAsia="Cambria Math"/>
        </w:rPr>
        <w:t>𝑖</w:t>
      </w:r>
      <w:r>
        <w:rPr/>
        <w:t>, </w:t>
      </w:r>
      <w:r>
        <w:rPr>
          <w:rFonts w:ascii="Cambria Math" w:hAnsi="Cambria Math" w:eastAsia="Cambria Math"/>
        </w:rPr>
        <w:t>�</w:t>
      </w:r>
      <w:r>
        <w:rPr>
          <w:rFonts w:ascii="Cambria Math" w:hAnsi="Cambria Math" w:eastAsia="Cambria Math"/>
          <w:position w:val="-4"/>
          <w:sz w:val="17"/>
        </w:rPr>
        <w:t>� </w:t>
      </w:r>
      <w:r>
        <w:rPr/>
        <w:t>es el valor histórico del</w:t>
      </w:r>
    </w:p>
    <w:p>
      <w:pPr>
        <w:pStyle w:val="BodyText"/>
        <w:spacing w:before="111"/>
        <w:ind w:left="102"/>
        <w:jc w:val="both"/>
      </w:pPr>
      <w:r>
        <w:rPr>
          <w:w w:val="95"/>
        </w:rPr>
        <w:t>activo </w:t>
      </w:r>
      <w:r>
        <w:rPr>
          <w:rFonts w:ascii="Cambria Math" w:hAnsi="Cambria Math" w:eastAsia="Cambria Math"/>
          <w:w w:val="95"/>
        </w:rPr>
        <w:t>𝑖</w:t>
      </w:r>
      <w:r>
        <w:rPr>
          <w:w w:val="95"/>
        </w:rPr>
        <w:t>, </w:t>
      </w:r>
      <w:r>
        <w:rPr>
          <w:rFonts w:ascii="Cambria Math" w:hAnsi="Cambria Math" w:eastAsia="Cambria Math"/>
          <w:w w:val="95"/>
        </w:rPr>
        <w:t>��</w:t>
      </w:r>
      <w:r>
        <w:rPr>
          <w:rFonts w:ascii="Cambria Math" w:hAnsi="Cambria Math" w:eastAsia="Cambria Math"/>
          <w:w w:val="95"/>
          <w:position w:val="-4"/>
          <w:sz w:val="17"/>
        </w:rPr>
        <w:t>� </w:t>
      </w:r>
      <w:r>
        <w:rPr>
          <w:w w:val="95"/>
        </w:rPr>
        <w:t>es el valor residual del activo </w:t>
      </w:r>
      <w:r>
        <w:rPr>
          <w:rFonts w:ascii="Cambria Math" w:hAnsi="Cambria Math" w:eastAsia="Cambria Math"/>
          <w:w w:val="95"/>
        </w:rPr>
        <w:t>𝑖</w:t>
      </w:r>
      <w:r>
        <w:rPr>
          <w:w w:val="95"/>
        </w:rPr>
        <w:t>, </w:t>
      </w:r>
      <w:r>
        <w:rPr>
          <w:rFonts w:ascii="Cambria Math" w:hAnsi="Cambria Math" w:eastAsia="Cambria Math"/>
          <w:w w:val="95"/>
        </w:rPr>
        <w:t>��</w:t>
      </w:r>
      <w:r>
        <w:rPr>
          <w:rFonts w:ascii="Cambria Math" w:hAnsi="Cambria Math" w:eastAsia="Cambria Math"/>
          <w:w w:val="95"/>
          <w:position w:val="-4"/>
          <w:sz w:val="17"/>
        </w:rPr>
        <w:t>� </w:t>
      </w:r>
      <w:r>
        <w:rPr>
          <w:w w:val="95"/>
        </w:rPr>
        <w:t>es la vida útil del activo </w:t>
      </w:r>
      <w:r>
        <w:rPr>
          <w:rFonts w:ascii="Cambria Math" w:hAnsi="Cambria Math" w:eastAsia="Cambria Math"/>
          <w:w w:val="95"/>
        </w:rPr>
        <w:t>𝑖</w:t>
      </w:r>
      <w:r>
        <w:rPr>
          <w:w w:val="95"/>
        </w:rPr>
        <w:t>.</w:t>
      </w:r>
    </w:p>
    <w:p>
      <w:pPr>
        <w:pStyle w:val="BodyText"/>
        <w:rPr>
          <w:sz w:val="26"/>
        </w:rPr>
      </w:pPr>
    </w:p>
    <w:p>
      <w:pPr>
        <w:pStyle w:val="BodyText"/>
        <w:rPr>
          <w:sz w:val="26"/>
        </w:rPr>
      </w:pPr>
    </w:p>
    <w:p>
      <w:pPr>
        <w:pStyle w:val="Heading2"/>
        <w:numPr>
          <w:ilvl w:val="3"/>
          <w:numId w:val="20"/>
        </w:numPr>
        <w:tabs>
          <w:tab w:pos="825" w:val="left" w:leader="none"/>
        </w:tabs>
        <w:spacing w:line="240" w:lineRule="auto" w:before="189" w:after="0"/>
        <w:ind w:left="824" w:right="0" w:hanging="722"/>
        <w:jc w:val="both"/>
        <w:rPr>
          <w:i/>
        </w:rPr>
      </w:pPr>
      <w:bookmarkStart w:name="_TOC_250006" w:id="36"/>
      <w:r>
        <w:rPr>
          <w:i/>
        </w:rPr>
        <w:t>Variables de flujo de</w:t>
      </w:r>
      <w:r>
        <w:rPr>
          <w:i/>
          <w:spacing w:val="-10"/>
        </w:rPr>
        <w:t> </w:t>
      </w:r>
      <w:bookmarkEnd w:id="36"/>
      <w:r>
        <w:rPr>
          <w:i/>
        </w:rPr>
        <w:t>caja</w:t>
      </w:r>
    </w:p>
    <w:p>
      <w:pPr>
        <w:pStyle w:val="BodyText"/>
        <w:rPr>
          <w:b/>
          <w:i/>
        </w:rPr>
      </w:pPr>
    </w:p>
    <w:p>
      <w:pPr>
        <w:pStyle w:val="BodyText"/>
        <w:rPr>
          <w:b/>
          <w:i/>
        </w:rPr>
      </w:pPr>
    </w:p>
    <w:p>
      <w:pPr>
        <w:pStyle w:val="BodyText"/>
        <w:spacing w:before="5"/>
        <w:rPr>
          <w:b/>
          <w:i/>
          <w:sz w:val="34"/>
        </w:rPr>
      </w:pPr>
    </w:p>
    <w:p>
      <w:pPr>
        <w:pStyle w:val="BodyText"/>
        <w:spacing w:line="360" w:lineRule="auto"/>
        <w:ind w:left="102" w:right="118"/>
        <w:jc w:val="both"/>
      </w:pPr>
      <w:r>
        <w:rPr/>
        <w:t>El</w:t>
      </w:r>
      <w:r>
        <w:rPr>
          <w:spacing w:val="-6"/>
        </w:rPr>
        <w:t> </w:t>
      </w:r>
      <w:r>
        <w:rPr/>
        <w:t>flujo</w:t>
      </w:r>
      <w:r>
        <w:rPr>
          <w:spacing w:val="-6"/>
        </w:rPr>
        <w:t> </w:t>
      </w:r>
      <w:r>
        <w:rPr/>
        <w:t>de</w:t>
      </w:r>
      <w:r>
        <w:rPr>
          <w:spacing w:val="-5"/>
        </w:rPr>
        <w:t> </w:t>
      </w:r>
      <w:r>
        <w:rPr/>
        <w:t>efectivo</w:t>
      </w:r>
      <w:r>
        <w:rPr>
          <w:spacing w:val="-6"/>
        </w:rPr>
        <w:t> </w:t>
      </w:r>
      <w:r>
        <w:rPr/>
        <w:t>de</w:t>
      </w:r>
      <w:r>
        <w:rPr>
          <w:spacing w:val="-7"/>
        </w:rPr>
        <w:t> </w:t>
      </w:r>
      <w:r>
        <w:rPr/>
        <w:t>una</w:t>
      </w:r>
      <w:r>
        <w:rPr>
          <w:spacing w:val="-7"/>
        </w:rPr>
        <w:t> </w:t>
      </w:r>
      <w:r>
        <w:rPr/>
        <w:t>inversión</w:t>
      </w:r>
      <w:r>
        <w:rPr>
          <w:spacing w:val="-1"/>
        </w:rPr>
        <w:t> </w:t>
      </w:r>
      <w:r>
        <w:rPr/>
        <w:t>es</w:t>
      </w:r>
      <w:r>
        <w:rPr>
          <w:spacing w:val="-4"/>
        </w:rPr>
        <w:t> </w:t>
      </w:r>
      <w:r>
        <w:rPr/>
        <w:t>a</w:t>
      </w:r>
      <w:r>
        <w:rPr>
          <w:spacing w:val="-7"/>
        </w:rPr>
        <w:t> </w:t>
      </w:r>
      <w:r>
        <w:rPr/>
        <w:t>menudo</w:t>
      </w:r>
      <w:r>
        <w:rPr>
          <w:spacing w:val="-1"/>
        </w:rPr>
        <w:t> </w:t>
      </w:r>
      <w:r>
        <w:rPr/>
        <w:t>el</w:t>
      </w:r>
      <w:r>
        <w:rPr>
          <w:spacing w:val="-6"/>
        </w:rPr>
        <w:t> </w:t>
      </w:r>
      <w:r>
        <w:rPr/>
        <w:t>factor</w:t>
      </w:r>
      <w:r>
        <w:rPr>
          <w:spacing w:val="-6"/>
        </w:rPr>
        <w:t> </w:t>
      </w:r>
      <w:r>
        <w:rPr/>
        <w:t>más</w:t>
      </w:r>
      <w:r>
        <w:rPr>
          <w:spacing w:val="-6"/>
        </w:rPr>
        <w:t> </w:t>
      </w:r>
      <w:r>
        <w:rPr/>
        <w:t>crítico</w:t>
      </w:r>
      <w:r>
        <w:rPr>
          <w:spacing w:val="-6"/>
        </w:rPr>
        <w:t> </w:t>
      </w:r>
      <w:r>
        <w:rPr/>
        <w:t>para</w:t>
      </w:r>
      <w:r>
        <w:rPr>
          <w:spacing w:val="-6"/>
        </w:rPr>
        <w:t> </w:t>
      </w:r>
      <w:r>
        <w:rPr/>
        <w:t>el</w:t>
      </w:r>
      <w:r>
        <w:rPr>
          <w:spacing w:val="-6"/>
        </w:rPr>
        <w:t> </w:t>
      </w:r>
      <w:r>
        <w:rPr/>
        <w:t>éxito</w:t>
      </w:r>
      <w:r>
        <w:rPr>
          <w:spacing w:val="-6"/>
        </w:rPr>
        <w:t> </w:t>
      </w:r>
      <w:r>
        <w:rPr/>
        <w:t>o</w:t>
      </w:r>
      <w:r>
        <w:rPr>
          <w:spacing w:val="-6"/>
        </w:rPr>
        <w:t> </w:t>
      </w:r>
      <w:r>
        <w:rPr/>
        <w:t>fracaso en el retorno de la inversión (Richardson y Mapp, 1976). Los flujos de efectivo anuales se calculan utilizando las ecuaciones 50-51. Los cálculos de flujo de efectivo se inician con</w:t>
      </w:r>
      <w:r>
        <w:rPr>
          <w:spacing w:val="-18"/>
        </w:rPr>
        <w:t> </w:t>
      </w:r>
      <w:r>
        <w:rPr/>
        <w:t>los intereses</w:t>
      </w:r>
      <w:r>
        <w:rPr>
          <w:spacing w:val="19"/>
        </w:rPr>
        <w:t> </w:t>
      </w:r>
      <w:r>
        <w:rPr/>
        <w:t>devengados</w:t>
      </w:r>
      <w:r>
        <w:rPr>
          <w:spacing w:val="19"/>
        </w:rPr>
        <w:t> </w:t>
      </w:r>
      <w:r>
        <w:rPr/>
        <w:t>por</w:t>
      </w:r>
      <w:r>
        <w:rPr>
          <w:spacing w:val="18"/>
        </w:rPr>
        <w:t> </w:t>
      </w:r>
      <w:r>
        <w:rPr/>
        <w:t>las</w:t>
      </w:r>
      <w:r>
        <w:rPr>
          <w:spacing w:val="19"/>
        </w:rPr>
        <w:t> </w:t>
      </w:r>
      <w:r>
        <w:rPr/>
        <w:t>reservas</w:t>
      </w:r>
      <w:r>
        <w:rPr>
          <w:spacing w:val="21"/>
        </w:rPr>
        <w:t> </w:t>
      </w:r>
      <w:r>
        <w:rPr/>
        <w:t>de</w:t>
      </w:r>
      <w:r>
        <w:rPr>
          <w:spacing w:val="18"/>
        </w:rPr>
        <w:t> </w:t>
      </w:r>
      <w:r>
        <w:rPr/>
        <w:t>efectivo</w:t>
      </w:r>
      <w:r>
        <w:rPr>
          <w:spacing w:val="19"/>
        </w:rPr>
        <w:t> </w:t>
      </w:r>
      <w:r>
        <w:rPr/>
        <w:t>del</w:t>
      </w:r>
      <w:r>
        <w:rPr>
          <w:spacing w:val="19"/>
        </w:rPr>
        <w:t> </w:t>
      </w:r>
      <w:r>
        <w:rPr/>
        <w:t>año</w:t>
      </w:r>
      <w:r>
        <w:rPr>
          <w:spacing w:val="19"/>
        </w:rPr>
        <w:t> </w:t>
      </w:r>
      <w:r>
        <w:rPr/>
        <w:t>anterior</w:t>
      </w:r>
      <w:r>
        <w:rPr>
          <w:spacing w:val="19"/>
        </w:rPr>
        <w:t> </w:t>
      </w:r>
      <w:r>
        <w:rPr/>
        <w:t>(50).</w:t>
      </w:r>
      <w:r>
        <w:rPr>
          <w:spacing w:val="19"/>
        </w:rPr>
        <w:t> </w:t>
      </w:r>
      <w:r>
        <w:rPr/>
        <w:t>Flujos</w:t>
      </w:r>
      <w:r>
        <w:rPr>
          <w:spacing w:val="20"/>
        </w:rPr>
        <w:t> </w:t>
      </w:r>
      <w:r>
        <w:rPr/>
        <w:t>de</w:t>
      </w:r>
      <w:r>
        <w:rPr>
          <w:spacing w:val="18"/>
        </w:rPr>
        <w:t> </w:t>
      </w:r>
      <w:r>
        <w:rPr/>
        <w:t>efectivo</w:t>
      </w:r>
    </w:p>
    <w:p>
      <w:pPr>
        <w:spacing w:after="0" w:line="360" w:lineRule="auto"/>
        <w:jc w:val="both"/>
        <w:sectPr>
          <w:type w:val="continuous"/>
          <w:pgSz w:w="12240" w:h="15840"/>
          <w:pgMar w:top="1360" w:bottom="280" w:left="1600" w:right="1580"/>
        </w:sectPr>
      </w:pPr>
    </w:p>
    <w:p>
      <w:pPr>
        <w:pStyle w:val="BodyText"/>
        <w:spacing w:line="362" w:lineRule="auto" w:before="50"/>
        <w:ind w:left="102" w:right="124"/>
        <w:jc w:val="both"/>
      </w:pPr>
      <w:r>
        <w:rPr/>
        <w:t>totales (51) es la suma de los ingresos netos de efectivo generados en el ejercicio más las reservas de caja positiva al 1 de enero y los intereses devengados.</w:t>
      </w:r>
    </w:p>
    <w:p>
      <w:pPr>
        <w:pStyle w:val="BodyText"/>
      </w:pPr>
    </w:p>
    <w:p>
      <w:pPr>
        <w:pStyle w:val="ListParagraph"/>
        <w:numPr>
          <w:ilvl w:val="0"/>
          <w:numId w:val="21"/>
        </w:numPr>
        <w:tabs>
          <w:tab w:pos="544" w:val="left" w:leader="none"/>
        </w:tabs>
        <w:spacing w:line="240" w:lineRule="auto" w:before="139" w:after="0"/>
        <w:ind w:left="543" w:right="0" w:hanging="441"/>
        <w:jc w:val="both"/>
        <w:rPr>
          <w:sz w:val="16"/>
        </w:rPr>
      </w:pPr>
      <w:r>
        <w:rPr>
          <w:position w:val="2"/>
          <w:sz w:val="24"/>
        </w:rPr>
        <w:t>Intereses Ganados</w:t>
      </w:r>
      <w:r>
        <w:rPr>
          <w:sz w:val="16"/>
        </w:rPr>
        <w:t>t </w:t>
      </w:r>
      <w:r>
        <w:rPr>
          <w:position w:val="2"/>
          <w:sz w:val="24"/>
        </w:rPr>
        <w:t>= Reserva en efectivo positivas</w:t>
      </w:r>
      <w:r>
        <w:rPr>
          <w:sz w:val="16"/>
        </w:rPr>
        <w:t>t-1 </w:t>
      </w:r>
      <w:r>
        <w:rPr>
          <w:position w:val="2"/>
          <w:sz w:val="24"/>
        </w:rPr>
        <w:t>* Tasa de</w:t>
      </w:r>
      <w:r>
        <w:rPr>
          <w:spacing w:val="24"/>
          <w:position w:val="2"/>
          <w:sz w:val="24"/>
        </w:rPr>
        <w:t> </w:t>
      </w:r>
      <w:r>
        <w:rPr>
          <w:position w:val="2"/>
          <w:sz w:val="24"/>
        </w:rPr>
        <w:t>interés</w:t>
      </w:r>
      <w:r>
        <w:rPr>
          <w:sz w:val="16"/>
        </w:rPr>
        <w:t>t</w:t>
      </w:r>
    </w:p>
    <w:p>
      <w:pPr>
        <w:pStyle w:val="ListParagraph"/>
        <w:numPr>
          <w:ilvl w:val="0"/>
          <w:numId w:val="21"/>
        </w:numPr>
        <w:tabs>
          <w:tab w:pos="470" w:val="left" w:leader="none"/>
        </w:tabs>
        <w:spacing w:line="240" w:lineRule="auto" w:before="134" w:after="0"/>
        <w:ind w:left="469" w:right="0" w:hanging="367"/>
        <w:jc w:val="both"/>
        <w:rPr>
          <w:sz w:val="16"/>
        </w:rPr>
      </w:pPr>
      <w:r>
        <w:rPr>
          <w:position w:val="2"/>
          <w:sz w:val="24"/>
        </w:rPr>
        <w:t>Flujos</w:t>
      </w:r>
      <w:r>
        <w:rPr>
          <w:spacing w:val="-13"/>
          <w:position w:val="2"/>
          <w:sz w:val="24"/>
        </w:rPr>
        <w:t> </w:t>
      </w:r>
      <w:r>
        <w:rPr>
          <w:position w:val="2"/>
          <w:sz w:val="24"/>
        </w:rPr>
        <w:t>de</w:t>
      </w:r>
      <w:r>
        <w:rPr>
          <w:spacing w:val="-12"/>
          <w:position w:val="2"/>
          <w:sz w:val="24"/>
        </w:rPr>
        <w:t> </w:t>
      </w:r>
      <w:r>
        <w:rPr>
          <w:position w:val="2"/>
          <w:sz w:val="24"/>
        </w:rPr>
        <w:t>efectivo</w:t>
      </w:r>
      <w:r>
        <w:rPr>
          <w:sz w:val="16"/>
        </w:rPr>
        <w:t>t</w:t>
      </w:r>
      <w:r>
        <w:rPr>
          <w:spacing w:val="8"/>
          <w:sz w:val="16"/>
        </w:rPr>
        <w:t> </w:t>
      </w:r>
      <w:r>
        <w:rPr>
          <w:position w:val="2"/>
          <w:sz w:val="24"/>
        </w:rPr>
        <w:t>=</w:t>
      </w:r>
      <w:r>
        <w:rPr>
          <w:spacing w:val="-12"/>
          <w:position w:val="2"/>
          <w:sz w:val="24"/>
        </w:rPr>
        <w:t> </w:t>
      </w:r>
      <w:r>
        <w:rPr>
          <w:position w:val="2"/>
          <w:sz w:val="24"/>
        </w:rPr>
        <w:t>Utilidad</w:t>
      </w:r>
      <w:r>
        <w:rPr>
          <w:spacing w:val="-14"/>
          <w:position w:val="2"/>
          <w:sz w:val="24"/>
        </w:rPr>
        <w:t> </w:t>
      </w:r>
      <w:r>
        <w:rPr>
          <w:position w:val="2"/>
          <w:sz w:val="24"/>
        </w:rPr>
        <w:t>Neta</w:t>
      </w:r>
      <w:r>
        <w:rPr>
          <w:spacing w:val="-12"/>
          <w:position w:val="2"/>
          <w:sz w:val="24"/>
        </w:rPr>
        <w:t> </w:t>
      </w:r>
      <w:r>
        <w:rPr>
          <w:position w:val="2"/>
          <w:sz w:val="24"/>
        </w:rPr>
        <w:t>+</w:t>
      </w:r>
      <w:r>
        <w:rPr>
          <w:spacing w:val="-14"/>
          <w:position w:val="2"/>
          <w:sz w:val="24"/>
        </w:rPr>
        <w:t> </w:t>
      </w:r>
      <w:r>
        <w:rPr>
          <w:position w:val="2"/>
          <w:sz w:val="24"/>
        </w:rPr>
        <w:t>Reserva</w:t>
      </w:r>
      <w:r>
        <w:rPr>
          <w:spacing w:val="-13"/>
          <w:position w:val="2"/>
          <w:sz w:val="24"/>
        </w:rPr>
        <w:t> </w:t>
      </w:r>
      <w:r>
        <w:rPr>
          <w:position w:val="2"/>
          <w:sz w:val="24"/>
        </w:rPr>
        <w:t>en</w:t>
      </w:r>
      <w:r>
        <w:rPr>
          <w:spacing w:val="-13"/>
          <w:position w:val="2"/>
          <w:sz w:val="24"/>
        </w:rPr>
        <w:t> </w:t>
      </w:r>
      <w:r>
        <w:rPr>
          <w:position w:val="2"/>
          <w:sz w:val="24"/>
        </w:rPr>
        <w:t>efectivo</w:t>
      </w:r>
      <w:r>
        <w:rPr>
          <w:spacing w:val="-13"/>
          <w:position w:val="2"/>
          <w:sz w:val="24"/>
        </w:rPr>
        <w:t> </w:t>
      </w:r>
      <w:r>
        <w:rPr>
          <w:position w:val="2"/>
          <w:sz w:val="24"/>
        </w:rPr>
        <w:t>positivas</w:t>
      </w:r>
      <w:r>
        <w:rPr>
          <w:sz w:val="16"/>
        </w:rPr>
        <w:t>t-1</w:t>
      </w:r>
      <w:r>
        <w:rPr>
          <w:spacing w:val="8"/>
          <w:sz w:val="16"/>
        </w:rPr>
        <w:t> </w:t>
      </w:r>
      <w:r>
        <w:rPr>
          <w:position w:val="2"/>
          <w:sz w:val="24"/>
        </w:rPr>
        <w:t>+</w:t>
      </w:r>
      <w:r>
        <w:rPr>
          <w:spacing w:val="-12"/>
          <w:position w:val="2"/>
          <w:sz w:val="24"/>
        </w:rPr>
        <w:t> </w:t>
      </w:r>
      <w:r>
        <w:rPr>
          <w:position w:val="2"/>
          <w:sz w:val="24"/>
        </w:rPr>
        <w:t>Intereses</w:t>
      </w:r>
      <w:r>
        <w:rPr>
          <w:spacing w:val="-11"/>
          <w:position w:val="2"/>
          <w:sz w:val="24"/>
        </w:rPr>
        <w:t> </w:t>
      </w:r>
      <w:r>
        <w:rPr>
          <w:position w:val="2"/>
          <w:sz w:val="24"/>
        </w:rPr>
        <w:t>Ganados</w:t>
      </w:r>
      <w:r>
        <w:rPr>
          <w:sz w:val="16"/>
        </w:rPr>
        <w:t>t</w:t>
      </w:r>
    </w:p>
    <w:p>
      <w:pPr>
        <w:pStyle w:val="BodyText"/>
      </w:pPr>
    </w:p>
    <w:p>
      <w:pPr>
        <w:pStyle w:val="BodyText"/>
        <w:spacing w:before="9"/>
        <w:rPr>
          <w:sz w:val="23"/>
        </w:rPr>
      </w:pPr>
    </w:p>
    <w:p>
      <w:pPr>
        <w:pStyle w:val="BodyText"/>
        <w:spacing w:line="360" w:lineRule="auto"/>
        <w:ind w:left="102" w:right="116"/>
        <w:jc w:val="both"/>
      </w:pPr>
      <w:r>
        <w:rPr/>
        <w:t>La salida de efectivo (55) es la suma de varias categorías de gastos, como: los dividendos (52), los pagos de capital (53) inversión inicial, los reemplazos de capital previstos, el reembolso de los préstamos de déficit de flujo de caja, y los impuestos sobre la renta (54).</w:t>
      </w:r>
    </w:p>
    <w:p>
      <w:pPr>
        <w:pStyle w:val="BodyText"/>
      </w:pPr>
    </w:p>
    <w:p>
      <w:pPr>
        <w:pStyle w:val="ListParagraph"/>
        <w:numPr>
          <w:ilvl w:val="0"/>
          <w:numId w:val="21"/>
        </w:numPr>
        <w:tabs>
          <w:tab w:pos="482" w:val="left" w:leader="none"/>
        </w:tabs>
        <w:spacing w:line="240" w:lineRule="auto" w:before="143" w:after="0"/>
        <w:ind w:left="482" w:right="0" w:hanging="380"/>
        <w:jc w:val="both"/>
        <w:rPr>
          <w:sz w:val="24"/>
        </w:rPr>
      </w:pPr>
      <w:r>
        <w:rPr>
          <w:position w:val="2"/>
          <w:sz w:val="24"/>
        </w:rPr>
        <w:t>Dividendos</w:t>
      </w:r>
      <w:r>
        <w:rPr>
          <w:sz w:val="16"/>
        </w:rPr>
        <w:t>t </w:t>
      </w:r>
      <w:r>
        <w:rPr>
          <w:position w:val="2"/>
          <w:sz w:val="24"/>
        </w:rPr>
        <w:t>= (Retornos netos</w:t>
      </w:r>
      <w:r>
        <w:rPr>
          <w:sz w:val="16"/>
        </w:rPr>
        <w:t>t </w:t>
      </w:r>
      <w:r>
        <w:rPr>
          <w:position w:val="2"/>
          <w:sz w:val="24"/>
        </w:rPr>
        <w:t>–retiros en efectivo de la</w:t>
      </w:r>
      <w:r>
        <w:rPr>
          <w:spacing w:val="28"/>
          <w:position w:val="2"/>
          <w:sz w:val="24"/>
        </w:rPr>
        <w:t> </w:t>
      </w:r>
      <w:r>
        <w:rPr>
          <w:position w:val="2"/>
          <w:sz w:val="24"/>
        </w:rPr>
        <w:t>familia</w:t>
      </w:r>
      <w:r>
        <w:rPr>
          <w:sz w:val="16"/>
        </w:rPr>
        <w:t>t</w:t>
      </w:r>
      <w:r>
        <w:rPr>
          <w:position w:val="2"/>
          <w:sz w:val="24"/>
        </w:rPr>
        <w:t>)</w:t>
      </w:r>
    </w:p>
    <w:p>
      <w:pPr>
        <w:pStyle w:val="ListParagraph"/>
        <w:numPr>
          <w:ilvl w:val="0"/>
          <w:numId w:val="21"/>
        </w:numPr>
        <w:tabs>
          <w:tab w:pos="482" w:val="left" w:leader="none"/>
        </w:tabs>
        <w:spacing w:line="240" w:lineRule="auto" w:before="136" w:after="0"/>
        <w:ind w:left="482" w:right="0" w:hanging="380"/>
        <w:jc w:val="both"/>
        <w:rPr>
          <w:sz w:val="24"/>
        </w:rPr>
      </w:pPr>
      <w:r>
        <w:rPr>
          <w:position w:val="2"/>
          <w:sz w:val="24"/>
        </w:rPr>
        <w:t>Pagos de capital</w:t>
      </w:r>
      <w:r>
        <w:rPr>
          <w:sz w:val="16"/>
        </w:rPr>
        <w:t>t </w:t>
      </w:r>
      <w:r>
        <w:rPr>
          <w:position w:val="2"/>
          <w:sz w:val="24"/>
        </w:rPr>
        <w:t>= Pago anual de capital – intereses a</w:t>
      </w:r>
      <w:r>
        <w:rPr>
          <w:spacing w:val="6"/>
          <w:position w:val="2"/>
          <w:sz w:val="24"/>
        </w:rPr>
        <w:t> </w:t>
      </w:r>
      <w:r>
        <w:rPr>
          <w:position w:val="2"/>
          <w:sz w:val="24"/>
        </w:rPr>
        <w:t>capital</w:t>
      </w:r>
    </w:p>
    <w:p>
      <w:pPr>
        <w:pStyle w:val="ListParagraph"/>
        <w:numPr>
          <w:ilvl w:val="0"/>
          <w:numId w:val="21"/>
        </w:numPr>
        <w:tabs>
          <w:tab w:pos="482" w:val="left" w:leader="none"/>
        </w:tabs>
        <w:spacing w:line="240" w:lineRule="auto" w:before="134" w:after="0"/>
        <w:ind w:left="482" w:right="0" w:hanging="380"/>
        <w:jc w:val="both"/>
        <w:rPr>
          <w:sz w:val="24"/>
        </w:rPr>
      </w:pPr>
      <w:r>
        <w:rPr>
          <w:position w:val="2"/>
          <w:sz w:val="24"/>
        </w:rPr>
        <w:t>Pago de impuestos</w:t>
      </w:r>
      <w:r>
        <w:rPr>
          <w:sz w:val="16"/>
        </w:rPr>
        <w:t>t </w:t>
      </w:r>
      <w:r>
        <w:rPr>
          <w:position w:val="2"/>
          <w:sz w:val="24"/>
        </w:rPr>
        <w:t>= Ingreso neto postivo</w:t>
      </w:r>
      <w:r>
        <w:rPr>
          <w:sz w:val="16"/>
        </w:rPr>
        <w:t>t </w:t>
      </w:r>
      <w:r>
        <w:rPr>
          <w:position w:val="2"/>
          <w:sz w:val="24"/>
        </w:rPr>
        <w:t>* la tasa de impuesto al</w:t>
      </w:r>
      <w:r>
        <w:rPr>
          <w:spacing w:val="27"/>
          <w:position w:val="2"/>
          <w:sz w:val="24"/>
        </w:rPr>
        <w:t> </w:t>
      </w:r>
      <w:r>
        <w:rPr>
          <w:position w:val="2"/>
          <w:sz w:val="24"/>
        </w:rPr>
        <w:t>ingreso</w:t>
      </w:r>
    </w:p>
    <w:p>
      <w:pPr>
        <w:pStyle w:val="ListParagraph"/>
        <w:numPr>
          <w:ilvl w:val="0"/>
          <w:numId w:val="21"/>
        </w:numPr>
        <w:tabs>
          <w:tab w:pos="482" w:val="left" w:leader="none"/>
        </w:tabs>
        <w:spacing w:line="357" w:lineRule="auto" w:before="136" w:after="0"/>
        <w:ind w:left="102" w:right="119" w:firstLine="0"/>
        <w:jc w:val="both"/>
        <w:rPr>
          <w:sz w:val="16"/>
        </w:rPr>
      </w:pPr>
      <w:r>
        <w:rPr>
          <w:position w:val="2"/>
          <w:sz w:val="24"/>
        </w:rPr>
        <w:t>Salidas de efectivo</w:t>
      </w:r>
      <w:r>
        <w:rPr>
          <w:sz w:val="16"/>
        </w:rPr>
        <w:t>t </w:t>
      </w:r>
      <w:r>
        <w:rPr>
          <w:position w:val="2"/>
          <w:sz w:val="24"/>
        </w:rPr>
        <w:t>= Pago a capital</w:t>
      </w:r>
      <w:r>
        <w:rPr>
          <w:sz w:val="16"/>
        </w:rPr>
        <w:t>t </w:t>
      </w:r>
      <w:r>
        <w:rPr>
          <w:position w:val="2"/>
          <w:sz w:val="24"/>
        </w:rPr>
        <w:t>+ Pago del déficit de flujo de caja</w:t>
      </w:r>
      <w:r>
        <w:rPr>
          <w:sz w:val="16"/>
        </w:rPr>
        <w:t>t </w:t>
      </w:r>
      <w:r>
        <w:rPr>
          <w:position w:val="2"/>
          <w:sz w:val="24"/>
        </w:rPr>
        <w:t>+ Dividendos</w:t>
      </w:r>
      <w:r>
        <w:rPr>
          <w:sz w:val="16"/>
        </w:rPr>
        <w:t>t </w:t>
      </w:r>
      <w:r>
        <w:rPr>
          <w:position w:val="2"/>
          <w:sz w:val="24"/>
        </w:rPr>
        <w:t>+ Impuestos</w:t>
      </w:r>
      <w:r>
        <w:rPr>
          <w:spacing w:val="-6"/>
          <w:position w:val="2"/>
          <w:sz w:val="24"/>
        </w:rPr>
        <w:t> </w:t>
      </w:r>
      <w:r>
        <w:rPr>
          <w:position w:val="2"/>
          <w:sz w:val="24"/>
        </w:rPr>
        <w:t>federales</w:t>
      </w:r>
      <w:r>
        <w:rPr>
          <w:sz w:val="16"/>
        </w:rPr>
        <w:t>t</w:t>
      </w:r>
    </w:p>
    <w:p>
      <w:pPr>
        <w:pStyle w:val="BodyText"/>
      </w:pPr>
    </w:p>
    <w:p>
      <w:pPr>
        <w:pStyle w:val="BodyText"/>
        <w:spacing w:line="362" w:lineRule="auto" w:before="142"/>
        <w:ind w:left="102" w:right="116"/>
        <w:jc w:val="both"/>
      </w:pPr>
      <w:r>
        <w:rPr/>
        <w:t>Las reserva de efectivo finales por año (56), se obtienen de la diferencia entre las entradas y salidas de efectivo.</w:t>
      </w:r>
    </w:p>
    <w:p>
      <w:pPr>
        <w:pStyle w:val="BodyText"/>
      </w:pPr>
    </w:p>
    <w:p>
      <w:pPr>
        <w:pStyle w:val="ListParagraph"/>
        <w:numPr>
          <w:ilvl w:val="0"/>
          <w:numId w:val="21"/>
        </w:numPr>
        <w:tabs>
          <w:tab w:pos="482" w:val="left" w:leader="none"/>
        </w:tabs>
        <w:spacing w:line="240" w:lineRule="auto" w:before="140" w:after="0"/>
        <w:ind w:left="482" w:right="0" w:hanging="380"/>
        <w:jc w:val="both"/>
        <w:rPr>
          <w:sz w:val="24"/>
        </w:rPr>
      </w:pPr>
      <w:r>
        <w:rPr>
          <w:sz w:val="24"/>
        </w:rPr>
        <w:t>Reservas en efectivo finales = Entradas de efectivo - Salidas de</w:t>
      </w:r>
      <w:r>
        <w:rPr>
          <w:spacing w:val="-12"/>
          <w:sz w:val="24"/>
        </w:rPr>
        <w:t> </w:t>
      </w:r>
      <w:r>
        <w:rPr>
          <w:sz w:val="24"/>
        </w:rPr>
        <w:t>efectivo</w:t>
      </w:r>
    </w:p>
    <w:p>
      <w:pPr>
        <w:pStyle w:val="BodyText"/>
      </w:pPr>
    </w:p>
    <w:p>
      <w:pPr>
        <w:pStyle w:val="BodyText"/>
      </w:pPr>
    </w:p>
    <w:p>
      <w:pPr>
        <w:pStyle w:val="BodyText"/>
        <w:spacing w:line="360" w:lineRule="auto"/>
        <w:ind w:left="102" w:right="117"/>
        <w:jc w:val="both"/>
      </w:pPr>
      <w:r>
        <w:rPr/>
        <w:t>Los saldos en efectivo pueden ser positivos o negativos, debido a la variabilidad de la producción, los costos de los insumos y los precios del producto. Si el saldo de caja es positivo,</w:t>
      </w:r>
      <w:r>
        <w:rPr>
          <w:spacing w:val="-8"/>
        </w:rPr>
        <w:t> </w:t>
      </w:r>
      <w:r>
        <w:rPr/>
        <w:t>es</w:t>
      </w:r>
      <w:r>
        <w:rPr>
          <w:spacing w:val="-7"/>
        </w:rPr>
        <w:t> </w:t>
      </w:r>
      <w:r>
        <w:rPr/>
        <w:t>un</w:t>
      </w:r>
      <w:r>
        <w:rPr>
          <w:spacing w:val="-8"/>
        </w:rPr>
        <w:t> </w:t>
      </w:r>
      <w:r>
        <w:rPr/>
        <w:t>activo,</w:t>
      </w:r>
      <w:r>
        <w:rPr>
          <w:spacing w:val="-3"/>
        </w:rPr>
        <w:t> </w:t>
      </w:r>
      <w:r>
        <w:rPr/>
        <w:t>y</w:t>
      </w:r>
      <w:r>
        <w:rPr>
          <w:spacing w:val="-12"/>
        </w:rPr>
        <w:t> </w:t>
      </w:r>
      <w:r>
        <w:rPr/>
        <w:t>si</w:t>
      </w:r>
      <w:r>
        <w:rPr>
          <w:spacing w:val="-7"/>
        </w:rPr>
        <w:t> </w:t>
      </w:r>
      <w:r>
        <w:rPr/>
        <w:t>es</w:t>
      </w:r>
      <w:r>
        <w:rPr>
          <w:spacing w:val="-7"/>
        </w:rPr>
        <w:t> </w:t>
      </w:r>
      <w:r>
        <w:rPr/>
        <w:t>negativo</w:t>
      </w:r>
      <w:r>
        <w:rPr>
          <w:spacing w:val="-8"/>
        </w:rPr>
        <w:t> </w:t>
      </w:r>
      <w:r>
        <w:rPr/>
        <w:t>se</w:t>
      </w:r>
      <w:r>
        <w:rPr>
          <w:spacing w:val="-8"/>
        </w:rPr>
        <w:t> </w:t>
      </w:r>
      <w:r>
        <w:rPr/>
        <w:t>obtiene</w:t>
      </w:r>
      <w:r>
        <w:rPr>
          <w:spacing w:val="-9"/>
        </w:rPr>
        <w:t> </w:t>
      </w:r>
      <w:r>
        <w:rPr/>
        <w:t>un</w:t>
      </w:r>
      <w:r>
        <w:rPr>
          <w:spacing w:val="-8"/>
        </w:rPr>
        <w:t> </w:t>
      </w:r>
      <w:r>
        <w:rPr/>
        <w:t>préstamo,</w:t>
      </w:r>
      <w:r>
        <w:rPr>
          <w:spacing w:val="-5"/>
        </w:rPr>
        <w:t> </w:t>
      </w:r>
      <w:r>
        <w:rPr/>
        <w:t>es</w:t>
      </w:r>
      <w:r>
        <w:rPr>
          <w:spacing w:val="-7"/>
        </w:rPr>
        <w:t> </w:t>
      </w:r>
      <w:r>
        <w:rPr/>
        <w:t>decir</w:t>
      </w:r>
      <w:r>
        <w:rPr>
          <w:spacing w:val="-8"/>
        </w:rPr>
        <w:t> </w:t>
      </w:r>
      <w:r>
        <w:rPr/>
        <w:t>un</w:t>
      </w:r>
      <w:r>
        <w:rPr>
          <w:spacing w:val="-6"/>
        </w:rPr>
        <w:t> </w:t>
      </w:r>
      <w:r>
        <w:rPr/>
        <w:t>déficit</w:t>
      </w:r>
      <w:r>
        <w:rPr>
          <w:spacing w:val="-7"/>
        </w:rPr>
        <w:t> </w:t>
      </w:r>
      <w:r>
        <w:rPr/>
        <w:t>de</w:t>
      </w:r>
      <w:r>
        <w:rPr>
          <w:spacing w:val="-6"/>
        </w:rPr>
        <w:t> </w:t>
      </w:r>
      <w:r>
        <w:rPr/>
        <w:t>caja</w:t>
      </w:r>
      <w:r>
        <w:rPr>
          <w:spacing w:val="-9"/>
        </w:rPr>
        <w:t> </w:t>
      </w:r>
      <w:r>
        <w:rPr/>
        <w:t>para ese año</w:t>
      </w:r>
      <w:r>
        <w:rPr>
          <w:spacing w:val="-5"/>
        </w:rPr>
        <w:t> </w:t>
      </w:r>
      <w:r>
        <w:rPr/>
        <w:t>particularmente.</w:t>
      </w:r>
    </w:p>
    <w:p>
      <w:pPr>
        <w:pStyle w:val="BodyText"/>
      </w:pPr>
    </w:p>
    <w:p>
      <w:pPr>
        <w:pStyle w:val="BodyText"/>
        <w:spacing w:line="360" w:lineRule="auto" w:before="143"/>
        <w:ind w:left="102" w:right="115"/>
        <w:jc w:val="both"/>
      </w:pPr>
      <w:r>
        <w:rPr/>
        <w:t>El</w:t>
      </w:r>
      <w:r>
        <w:rPr>
          <w:spacing w:val="-12"/>
        </w:rPr>
        <w:t> </w:t>
      </w:r>
      <w:r>
        <w:rPr/>
        <w:t>balance</w:t>
      </w:r>
      <w:r>
        <w:rPr>
          <w:spacing w:val="-11"/>
        </w:rPr>
        <w:t> </w:t>
      </w:r>
      <w:r>
        <w:rPr/>
        <w:t>general</w:t>
      </w:r>
      <w:r>
        <w:rPr>
          <w:spacing w:val="-11"/>
        </w:rPr>
        <w:t> </w:t>
      </w:r>
      <w:r>
        <w:rPr/>
        <w:t>se</w:t>
      </w:r>
      <w:r>
        <w:rPr>
          <w:spacing w:val="-13"/>
        </w:rPr>
        <w:t> </w:t>
      </w:r>
      <w:r>
        <w:rPr/>
        <w:t>compone</w:t>
      </w:r>
      <w:r>
        <w:rPr>
          <w:spacing w:val="-13"/>
        </w:rPr>
        <w:t> </w:t>
      </w:r>
      <w:r>
        <w:rPr/>
        <w:t>de</w:t>
      </w:r>
      <w:r>
        <w:rPr>
          <w:spacing w:val="-12"/>
        </w:rPr>
        <w:t> </w:t>
      </w:r>
      <w:r>
        <w:rPr/>
        <w:t>tres</w:t>
      </w:r>
      <w:r>
        <w:rPr>
          <w:spacing w:val="-12"/>
        </w:rPr>
        <w:t> </w:t>
      </w:r>
      <w:r>
        <w:rPr/>
        <w:t>ecuaciones:</w:t>
      </w:r>
      <w:r>
        <w:rPr>
          <w:spacing w:val="-12"/>
        </w:rPr>
        <w:t> </w:t>
      </w:r>
      <w:r>
        <w:rPr/>
        <w:t>activo</w:t>
      </w:r>
      <w:r>
        <w:rPr>
          <w:spacing w:val="-11"/>
        </w:rPr>
        <w:t> </w:t>
      </w:r>
      <w:r>
        <w:rPr/>
        <w:t>(57),</w:t>
      </w:r>
      <w:r>
        <w:rPr>
          <w:spacing w:val="-12"/>
        </w:rPr>
        <w:t> </w:t>
      </w:r>
      <w:r>
        <w:rPr/>
        <w:t>pasivo</w:t>
      </w:r>
      <w:r>
        <w:rPr>
          <w:spacing w:val="-11"/>
        </w:rPr>
        <w:t> </w:t>
      </w:r>
      <w:r>
        <w:rPr/>
        <w:t>(58),</w:t>
      </w:r>
      <w:r>
        <w:rPr>
          <w:spacing w:val="-13"/>
        </w:rPr>
        <w:t> </w:t>
      </w:r>
      <w:r>
        <w:rPr/>
        <w:t>y</w:t>
      </w:r>
      <w:r>
        <w:rPr>
          <w:spacing w:val="-14"/>
        </w:rPr>
        <w:t> </w:t>
      </w:r>
      <w:r>
        <w:rPr/>
        <w:t>patrimonio</w:t>
      </w:r>
      <w:r>
        <w:rPr>
          <w:spacing w:val="-11"/>
        </w:rPr>
        <w:t> </w:t>
      </w:r>
      <w:r>
        <w:rPr/>
        <w:t>neto o capital neto nominal</w:t>
      </w:r>
      <w:r>
        <w:rPr>
          <w:spacing w:val="-2"/>
        </w:rPr>
        <w:t> </w:t>
      </w:r>
      <w:r>
        <w:rPr/>
        <w:t>(59)</w:t>
      </w:r>
    </w:p>
    <w:p>
      <w:pPr>
        <w:pStyle w:val="BodyText"/>
      </w:pPr>
    </w:p>
    <w:p>
      <w:pPr>
        <w:pStyle w:val="BodyText"/>
        <w:spacing w:before="1"/>
        <w:rPr>
          <w:sz w:val="21"/>
        </w:rPr>
      </w:pPr>
    </w:p>
    <w:p>
      <w:pPr>
        <w:pStyle w:val="ListParagraph"/>
        <w:numPr>
          <w:ilvl w:val="0"/>
          <w:numId w:val="21"/>
        </w:numPr>
        <w:tabs>
          <w:tab w:pos="510" w:val="left" w:leader="none"/>
        </w:tabs>
        <w:spacing w:line="357" w:lineRule="auto" w:before="0" w:after="0"/>
        <w:ind w:left="102" w:right="117" w:firstLine="0"/>
        <w:jc w:val="both"/>
        <w:rPr>
          <w:sz w:val="16"/>
        </w:rPr>
      </w:pPr>
      <w:r>
        <w:rPr>
          <w:position w:val="2"/>
          <w:sz w:val="24"/>
        </w:rPr>
        <w:t>Activos</w:t>
      </w:r>
      <w:r>
        <w:rPr>
          <w:sz w:val="16"/>
        </w:rPr>
        <w:t>t </w:t>
      </w:r>
      <w:r>
        <w:rPr>
          <w:position w:val="2"/>
          <w:sz w:val="24"/>
        </w:rPr>
        <w:t>= Valor de la tierra</w:t>
      </w:r>
      <w:r>
        <w:rPr>
          <w:sz w:val="16"/>
        </w:rPr>
        <w:t>t </w:t>
      </w:r>
      <w:r>
        <w:rPr>
          <w:position w:val="2"/>
          <w:sz w:val="24"/>
        </w:rPr>
        <w:t>+ Valor del inventario ganadero</w:t>
      </w:r>
      <w:r>
        <w:rPr>
          <w:sz w:val="16"/>
        </w:rPr>
        <w:t>t </w:t>
      </w:r>
      <w:r>
        <w:rPr>
          <w:position w:val="2"/>
          <w:sz w:val="24"/>
        </w:rPr>
        <w:t>+ Valor de los bienes muebles e</w:t>
      </w:r>
      <w:r>
        <w:rPr>
          <w:spacing w:val="-4"/>
          <w:position w:val="2"/>
          <w:sz w:val="24"/>
        </w:rPr>
        <w:t> </w:t>
      </w:r>
      <w:r>
        <w:rPr>
          <w:position w:val="2"/>
          <w:sz w:val="24"/>
        </w:rPr>
        <w:t>inmuebles</w:t>
      </w:r>
      <w:r>
        <w:rPr>
          <w:sz w:val="16"/>
        </w:rPr>
        <w:t>t</w:t>
      </w:r>
    </w:p>
    <w:p>
      <w:pPr>
        <w:spacing w:after="0" w:line="357" w:lineRule="auto"/>
        <w:jc w:val="both"/>
        <w:rPr>
          <w:sz w:val="16"/>
        </w:rPr>
        <w:sectPr>
          <w:footerReference w:type="default" r:id="rId102"/>
          <w:pgSz w:w="12240" w:h="15840"/>
          <w:pgMar w:footer="657" w:header="0" w:top="1360" w:bottom="840" w:left="1600" w:right="1580"/>
          <w:pgNumType w:start="71"/>
        </w:sectPr>
      </w:pPr>
    </w:p>
    <w:p>
      <w:pPr>
        <w:pStyle w:val="ListParagraph"/>
        <w:numPr>
          <w:ilvl w:val="0"/>
          <w:numId w:val="21"/>
        </w:numPr>
        <w:tabs>
          <w:tab w:pos="482" w:val="left" w:leader="none"/>
        </w:tabs>
        <w:spacing w:line="360" w:lineRule="auto" w:before="49" w:after="0"/>
        <w:ind w:left="102" w:right="101" w:firstLine="0"/>
        <w:jc w:val="left"/>
        <w:rPr>
          <w:sz w:val="16"/>
        </w:rPr>
      </w:pPr>
      <w:r>
        <w:rPr>
          <w:position w:val="2"/>
          <w:sz w:val="24"/>
        </w:rPr>
        <w:t>Pasivos</w:t>
      </w:r>
      <w:r>
        <w:rPr>
          <w:sz w:val="16"/>
        </w:rPr>
        <w:t>t </w:t>
      </w:r>
      <w:r>
        <w:rPr>
          <w:position w:val="2"/>
          <w:sz w:val="24"/>
        </w:rPr>
        <w:t>= Pasivos a corto plazo</w:t>
      </w:r>
      <w:r>
        <w:rPr>
          <w:sz w:val="16"/>
        </w:rPr>
        <w:t>t </w:t>
      </w:r>
      <w:r>
        <w:rPr>
          <w:position w:val="2"/>
          <w:sz w:val="24"/>
        </w:rPr>
        <w:t>+ Pasivos a largo plazo</w:t>
      </w:r>
      <w:r>
        <w:rPr>
          <w:sz w:val="16"/>
        </w:rPr>
        <w:t>t </w:t>
      </w:r>
      <w:r>
        <w:rPr>
          <w:position w:val="2"/>
          <w:sz w:val="24"/>
        </w:rPr>
        <w:t>+ Flujo negativo de ingresos al cierre de cada</w:t>
      </w:r>
      <w:r>
        <w:rPr>
          <w:spacing w:val="-4"/>
          <w:position w:val="2"/>
          <w:sz w:val="24"/>
        </w:rPr>
        <w:t> </w:t>
      </w:r>
      <w:r>
        <w:rPr>
          <w:position w:val="2"/>
          <w:sz w:val="24"/>
        </w:rPr>
        <w:t>año</w:t>
      </w:r>
      <w:r>
        <w:rPr>
          <w:sz w:val="16"/>
        </w:rPr>
        <w:t>t</w:t>
      </w:r>
    </w:p>
    <w:p>
      <w:pPr>
        <w:pStyle w:val="BodyText"/>
      </w:pPr>
    </w:p>
    <w:p>
      <w:pPr>
        <w:pStyle w:val="BodyText"/>
      </w:pPr>
    </w:p>
    <w:p>
      <w:pPr>
        <w:pStyle w:val="BodyText"/>
        <w:spacing w:before="10"/>
        <w:rPr>
          <w:sz w:val="29"/>
        </w:rPr>
      </w:pPr>
    </w:p>
    <w:p>
      <w:pPr>
        <w:pStyle w:val="BodyText"/>
        <w:ind w:left="102"/>
        <w:rPr>
          <w:rFonts w:ascii="Cambria Math" w:hAnsi="Cambria Math" w:eastAsia="Cambria Math"/>
        </w:rPr>
      </w:pPr>
      <w:r>
        <w:rPr>
          <w:position w:val="2"/>
        </w:rPr>
        <w:t>59) Capital neto nominal</w:t>
      </w:r>
      <w:r>
        <w:rPr>
          <w:sz w:val="16"/>
        </w:rPr>
        <w:t>t </w:t>
      </w:r>
      <w:r>
        <w:rPr>
          <w:position w:val="2"/>
        </w:rPr>
        <w:t>= </w:t>
      </w:r>
      <w:r>
        <w:rPr>
          <w:rFonts w:ascii="Cambria Math" w:hAnsi="Cambria Math" w:eastAsia="Cambria Math"/>
          <w:position w:val="3"/>
          <w:sz w:val="22"/>
        </w:rPr>
        <w:t>∑</w:t>
      </w:r>
      <w:r>
        <w:rPr>
          <w:rFonts w:ascii="Cambria Math" w:hAnsi="Cambria Math" w:eastAsia="Cambria Math"/>
          <w:position w:val="2"/>
        </w:rPr>
        <w:t>(�������� �� �����𝑖��</w:t>
      </w:r>
      <w:r>
        <w:rPr>
          <w:rFonts w:ascii="Cambria Math" w:hAnsi="Cambria Math" w:eastAsia="Cambria Math"/>
          <w:position w:val="-5"/>
          <w:sz w:val="17"/>
        </w:rPr>
        <w:t>� </w:t>
      </w:r>
      <w:r>
        <w:rPr>
          <w:rFonts w:ascii="Cambria Math" w:hAnsi="Cambria Math" w:eastAsia="Cambria Math"/>
          <w:position w:val="2"/>
        </w:rPr>
        <w:t>+ ���𝑖���</w:t>
      </w:r>
      <w:r>
        <w:rPr>
          <w:rFonts w:ascii="Cambria Math" w:hAnsi="Cambria Math" w:eastAsia="Cambria Math"/>
          <w:position w:val="-2"/>
          <w:sz w:val="17"/>
        </w:rPr>
        <w:t>�</w:t>
      </w:r>
      <w:r>
        <w:rPr>
          <w:rFonts w:ascii="Cambria Math" w:hAnsi="Cambria Math" w:eastAsia="Cambria Math"/>
          <w:position w:val="2"/>
        </w:rPr>
        <w:t>−���𝑖���</w:t>
      </w:r>
      <w:r>
        <w:rPr>
          <w:rFonts w:ascii="Cambria Math" w:hAnsi="Cambria Math" w:eastAsia="Cambria Math"/>
          <w:position w:val="-2"/>
          <w:sz w:val="17"/>
        </w:rPr>
        <w:t>�</w:t>
      </w:r>
      <w:r>
        <w:rPr>
          <w:rFonts w:ascii="Cambria Math" w:hAnsi="Cambria Math" w:eastAsia="Cambria Math"/>
          <w:position w:val="2"/>
        </w:rPr>
        <w:t>)</w:t>
      </w:r>
    </w:p>
    <w:p>
      <w:pPr>
        <w:pStyle w:val="BodyText"/>
        <w:rPr>
          <w:rFonts w:ascii="Cambria Math"/>
          <w:sz w:val="30"/>
        </w:rPr>
      </w:pPr>
    </w:p>
    <w:p>
      <w:pPr>
        <w:pStyle w:val="BodyText"/>
        <w:rPr>
          <w:rFonts w:ascii="Cambria Math"/>
          <w:sz w:val="30"/>
        </w:rPr>
      </w:pPr>
    </w:p>
    <w:p>
      <w:pPr>
        <w:pStyle w:val="BodyText"/>
        <w:spacing w:before="6"/>
        <w:rPr>
          <w:rFonts w:ascii="Cambria Math"/>
          <w:sz w:val="25"/>
        </w:rPr>
      </w:pPr>
    </w:p>
    <w:p>
      <w:pPr>
        <w:pStyle w:val="Heading2"/>
        <w:spacing w:before="0"/>
        <w:ind w:left="102" w:firstLine="0"/>
        <w:jc w:val="left"/>
        <w:rPr>
          <w:i/>
        </w:rPr>
      </w:pPr>
      <w:r>
        <w:rPr>
          <w:i/>
        </w:rPr>
        <w:t>5.5.5.4 Variables financieras o de salida clave</w:t>
      </w:r>
    </w:p>
    <w:p>
      <w:pPr>
        <w:pStyle w:val="BodyText"/>
        <w:rPr>
          <w:b/>
          <w:i/>
        </w:rPr>
      </w:pPr>
    </w:p>
    <w:p>
      <w:pPr>
        <w:pStyle w:val="BodyText"/>
        <w:rPr>
          <w:b/>
          <w:i/>
        </w:rPr>
      </w:pPr>
    </w:p>
    <w:p>
      <w:pPr>
        <w:pStyle w:val="BodyText"/>
        <w:spacing w:before="3"/>
        <w:rPr>
          <w:b/>
          <w:i/>
          <w:sz w:val="29"/>
        </w:rPr>
      </w:pPr>
    </w:p>
    <w:p>
      <w:pPr>
        <w:pStyle w:val="BodyText"/>
        <w:spacing w:line="360" w:lineRule="auto"/>
        <w:ind w:left="102"/>
      </w:pPr>
      <w:r>
        <w:rPr/>
        <w:t>Las variables financieras se calculan en la última parte del modelo. En esta sección se describen las fórmulas utilizadas para estimar los variables financieras.</w:t>
      </w:r>
    </w:p>
    <w:p>
      <w:pPr>
        <w:pStyle w:val="BodyText"/>
        <w:rPr>
          <w:sz w:val="20"/>
        </w:rPr>
      </w:pPr>
    </w:p>
    <w:p>
      <w:pPr>
        <w:pStyle w:val="BodyText"/>
        <w:spacing w:before="3"/>
        <w:rPr>
          <w:sz w:val="28"/>
        </w:rPr>
      </w:pPr>
    </w:p>
    <w:p>
      <w:pPr>
        <w:spacing w:after="0"/>
        <w:rPr>
          <w:sz w:val="28"/>
        </w:rPr>
        <w:sectPr>
          <w:pgSz w:w="12240" w:h="15840"/>
          <w:pgMar w:header="0" w:footer="657" w:top="1360" w:bottom="840" w:left="1600" w:right="1600"/>
        </w:sectPr>
      </w:pPr>
    </w:p>
    <w:p>
      <w:pPr>
        <w:spacing w:line="307" w:lineRule="exact" w:before="120"/>
        <w:ind w:left="1738" w:right="0" w:firstLine="0"/>
        <w:jc w:val="left"/>
        <w:rPr>
          <w:rFonts w:ascii="Cambria Math" w:hAnsi="Cambria Math" w:eastAsia="Cambria Math"/>
          <w:sz w:val="17"/>
        </w:rPr>
      </w:pPr>
      <w:r>
        <w:rPr/>
        <w:pict>
          <v:line style="position:absolute;mso-position-horizontal-relative:page;mso-position-vertical-relative:paragraph;z-index:-460360" from="354.790009pt,18.156645pt" to="416.710009pt,18.156645pt" stroked="true" strokeweight=".84pt" strokecolor="#000000">
            <w10:wrap type="none"/>
          </v:line>
        </w:pict>
      </w:r>
      <w:r>
        <w:rPr/>
        <w:pict>
          <v:shape style="position:absolute;margin-left:364.269989pt;margin-top:5.015596pt;width:4.95pt;height:7pt;mso-position-horizontal-relative:page;mso-position-vertical-relative:paragraph;z-index:-460312" type="#_x0000_t202" filled="false" stroked="false">
            <v:textbox inset="0,0,0,0">
              <w:txbxContent>
                <w:p>
                  <w:pPr>
                    <w:spacing w:line="139" w:lineRule="exact" w:before="0"/>
                    <w:ind w:left="0" w:right="-93" w:firstLine="0"/>
                    <w:jc w:val="left"/>
                    <w:rPr>
                      <w:rFonts w:ascii="Cambria Math" w:eastAsia="Cambria Math"/>
                      <w:sz w:val="14"/>
                    </w:rPr>
                  </w:pPr>
                  <w:r>
                    <w:rPr>
                      <w:rFonts w:ascii="Cambria Math" w:eastAsia="Cambria Math"/>
                      <w:w w:val="122"/>
                      <w:sz w:val="14"/>
                    </w:rPr>
                    <w:t>𝑛</w:t>
                  </w:r>
                </w:p>
              </w:txbxContent>
            </v:textbox>
            <w10:wrap type="none"/>
          </v:shape>
        </w:pict>
      </w:r>
      <w:r>
        <w:rPr>
          <w:sz w:val="24"/>
        </w:rPr>
        <w:t>Valor actual neto </w:t>
      </w:r>
      <w:r>
        <w:rPr>
          <w:rFonts w:ascii="Cambria Math" w:hAnsi="Cambria Math" w:eastAsia="Cambria Math"/>
          <w:sz w:val="24"/>
        </w:rPr>
        <w:t>��� = −����� + </w:t>
      </w:r>
      <w:r>
        <w:rPr>
          <w:rFonts w:ascii="Cambria Math" w:hAnsi="Cambria Math" w:eastAsia="Cambria Math"/>
          <w:position w:val="14"/>
          <w:sz w:val="17"/>
        </w:rPr>
        <w:t>(</w:t>
      </w:r>
      <w:r>
        <w:rPr>
          <w:rFonts w:ascii="Cambria Math" w:hAnsi="Cambria Math" w:eastAsia="Cambria Math"/>
          <w:position w:val="15"/>
          <w:sz w:val="17"/>
        </w:rPr>
        <w:t>∑</w:t>
      </w:r>
      <w:r>
        <w:rPr>
          <w:rFonts w:ascii="Cambria Math" w:hAnsi="Cambria Math" w:eastAsia="Cambria Math"/>
          <w:position w:val="9"/>
          <w:sz w:val="14"/>
        </w:rPr>
        <w:t>𝑖=1 </w:t>
      </w:r>
      <w:r>
        <w:rPr>
          <w:rFonts w:ascii="Cambria Math" w:hAnsi="Cambria Math" w:eastAsia="Cambria Math"/>
          <w:position w:val="14"/>
          <w:sz w:val="17"/>
        </w:rPr>
        <w:t>𝐼𝐹+∆��𝐼)</w:t>
      </w:r>
    </w:p>
    <w:p>
      <w:pPr>
        <w:spacing w:line="163" w:lineRule="exact" w:before="0"/>
        <w:ind w:left="0" w:right="413" w:firstLine="0"/>
        <w:jc w:val="right"/>
        <w:rPr>
          <w:rFonts w:ascii="Cambria Math"/>
          <w:sz w:val="14"/>
        </w:rPr>
      </w:pPr>
      <w:r>
        <w:rPr>
          <w:rFonts w:ascii="Cambria Math"/>
          <w:w w:val="105"/>
          <w:sz w:val="17"/>
        </w:rPr>
        <w:t>0.10</w:t>
      </w:r>
      <w:r>
        <w:rPr>
          <w:rFonts w:ascii="Cambria Math"/>
          <w:w w:val="105"/>
          <w:position w:val="5"/>
          <w:sz w:val="14"/>
        </w:rPr>
        <w:t>9</w:t>
      </w:r>
    </w:p>
    <w:p>
      <w:pPr>
        <w:spacing w:before="104"/>
        <w:ind w:left="0" w:right="178" w:firstLine="0"/>
        <w:jc w:val="right"/>
        <w:rPr>
          <w:sz w:val="24"/>
        </w:rPr>
      </w:pPr>
      <w:r>
        <w:rPr/>
        <w:br w:type="column"/>
      </w:r>
      <w:r>
        <w:rPr>
          <w:sz w:val="24"/>
        </w:rPr>
        <w:t>60)</w:t>
      </w:r>
    </w:p>
    <w:p>
      <w:pPr>
        <w:spacing w:after="0"/>
        <w:jc w:val="right"/>
        <w:rPr>
          <w:sz w:val="24"/>
        </w:rPr>
        <w:sectPr>
          <w:type w:val="continuous"/>
          <w:pgSz w:w="12240" w:h="15840"/>
          <w:pgMar w:top="1360" w:bottom="280" w:left="1600" w:right="1600"/>
          <w:cols w:num="2" w:equalWidth="0">
            <w:col w:w="6733" w:space="67"/>
            <w:col w:w="2240"/>
          </w:cols>
        </w:sectPr>
      </w:pPr>
    </w:p>
    <w:p>
      <w:pPr>
        <w:pStyle w:val="BodyText"/>
        <w:rPr>
          <w:sz w:val="20"/>
        </w:rPr>
      </w:pPr>
    </w:p>
    <w:p>
      <w:pPr>
        <w:pStyle w:val="BodyText"/>
        <w:rPr>
          <w:sz w:val="20"/>
        </w:rPr>
      </w:pPr>
    </w:p>
    <w:p>
      <w:pPr>
        <w:pStyle w:val="BodyText"/>
        <w:spacing w:before="5"/>
        <w:rPr>
          <w:sz w:val="16"/>
        </w:rPr>
      </w:pPr>
    </w:p>
    <w:p>
      <w:pPr>
        <w:pStyle w:val="BodyText"/>
        <w:spacing w:before="67"/>
        <w:ind w:left="102"/>
        <w:rPr>
          <w:rFonts w:ascii="Cambria Math" w:hAnsi="Cambria Math" w:eastAsia="Cambria Math"/>
        </w:rPr>
      </w:pPr>
      <w:r>
        <w:rPr/>
        <w:t>Dónde: </w:t>
      </w:r>
      <w:r>
        <w:rPr>
          <w:rFonts w:ascii="Cambria Math" w:hAnsi="Cambria Math" w:eastAsia="Cambria Math"/>
        </w:rPr>
        <w:t>����� </w:t>
      </w:r>
      <w:r>
        <w:rPr/>
        <w:t>es el valor actual del capital neto real, IF son los ingresos familiares, </w:t>
      </w:r>
      <w:r>
        <w:rPr>
          <w:rFonts w:ascii="Cambria Math" w:hAnsi="Cambria Math" w:eastAsia="Cambria Math"/>
        </w:rPr>
        <w:t>∆���</w:t>
      </w:r>
    </w:p>
    <w:p>
      <w:pPr>
        <w:pStyle w:val="BodyText"/>
        <w:spacing w:before="142"/>
        <w:ind w:left="102"/>
      </w:pPr>
      <w:r>
        <w:rPr/>
        <w:t>es el porcentaje de cambio en el capital neto inicial.</w:t>
      </w:r>
    </w:p>
    <w:p>
      <w:pPr>
        <w:pStyle w:val="BodyText"/>
      </w:pPr>
    </w:p>
    <w:p>
      <w:pPr>
        <w:pStyle w:val="BodyText"/>
      </w:pPr>
    </w:p>
    <w:p>
      <w:pPr>
        <w:pStyle w:val="BodyText"/>
        <w:tabs>
          <w:tab w:pos="8539" w:val="left" w:leader="none"/>
        </w:tabs>
        <w:spacing w:before="174"/>
        <w:ind w:left="164"/>
      </w:pPr>
      <w:r>
        <w:rPr/>
        <w:t>El valor actual del capital neto real </w:t>
      </w:r>
      <w:r>
        <w:rPr>
          <w:rFonts w:ascii="Cambria Math" w:eastAsia="Cambria Math"/>
        </w:rPr>
        <w:t>����� =  (1</w:t>
      </w:r>
      <w:r>
        <w:rPr>
          <w:rFonts w:ascii="Cambria Math" w:eastAsia="Cambria Math"/>
          <w:spacing w:val="-29"/>
        </w:rPr>
        <w:t> </w:t>
      </w:r>
      <w:r>
        <w:rPr>
          <w:rFonts w:ascii="Cambria Math" w:eastAsia="Cambria Math"/>
        </w:rPr>
        <w:t>+</w:t>
      </w:r>
      <w:r>
        <w:rPr>
          <w:rFonts w:ascii="Cambria Math" w:eastAsia="Cambria Math"/>
          <w:spacing w:val="-6"/>
        </w:rPr>
        <w:t> </w:t>
      </w:r>
      <w:r>
        <w:rPr>
          <w:rFonts w:ascii="Cambria Math" w:eastAsia="Cambria Math"/>
        </w:rPr>
        <w:t>0.10)</w:t>
      </w:r>
      <w:r>
        <w:rPr>
          <w:rFonts w:ascii="Cambria Math" w:eastAsia="Cambria Math"/>
          <w:position w:val="9"/>
          <w:sz w:val="17"/>
        </w:rPr>
        <w:t>�.�</w:t>
        <w:tab/>
      </w:r>
      <w:r>
        <w:rPr/>
        <w:t>61)</w:t>
      </w:r>
    </w:p>
    <w:p>
      <w:pPr>
        <w:pStyle w:val="BodyText"/>
        <w:rPr>
          <w:sz w:val="20"/>
        </w:rPr>
      </w:pPr>
    </w:p>
    <w:p>
      <w:pPr>
        <w:pStyle w:val="BodyText"/>
        <w:spacing w:before="4"/>
        <w:rPr>
          <w:sz w:val="19"/>
        </w:rPr>
      </w:pPr>
    </w:p>
    <w:p>
      <w:pPr>
        <w:spacing w:after="0"/>
        <w:rPr>
          <w:sz w:val="19"/>
        </w:rPr>
        <w:sectPr>
          <w:type w:val="continuous"/>
          <w:pgSz w:w="12240" w:h="15840"/>
          <w:pgMar w:top="1360" w:bottom="280" w:left="1600" w:right="1600"/>
        </w:sectPr>
      </w:pPr>
    </w:p>
    <w:p>
      <w:pPr>
        <w:pStyle w:val="BodyText"/>
        <w:spacing w:before="75"/>
        <w:ind w:left="164" w:right="-15"/>
        <w:rPr>
          <w:rFonts w:ascii="Cambria Math" w:hAnsi="Cambria Math" w:eastAsia="Cambria Math"/>
          <w:sz w:val="17"/>
        </w:rPr>
      </w:pPr>
      <w:r>
        <w:rPr/>
        <w:pict>
          <v:shape style="position:absolute;margin-left:217.729996pt;margin-top:12.801241pt;width:14.45pt;height:8.550pt;mso-position-horizontal-relative:page;mso-position-vertical-relative:paragraph;z-index:-460288"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5"/>
                      <w:w w:val="53"/>
                      <w:sz w:val="17"/>
                    </w:rPr>
                    <w:t>�</w:t>
                  </w:r>
                  <w:r>
                    <w:rPr>
                      <w:rFonts w:ascii="Cambria Math" w:eastAsia="Cambria Math"/>
                      <w:w w:val="97"/>
                      <w:sz w:val="17"/>
                    </w:rPr>
                    <w:t>=</w:t>
                  </w:r>
                  <w:r>
                    <w:rPr>
                      <w:rFonts w:ascii="Cambria Math" w:eastAsia="Cambria Math"/>
                      <w:w w:val="104"/>
                      <w:sz w:val="17"/>
                    </w:rPr>
                    <w:t>1</w:t>
                  </w:r>
                </w:p>
              </w:txbxContent>
            </v:textbox>
            <w10:wrap type="none"/>
          </v:shape>
        </w:pict>
      </w:r>
      <w:r>
        <w:rPr/>
        <w:t>El</w:t>
      </w:r>
      <w:r>
        <w:rPr>
          <w:spacing w:val="-24"/>
        </w:rPr>
        <w:t> </w:t>
      </w:r>
      <w:r>
        <w:rPr/>
        <w:t>ingreso</w:t>
      </w:r>
      <w:r>
        <w:rPr>
          <w:spacing w:val="-23"/>
        </w:rPr>
        <w:t> </w:t>
      </w:r>
      <w:r>
        <w:rPr/>
        <w:t>familiar</w:t>
      </w:r>
      <w:r>
        <w:rPr>
          <w:spacing w:val="-23"/>
        </w:rPr>
        <w:t> </w:t>
      </w:r>
      <w:r>
        <w:rPr>
          <w:rFonts w:ascii="Cambria Math" w:hAnsi="Cambria Math" w:eastAsia="Cambria Math"/>
        </w:rPr>
        <w:t>��</w:t>
      </w:r>
      <w:r>
        <w:rPr>
          <w:rFonts w:ascii="Cambria Math" w:hAnsi="Cambria Math" w:eastAsia="Cambria Math"/>
          <w:spacing w:val="-9"/>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position w:val="1"/>
        </w:rPr>
        <w:t>∑</w:t>
      </w:r>
      <w:r>
        <w:rPr>
          <w:rFonts w:ascii="Cambria Math" w:hAnsi="Cambria Math" w:eastAsia="Cambria Math"/>
          <w:position w:val="10"/>
          <w:sz w:val="17"/>
        </w:rPr>
        <w:t>�</w:t>
      </w:r>
    </w:p>
    <w:p>
      <w:pPr>
        <w:pStyle w:val="BodyText"/>
        <w:spacing w:before="108"/>
        <w:ind w:left="-2" w:right="-298"/>
        <w:rPr>
          <w:rFonts w:ascii="Cambria Math" w:eastAsia="Cambria Math"/>
        </w:rPr>
      </w:pPr>
      <w:r>
        <w:rPr/>
        <w:br w:type="column"/>
      </w:r>
      <w:r>
        <w:rPr>
          <w:rFonts w:ascii="Cambria Math" w:eastAsia="Cambria Math"/>
          <w:w w:val="94"/>
        </w:rPr>
        <w:t>�</w:t>
      </w:r>
      <w:r>
        <w:rPr>
          <w:rFonts w:ascii="Cambria Math" w:eastAsia="Cambria Math"/>
          <w:spacing w:val="-1"/>
          <w:w w:val="96"/>
        </w:rPr>
        <w:t>�</w:t>
      </w:r>
      <w:r>
        <w:rPr>
          <w:rFonts w:ascii="Cambria Math" w:eastAsia="Cambria Math"/>
          <w:w w:val="57"/>
        </w:rPr>
        <w:t>�</w:t>
      </w:r>
      <w:r>
        <w:rPr>
          <w:rFonts w:ascii="Cambria Math" w:eastAsia="Cambria Math"/>
          <w:w w:val="92"/>
        </w:rPr>
        <w:t>�</w:t>
      </w:r>
    </w:p>
    <w:p>
      <w:pPr>
        <w:spacing w:before="105"/>
        <w:ind w:left="164" w:right="0" w:firstLine="0"/>
        <w:jc w:val="left"/>
        <w:rPr>
          <w:sz w:val="24"/>
        </w:rPr>
      </w:pPr>
      <w:r>
        <w:rPr/>
        <w:br w:type="column"/>
      </w:r>
      <w:r>
        <w:rPr>
          <w:sz w:val="24"/>
        </w:rPr>
        <w:t>62)</w:t>
      </w:r>
    </w:p>
    <w:p>
      <w:pPr>
        <w:spacing w:after="0"/>
        <w:jc w:val="left"/>
        <w:rPr>
          <w:sz w:val="24"/>
        </w:rPr>
        <w:sectPr>
          <w:type w:val="continuous"/>
          <w:pgSz w:w="12240" w:h="15840"/>
          <w:pgMar w:top="1360" w:bottom="280" w:left="1600" w:right="1600"/>
          <w:cols w:num="3" w:equalWidth="0">
            <w:col w:w="3043" w:space="40"/>
            <w:col w:w="539" w:space="4753"/>
            <w:col w:w="665"/>
          </w:cols>
        </w:sectPr>
      </w:pPr>
    </w:p>
    <w:p>
      <w:pPr>
        <w:pStyle w:val="BodyText"/>
        <w:rPr>
          <w:sz w:val="20"/>
        </w:rPr>
      </w:pPr>
    </w:p>
    <w:p>
      <w:pPr>
        <w:pStyle w:val="BodyText"/>
        <w:rPr>
          <w:sz w:val="20"/>
        </w:rPr>
      </w:pPr>
    </w:p>
    <w:p>
      <w:pPr>
        <w:pStyle w:val="BodyText"/>
        <w:spacing w:before="2"/>
        <w:rPr>
          <w:sz w:val="20"/>
        </w:rPr>
      </w:pPr>
    </w:p>
    <w:p>
      <w:pPr>
        <w:pStyle w:val="BodyText"/>
        <w:spacing w:before="66"/>
        <w:ind w:left="102"/>
      </w:pPr>
      <w:r>
        <w:rPr/>
        <w:t>Donde </w:t>
      </w:r>
      <w:r>
        <w:rPr>
          <w:rFonts w:ascii="Cambria Math" w:eastAsia="Cambria Math"/>
        </w:rPr>
        <w:t>���� </w:t>
      </w:r>
      <w:r>
        <w:rPr/>
        <w:t>es el valor actual de los ingresos familiares</w:t>
      </w:r>
    </w:p>
    <w:p>
      <w:pPr>
        <w:pStyle w:val="BodyText"/>
        <w:rPr>
          <w:sz w:val="20"/>
        </w:rPr>
      </w:pPr>
    </w:p>
    <w:p>
      <w:pPr>
        <w:pStyle w:val="BodyText"/>
        <w:rPr>
          <w:sz w:val="20"/>
        </w:rPr>
      </w:pPr>
    </w:p>
    <w:p>
      <w:pPr>
        <w:pStyle w:val="BodyText"/>
        <w:spacing w:before="4"/>
        <w:rPr>
          <w:sz w:val="18"/>
        </w:rPr>
      </w:pPr>
    </w:p>
    <w:p>
      <w:pPr>
        <w:spacing w:after="0"/>
        <w:rPr>
          <w:sz w:val="18"/>
        </w:rPr>
        <w:sectPr>
          <w:type w:val="continuous"/>
          <w:pgSz w:w="12240" w:h="15840"/>
          <w:pgMar w:top="1360" w:bottom="280" w:left="1600" w:right="1600"/>
        </w:sectPr>
      </w:pPr>
    </w:p>
    <w:p>
      <w:pPr>
        <w:pStyle w:val="BodyText"/>
        <w:spacing w:before="159"/>
        <w:ind w:left="1251"/>
        <w:rPr>
          <w:rFonts w:ascii="Cambria Math" w:eastAsia="Cambria Math"/>
        </w:rPr>
      </w:pPr>
      <w:r>
        <w:rPr/>
        <w:t>Tasa de retorno sobre activos </w:t>
      </w:r>
      <w:r>
        <w:rPr>
          <w:rFonts w:ascii="Cambria Math" w:eastAsia="Cambria Math"/>
        </w:rPr>
        <w:t>���</w:t>
      </w:r>
      <w:r>
        <w:rPr>
          <w:rFonts w:ascii="Cambria Math" w:eastAsia="Cambria Math"/>
          <w:position w:val="-4"/>
          <w:sz w:val="17"/>
        </w:rPr>
        <w:t>� </w:t>
      </w:r>
      <w:r>
        <w:rPr>
          <w:rFonts w:ascii="Cambria Math" w:eastAsia="Cambria Math"/>
        </w:rPr>
        <w:t>= </w:t>
      </w:r>
      <w:r>
        <w:rPr>
          <w:rFonts w:ascii="Cambria Math" w:eastAsia="Cambria Math"/>
          <w:w w:val="90"/>
        </w:rPr>
        <w:t>�� +</w:t>
      </w:r>
    </w:p>
    <w:p>
      <w:pPr>
        <w:spacing w:before="74"/>
        <w:ind w:left="66" w:right="0" w:firstLine="0"/>
        <w:jc w:val="center"/>
        <w:rPr>
          <w:rFonts w:ascii="Cambria Math" w:hAnsi="Cambria Math" w:eastAsia="Cambria Math"/>
          <w:sz w:val="17"/>
        </w:rPr>
      </w:pPr>
      <w:r>
        <w:rPr/>
        <w:br w:type="column"/>
      </w:r>
      <w:r>
        <w:rPr>
          <w:rFonts w:ascii="Cambria Math" w:hAnsi="Cambria Math" w:eastAsia="Cambria Math"/>
          <w:spacing w:val="-2"/>
          <w:w w:val="100"/>
          <w:sz w:val="17"/>
        </w:rPr>
        <w:t>(</w:t>
      </w:r>
      <w:r>
        <w:rPr>
          <w:rFonts w:ascii="Cambria Math" w:hAnsi="Cambria Math" w:eastAsia="Cambria Math"/>
          <w:w w:val="100"/>
          <w:position w:val="1"/>
          <w:sz w:val="17"/>
        </w:rPr>
        <w:t>∑</w:t>
      </w:r>
      <w:r>
        <w:rPr>
          <w:rFonts w:ascii="Cambria Math" w:hAnsi="Cambria Math" w:eastAsia="Cambria Math"/>
          <w:spacing w:val="-10"/>
          <w:position w:val="1"/>
          <w:sz w:val="17"/>
        </w:rPr>
        <w:t> </w:t>
      </w:r>
      <w:r>
        <w:rPr>
          <w:rFonts w:ascii="Cambria Math" w:hAnsi="Cambria Math" w:eastAsia="Cambria Math"/>
          <w:w w:val="103"/>
          <w:sz w:val="17"/>
        </w:rPr>
        <w:t>𝐼</w:t>
      </w:r>
      <w:r>
        <w:rPr>
          <w:rFonts w:ascii="Cambria Math" w:hAnsi="Cambria Math" w:eastAsia="Cambria Math"/>
          <w:w w:val="96"/>
          <w:sz w:val="17"/>
        </w:rPr>
        <w:t>��</w:t>
      </w:r>
      <w:r>
        <w:rPr>
          <w:rFonts w:ascii="Cambria Math" w:hAnsi="Cambria Math" w:eastAsia="Cambria Math"/>
          <w:spacing w:val="2"/>
          <w:w w:val="96"/>
          <w:sz w:val="17"/>
        </w:rPr>
        <w:t>𝑃</w:t>
      </w:r>
      <w:r>
        <w:rPr>
          <w:rFonts w:ascii="Cambria Math" w:hAnsi="Cambria Math" w:eastAsia="Cambria Math"/>
          <w:w w:val="97"/>
          <w:sz w:val="17"/>
        </w:rPr>
        <w:t>+</w:t>
      </w:r>
      <w:r>
        <w:rPr>
          <w:rFonts w:ascii="Cambria Math" w:hAnsi="Cambria Math" w:eastAsia="Cambria Math"/>
          <w:w w:val="103"/>
          <w:sz w:val="17"/>
        </w:rPr>
        <w:t>𝐼</w:t>
      </w:r>
      <w:r>
        <w:rPr>
          <w:rFonts w:ascii="Cambria Math" w:hAnsi="Cambria Math" w:eastAsia="Cambria Math"/>
          <w:w w:val="113"/>
          <w:sz w:val="17"/>
        </w:rPr>
        <w:t>�</w:t>
      </w:r>
      <w:r>
        <w:rPr>
          <w:rFonts w:ascii="Cambria Math" w:hAnsi="Cambria Math" w:eastAsia="Cambria Math"/>
          <w:spacing w:val="-2"/>
          <w:w w:val="113"/>
          <w:sz w:val="17"/>
        </w:rPr>
        <w:t>�</w:t>
      </w:r>
      <w:r>
        <w:rPr>
          <w:rFonts w:ascii="Cambria Math" w:hAnsi="Cambria Math" w:eastAsia="Cambria Math"/>
          <w:spacing w:val="2"/>
          <w:w w:val="104"/>
          <w:sz w:val="17"/>
        </w:rPr>
        <w:t>𝑃</w:t>
      </w:r>
      <w:r>
        <w:rPr>
          <w:rFonts w:ascii="Cambria Math" w:hAnsi="Cambria Math" w:eastAsia="Cambria Math"/>
          <w:w w:val="97"/>
          <w:sz w:val="17"/>
        </w:rPr>
        <w:t>+</w:t>
      </w:r>
      <w:r>
        <w:rPr>
          <w:rFonts w:ascii="Cambria Math" w:hAnsi="Cambria Math" w:eastAsia="Cambria Math"/>
          <w:w w:val="103"/>
          <w:sz w:val="17"/>
        </w:rPr>
        <w:t>𝐼</w:t>
      </w:r>
      <w:r>
        <w:rPr>
          <w:rFonts w:ascii="Cambria Math" w:hAnsi="Cambria Math" w:eastAsia="Cambria Math"/>
          <w:w w:val="93"/>
          <w:sz w:val="17"/>
        </w:rPr>
        <w:t>��𝑃</w:t>
      </w:r>
      <w:r>
        <w:rPr>
          <w:rFonts w:ascii="Cambria Math" w:hAnsi="Cambria Math" w:eastAsia="Cambria Math"/>
          <w:w w:val="100"/>
          <w:sz w:val="17"/>
        </w:rPr>
        <w:t>)</w:t>
      </w:r>
    </w:p>
    <w:p>
      <w:pPr>
        <w:spacing w:before="52"/>
        <w:ind w:left="659" w:right="600" w:firstLine="0"/>
        <w:jc w:val="center"/>
        <w:rPr>
          <w:rFonts w:ascii="Cambria Math" w:hAnsi="Cambria Math" w:eastAsia="Cambria Math"/>
          <w:sz w:val="17"/>
        </w:rPr>
      </w:pPr>
      <w:r>
        <w:rPr/>
        <w:pict>
          <v:line style="position:absolute;mso-position-horizontal-relative:page;mso-position-vertical-relative:paragraph;z-index:3448" from="358.98999pt,1.756676pt" to="445.62999pt,1.756676pt" stroked="true" strokeweight=".83997pt" strokecolor="#000000">
            <w10:wrap type="none"/>
          </v:line>
        </w:pict>
      </w:r>
      <w:r>
        <w:rPr>
          <w:rFonts w:ascii="Cambria Math" w:hAnsi="Cambria Math" w:eastAsia="Cambria Math"/>
          <w:position w:val="1"/>
          <w:sz w:val="17"/>
        </w:rPr>
        <w:t>∑ </w:t>
      </w:r>
      <w:r>
        <w:rPr>
          <w:rFonts w:ascii="Cambria Math" w:hAnsi="Cambria Math" w:eastAsia="Cambria Math"/>
          <w:sz w:val="17"/>
        </w:rPr>
        <w:t>��</w:t>
      </w:r>
    </w:p>
    <w:p>
      <w:pPr>
        <w:spacing w:before="83"/>
        <w:ind w:left="0" w:right="132" w:firstLine="0"/>
        <w:jc w:val="right"/>
        <w:rPr>
          <w:sz w:val="24"/>
        </w:rPr>
      </w:pPr>
      <w:r>
        <w:rPr/>
        <w:br w:type="column"/>
      </w:r>
      <w:r>
        <w:rPr>
          <w:sz w:val="24"/>
        </w:rPr>
        <w:t>63)</w:t>
      </w:r>
    </w:p>
    <w:p>
      <w:pPr>
        <w:spacing w:after="0"/>
        <w:jc w:val="right"/>
        <w:rPr>
          <w:sz w:val="24"/>
        </w:rPr>
        <w:sectPr>
          <w:type w:val="continuous"/>
          <w:pgSz w:w="12240" w:h="15840"/>
          <w:pgMar w:top="1360" w:bottom="280" w:left="1600" w:right="1600"/>
          <w:cols w:num="3" w:equalWidth="0">
            <w:col w:w="5474" w:space="40"/>
            <w:col w:w="1798" w:space="40"/>
            <w:col w:w="1688"/>
          </w:cols>
        </w:sectPr>
      </w:pPr>
    </w:p>
    <w:p>
      <w:pPr>
        <w:pStyle w:val="BodyText"/>
        <w:spacing w:before="48"/>
        <w:ind w:left="102"/>
      </w:pPr>
      <w:r>
        <w:rPr/>
        <w:t>Donde</w:t>
      </w:r>
      <w:r>
        <w:rPr>
          <w:spacing w:val="-15"/>
        </w:rPr>
        <w:t> </w:t>
      </w:r>
      <w:r>
        <w:rPr>
          <w:rFonts w:ascii="Cambria Math" w:hAnsi="Cambria Math" w:eastAsia="Cambria Math"/>
        </w:rPr>
        <w:t>��</w:t>
      </w:r>
      <w:r>
        <w:rPr>
          <w:rFonts w:ascii="Cambria Math" w:hAnsi="Cambria Math" w:eastAsia="Cambria Math"/>
          <w:spacing w:val="-3"/>
        </w:rPr>
        <w:t> </w:t>
      </w:r>
      <w:r>
        <w:rPr/>
        <w:t>es</w:t>
      </w:r>
      <w:r>
        <w:rPr>
          <w:spacing w:val="-15"/>
        </w:rPr>
        <w:t> </w:t>
      </w:r>
      <w:r>
        <w:rPr/>
        <w:t>el</w:t>
      </w:r>
      <w:r>
        <w:rPr>
          <w:spacing w:val="-15"/>
        </w:rPr>
        <w:t> </w:t>
      </w:r>
      <w:r>
        <w:rPr/>
        <w:t>ingreso</w:t>
      </w:r>
      <w:r>
        <w:rPr>
          <w:spacing w:val="-15"/>
        </w:rPr>
        <w:t> </w:t>
      </w:r>
      <w:r>
        <w:rPr/>
        <w:t>neto</w:t>
      </w:r>
      <w:r>
        <w:rPr>
          <w:spacing w:val="-13"/>
        </w:rPr>
        <w:t> </w:t>
      </w:r>
      <w:r>
        <w:rPr/>
        <w:t>de</w:t>
      </w:r>
      <w:r>
        <w:rPr>
          <w:spacing w:val="-16"/>
        </w:rPr>
        <w:t> </w:t>
      </w:r>
      <w:r>
        <w:rPr/>
        <w:t>la</w:t>
      </w:r>
      <w:r>
        <w:rPr>
          <w:spacing w:val="-15"/>
        </w:rPr>
        <w:t> </w:t>
      </w:r>
      <w:r>
        <w:rPr/>
        <w:t>URP8,</w:t>
      </w:r>
      <w:r>
        <w:rPr>
          <w:spacing w:val="-14"/>
        </w:rPr>
        <w:t> </w:t>
      </w:r>
      <w:r>
        <w:rPr>
          <w:rFonts w:ascii="Cambria Math" w:hAnsi="Cambria Math" w:eastAsia="Cambria Math"/>
        </w:rPr>
        <w:t>����</w:t>
      </w:r>
      <w:r>
        <w:rPr>
          <w:rFonts w:ascii="Cambria Math" w:hAnsi="Cambria Math" w:eastAsia="Cambria Math"/>
          <w:spacing w:val="-4"/>
        </w:rPr>
        <w:t> </w:t>
      </w:r>
      <w:r>
        <w:rPr/>
        <w:t>son</w:t>
      </w:r>
      <w:r>
        <w:rPr>
          <w:spacing w:val="-15"/>
        </w:rPr>
        <w:t> </w:t>
      </w:r>
      <w:r>
        <w:rPr/>
        <w:t>los</w:t>
      </w:r>
      <w:r>
        <w:rPr>
          <w:spacing w:val="-15"/>
        </w:rPr>
        <w:t> </w:t>
      </w:r>
      <w:r>
        <w:rPr/>
        <w:t>intereses</w:t>
      </w:r>
      <w:r>
        <w:rPr>
          <w:spacing w:val="-15"/>
        </w:rPr>
        <w:t> </w:t>
      </w:r>
      <w:r>
        <w:rPr/>
        <w:t>de</w:t>
      </w:r>
      <w:r>
        <w:rPr>
          <w:spacing w:val="-14"/>
        </w:rPr>
        <w:t> </w:t>
      </w:r>
      <w:r>
        <w:rPr/>
        <w:t>crédito</w:t>
      </w:r>
      <w:r>
        <w:rPr>
          <w:spacing w:val="-15"/>
        </w:rPr>
        <w:t> </w:t>
      </w:r>
      <w:r>
        <w:rPr/>
        <w:t>a</w:t>
      </w:r>
      <w:r>
        <w:rPr>
          <w:spacing w:val="-14"/>
        </w:rPr>
        <w:t> </w:t>
      </w:r>
      <w:r>
        <w:rPr/>
        <w:t>corto</w:t>
      </w:r>
      <w:r>
        <w:rPr>
          <w:spacing w:val="-15"/>
        </w:rPr>
        <w:t> </w:t>
      </w:r>
      <w:r>
        <w:rPr/>
        <w:t>plazo,</w:t>
      </w:r>
    </w:p>
    <w:p>
      <w:pPr>
        <w:pStyle w:val="BodyText"/>
        <w:spacing w:before="141"/>
        <w:ind w:left="102"/>
      </w:pPr>
      <w:r>
        <w:rPr>
          <w:rFonts w:ascii="Cambria Math" w:hAnsi="Cambria Math" w:eastAsia="Cambria Math"/>
        </w:rPr>
        <w:t>���� </w:t>
      </w:r>
      <w:r>
        <w:rPr/>
        <w:t>es el interés de crédito a mediano plazo, </w:t>
      </w:r>
      <w:r>
        <w:rPr>
          <w:rFonts w:ascii="Cambria Math" w:hAnsi="Cambria Math" w:eastAsia="Cambria Math"/>
        </w:rPr>
        <w:t>���� </w:t>
      </w:r>
      <w:r>
        <w:rPr/>
        <w:t>es el interés de crédito a largo plazo,</w:t>
      </w:r>
    </w:p>
    <w:p>
      <w:pPr>
        <w:pStyle w:val="BodyText"/>
        <w:spacing w:before="133"/>
        <w:ind w:left="102"/>
      </w:pPr>
      <w:r>
        <w:rPr>
          <w:rFonts w:ascii="Cambria Math" w:hAnsi="Cambria Math" w:eastAsia="Cambria Math"/>
          <w:position w:val="1"/>
        </w:rPr>
        <w:t>∑ </w:t>
      </w:r>
      <w:r>
        <w:rPr>
          <w:rFonts w:ascii="Cambria Math" w:hAnsi="Cambria Math" w:eastAsia="Cambria Math"/>
        </w:rPr>
        <w:t>�� </w:t>
      </w:r>
      <w:r>
        <w:rPr/>
        <w:t>es el valor de los activos totales.</w:t>
      </w:r>
    </w:p>
    <w:p>
      <w:pPr>
        <w:pStyle w:val="BodyText"/>
        <w:rPr>
          <w:sz w:val="20"/>
        </w:rPr>
      </w:pPr>
    </w:p>
    <w:p>
      <w:pPr>
        <w:pStyle w:val="BodyText"/>
        <w:rPr>
          <w:sz w:val="20"/>
        </w:rPr>
      </w:pPr>
    </w:p>
    <w:p>
      <w:pPr>
        <w:pStyle w:val="BodyText"/>
        <w:spacing w:before="10"/>
        <w:rPr>
          <w:sz w:val="22"/>
        </w:rPr>
      </w:pPr>
    </w:p>
    <w:p>
      <w:pPr>
        <w:spacing w:after="0"/>
        <w:rPr>
          <w:sz w:val="22"/>
        </w:rPr>
        <w:sectPr>
          <w:pgSz w:w="12240" w:h="15840"/>
          <w:pgMar w:header="0" w:footer="657" w:top="1360" w:bottom="840" w:left="1600" w:right="1580"/>
        </w:sectPr>
      </w:pPr>
    </w:p>
    <w:p>
      <w:pPr>
        <w:pStyle w:val="BodyText"/>
        <w:tabs>
          <w:tab w:pos="5248" w:val="left" w:leader="none"/>
        </w:tabs>
        <w:spacing w:line="297" w:lineRule="exact" w:before="79"/>
        <w:ind w:left="2468"/>
        <w:rPr>
          <w:rFonts w:ascii="Cambria Math" w:eastAsia="Cambria Math"/>
          <w:sz w:val="17"/>
        </w:rPr>
      </w:pPr>
      <w:r>
        <w:rPr/>
        <w:pict>
          <v:line style="position:absolute;mso-position-horizontal-relative:page;mso-position-vertical-relative:paragraph;z-index:-460264" from="315.290009pt,15.606663pt" to="384.794009pt,15.606663pt" stroked="true" strokeweight=".84pt" strokecolor="#000000">
            <w10:wrap type="none"/>
          </v:line>
        </w:pict>
      </w:r>
      <w:r>
        <w:rPr/>
        <w:t>Costo beneficio</w:t>
      </w:r>
      <w:r>
        <w:rPr>
          <w:spacing w:val="-14"/>
        </w:rPr>
        <w:t> </w:t>
      </w:r>
      <w:r>
        <w:rPr>
          <w:rFonts w:ascii="Cambria Math" w:eastAsia="Cambria Math"/>
        </w:rPr>
        <w:t>��</w:t>
      </w:r>
      <w:r>
        <w:rPr>
          <w:rFonts w:ascii="Cambria Math" w:eastAsia="Cambria Math"/>
          <w:spacing w:val="14"/>
        </w:rPr>
        <w:t> </w:t>
      </w:r>
      <w:r>
        <w:rPr>
          <w:rFonts w:ascii="Cambria Math" w:eastAsia="Cambria Math"/>
        </w:rPr>
        <w:t>=</w:t>
        <w:tab/>
      </w:r>
      <w:r>
        <w:rPr>
          <w:rFonts w:ascii="Cambria Math" w:eastAsia="Cambria Math"/>
          <w:position w:val="14"/>
          <w:sz w:val="17"/>
        </w:rPr>
        <w:t>��𝐼</w:t>
      </w:r>
    </w:p>
    <w:p>
      <w:pPr>
        <w:spacing w:line="163" w:lineRule="exact" w:before="0"/>
        <w:ind w:left="0" w:right="0" w:firstLine="0"/>
        <w:jc w:val="right"/>
        <w:rPr>
          <w:rFonts w:ascii="Cambria Math" w:hAnsi="Cambria Math" w:eastAsia="Cambria Math"/>
          <w:sz w:val="17"/>
        </w:rPr>
      </w:pPr>
      <w:r>
        <w:rPr>
          <w:rFonts w:ascii="Cambria Math" w:hAnsi="Cambria Math" w:eastAsia="Cambria Math"/>
          <w:position w:val="1"/>
          <w:sz w:val="17"/>
        </w:rPr>
        <w:t>∑                                  </w:t>
      </w:r>
      <w:r>
        <w:rPr>
          <w:rFonts w:ascii="Cambria Math" w:hAnsi="Cambria Math" w:eastAsia="Cambria Math"/>
          <w:sz w:val="17"/>
        </w:rPr>
        <w:t>��𝐼𝐹</w:t>
      </w:r>
      <w:r>
        <w:rPr>
          <w:rFonts w:ascii="Cambria Math" w:hAnsi="Cambria Math" w:eastAsia="Cambria Math"/>
          <w:position w:val="5"/>
          <w:sz w:val="14"/>
        </w:rPr>
        <w:t>𝑛</w:t>
      </w:r>
      <w:r>
        <w:rPr>
          <w:rFonts w:ascii="Cambria Math" w:hAnsi="Cambria Math" w:eastAsia="Cambria Math"/>
          <w:sz w:val="17"/>
        </w:rPr>
        <w:t>+�����</w:t>
      </w:r>
    </w:p>
    <w:p>
      <w:pPr>
        <w:spacing w:before="94"/>
        <w:ind w:left="0" w:right="152" w:firstLine="0"/>
        <w:jc w:val="right"/>
        <w:rPr>
          <w:sz w:val="24"/>
        </w:rPr>
      </w:pPr>
      <w:r>
        <w:rPr/>
        <w:br w:type="column"/>
      </w:r>
      <w:r>
        <w:rPr>
          <w:sz w:val="24"/>
        </w:rPr>
        <w:t>64)</w:t>
      </w:r>
    </w:p>
    <w:p>
      <w:pPr>
        <w:spacing w:after="0"/>
        <w:jc w:val="right"/>
        <w:rPr>
          <w:sz w:val="24"/>
        </w:rPr>
        <w:sectPr>
          <w:type w:val="continuous"/>
          <w:pgSz w:w="12240" w:h="15840"/>
          <w:pgMar w:top="1360" w:bottom="280" w:left="1600" w:right="1580"/>
          <w:cols w:num="2" w:equalWidth="0">
            <w:col w:w="6057" w:space="59"/>
            <w:col w:w="2944"/>
          </w:cols>
        </w:sectPr>
      </w:pPr>
    </w:p>
    <w:p>
      <w:pPr>
        <w:pStyle w:val="BodyText"/>
        <w:rPr>
          <w:sz w:val="20"/>
        </w:rPr>
      </w:pPr>
    </w:p>
    <w:p>
      <w:pPr>
        <w:pStyle w:val="BodyText"/>
        <w:rPr>
          <w:sz w:val="20"/>
        </w:rPr>
      </w:pPr>
    </w:p>
    <w:p>
      <w:pPr>
        <w:pStyle w:val="BodyText"/>
        <w:spacing w:before="10"/>
        <w:rPr>
          <w:sz w:val="15"/>
        </w:rPr>
      </w:pPr>
    </w:p>
    <w:p>
      <w:pPr>
        <w:pStyle w:val="BodyText"/>
        <w:spacing w:before="76"/>
        <w:ind w:left="102"/>
        <w:jc w:val="both"/>
      </w:pPr>
      <w:r>
        <w:rPr/>
        <w:t>Donde </w:t>
      </w:r>
      <w:r>
        <w:rPr>
          <w:rFonts w:ascii="Cambria Math" w:eastAsia="Cambria Math"/>
        </w:rPr>
        <w:t>��� </w:t>
      </w:r>
      <w:r>
        <w:rPr/>
        <w:t>es el capital neto inicial, </w:t>
      </w:r>
      <w:r>
        <w:rPr>
          <w:rFonts w:ascii="Cambria Math" w:eastAsia="Cambria Math"/>
        </w:rPr>
        <w:t>����</w:t>
      </w:r>
      <w:r>
        <w:rPr>
          <w:rFonts w:ascii="Cambria Math" w:eastAsia="Cambria Math"/>
          <w:position w:val="9"/>
          <w:sz w:val="17"/>
        </w:rPr>
        <w:t>� </w:t>
      </w:r>
      <w:r>
        <w:rPr/>
        <w:t>es el valor actual de los ingresos familiares,</w:t>
      </w:r>
    </w:p>
    <w:p>
      <w:pPr>
        <w:pStyle w:val="BodyText"/>
        <w:spacing w:before="144"/>
        <w:ind w:left="102"/>
        <w:jc w:val="both"/>
      </w:pPr>
      <w:r>
        <w:rPr>
          <w:rFonts w:ascii="Cambria Math" w:eastAsia="Cambria Math"/>
        </w:rPr>
        <w:t>����� </w:t>
      </w:r>
      <w:r>
        <w:rPr/>
        <w:t>es el valor actual del capital neto real.</w:t>
      </w:r>
    </w:p>
    <w:p>
      <w:pPr>
        <w:pStyle w:val="BodyText"/>
      </w:pPr>
    </w:p>
    <w:p>
      <w:pPr>
        <w:pStyle w:val="BodyText"/>
      </w:pPr>
    </w:p>
    <w:p>
      <w:pPr>
        <w:pStyle w:val="BodyText"/>
        <w:spacing w:before="3"/>
        <w:rPr>
          <w:sz w:val="23"/>
        </w:rPr>
      </w:pPr>
    </w:p>
    <w:p>
      <w:pPr>
        <w:pStyle w:val="Heading1"/>
        <w:spacing w:before="0"/>
      </w:pPr>
      <w:bookmarkStart w:name="_TOC_250005" w:id="37"/>
      <w:bookmarkEnd w:id="37"/>
      <w:r>
        <w:rPr/>
        <w:t>4.6 Dominancia estocástica</w:t>
      </w:r>
    </w:p>
    <w:p>
      <w:pPr>
        <w:pStyle w:val="BodyText"/>
        <w:rPr>
          <w:b/>
        </w:rPr>
      </w:pPr>
    </w:p>
    <w:p>
      <w:pPr>
        <w:pStyle w:val="BodyText"/>
        <w:rPr>
          <w:b/>
        </w:rPr>
      </w:pPr>
    </w:p>
    <w:p>
      <w:pPr>
        <w:pStyle w:val="BodyText"/>
        <w:spacing w:before="6"/>
        <w:rPr>
          <w:b/>
          <w:sz w:val="23"/>
        </w:rPr>
      </w:pPr>
    </w:p>
    <w:p>
      <w:pPr>
        <w:pStyle w:val="BodyText"/>
        <w:spacing w:line="360" w:lineRule="auto"/>
        <w:ind w:left="102" w:right="120"/>
        <w:jc w:val="both"/>
      </w:pPr>
      <w:r>
        <w:rPr/>
        <w:t>Hardaker y Lien (2010) mencionan que de una gran variedad de modelos para el análisis de riesgo, parece que la teoría de utilidad esperada ha sido universalmente adoptada en análisis de riesgo económicos. Sin embargo, sigue existiendo una considerable desconfianza con respecto a esta metodología justificada por cómo puede representar adecuadamente las actitudes de los tomadores de decisiones ante su aversión al riesgo. En parte por esta razón, y</w:t>
      </w:r>
      <w:r>
        <w:rPr>
          <w:spacing w:val="-14"/>
        </w:rPr>
        <w:t> </w:t>
      </w:r>
      <w:r>
        <w:rPr/>
        <w:t>para</w:t>
      </w:r>
      <w:r>
        <w:rPr>
          <w:spacing w:val="-13"/>
        </w:rPr>
        <w:t> </w:t>
      </w:r>
      <w:r>
        <w:rPr/>
        <w:t>que</w:t>
      </w:r>
      <w:r>
        <w:rPr>
          <w:spacing w:val="-13"/>
        </w:rPr>
        <w:t> </w:t>
      </w:r>
      <w:r>
        <w:rPr/>
        <w:t>los</w:t>
      </w:r>
      <w:r>
        <w:rPr>
          <w:spacing w:val="-11"/>
        </w:rPr>
        <w:t> </w:t>
      </w:r>
      <w:r>
        <w:rPr/>
        <w:t>resultados</w:t>
      </w:r>
      <w:r>
        <w:rPr>
          <w:spacing w:val="-12"/>
        </w:rPr>
        <w:t> </w:t>
      </w:r>
      <w:r>
        <w:rPr/>
        <w:t>sean</w:t>
      </w:r>
      <w:r>
        <w:rPr>
          <w:spacing w:val="-12"/>
        </w:rPr>
        <w:t> </w:t>
      </w:r>
      <w:r>
        <w:rPr/>
        <w:t>aplicables</w:t>
      </w:r>
      <w:r>
        <w:rPr>
          <w:spacing w:val="-12"/>
        </w:rPr>
        <w:t> </w:t>
      </w:r>
      <w:r>
        <w:rPr/>
        <w:t>a</w:t>
      </w:r>
      <w:r>
        <w:rPr>
          <w:spacing w:val="-13"/>
        </w:rPr>
        <w:t> </w:t>
      </w:r>
      <w:r>
        <w:rPr/>
        <w:t>los</w:t>
      </w:r>
      <w:r>
        <w:rPr>
          <w:spacing w:val="-11"/>
        </w:rPr>
        <w:t> </w:t>
      </w:r>
      <w:r>
        <w:rPr/>
        <w:t>tomadores</w:t>
      </w:r>
      <w:r>
        <w:rPr>
          <w:spacing w:val="-12"/>
        </w:rPr>
        <w:t> </w:t>
      </w:r>
      <w:r>
        <w:rPr/>
        <w:t>de</w:t>
      </w:r>
      <w:r>
        <w:rPr>
          <w:spacing w:val="-13"/>
        </w:rPr>
        <w:t> </w:t>
      </w:r>
      <w:r>
        <w:rPr/>
        <w:t>decisiones</w:t>
      </w:r>
      <w:r>
        <w:rPr>
          <w:spacing w:val="-12"/>
        </w:rPr>
        <w:t> </w:t>
      </w:r>
      <w:r>
        <w:rPr/>
        <w:t>con</w:t>
      </w:r>
      <w:r>
        <w:rPr>
          <w:spacing w:val="-12"/>
        </w:rPr>
        <w:t> </w:t>
      </w:r>
      <w:r>
        <w:rPr/>
        <w:t>diferente</w:t>
      </w:r>
      <w:r>
        <w:rPr>
          <w:spacing w:val="-12"/>
        </w:rPr>
        <w:t> </w:t>
      </w:r>
      <w:r>
        <w:rPr/>
        <w:t>aversión al riesgo, muchos estudios utilizan eficiencia estocástica. La cual se define como un criterio para dividir las opciones de elección en riesgo eficiente y establece un amplio rango de conductas de riesgo. Este es el tema que se describe a</w:t>
      </w:r>
      <w:r>
        <w:rPr>
          <w:spacing w:val="-12"/>
        </w:rPr>
        <w:t> </w:t>
      </w:r>
      <w:r>
        <w:rPr/>
        <w:t>continuación.</w:t>
      </w:r>
    </w:p>
    <w:p>
      <w:pPr>
        <w:pStyle w:val="BodyText"/>
      </w:pPr>
    </w:p>
    <w:p>
      <w:pPr>
        <w:pStyle w:val="BodyText"/>
        <w:spacing w:line="360" w:lineRule="auto" w:before="143"/>
        <w:ind w:left="102" w:right="115"/>
        <w:jc w:val="both"/>
      </w:pPr>
      <w:r>
        <w:rPr/>
        <w:t>De</w:t>
      </w:r>
      <w:r>
        <w:rPr>
          <w:spacing w:val="-8"/>
        </w:rPr>
        <w:t> </w:t>
      </w:r>
      <w:r>
        <w:rPr/>
        <w:t>acuerdo</w:t>
      </w:r>
      <w:r>
        <w:rPr>
          <w:spacing w:val="-5"/>
        </w:rPr>
        <w:t> </w:t>
      </w:r>
      <w:r>
        <w:rPr/>
        <w:t>con</w:t>
      </w:r>
      <w:r>
        <w:rPr>
          <w:spacing w:val="-6"/>
        </w:rPr>
        <w:t> </w:t>
      </w:r>
      <w:r>
        <w:rPr/>
        <w:t>Richardson</w:t>
      </w:r>
      <w:r>
        <w:rPr>
          <w:spacing w:val="-6"/>
        </w:rPr>
        <w:t> </w:t>
      </w:r>
      <w:r>
        <w:rPr/>
        <w:t>(2007),</w:t>
      </w:r>
      <w:r>
        <w:rPr>
          <w:spacing w:val="-5"/>
        </w:rPr>
        <w:t> </w:t>
      </w:r>
      <w:r>
        <w:rPr/>
        <w:t>el</w:t>
      </w:r>
      <w:r>
        <w:rPr>
          <w:spacing w:val="-6"/>
        </w:rPr>
        <w:t> </w:t>
      </w:r>
      <w:r>
        <w:rPr/>
        <w:t>criterio</w:t>
      </w:r>
      <w:r>
        <w:rPr>
          <w:spacing w:val="-6"/>
        </w:rPr>
        <w:t> </w:t>
      </w:r>
      <w:r>
        <w:rPr/>
        <w:t>de</w:t>
      </w:r>
      <w:r>
        <w:rPr>
          <w:spacing w:val="-5"/>
        </w:rPr>
        <w:t> </w:t>
      </w:r>
      <w:r>
        <w:rPr/>
        <w:t>elección</w:t>
      </w:r>
      <w:r>
        <w:rPr>
          <w:spacing w:val="-6"/>
        </w:rPr>
        <w:t> </w:t>
      </w:r>
      <w:r>
        <w:rPr/>
        <w:t>de</w:t>
      </w:r>
      <w:r>
        <w:rPr>
          <w:spacing w:val="-5"/>
        </w:rPr>
        <w:t> </w:t>
      </w:r>
      <w:r>
        <w:rPr/>
        <w:t>una</w:t>
      </w:r>
      <w:r>
        <w:rPr>
          <w:spacing w:val="-5"/>
        </w:rPr>
        <w:t> </w:t>
      </w:r>
      <w:r>
        <w:rPr/>
        <w:t>alternativa</w:t>
      </w:r>
      <w:r>
        <w:rPr>
          <w:spacing w:val="-5"/>
        </w:rPr>
        <w:t> </w:t>
      </w:r>
      <w:r>
        <w:rPr/>
        <w:t>de</w:t>
      </w:r>
      <w:r>
        <w:rPr>
          <w:spacing w:val="-7"/>
        </w:rPr>
        <w:t> </w:t>
      </w:r>
      <w:r>
        <w:rPr/>
        <w:t>negocio</w:t>
      </w:r>
      <w:r>
        <w:rPr>
          <w:spacing w:val="-6"/>
        </w:rPr>
        <w:t> </w:t>
      </w:r>
      <w:r>
        <w:rPr/>
        <w:t>para un actor surge mediante la clasificación de escenarios donde se muestra la combinación de riesgo y ganancias, de tal manera que el actor pueda decidir entre el abanico de</w:t>
      </w:r>
      <w:r>
        <w:rPr>
          <w:spacing w:val="-17"/>
        </w:rPr>
        <w:t> </w:t>
      </w:r>
      <w:r>
        <w:rPr/>
        <w:t>opciones.</w:t>
      </w:r>
    </w:p>
    <w:p>
      <w:pPr>
        <w:pStyle w:val="BodyText"/>
      </w:pPr>
    </w:p>
    <w:p>
      <w:pPr>
        <w:pStyle w:val="BodyText"/>
        <w:spacing w:line="360" w:lineRule="auto" w:before="143"/>
        <w:ind w:left="102" w:right="119"/>
        <w:jc w:val="both"/>
      </w:pPr>
      <w:r>
        <w:rPr/>
        <w:t>La</w:t>
      </w:r>
      <w:r>
        <w:rPr>
          <w:spacing w:val="-5"/>
        </w:rPr>
        <w:t> </w:t>
      </w:r>
      <w:r>
        <w:rPr/>
        <w:t>SMC,</w:t>
      </w:r>
      <w:r>
        <w:rPr>
          <w:spacing w:val="-4"/>
        </w:rPr>
        <w:t> </w:t>
      </w:r>
      <w:r>
        <w:rPr/>
        <w:t>es</w:t>
      </w:r>
      <w:r>
        <w:rPr>
          <w:spacing w:val="-4"/>
        </w:rPr>
        <w:t> </w:t>
      </w:r>
      <w:r>
        <w:rPr/>
        <w:t>capaz,</w:t>
      </w:r>
      <w:r>
        <w:rPr>
          <w:spacing w:val="-4"/>
        </w:rPr>
        <w:t> </w:t>
      </w:r>
      <w:r>
        <w:rPr/>
        <w:t>de</w:t>
      </w:r>
      <w:r>
        <w:rPr>
          <w:spacing w:val="-5"/>
        </w:rPr>
        <w:t> </w:t>
      </w:r>
      <w:r>
        <w:rPr/>
        <w:t>analizar</w:t>
      </w:r>
      <w:r>
        <w:rPr>
          <w:spacing w:val="-1"/>
        </w:rPr>
        <w:t> </w:t>
      </w:r>
      <w:r>
        <w:rPr/>
        <w:t>y</w:t>
      </w:r>
      <w:r>
        <w:rPr>
          <w:spacing w:val="-9"/>
        </w:rPr>
        <w:t> </w:t>
      </w:r>
      <w:r>
        <w:rPr/>
        <w:t>clasificar</w:t>
      </w:r>
      <w:r>
        <w:rPr>
          <w:spacing w:val="-1"/>
        </w:rPr>
        <w:t> </w:t>
      </w:r>
      <w:r>
        <w:rPr/>
        <w:t>el</w:t>
      </w:r>
      <w:r>
        <w:rPr>
          <w:spacing w:val="-3"/>
        </w:rPr>
        <w:t> </w:t>
      </w:r>
      <w:r>
        <w:rPr/>
        <w:t>escenario,</w:t>
      </w:r>
      <w:r>
        <w:rPr>
          <w:spacing w:val="-4"/>
        </w:rPr>
        <w:t> </w:t>
      </w:r>
      <w:r>
        <w:rPr/>
        <w:t>con</w:t>
      </w:r>
      <w:r>
        <w:rPr>
          <w:spacing w:val="-4"/>
        </w:rPr>
        <w:t> </w:t>
      </w:r>
      <w:r>
        <w:rPr/>
        <w:t>el</w:t>
      </w:r>
      <w:r>
        <w:rPr>
          <w:spacing w:val="-3"/>
        </w:rPr>
        <w:t> </w:t>
      </w:r>
      <w:r>
        <w:rPr/>
        <w:t>mejor</w:t>
      </w:r>
      <w:r>
        <w:rPr>
          <w:spacing w:val="-5"/>
        </w:rPr>
        <w:t> </w:t>
      </w:r>
      <w:r>
        <w:rPr/>
        <w:t>ingreso</w:t>
      </w:r>
      <w:r>
        <w:rPr>
          <w:spacing w:val="-1"/>
        </w:rPr>
        <w:t> </w:t>
      </w:r>
      <w:r>
        <w:rPr/>
        <w:t>y</w:t>
      </w:r>
      <w:r>
        <w:rPr>
          <w:spacing w:val="-9"/>
        </w:rPr>
        <w:t> </w:t>
      </w:r>
      <w:r>
        <w:rPr/>
        <w:t>menor</w:t>
      </w:r>
      <w:r>
        <w:rPr>
          <w:spacing w:val="-5"/>
        </w:rPr>
        <w:t> </w:t>
      </w:r>
      <w:r>
        <w:rPr/>
        <w:t>riesgo, y el escenario, con el mayor riesgo y el menor ingreso o una combinación de ambos. Esta clasificación de escenarios se puede realizar con el proceso llamado dominancia</w:t>
      </w:r>
      <w:r>
        <w:rPr>
          <w:spacing w:val="-26"/>
        </w:rPr>
        <w:t> </w:t>
      </w:r>
      <w:r>
        <w:rPr/>
        <w:t>estocástica.</w:t>
      </w:r>
    </w:p>
    <w:p>
      <w:pPr>
        <w:spacing w:after="0" w:line="360" w:lineRule="auto"/>
        <w:jc w:val="both"/>
        <w:sectPr>
          <w:type w:val="continuous"/>
          <w:pgSz w:w="12240" w:h="15840"/>
          <w:pgMar w:top="1360" w:bottom="280" w:left="1600" w:right="1580"/>
        </w:sectPr>
      </w:pPr>
    </w:p>
    <w:p>
      <w:pPr>
        <w:pStyle w:val="BodyText"/>
        <w:spacing w:line="360" w:lineRule="auto" w:before="50"/>
        <w:ind w:left="102" w:right="118"/>
        <w:jc w:val="both"/>
      </w:pPr>
      <w:r>
        <w:rPr/>
        <w:t>Almaraz (2010) menciona que una forma simple de comparar variables aleatorias (v.as.) es a través de sus valores esperados, no obstante, ello es poco informativo, </w:t>
      </w:r>
      <w:r>
        <w:rPr>
          <w:spacing w:val="-3"/>
        </w:rPr>
        <w:t>ya </w:t>
      </w:r>
      <w:r>
        <w:rPr/>
        <w:t>que se basa únicamente</w:t>
      </w:r>
      <w:r>
        <w:rPr>
          <w:spacing w:val="-8"/>
        </w:rPr>
        <w:t> </w:t>
      </w:r>
      <w:r>
        <w:rPr/>
        <w:t>en</w:t>
      </w:r>
      <w:r>
        <w:rPr>
          <w:spacing w:val="-7"/>
        </w:rPr>
        <w:t> </w:t>
      </w:r>
      <w:r>
        <w:rPr/>
        <w:t>dos</w:t>
      </w:r>
      <w:r>
        <w:rPr>
          <w:spacing w:val="-7"/>
        </w:rPr>
        <w:t> </w:t>
      </w:r>
      <w:r>
        <w:rPr/>
        <w:t>valores.</w:t>
      </w:r>
      <w:r>
        <w:rPr>
          <w:spacing w:val="-7"/>
        </w:rPr>
        <w:t> </w:t>
      </w:r>
      <w:r>
        <w:rPr/>
        <w:t>Normalmente</w:t>
      </w:r>
      <w:r>
        <w:rPr>
          <w:spacing w:val="-8"/>
        </w:rPr>
        <w:t> </w:t>
      </w:r>
      <w:r>
        <w:rPr/>
        <w:t>se</w:t>
      </w:r>
      <w:r>
        <w:rPr>
          <w:spacing w:val="-8"/>
        </w:rPr>
        <w:t> </w:t>
      </w:r>
      <w:r>
        <w:rPr/>
        <w:t>obtiene</w:t>
      </w:r>
      <w:r>
        <w:rPr>
          <w:spacing w:val="-8"/>
        </w:rPr>
        <w:t> </w:t>
      </w:r>
      <w:r>
        <w:rPr/>
        <w:t>mayor</w:t>
      </w:r>
      <w:r>
        <w:rPr>
          <w:spacing w:val="-8"/>
        </w:rPr>
        <w:t> </w:t>
      </w:r>
      <w:r>
        <w:rPr/>
        <w:t>información</w:t>
      </w:r>
      <w:r>
        <w:rPr>
          <w:spacing w:val="-7"/>
        </w:rPr>
        <w:t> </w:t>
      </w:r>
      <w:r>
        <w:rPr/>
        <w:t>del</w:t>
      </w:r>
      <w:r>
        <w:rPr>
          <w:spacing w:val="-7"/>
        </w:rPr>
        <w:t> </w:t>
      </w:r>
      <w:r>
        <w:rPr/>
        <w:t>comportamiento de funciones de distribución, las funciones generadoras de momentos, funciones de tasa de fallo, de razón de verosimilitudes, etc. Estas características proporcionan un mayor conocimiento de las v.as. Por ello surge la necesidad de reglas de carácter estocástico que permitan la comparación de v.as. Estas reglas se dicen de dominancia estocástica (DE) y su uso se ha generalizado a numerosas áreas de la economía, finanzas y</w:t>
      </w:r>
      <w:r>
        <w:rPr>
          <w:spacing w:val="-12"/>
        </w:rPr>
        <w:t> </w:t>
      </w:r>
      <w:r>
        <w:rPr/>
        <w:t>estadística.</w:t>
      </w:r>
    </w:p>
    <w:p>
      <w:pPr>
        <w:pStyle w:val="BodyText"/>
      </w:pPr>
    </w:p>
    <w:p>
      <w:pPr>
        <w:pStyle w:val="BodyText"/>
        <w:spacing w:line="360" w:lineRule="auto" w:before="143"/>
        <w:ind w:left="102" w:right="118"/>
        <w:jc w:val="both"/>
      </w:pPr>
      <w:r>
        <w:rPr/>
        <w:t>De manera intuitiva, un individuo no saciable y con aversión al riesgo prefiere aquel activo que le dé mayor utilidad esperada. En la literatura existen distintos criterios basados en las propiedades estocásticas de los retornos (o de las funciones de probabilidad de los retornos) que le aseguren al individuo la elección del activo que le proporcione mayor utilidad esperada. Los criterios de comparación se conocen como criterio de dominancia estocástica de primer orden (FSD), de segundo orden (SSD) y DERF. Estos criterios se relacionan con el nivel del retorno y con la dispersión o variabilidad del mismo.</w:t>
      </w:r>
    </w:p>
    <w:p>
      <w:pPr>
        <w:pStyle w:val="BodyText"/>
      </w:pPr>
    </w:p>
    <w:p>
      <w:pPr>
        <w:pStyle w:val="Heading2"/>
        <w:ind w:left="102" w:firstLine="0"/>
        <w:rPr>
          <w:i/>
        </w:rPr>
      </w:pPr>
      <w:r>
        <w:rPr>
          <w:i/>
        </w:rPr>
        <w:t>4.6.1 Dominancia estocástica de primer grado</w:t>
      </w:r>
    </w:p>
    <w:p>
      <w:pPr>
        <w:pStyle w:val="BodyText"/>
        <w:rPr>
          <w:b/>
          <w:i/>
        </w:rPr>
      </w:pPr>
    </w:p>
    <w:p>
      <w:pPr>
        <w:pStyle w:val="BodyText"/>
        <w:spacing w:before="6"/>
        <w:rPr>
          <w:b/>
          <w:i/>
          <w:sz w:val="23"/>
        </w:rPr>
      </w:pPr>
    </w:p>
    <w:p>
      <w:pPr>
        <w:pStyle w:val="BodyText"/>
        <w:spacing w:line="360" w:lineRule="auto"/>
        <w:ind w:left="102" w:right="121"/>
        <w:jc w:val="both"/>
      </w:pPr>
      <w:r>
        <w:rPr/>
        <w:t>La FSD corresponde a la noción estocásticamente menor en sentido fuerte y clasifica a los activos con riesgo de modo consistente para individuos que prefieren más a menos riqueza.</w:t>
      </w:r>
    </w:p>
    <w:p>
      <w:pPr>
        <w:pStyle w:val="BodyText"/>
      </w:pPr>
    </w:p>
    <w:p>
      <w:pPr>
        <w:pStyle w:val="BodyText"/>
        <w:spacing w:line="360" w:lineRule="auto" w:before="143"/>
        <w:ind w:left="102" w:right="121"/>
        <w:jc w:val="both"/>
      </w:pPr>
      <w:r>
        <w:rPr/>
        <w:t>De acuerdo con Almaraz (2010), un activo se dice que es dominante desde el punto de vista estocástico si el individuo recibe mayor riqueza con este activo que con cualquier otro que se le presente.</w:t>
      </w:r>
    </w:p>
    <w:p>
      <w:pPr>
        <w:pStyle w:val="BodyText"/>
      </w:pPr>
    </w:p>
    <w:p>
      <w:pPr>
        <w:pStyle w:val="BodyText"/>
        <w:spacing w:line="360" w:lineRule="auto" w:before="143"/>
        <w:ind w:left="102" w:right="114"/>
        <w:jc w:val="both"/>
      </w:pPr>
      <w:r>
        <w:rPr/>
        <w:t>Sean F y G las funciones de distribución de A y B respectivamente (sin pérdida de generalidad se supone que el soporte es el intervalo [0; 1]) donde:</w:t>
      </w:r>
    </w:p>
    <w:p>
      <w:pPr>
        <w:pStyle w:val="BodyText"/>
        <w:rPr>
          <w:sz w:val="26"/>
        </w:rPr>
      </w:pPr>
    </w:p>
    <w:p>
      <w:pPr>
        <w:spacing w:after="0"/>
        <w:rPr>
          <w:sz w:val="26"/>
        </w:rPr>
        <w:sectPr>
          <w:pgSz w:w="12240" w:h="15840"/>
          <w:pgMar w:header="0" w:footer="657" w:top="1360" w:bottom="840" w:left="1600" w:right="1580"/>
        </w:sectPr>
      </w:pPr>
    </w:p>
    <w:p>
      <w:pPr>
        <w:spacing w:before="77"/>
        <w:ind w:left="0" w:right="812" w:firstLine="0"/>
        <w:jc w:val="right"/>
        <w:rPr>
          <w:rFonts w:ascii="Cambria Math" w:eastAsia="Cambria Math"/>
          <w:sz w:val="17"/>
        </w:rPr>
      </w:pPr>
      <w:r>
        <w:rPr>
          <w:rFonts w:ascii="Cambria Math" w:eastAsia="Cambria Math"/>
          <w:w w:val="90"/>
          <w:sz w:val="17"/>
        </w:rPr>
        <w:t>�</w:t>
      </w:r>
    </w:p>
    <w:p>
      <w:pPr>
        <w:pStyle w:val="BodyText"/>
        <w:spacing w:before="110"/>
        <w:ind w:left="2699"/>
        <w:rPr>
          <w:rFonts w:ascii="Cambria Math" w:hAnsi="Cambria Math" w:eastAsia="Cambria Math"/>
        </w:rPr>
      </w:pPr>
      <w:r>
        <w:rPr>
          <w:rFonts w:ascii="Cambria Math" w:hAnsi="Cambria Math" w:eastAsia="Cambria Math"/>
          <w:w w:val="95"/>
        </w:rPr>
        <w:t>� </w:t>
      </w:r>
      <w:r>
        <w:rPr>
          <w:rFonts w:ascii="Cambria Math" w:hAnsi="Cambria Math" w:eastAsia="Cambria Math"/>
          <w:w w:val="95"/>
          <w:position w:val="1"/>
        </w:rPr>
        <w:t>(</w:t>
      </w:r>
      <w:r>
        <w:rPr>
          <w:rFonts w:ascii="Cambria Math" w:hAnsi="Cambria Math" w:eastAsia="Cambria Math"/>
          <w:w w:val="95"/>
        </w:rPr>
        <w:t>𝑥</w:t>
      </w:r>
      <w:r>
        <w:rPr>
          <w:rFonts w:ascii="Cambria Math" w:hAnsi="Cambria Math" w:eastAsia="Cambria Math"/>
          <w:w w:val="95"/>
          <w:position w:val="1"/>
        </w:rPr>
        <w:t>) </w:t>
      </w:r>
      <w:r>
        <w:rPr>
          <w:rFonts w:ascii="Cambria Math" w:hAnsi="Cambria Math" w:eastAsia="Cambria Math"/>
          <w:w w:val="95"/>
        </w:rPr>
        <w:t>= �</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 </w:t>
      </w:r>
      <w:r>
        <w:rPr>
          <w:rFonts w:ascii="Cambria Math" w:hAnsi="Cambria Math" w:eastAsia="Cambria Math"/>
          <w:w w:val="95"/>
        </w:rPr>
        <w:t>≤ 𝑥</w:t>
      </w:r>
      <w:r>
        <w:rPr>
          <w:rFonts w:ascii="Cambria Math" w:hAnsi="Cambria Math" w:eastAsia="Cambria Math"/>
          <w:w w:val="95"/>
          <w:position w:val="1"/>
        </w:rPr>
        <w:t>] </w:t>
      </w:r>
      <w:r>
        <w:rPr>
          <w:rFonts w:ascii="Cambria Math" w:hAnsi="Cambria Math" w:eastAsia="Cambria Math"/>
          <w:w w:val="95"/>
        </w:rPr>
        <w:t>= ∫ � </w:t>
      </w:r>
      <w:r>
        <w:rPr>
          <w:rFonts w:ascii="Cambria Math" w:hAnsi="Cambria Math" w:eastAsia="Cambria Math"/>
          <w:position w:val="1"/>
        </w:rPr>
        <w:t>(</w:t>
      </w:r>
      <w:r>
        <w:rPr>
          <w:rFonts w:ascii="Cambria Math" w:hAnsi="Cambria Math" w:eastAsia="Cambria Math"/>
        </w:rPr>
        <w:t>𝑧</w:t>
      </w:r>
      <w:r>
        <w:rPr>
          <w:rFonts w:ascii="Cambria Math" w:hAnsi="Cambria Math" w:eastAsia="Cambria Math"/>
          <w:position w:val="1"/>
        </w:rPr>
        <w:t>)</w:t>
      </w:r>
      <w:r>
        <w:rPr>
          <w:rFonts w:ascii="Cambria Math" w:hAnsi="Cambria Math" w:eastAsia="Cambria Math"/>
        </w:rPr>
        <w:t>�𝑧</w:t>
      </w:r>
    </w:p>
    <w:p>
      <w:pPr>
        <w:spacing w:before="86"/>
        <w:ind w:left="0" w:right="900" w:firstLine="0"/>
        <w:jc w:val="right"/>
        <w:rPr>
          <w:rFonts w:ascii="Cambria Math"/>
          <w:sz w:val="17"/>
        </w:rPr>
      </w:pPr>
      <w:r>
        <w:rPr>
          <w:rFonts w:ascii="Cambria Math"/>
          <w:w w:val="104"/>
          <w:sz w:val="17"/>
        </w:rPr>
        <w:t>0</w:t>
      </w:r>
    </w:p>
    <w:p>
      <w:pPr>
        <w:pStyle w:val="BodyText"/>
        <w:rPr>
          <w:rFonts w:ascii="Cambria Math"/>
        </w:rPr>
      </w:pPr>
      <w:r>
        <w:rPr/>
        <w:br w:type="column"/>
      </w:r>
      <w:r>
        <w:rPr>
          <w:rFonts w:ascii="Cambria Math"/>
        </w:rPr>
      </w:r>
    </w:p>
    <w:p>
      <w:pPr>
        <w:pStyle w:val="BodyText"/>
        <w:spacing w:before="5"/>
        <w:rPr>
          <w:rFonts w:ascii="Cambria Math"/>
          <w:sz w:val="21"/>
        </w:rPr>
      </w:pPr>
    </w:p>
    <w:p>
      <w:pPr>
        <w:pStyle w:val="BodyText"/>
        <w:ind w:right="152"/>
        <w:jc w:val="right"/>
      </w:pPr>
      <w:r>
        <w:rPr/>
        <w:t>65)</w:t>
      </w:r>
    </w:p>
    <w:p>
      <w:pPr>
        <w:spacing w:after="0"/>
        <w:jc w:val="right"/>
        <w:sectPr>
          <w:type w:val="continuous"/>
          <w:pgSz w:w="12240" w:h="15840"/>
          <w:pgMar w:top="1360" w:bottom="280" w:left="1600" w:right="1580"/>
          <w:cols w:num="2" w:equalWidth="0">
            <w:col w:w="5864" w:space="40"/>
            <w:col w:w="3156"/>
          </w:cols>
        </w:sectPr>
      </w:pPr>
    </w:p>
    <w:p>
      <w:pPr>
        <w:spacing w:before="49"/>
        <w:ind w:left="0" w:right="822" w:firstLine="0"/>
        <w:jc w:val="right"/>
        <w:rPr>
          <w:rFonts w:ascii="Cambria Math" w:eastAsia="Cambria Math"/>
          <w:sz w:val="17"/>
        </w:rPr>
      </w:pPr>
      <w:r>
        <w:rPr>
          <w:rFonts w:ascii="Cambria Math" w:eastAsia="Cambria Math"/>
          <w:w w:val="90"/>
          <w:sz w:val="17"/>
        </w:rPr>
        <w:t>�</w:t>
      </w:r>
    </w:p>
    <w:p>
      <w:pPr>
        <w:pStyle w:val="BodyText"/>
        <w:spacing w:before="111"/>
        <w:ind w:left="2673"/>
        <w:rPr>
          <w:rFonts w:ascii="Cambria Math" w:hAnsi="Cambria Math" w:eastAsia="Cambria Math"/>
        </w:rPr>
      </w:pPr>
      <w:r>
        <w:rPr>
          <w:rFonts w:ascii="Cambria Math" w:hAnsi="Cambria Math" w:eastAsia="Cambria Math"/>
          <w:w w:val="95"/>
        </w:rPr>
        <w:t>� </w:t>
      </w:r>
      <w:r>
        <w:rPr>
          <w:rFonts w:ascii="Cambria Math" w:hAnsi="Cambria Math" w:eastAsia="Cambria Math"/>
          <w:w w:val="95"/>
          <w:position w:val="1"/>
        </w:rPr>
        <w:t>(</w:t>
      </w:r>
      <w:r>
        <w:rPr>
          <w:rFonts w:ascii="Cambria Math" w:hAnsi="Cambria Math" w:eastAsia="Cambria Math"/>
          <w:w w:val="95"/>
        </w:rPr>
        <w:t>𝑥</w:t>
      </w:r>
      <w:r>
        <w:rPr>
          <w:rFonts w:ascii="Cambria Math" w:hAnsi="Cambria Math" w:eastAsia="Cambria Math"/>
          <w:w w:val="95"/>
          <w:position w:val="1"/>
        </w:rPr>
        <w:t>) </w:t>
      </w:r>
      <w:r>
        <w:rPr>
          <w:rFonts w:ascii="Cambria Math" w:hAnsi="Cambria Math" w:eastAsia="Cambria Math"/>
          <w:w w:val="95"/>
        </w:rPr>
        <w:t>= �</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 </w:t>
      </w:r>
      <w:r>
        <w:rPr>
          <w:rFonts w:ascii="Cambria Math" w:hAnsi="Cambria Math" w:eastAsia="Cambria Math"/>
          <w:w w:val="95"/>
        </w:rPr>
        <w:t>≤ 𝑥</w:t>
      </w:r>
      <w:r>
        <w:rPr>
          <w:rFonts w:ascii="Cambria Math" w:hAnsi="Cambria Math" w:eastAsia="Cambria Math"/>
          <w:w w:val="95"/>
          <w:position w:val="1"/>
        </w:rPr>
        <w:t>] </w:t>
      </w:r>
      <w:r>
        <w:rPr>
          <w:rFonts w:ascii="Cambria Math" w:hAnsi="Cambria Math" w:eastAsia="Cambria Math"/>
          <w:w w:val="95"/>
        </w:rPr>
        <w:t>= ∫ � </w:t>
      </w:r>
      <w:r>
        <w:rPr>
          <w:rFonts w:ascii="Cambria Math" w:hAnsi="Cambria Math" w:eastAsia="Cambria Math"/>
          <w:w w:val="105"/>
          <w:position w:val="1"/>
        </w:rPr>
        <w:t>(</w:t>
      </w:r>
      <w:r>
        <w:rPr>
          <w:rFonts w:ascii="Cambria Math" w:hAnsi="Cambria Math" w:eastAsia="Cambria Math"/>
          <w:w w:val="105"/>
        </w:rPr>
        <w:t>𝑧</w:t>
      </w:r>
      <w:r>
        <w:rPr>
          <w:rFonts w:ascii="Cambria Math" w:hAnsi="Cambria Math" w:eastAsia="Cambria Math"/>
          <w:w w:val="105"/>
          <w:position w:val="1"/>
        </w:rPr>
        <w:t>)</w:t>
      </w:r>
      <w:r>
        <w:rPr>
          <w:rFonts w:ascii="Cambria Math" w:hAnsi="Cambria Math" w:eastAsia="Cambria Math"/>
          <w:w w:val="105"/>
        </w:rPr>
        <w:t>�𝑧</w:t>
      </w:r>
    </w:p>
    <w:p>
      <w:pPr>
        <w:spacing w:before="86"/>
        <w:ind w:left="0" w:right="910" w:firstLine="0"/>
        <w:jc w:val="right"/>
        <w:rPr>
          <w:rFonts w:ascii="Cambria Math"/>
          <w:sz w:val="17"/>
        </w:rPr>
      </w:pPr>
      <w:r>
        <w:rPr>
          <w:rFonts w:ascii="Cambria Math"/>
          <w:w w:val="104"/>
          <w:sz w:val="17"/>
        </w:rPr>
        <w:t>0</w:t>
      </w:r>
    </w:p>
    <w:p>
      <w:pPr>
        <w:pStyle w:val="BodyText"/>
        <w:rPr>
          <w:rFonts w:ascii="Cambria Math"/>
        </w:rPr>
      </w:pPr>
      <w:r>
        <w:rPr/>
        <w:br w:type="column"/>
      </w:r>
      <w:r>
        <w:rPr>
          <w:rFonts w:ascii="Cambria Math"/>
        </w:rPr>
      </w:r>
    </w:p>
    <w:p>
      <w:pPr>
        <w:pStyle w:val="BodyText"/>
        <w:spacing w:before="1"/>
        <w:rPr>
          <w:rFonts w:ascii="Cambria Math"/>
          <w:sz w:val="19"/>
        </w:rPr>
      </w:pPr>
    </w:p>
    <w:p>
      <w:pPr>
        <w:pStyle w:val="BodyText"/>
        <w:spacing w:before="1"/>
        <w:ind w:right="132"/>
        <w:jc w:val="right"/>
      </w:pPr>
      <w:r>
        <w:rPr/>
        <w:t>66)</w:t>
      </w:r>
    </w:p>
    <w:p>
      <w:pPr>
        <w:spacing w:after="0"/>
        <w:jc w:val="right"/>
        <w:sectPr>
          <w:pgSz w:w="12240" w:h="15840"/>
          <w:pgMar w:header="0" w:footer="657" w:top="1320" w:bottom="840" w:left="1600" w:right="1600"/>
          <w:cols w:num="2" w:equalWidth="0">
            <w:col w:w="5888" w:space="40"/>
            <w:col w:w="3112"/>
          </w:cols>
        </w:sectPr>
      </w:pPr>
    </w:p>
    <w:p>
      <w:pPr>
        <w:pStyle w:val="BodyText"/>
        <w:rPr>
          <w:sz w:val="20"/>
        </w:rPr>
      </w:pPr>
    </w:p>
    <w:p>
      <w:pPr>
        <w:pStyle w:val="BodyText"/>
        <w:rPr>
          <w:sz w:val="19"/>
        </w:rPr>
      </w:pPr>
    </w:p>
    <w:p>
      <w:pPr>
        <w:pStyle w:val="BodyText"/>
        <w:spacing w:line="357" w:lineRule="auto" w:before="69"/>
        <w:ind w:left="102" w:right="103"/>
        <w:jc w:val="both"/>
      </w:pPr>
      <w:r>
        <w:rPr>
          <w:position w:val="2"/>
        </w:rPr>
        <w:t>Donde: r</w:t>
      </w:r>
      <w:r>
        <w:rPr>
          <w:sz w:val="16"/>
        </w:rPr>
        <w:t>A </w:t>
      </w:r>
      <w:r>
        <w:rPr>
          <w:position w:val="2"/>
        </w:rPr>
        <w:t>y r</w:t>
      </w:r>
      <w:r>
        <w:rPr>
          <w:sz w:val="16"/>
        </w:rPr>
        <w:t>B </w:t>
      </w:r>
      <w:r>
        <w:rPr>
          <w:position w:val="2"/>
        </w:rPr>
        <w:t>son los rendimientos de los activos A y B, y f y g sus densidades, </w:t>
      </w:r>
      <w:r>
        <w:rPr/>
        <w:t>respectivamente.</w:t>
      </w:r>
    </w:p>
    <w:p>
      <w:pPr>
        <w:pStyle w:val="BodyText"/>
      </w:pPr>
    </w:p>
    <w:p>
      <w:pPr>
        <w:pStyle w:val="BodyText"/>
        <w:spacing w:line="360" w:lineRule="auto" w:before="146"/>
        <w:ind w:left="102" w:right="100"/>
        <w:jc w:val="both"/>
      </w:pPr>
      <w:r>
        <w:rPr/>
        <w:t>En el ejemplo anterior supongamos que el activo A, que denominaremos alternativa de inversión</w:t>
      </w:r>
      <w:r>
        <w:rPr>
          <w:spacing w:val="-6"/>
        </w:rPr>
        <w:t> </w:t>
      </w:r>
      <w:r>
        <w:rPr/>
        <w:t>1,</w:t>
      </w:r>
      <w:r>
        <w:rPr>
          <w:spacing w:val="-6"/>
        </w:rPr>
        <w:t> </w:t>
      </w:r>
      <w:r>
        <w:rPr/>
        <w:t>representa</w:t>
      </w:r>
      <w:r>
        <w:rPr>
          <w:spacing w:val="-7"/>
        </w:rPr>
        <w:t> </w:t>
      </w:r>
      <w:r>
        <w:rPr/>
        <w:t>la</w:t>
      </w:r>
      <w:r>
        <w:rPr>
          <w:spacing w:val="-4"/>
        </w:rPr>
        <w:t> </w:t>
      </w:r>
      <w:r>
        <w:rPr/>
        <w:t>opción</w:t>
      </w:r>
      <w:r>
        <w:rPr>
          <w:spacing w:val="-6"/>
        </w:rPr>
        <w:t> </w:t>
      </w:r>
      <w:r>
        <w:rPr/>
        <w:t>de</w:t>
      </w:r>
      <w:r>
        <w:rPr>
          <w:spacing w:val="-7"/>
        </w:rPr>
        <w:t> </w:t>
      </w:r>
      <w:r>
        <w:rPr/>
        <w:t>operar</w:t>
      </w:r>
      <w:r>
        <w:rPr>
          <w:spacing w:val="-7"/>
        </w:rPr>
        <w:t> </w:t>
      </w:r>
      <w:r>
        <w:rPr/>
        <w:t>un</w:t>
      </w:r>
      <w:r>
        <w:rPr>
          <w:spacing w:val="-6"/>
        </w:rPr>
        <w:t> </w:t>
      </w:r>
      <w:r>
        <w:rPr/>
        <w:t>hato</w:t>
      </w:r>
      <w:r>
        <w:rPr>
          <w:spacing w:val="-3"/>
        </w:rPr>
        <w:t> </w:t>
      </w:r>
      <w:r>
        <w:rPr/>
        <w:t>lechero</w:t>
      </w:r>
      <w:r>
        <w:rPr>
          <w:spacing w:val="-7"/>
        </w:rPr>
        <w:t> </w:t>
      </w:r>
      <w:r>
        <w:rPr/>
        <w:t>de</w:t>
      </w:r>
      <w:r>
        <w:rPr>
          <w:spacing w:val="-7"/>
        </w:rPr>
        <w:t> </w:t>
      </w:r>
      <w:r>
        <w:rPr/>
        <w:t>pequeña</w:t>
      </w:r>
      <w:r>
        <w:rPr>
          <w:spacing w:val="-7"/>
        </w:rPr>
        <w:t> </w:t>
      </w:r>
      <w:r>
        <w:rPr/>
        <w:t>escala</w:t>
      </w:r>
      <w:r>
        <w:rPr>
          <w:spacing w:val="-7"/>
        </w:rPr>
        <w:t> </w:t>
      </w:r>
      <w:r>
        <w:rPr/>
        <w:t>produciendo</w:t>
      </w:r>
      <w:r>
        <w:rPr>
          <w:spacing w:val="-7"/>
        </w:rPr>
        <w:t> </w:t>
      </w:r>
      <w:r>
        <w:rPr/>
        <w:t>el 100% de insumos </w:t>
      </w:r>
      <w:r>
        <w:rPr>
          <w:spacing w:val="-3"/>
        </w:rPr>
        <w:t>y, </w:t>
      </w:r>
      <w:r>
        <w:rPr/>
        <w:t>el activo B, que denominaremos alternativa de inversión 2, representa la opción de comprar los insumos de producción en el mercado enfrentando con ello la volatilidad en el precio de los</w:t>
      </w:r>
      <w:r>
        <w:rPr>
          <w:spacing w:val="-7"/>
        </w:rPr>
        <w:t> </w:t>
      </w:r>
      <w:r>
        <w:rPr/>
        <w:t>insumos.</w:t>
      </w:r>
    </w:p>
    <w:p>
      <w:pPr>
        <w:pStyle w:val="BodyText"/>
      </w:pPr>
    </w:p>
    <w:p>
      <w:pPr>
        <w:pStyle w:val="BodyText"/>
        <w:spacing w:line="360" w:lineRule="auto" w:before="143"/>
        <w:ind w:left="102" w:right="101"/>
        <w:jc w:val="both"/>
      </w:pPr>
      <w:r>
        <w:rPr/>
        <w:t>El</w:t>
      </w:r>
      <w:r>
        <w:rPr>
          <w:spacing w:val="-13"/>
        </w:rPr>
        <w:t> </w:t>
      </w:r>
      <w:r>
        <w:rPr/>
        <w:t>activo</w:t>
      </w:r>
      <w:r>
        <w:rPr>
          <w:spacing w:val="-13"/>
        </w:rPr>
        <w:t> </w:t>
      </w:r>
      <w:r>
        <w:rPr/>
        <w:t>A</w:t>
      </w:r>
      <w:r>
        <w:rPr>
          <w:spacing w:val="-14"/>
        </w:rPr>
        <w:t> </w:t>
      </w:r>
      <w:r>
        <w:rPr/>
        <w:t>presenta</w:t>
      </w:r>
      <w:r>
        <w:rPr>
          <w:spacing w:val="-14"/>
        </w:rPr>
        <w:t> </w:t>
      </w:r>
      <w:r>
        <w:rPr/>
        <w:t>una</w:t>
      </w:r>
      <w:r>
        <w:rPr>
          <w:spacing w:val="-12"/>
        </w:rPr>
        <w:t> </w:t>
      </w:r>
      <w:r>
        <w:rPr/>
        <w:t>dominancia</w:t>
      </w:r>
      <w:r>
        <w:rPr>
          <w:spacing w:val="-14"/>
        </w:rPr>
        <w:t> </w:t>
      </w:r>
      <w:r>
        <w:rPr/>
        <w:t>estocástica</w:t>
      </w:r>
      <w:r>
        <w:rPr>
          <w:spacing w:val="-14"/>
        </w:rPr>
        <w:t> </w:t>
      </w:r>
      <w:r>
        <w:rPr/>
        <w:t>de</w:t>
      </w:r>
      <w:r>
        <w:rPr>
          <w:spacing w:val="-14"/>
        </w:rPr>
        <w:t> </w:t>
      </w:r>
      <w:r>
        <w:rPr/>
        <w:t>FSD</w:t>
      </w:r>
      <w:r>
        <w:rPr>
          <w:spacing w:val="-14"/>
        </w:rPr>
        <w:t> </w:t>
      </w:r>
      <w:r>
        <w:rPr/>
        <w:t>con</w:t>
      </w:r>
      <w:r>
        <w:rPr>
          <w:spacing w:val="-13"/>
        </w:rPr>
        <w:t> </w:t>
      </w:r>
      <w:r>
        <w:rPr/>
        <w:t>respecto</w:t>
      </w:r>
      <w:r>
        <w:rPr>
          <w:spacing w:val="-13"/>
        </w:rPr>
        <w:t> </w:t>
      </w:r>
      <w:r>
        <w:rPr/>
        <w:t>a</w:t>
      </w:r>
      <w:r>
        <w:rPr>
          <w:spacing w:val="-12"/>
        </w:rPr>
        <w:t> </w:t>
      </w:r>
      <w:r>
        <w:rPr/>
        <w:t>B</w:t>
      </w:r>
      <w:r>
        <w:rPr>
          <w:spacing w:val="-15"/>
        </w:rPr>
        <w:t> </w:t>
      </w:r>
      <w:r>
        <w:rPr/>
        <w:t>si</w:t>
      </w:r>
      <w:r>
        <w:rPr>
          <w:spacing w:val="-13"/>
        </w:rPr>
        <w:t> </w:t>
      </w:r>
      <w:r>
        <w:rPr/>
        <w:t>para</w:t>
      </w:r>
      <w:r>
        <w:rPr>
          <w:spacing w:val="-15"/>
        </w:rPr>
        <w:t> </w:t>
      </w:r>
      <w:r>
        <w:rPr/>
        <w:t>toda</w:t>
      </w:r>
      <w:r>
        <w:rPr>
          <w:spacing w:val="-14"/>
        </w:rPr>
        <w:t> </w:t>
      </w:r>
      <w:r>
        <w:rPr/>
        <w:t>función no decreciente se</w:t>
      </w:r>
      <w:r>
        <w:rPr>
          <w:spacing w:val="-5"/>
        </w:rPr>
        <w:t> </w:t>
      </w:r>
      <w:r>
        <w:rPr/>
        <w:t>cumple:</w:t>
      </w:r>
    </w:p>
    <w:p>
      <w:pPr>
        <w:pStyle w:val="BodyText"/>
        <w:spacing w:before="3"/>
        <w:rPr>
          <w:sz w:val="28"/>
        </w:rPr>
      </w:pPr>
    </w:p>
    <w:p>
      <w:pPr>
        <w:tabs>
          <w:tab w:pos="4549" w:val="left" w:leader="none"/>
        </w:tabs>
        <w:spacing w:before="77"/>
        <w:ind w:left="2728" w:right="0" w:firstLine="0"/>
        <w:jc w:val="left"/>
        <w:rPr>
          <w:rFonts w:ascii="Cambria Math"/>
          <w:sz w:val="17"/>
        </w:rPr>
      </w:pPr>
      <w:r>
        <w:rPr>
          <w:rFonts w:ascii="Cambria Math"/>
          <w:w w:val="105"/>
          <w:sz w:val="17"/>
        </w:rPr>
        <w:t>1</w:t>
        <w:tab/>
        <w:t>1</w:t>
      </w:r>
    </w:p>
    <w:p>
      <w:pPr>
        <w:spacing w:after="0"/>
        <w:jc w:val="left"/>
        <w:rPr>
          <w:rFonts w:ascii="Cambria Math"/>
          <w:sz w:val="17"/>
        </w:rPr>
        <w:sectPr>
          <w:type w:val="continuous"/>
          <w:pgSz w:w="12240" w:h="15840"/>
          <w:pgMar w:top="1360" w:bottom="280" w:left="1600" w:right="1600"/>
        </w:sectPr>
      </w:pPr>
    </w:p>
    <w:p>
      <w:pPr>
        <w:pStyle w:val="BodyText"/>
        <w:spacing w:before="108"/>
        <w:ind w:left="2637" w:right="-20"/>
        <w:rPr>
          <w:rFonts w:ascii="Cambria Math" w:hAnsi="Cambria Math" w:eastAsia="Cambria Math"/>
        </w:rPr>
      </w:pPr>
      <w:r>
        <w:rPr>
          <w:rFonts w:ascii="Cambria Math" w:hAnsi="Cambria Math" w:eastAsia="Cambria Math"/>
          <w:w w:val="110"/>
        </w:rPr>
        <w:t>∫</w:t>
      </w:r>
      <w:r>
        <w:rPr>
          <w:rFonts w:ascii="Cambria Math" w:hAnsi="Cambria Math" w:eastAsia="Cambria Math"/>
          <w:spacing w:val="-44"/>
          <w:w w:val="110"/>
        </w:rPr>
        <w:t> </w:t>
      </w:r>
      <w:r>
        <w:rPr>
          <w:rFonts w:ascii="Cambria Math" w:hAnsi="Cambria Math" w:eastAsia="Cambria Math"/>
          <w:w w:val="105"/>
        </w:rPr>
        <w:t>�</w:t>
      </w:r>
      <w:r>
        <w:rPr>
          <w:rFonts w:ascii="Cambria Math" w:hAnsi="Cambria Math" w:eastAsia="Cambria Math"/>
          <w:spacing w:val="-35"/>
          <w:w w:val="105"/>
        </w:rPr>
        <w:t> </w:t>
      </w:r>
      <w:r>
        <w:rPr>
          <w:rFonts w:ascii="Cambria Math" w:hAnsi="Cambria Math" w:eastAsia="Cambria Math"/>
          <w:spacing w:val="2"/>
          <w:w w:val="105"/>
          <w:position w:val="1"/>
        </w:rPr>
        <w:t>(</w:t>
      </w:r>
      <w:r>
        <w:rPr>
          <w:rFonts w:ascii="Cambria Math" w:hAnsi="Cambria Math" w:eastAsia="Cambria Math"/>
          <w:spacing w:val="2"/>
          <w:w w:val="105"/>
        </w:rPr>
        <w:t>𝑥</w:t>
      </w:r>
      <w:r>
        <w:rPr>
          <w:rFonts w:ascii="Cambria Math" w:hAnsi="Cambria Math" w:eastAsia="Cambria Math"/>
          <w:spacing w:val="2"/>
          <w:w w:val="105"/>
          <w:position w:val="1"/>
        </w:rPr>
        <w:t>)</w:t>
      </w:r>
      <w:r>
        <w:rPr>
          <w:rFonts w:ascii="Cambria Math" w:hAnsi="Cambria Math" w:eastAsia="Cambria Math"/>
          <w:spacing w:val="2"/>
          <w:w w:val="105"/>
        </w:rPr>
        <w:t>��</w:t>
      </w:r>
      <w:r>
        <w:rPr>
          <w:rFonts w:ascii="Cambria Math" w:hAnsi="Cambria Math" w:eastAsia="Cambria Math"/>
          <w:spacing w:val="-35"/>
          <w:w w:val="105"/>
        </w:rPr>
        <w:t> </w:t>
      </w:r>
      <w:r>
        <w:rPr>
          <w:rFonts w:ascii="Cambria Math" w:hAnsi="Cambria Math" w:eastAsia="Cambria Math"/>
          <w:spacing w:val="3"/>
          <w:w w:val="105"/>
          <w:position w:val="1"/>
        </w:rPr>
        <w:t>(</w:t>
      </w:r>
      <w:r>
        <w:rPr>
          <w:rFonts w:ascii="Cambria Math" w:hAnsi="Cambria Math" w:eastAsia="Cambria Math"/>
          <w:spacing w:val="3"/>
          <w:w w:val="105"/>
        </w:rPr>
        <w:t>𝑥</w:t>
      </w:r>
      <w:r>
        <w:rPr>
          <w:rFonts w:ascii="Cambria Math" w:hAnsi="Cambria Math" w:eastAsia="Cambria Math"/>
          <w:spacing w:val="3"/>
          <w:w w:val="105"/>
          <w:position w:val="1"/>
        </w:rPr>
        <w:t>)</w:t>
      </w:r>
      <w:r>
        <w:rPr>
          <w:rFonts w:ascii="Cambria Math" w:hAnsi="Cambria Math" w:eastAsia="Cambria Math"/>
          <w:spacing w:val="-31"/>
          <w:w w:val="105"/>
          <w:position w:val="1"/>
        </w:rPr>
        <w:t> </w:t>
      </w:r>
      <w:r>
        <w:rPr>
          <w:rFonts w:ascii="Cambria Math" w:hAnsi="Cambria Math" w:eastAsia="Cambria Math"/>
          <w:w w:val="105"/>
        </w:rPr>
        <w:t>≥</w:t>
      </w:r>
      <w:r>
        <w:rPr>
          <w:rFonts w:ascii="Cambria Math" w:hAnsi="Cambria Math" w:eastAsia="Cambria Math"/>
          <w:spacing w:val="-13"/>
          <w:w w:val="105"/>
        </w:rPr>
        <w:t> </w:t>
      </w:r>
      <w:r>
        <w:rPr>
          <w:rFonts w:ascii="Cambria Math" w:hAnsi="Cambria Math" w:eastAsia="Cambria Math"/>
          <w:w w:val="110"/>
        </w:rPr>
        <w:t>∫</w:t>
      </w:r>
      <w:r>
        <w:rPr>
          <w:rFonts w:ascii="Cambria Math" w:hAnsi="Cambria Math" w:eastAsia="Cambria Math"/>
          <w:spacing w:val="-44"/>
          <w:w w:val="110"/>
        </w:rPr>
        <w:t> </w:t>
      </w:r>
      <w:r>
        <w:rPr>
          <w:rFonts w:ascii="Cambria Math" w:hAnsi="Cambria Math" w:eastAsia="Cambria Math"/>
          <w:w w:val="105"/>
        </w:rPr>
        <w:t>� </w:t>
      </w:r>
      <w:r>
        <w:rPr>
          <w:rFonts w:ascii="Cambria Math" w:hAnsi="Cambria Math" w:eastAsia="Cambria Math"/>
          <w:spacing w:val="-44"/>
          <w:w w:val="95"/>
          <w:position w:val="1"/>
        </w:rPr>
        <w:t>(</w:t>
      </w:r>
      <w:r>
        <w:rPr>
          <w:rFonts w:ascii="Cambria Math" w:hAnsi="Cambria Math" w:eastAsia="Cambria Math"/>
          <w:spacing w:val="-44"/>
          <w:w w:val="95"/>
        </w:rPr>
        <w:t>𝑥</w:t>
      </w:r>
      <w:r>
        <w:rPr>
          <w:rFonts w:ascii="Cambria Math" w:hAnsi="Cambria Math" w:eastAsia="Cambria Math"/>
          <w:spacing w:val="-44"/>
          <w:w w:val="95"/>
          <w:position w:val="1"/>
        </w:rPr>
        <w:t>)</w:t>
      </w:r>
      <w:r>
        <w:rPr>
          <w:rFonts w:ascii="Cambria Math" w:hAnsi="Cambria Math" w:eastAsia="Cambria Math"/>
          <w:spacing w:val="-44"/>
          <w:w w:val="95"/>
        </w:rPr>
        <w:t>��          </w:t>
      </w:r>
      <w:r>
        <w:rPr>
          <w:rFonts w:ascii="Cambria Math" w:hAnsi="Cambria Math" w:eastAsia="Cambria Math"/>
          <w:spacing w:val="-39"/>
          <w:w w:val="95"/>
        </w:rPr>
        <w:t> </w:t>
      </w:r>
      <w:r>
        <w:rPr>
          <w:rFonts w:ascii="Cambria Math" w:hAnsi="Cambria Math" w:eastAsia="Cambria Math"/>
          <w:spacing w:val="-43"/>
          <w:w w:val="95"/>
          <w:position w:val="1"/>
        </w:rPr>
        <w:t>(</w:t>
      </w:r>
      <w:r>
        <w:rPr>
          <w:rFonts w:ascii="Cambria Math" w:hAnsi="Cambria Math" w:eastAsia="Cambria Math"/>
          <w:spacing w:val="-43"/>
          <w:w w:val="95"/>
        </w:rPr>
        <w:t>𝑥</w:t>
      </w:r>
      <w:r>
        <w:rPr>
          <w:rFonts w:ascii="Cambria Math" w:hAnsi="Cambria Math" w:eastAsia="Cambria Math"/>
          <w:spacing w:val="-43"/>
          <w:w w:val="95"/>
          <w:position w:val="1"/>
        </w:rPr>
        <w:t>)</w:t>
      </w:r>
    </w:p>
    <w:p>
      <w:pPr>
        <w:pStyle w:val="BodyText"/>
        <w:spacing w:before="7"/>
        <w:rPr>
          <w:rFonts w:ascii="Cambria Math"/>
          <w:sz w:val="19"/>
        </w:rPr>
      </w:pPr>
      <w:r>
        <w:rPr/>
        <w:br w:type="column"/>
      </w:r>
      <w:r>
        <w:rPr>
          <w:rFonts w:ascii="Cambria Math"/>
          <w:sz w:val="19"/>
        </w:rPr>
      </w:r>
    </w:p>
    <w:p>
      <w:pPr>
        <w:pStyle w:val="BodyText"/>
        <w:spacing w:before="1"/>
        <w:ind w:right="132"/>
        <w:jc w:val="right"/>
      </w:pPr>
      <w:r>
        <w:rPr/>
        <w:t>67)</w:t>
      </w:r>
    </w:p>
    <w:p>
      <w:pPr>
        <w:spacing w:after="0"/>
        <w:jc w:val="right"/>
        <w:sectPr>
          <w:type w:val="continuous"/>
          <w:pgSz w:w="12240" w:h="15840"/>
          <w:pgMar w:top="1360" w:bottom="280" w:left="1600" w:right="1600"/>
          <w:cols w:num="2" w:equalWidth="0">
            <w:col w:w="5930" w:space="40"/>
            <w:col w:w="3070"/>
          </w:cols>
        </w:sectPr>
      </w:pPr>
    </w:p>
    <w:p>
      <w:pPr>
        <w:tabs>
          <w:tab w:pos="4460" w:val="left" w:leader="none"/>
        </w:tabs>
        <w:spacing w:before="14"/>
        <w:ind w:left="2639" w:right="0" w:firstLine="0"/>
        <w:jc w:val="left"/>
        <w:rPr>
          <w:rFonts w:ascii="Cambria Math"/>
          <w:sz w:val="17"/>
        </w:rPr>
      </w:pPr>
      <w:r>
        <w:rPr>
          <w:rFonts w:ascii="Cambria Math"/>
          <w:w w:val="105"/>
          <w:sz w:val="17"/>
        </w:rPr>
        <w:t>0</w:t>
        <w:tab/>
        <w:t>0</w:t>
      </w:r>
    </w:p>
    <w:p>
      <w:pPr>
        <w:pStyle w:val="BodyText"/>
        <w:rPr>
          <w:rFonts w:ascii="Cambria Math"/>
          <w:sz w:val="20"/>
        </w:rPr>
      </w:pPr>
    </w:p>
    <w:p>
      <w:pPr>
        <w:pStyle w:val="BodyText"/>
        <w:spacing w:before="1"/>
        <w:rPr>
          <w:rFonts w:ascii="Cambria Math"/>
          <w:sz w:val="18"/>
        </w:rPr>
      </w:pPr>
    </w:p>
    <w:p>
      <w:pPr>
        <w:pStyle w:val="BodyText"/>
        <w:spacing w:line="360" w:lineRule="auto" w:before="69"/>
        <w:ind w:left="102" w:right="98"/>
        <w:jc w:val="both"/>
      </w:pPr>
      <w:r>
        <w:rPr/>
        <w:t>En la Figura 15, se puede observar gráficamente que la estrategia A sería preferida sobre la estrategia B, dado que la distribución de probabilidades acumuladas de A es menor que B. Es decir la estrategia B supone aversión al riesgo por parte del inversor y significa que se preferirá</w:t>
      </w:r>
      <w:r>
        <w:rPr>
          <w:spacing w:val="-14"/>
        </w:rPr>
        <w:t> </w:t>
      </w:r>
      <w:r>
        <w:rPr/>
        <w:t>al</w:t>
      </w:r>
      <w:r>
        <w:rPr>
          <w:spacing w:val="-15"/>
        </w:rPr>
        <w:t> </w:t>
      </w:r>
      <w:r>
        <w:rPr/>
        <w:t>activo</w:t>
      </w:r>
      <w:r>
        <w:rPr>
          <w:spacing w:val="-16"/>
        </w:rPr>
        <w:t> </w:t>
      </w:r>
      <w:r>
        <w:rPr/>
        <w:t>A,</w:t>
      </w:r>
      <w:r>
        <w:rPr>
          <w:spacing w:val="-16"/>
        </w:rPr>
        <w:t> </w:t>
      </w:r>
      <w:r>
        <w:rPr/>
        <w:t>pues</w:t>
      </w:r>
      <w:r>
        <w:rPr>
          <w:spacing w:val="-13"/>
        </w:rPr>
        <w:t> </w:t>
      </w:r>
      <w:r>
        <w:rPr/>
        <w:t>acumula</w:t>
      </w:r>
      <w:r>
        <w:rPr>
          <w:spacing w:val="-17"/>
        </w:rPr>
        <w:t> </w:t>
      </w:r>
      <w:r>
        <w:rPr/>
        <w:t>menor</w:t>
      </w:r>
      <w:r>
        <w:rPr>
          <w:spacing w:val="-15"/>
        </w:rPr>
        <w:t> </w:t>
      </w:r>
      <w:r>
        <w:rPr/>
        <w:t>probabilidad</w:t>
      </w:r>
      <w:r>
        <w:rPr>
          <w:spacing w:val="-16"/>
        </w:rPr>
        <w:t> </w:t>
      </w:r>
      <w:r>
        <w:rPr/>
        <w:t>en</w:t>
      </w:r>
      <w:r>
        <w:rPr>
          <w:spacing w:val="-16"/>
        </w:rPr>
        <w:t> </w:t>
      </w:r>
      <w:r>
        <w:rPr/>
        <w:t>la</w:t>
      </w:r>
      <w:r>
        <w:rPr>
          <w:spacing w:val="-14"/>
        </w:rPr>
        <w:t> </w:t>
      </w:r>
      <w:r>
        <w:rPr/>
        <w:t>cola</w:t>
      </w:r>
      <w:r>
        <w:rPr>
          <w:spacing w:val="-16"/>
        </w:rPr>
        <w:t> </w:t>
      </w:r>
      <w:r>
        <w:rPr/>
        <w:t>izquierda</w:t>
      </w:r>
      <w:r>
        <w:rPr>
          <w:spacing w:val="-17"/>
        </w:rPr>
        <w:t> </w:t>
      </w:r>
      <w:r>
        <w:rPr/>
        <w:t>de</w:t>
      </w:r>
      <w:r>
        <w:rPr>
          <w:spacing w:val="-17"/>
        </w:rPr>
        <w:t> </w:t>
      </w:r>
      <w:r>
        <w:rPr/>
        <w:t>la</w:t>
      </w:r>
      <w:r>
        <w:rPr>
          <w:spacing w:val="-16"/>
        </w:rPr>
        <w:t> </w:t>
      </w:r>
      <w:r>
        <w:rPr/>
        <w:t>distribución, que</w:t>
      </w:r>
      <w:r>
        <w:rPr>
          <w:spacing w:val="-14"/>
        </w:rPr>
        <w:t> </w:t>
      </w:r>
      <w:r>
        <w:rPr/>
        <w:t>es</w:t>
      </w:r>
      <w:r>
        <w:rPr>
          <w:spacing w:val="-13"/>
        </w:rPr>
        <w:t> </w:t>
      </w:r>
      <w:r>
        <w:rPr/>
        <w:t>la</w:t>
      </w:r>
      <w:r>
        <w:rPr>
          <w:spacing w:val="-14"/>
        </w:rPr>
        <w:t> </w:t>
      </w:r>
      <w:r>
        <w:rPr/>
        <w:t>menos</w:t>
      </w:r>
      <w:r>
        <w:rPr>
          <w:spacing w:val="-14"/>
        </w:rPr>
        <w:t> </w:t>
      </w:r>
      <w:r>
        <w:rPr/>
        <w:t>desfavorable,</w:t>
      </w:r>
      <w:r>
        <w:rPr>
          <w:spacing w:val="-14"/>
        </w:rPr>
        <w:t> </w:t>
      </w:r>
      <w:r>
        <w:rPr/>
        <w:t>sin</w:t>
      </w:r>
      <w:r>
        <w:rPr>
          <w:spacing w:val="-13"/>
        </w:rPr>
        <w:t> </w:t>
      </w:r>
      <w:r>
        <w:rPr/>
        <w:t>importar</w:t>
      </w:r>
      <w:r>
        <w:rPr>
          <w:spacing w:val="-14"/>
        </w:rPr>
        <w:t> </w:t>
      </w:r>
      <w:r>
        <w:rPr/>
        <w:t>la</w:t>
      </w:r>
      <w:r>
        <w:rPr>
          <w:spacing w:val="-14"/>
        </w:rPr>
        <w:t> </w:t>
      </w:r>
      <w:r>
        <w:rPr/>
        <w:t>renuncia</w:t>
      </w:r>
      <w:r>
        <w:rPr>
          <w:spacing w:val="-14"/>
        </w:rPr>
        <w:t> </w:t>
      </w:r>
      <w:r>
        <w:rPr/>
        <w:t>a</w:t>
      </w:r>
      <w:r>
        <w:rPr>
          <w:spacing w:val="-14"/>
        </w:rPr>
        <w:t> </w:t>
      </w:r>
      <w:r>
        <w:rPr/>
        <w:t>un</w:t>
      </w:r>
      <w:r>
        <w:rPr>
          <w:spacing w:val="-13"/>
        </w:rPr>
        <w:t> </w:t>
      </w:r>
      <w:r>
        <w:rPr/>
        <w:t>mejor</w:t>
      </w:r>
      <w:r>
        <w:rPr>
          <w:spacing w:val="-12"/>
        </w:rPr>
        <w:t> </w:t>
      </w:r>
      <w:r>
        <w:rPr/>
        <w:t>rendimiento.</w:t>
      </w:r>
      <w:r>
        <w:rPr>
          <w:spacing w:val="-11"/>
        </w:rPr>
        <w:t> </w:t>
      </w:r>
      <w:r>
        <w:rPr>
          <w:spacing w:val="-3"/>
        </w:rPr>
        <w:t>Lo</w:t>
      </w:r>
      <w:r>
        <w:rPr>
          <w:spacing w:val="-13"/>
        </w:rPr>
        <w:t> </w:t>
      </w:r>
      <w:r>
        <w:rPr/>
        <w:t>cual</w:t>
      </w:r>
      <w:r>
        <w:rPr>
          <w:spacing w:val="-13"/>
        </w:rPr>
        <w:t> </w:t>
      </w:r>
      <w:r>
        <w:rPr/>
        <w:t>indica que el negocio de la lechería de pequeña escala genera mayor riqueza cuando produce sus insumos para alimentar al ganado que cuando los compra en el</w:t>
      </w:r>
      <w:r>
        <w:rPr>
          <w:spacing w:val="-12"/>
        </w:rPr>
        <w:t> </w:t>
      </w:r>
      <w:r>
        <w:rPr/>
        <w:t>mercado.</w:t>
      </w:r>
    </w:p>
    <w:p>
      <w:pPr>
        <w:spacing w:after="0" w:line="360" w:lineRule="auto"/>
        <w:jc w:val="both"/>
        <w:sectPr>
          <w:type w:val="continuous"/>
          <w:pgSz w:w="12240" w:h="15840"/>
          <w:pgMar w:top="1360" w:bottom="280" w:left="1600" w:right="1600"/>
        </w:sectPr>
      </w:pPr>
    </w:p>
    <w:p>
      <w:pPr>
        <w:spacing w:before="52"/>
        <w:ind w:left="1813" w:right="504" w:firstLine="0"/>
        <w:jc w:val="left"/>
        <w:rPr>
          <w:sz w:val="20"/>
        </w:rPr>
      </w:pPr>
      <w:r>
        <w:rPr/>
        <w:pict>
          <v:group style="position:absolute;margin-left:168.470001pt;margin-top:20.445915pt;width:282.9pt;height:197.7pt;mso-position-horizontal-relative:page;mso-position-vertical-relative:paragraph;z-index:3640;mso-wrap-distance-left:0;mso-wrap-distance-right:0" coordorigin="3369,409" coordsize="5658,3954">
            <v:line style="position:absolute" from="3948,3868" to="3948,635" stroked="true" strokeweight=".72pt" strokecolor="#858585"/>
            <v:line style="position:absolute" from="3886,3868" to="3948,3868" stroked="true" strokeweight=".72pt" strokecolor="#858585"/>
            <v:line style="position:absolute" from="3886,3544" to="3948,3544" stroked="true" strokeweight=".72pt" strokecolor="#858585"/>
            <v:line style="position:absolute" from="3886,3220" to="3948,3220" stroked="true" strokeweight=".72pt" strokecolor="#858585"/>
            <v:line style="position:absolute" from="3886,2896" to="3948,2896" stroked="true" strokeweight=".72pt" strokecolor="#858585"/>
            <v:line style="position:absolute" from="3886,2574" to="3948,2574" stroked="true" strokeweight=".72pt" strokecolor="#858585"/>
            <v:line style="position:absolute" from="3886,2250" to="3948,2250" stroked="true" strokeweight=".72pt" strokecolor="#858585"/>
            <v:line style="position:absolute" from="3886,1926" to="3948,1926" stroked="true" strokeweight=".72pt" strokecolor="#858585"/>
            <v:line style="position:absolute" from="3886,1604" to="3948,1604" stroked="true" strokeweight=".72pt" strokecolor="#858585"/>
            <v:line style="position:absolute" from="3886,1280" to="3948,1280" stroked="true" strokeweight=".72pt" strokecolor="#858585"/>
            <v:line style="position:absolute" from="3886,956" to="3948,956" stroked="true" strokeweight=".72pt" strokecolor="#858585"/>
            <v:line style="position:absolute" from="3886,635" to="3948,635" stroked="true" strokeweight=".72pt" strokecolor="#858585"/>
            <v:line style="position:absolute" from="3948,3868" to="8803,3868" stroked="true" strokeweight=".72pt" strokecolor="#858585"/>
            <v:line style="position:absolute" from="3948,3868" to="3948,3930" stroked="true" strokeweight=".72pt" strokecolor="#858585"/>
            <v:line style="position:absolute" from="4433,3868" to="4433,3930" stroked="true" strokeweight=".72pt" strokecolor="#858585"/>
            <v:line style="position:absolute" from="4918,3868" to="4918,3930" stroked="true" strokeweight=".72pt" strokecolor="#858585"/>
            <v:line style="position:absolute" from="5405,3868" to="5405,3930" stroked="true" strokeweight=".72pt" strokecolor="#858585"/>
            <v:line style="position:absolute" from="5890,3868" to="5890,3930" stroked="true" strokeweight=".72pt" strokecolor="#858585"/>
            <v:line style="position:absolute" from="6374,3868" to="6374,3930" stroked="true" strokeweight=".72pt" strokecolor="#858585"/>
            <v:line style="position:absolute" from="6859,3868" to="6859,3930" stroked="true" strokeweight=".72pt" strokecolor="#858585"/>
            <v:line style="position:absolute" from="7346,3868" to="7346,3930" stroked="true" strokeweight=".72pt" strokecolor="#858585"/>
            <v:line style="position:absolute" from="7831,3868" to="7831,3930" stroked="true" strokeweight=".72pt" strokecolor="#858585"/>
            <v:line style="position:absolute" from="8316,3868" to="8316,3930" stroked="true" strokeweight=".72pt" strokecolor="#858585"/>
            <v:line style="position:absolute" from="8803,3868" to="8803,3930" stroked="true" strokeweight=".72pt" strokecolor="#858585"/>
            <v:shape style="position:absolute;left:4192;top:1183;width:4368;height:2360" coordorigin="4192,1183" coordsize="4368,2360" path="m4192,3542l4676,3058,5161,2702,5646,2412,6133,2088,6618,1668,7103,1538,7588,1442,8075,1344,8560,1183e" filled="false" stroked="true" strokeweight="3.48pt" strokecolor="#000000">
              <v:path arrowok="t"/>
            </v:shape>
            <v:shape style="position:absolute;left:4192;top:634;width:4368;height:3168" coordorigin="4192,634" coordsize="4368,3168" path="m4192,3802l4676,3672,5161,3511,5646,3252,6133,2573,6618,1668,7103,1279,7588,1054,8075,893,8560,634e" filled="false" stroked="true" strokeweight="3.24pt" strokecolor="#ff0000">
              <v:path arrowok="t"/>
            </v:shape>
            <v:rect style="position:absolute;left:3374;top:414;width:5647;height:3943" filled="false" stroked="true" strokeweight=".48pt" strokecolor="#000000"/>
            <v:shape style="position:absolute;left:3505;top:536;width:263;height:3433" type="#_x0000_t202" filled="false" stroked="false">
              <v:textbox inset="0,0,0,0">
                <w:txbxContent>
                  <w:p>
                    <w:pPr>
                      <w:spacing w:line="206" w:lineRule="exact" w:before="0"/>
                      <w:ind w:left="152" w:right="0" w:firstLine="0"/>
                      <w:jc w:val="center"/>
                      <w:rPr>
                        <w:rFonts w:ascii="Cambria"/>
                        <w:sz w:val="20"/>
                      </w:rPr>
                    </w:pPr>
                    <w:r>
                      <w:rPr>
                        <w:rFonts w:ascii="Cambria"/>
                        <w:w w:val="99"/>
                        <w:sz w:val="20"/>
                      </w:rPr>
                      <w:t>1</w:t>
                    </w:r>
                  </w:p>
                  <w:p>
                    <w:pPr>
                      <w:spacing w:before="89"/>
                      <w:ind w:left="0" w:right="0" w:firstLine="0"/>
                      <w:jc w:val="center"/>
                      <w:rPr>
                        <w:rFonts w:ascii="Cambria"/>
                        <w:sz w:val="20"/>
                      </w:rPr>
                    </w:pPr>
                    <w:r>
                      <w:rPr>
                        <w:rFonts w:ascii="Cambria"/>
                        <w:w w:val="95"/>
                        <w:sz w:val="20"/>
                      </w:rPr>
                      <w:t>0.9</w:t>
                    </w:r>
                  </w:p>
                  <w:p>
                    <w:pPr>
                      <w:spacing w:before="88"/>
                      <w:ind w:left="0" w:right="0" w:firstLine="0"/>
                      <w:jc w:val="center"/>
                      <w:rPr>
                        <w:rFonts w:ascii="Cambria"/>
                        <w:sz w:val="20"/>
                      </w:rPr>
                    </w:pPr>
                    <w:r>
                      <w:rPr>
                        <w:rFonts w:ascii="Cambria"/>
                        <w:w w:val="95"/>
                        <w:sz w:val="20"/>
                      </w:rPr>
                      <w:t>0.8</w:t>
                    </w:r>
                  </w:p>
                  <w:p>
                    <w:pPr>
                      <w:spacing w:before="89"/>
                      <w:ind w:left="0" w:right="0" w:firstLine="0"/>
                      <w:jc w:val="center"/>
                      <w:rPr>
                        <w:rFonts w:ascii="Cambria"/>
                        <w:sz w:val="20"/>
                      </w:rPr>
                    </w:pPr>
                    <w:r>
                      <w:rPr>
                        <w:rFonts w:ascii="Cambria"/>
                        <w:w w:val="95"/>
                        <w:sz w:val="20"/>
                      </w:rPr>
                      <w:t>0.7</w:t>
                    </w:r>
                  </w:p>
                  <w:p>
                    <w:pPr>
                      <w:spacing w:before="88"/>
                      <w:ind w:left="0" w:right="0" w:firstLine="0"/>
                      <w:jc w:val="center"/>
                      <w:rPr>
                        <w:rFonts w:ascii="Cambria"/>
                        <w:sz w:val="20"/>
                      </w:rPr>
                    </w:pPr>
                    <w:r>
                      <w:rPr>
                        <w:rFonts w:ascii="Cambria"/>
                        <w:w w:val="95"/>
                        <w:sz w:val="20"/>
                      </w:rPr>
                      <w:t>0.6</w:t>
                    </w:r>
                  </w:p>
                  <w:p>
                    <w:pPr>
                      <w:spacing w:before="89"/>
                      <w:ind w:left="0" w:right="0" w:firstLine="0"/>
                      <w:jc w:val="center"/>
                      <w:rPr>
                        <w:rFonts w:ascii="Cambria"/>
                        <w:sz w:val="20"/>
                      </w:rPr>
                    </w:pPr>
                    <w:r>
                      <w:rPr>
                        <w:rFonts w:ascii="Cambria"/>
                        <w:w w:val="95"/>
                        <w:sz w:val="20"/>
                      </w:rPr>
                      <w:t>0.5</w:t>
                    </w:r>
                  </w:p>
                  <w:p>
                    <w:pPr>
                      <w:spacing w:before="89"/>
                      <w:ind w:left="0" w:right="0" w:firstLine="0"/>
                      <w:jc w:val="center"/>
                      <w:rPr>
                        <w:rFonts w:ascii="Cambria"/>
                        <w:sz w:val="20"/>
                      </w:rPr>
                    </w:pPr>
                    <w:r>
                      <w:rPr>
                        <w:rFonts w:ascii="Cambria"/>
                        <w:w w:val="95"/>
                        <w:sz w:val="20"/>
                      </w:rPr>
                      <w:t>0.4</w:t>
                    </w:r>
                  </w:p>
                  <w:p>
                    <w:pPr>
                      <w:spacing w:before="88"/>
                      <w:ind w:left="0" w:right="0" w:firstLine="0"/>
                      <w:jc w:val="center"/>
                      <w:rPr>
                        <w:rFonts w:ascii="Cambria"/>
                        <w:sz w:val="20"/>
                      </w:rPr>
                    </w:pPr>
                    <w:r>
                      <w:rPr>
                        <w:rFonts w:ascii="Cambria"/>
                        <w:w w:val="95"/>
                        <w:sz w:val="20"/>
                      </w:rPr>
                      <w:t>0.3</w:t>
                    </w:r>
                  </w:p>
                  <w:p>
                    <w:pPr>
                      <w:spacing w:before="89"/>
                      <w:ind w:left="0" w:right="0" w:firstLine="0"/>
                      <w:jc w:val="center"/>
                      <w:rPr>
                        <w:rFonts w:ascii="Cambria"/>
                        <w:sz w:val="20"/>
                      </w:rPr>
                    </w:pPr>
                    <w:r>
                      <w:rPr>
                        <w:rFonts w:ascii="Cambria"/>
                        <w:w w:val="95"/>
                        <w:sz w:val="20"/>
                      </w:rPr>
                      <w:t>0.2</w:t>
                    </w:r>
                  </w:p>
                  <w:p>
                    <w:pPr>
                      <w:spacing w:before="89"/>
                      <w:ind w:left="0" w:right="0" w:firstLine="0"/>
                      <w:jc w:val="center"/>
                      <w:rPr>
                        <w:rFonts w:ascii="Cambria"/>
                        <w:sz w:val="20"/>
                      </w:rPr>
                    </w:pPr>
                    <w:r>
                      <w:rPr>
                        <w:rFonts w:ascii="Cambria"/>
                        <w:w w:val="95"/>
                        <w:sz w:val="20"/>
                      </w:rPr>
                      <w:t>0.1</w:t>
                    </w:r>
                  </w:p>
                  <w:p>
                    <w:pPr>
                      <w:spacing w:line="228" w:lineRule="exact" w:before="88"/>
                      <w:ind w:left="152" w:right="0" w:firstLine="0"/>
                      <w:jc w:val="center"/>
                      <w:rPr>
                        <w:rFonts w:ascii="Cambria"/>
                        <w:sz w:val="20"/>
                      </w:rPr>
                    </w:pPr>
                    <w:r>
                      <w:rPr>
                        <w:rFonts w:ascii="Cambria"/>
                        <w:w w:val="99"/>
                        <w:sz w:val="20"/>
                      </w:rPr>
                      <w:t>0</w:t>
                    </w:r>
                  </w:p>
                </w:txbxContent>
              </v:textbox>
              <w10:wrap type="none"/>
            </v:shape>
            <v:shape style="position:absolute;left:5317;top:1567;width:784;height:221" type="#_x0000_t202" filled="false" stroked="false">
              <v:textbox inset="0,0,0,0">
                <w:txbxContent>
                  <w:p>
                    <w:pPr>
                      <w:spacing w:line="221" w:lineRule="exact" w:before="0"/>
                      <w:ind w:left="0" w:right="-17" w:firstLine="0"/>
                      <w:jc w:val="left"/>
                      <w:rPr>
                        <w:rFonts w:ascii="Cambria"/>
                        <w:sz w:val="22"/>
                      </w:rPr>
                    </w:pPr>
                    <w:r>
                      <w:rPr>
                        <w:rFonts w:ascii="Cambria"/>
                        <w:sz w:val="22"/>
                      </w:rPr>
                      <w:t>Activo B</w:t>
                    </w:r>
                  </w:p>
                </w:txbxContent>
              </v:textbox>
              <w10:wrap type="none"/>
            </v:shape>
            <v:shape style="position:absolute;left:6463;top:2294;width:783;height:221" type="#_x0000_t202" filled="false" stroked="false">
              <v:textbox inset="0,0,0,0">
                <w:txbxContent>
                  <w:p>
                    <w:pPr>
                      <w:spacing w:line="221" w:lineRule="exact" w:before="0"/>
                      <w:ind w:left="0" w:right="-20" w:firstLine="0"/>
                      <w:jc w:val="left"/>
                      <w:rPr>
                        <w:rFonts w:ascii="Cambria"/>
                        <w:sz w:val="22"/>
                      </w:rPr>
                    </w:pPr>
                    <w:r>
                      <w:rPr>
                        <w:rFonts w:ascii="Cambria"/>
                        <w:sz w:val="22"/>
                      </w:rPr>
                      <w:t>Activo A</w:t>
                    </w:r>
                  </w:p>
                </w:txbxContent>
              </v:textbox>
              <w10:wrap type="none"/>
            </v:shape>
            <v:shape style="position:absolute;left:4080;top:4022;width:4646;height:200" type="#_x0000_t202" filled="false" stroked="false">
              <v:textbox inset="0,0,0,0">
                <w:txbxContent>
                  <w:p>
                    <w:pPr>
                      <w:tabs>
                        <w:tab w:pos="485" w:val="left" w:leader="none"/>
                        <w:tab w:pos="915" w:val="left" w:leader="none"/>
                      </w:tabs>
                      <w:spacing w:line="199" w:lineRule="exact" w:before="0"/>
                      <w:ind w:left="0" w:right="0" w:firstLine="0"/>
                      <w:jc w:val="left"/>
                      <w:rPr>
                        <w:rFonts w:ascii="Cambria"/>
                        <w:sz w:val="20"/>
                      </w:rPr>
                    </w:pPr>
                    <w:r>
                      <w:rPr>
                        <w:rFonts w:ascii="Cambria"/>
                        <w:sz w:val="20"/>
                      </w:rPr>
                      <w:t>50</w:t>
                      <w:tab/>
                      <w:t>80</w:t>
                      <w:tab/>
                      <w:t>120   180   220   300   350   400   430     </w:t>
                    </w:r>
                    <w:r>
                      <w:rPr>
                        <w:rFonts w:ascii="Cambria"/>
                        <w:spacing w:val="9"/>
                        <w:sz w:val="20"/>
                      </w:rPr>
                      <w:t> </w:t>
                    </w:r>
                    <w:r>
                      <w:rPr>
                        <w:rFonts w:ascii="Cambria"/>
                        <w:sz w:val="20"/>
                      </w:rPr>
                      <w:t>500</w:t>
                    </w:r>
                  </w:p>
                </w:txbxContent>
              </v:textbox>
              <w10:wrap type="none"/>
            </v:shape>
            <w10:wrap type="topAndBottom"/>
          </v:group>
        </w:pict>
      </w:r>
      <w:r>
        <w:rPr>
          <w:sz w:val="20"/>
        </w:rPr>
        <w:t>Probabilidad</w:t>
      </w:r>
    </w:p>
    <w:p>
      <w:pPr>
        <w:spacing w:line="207" w:lineRule="exact" w:before="0"/>
        <w:ind w:left="5278" w:right="504" w:firstLine="0"/>
        <w:jc w:val="left"/>
        <w:rPr>
          <w:sz w:val="20"/>
        </w:rPr>
      </w:pPr>
      <w:r>
        <w:rPr>
          <w:sz w:val="20"/>
        </w:rPr>
        <w:t>Fuente: Elaboración propia</w:t>
      </w:r>
    </w:p>
    <w:p>
      <w:pPr>
        <w:pStyle w:val="BodyText"/>
        <w:rPr>
          <w:sz w:val="20"/>
        </w:rPr>
      </w:pPr>
    </w:p>
    <w:p>
      <w:pPr>
        <w:pStyle w:val="BodyText"/>
        <w:rPr>
          <w:sz w:val="26"/>
        </w:rPr>
      </w:pPr>
    </w:p>
    <w:p>
      <w:pPr>
        <w:pStyle w:val="BodyText"/>
        <w:ind w:left="122"/>
        <w:jc w:val="both"/>
      </w:pPr>
      <w:r>
        <w:rPr/>
        <w:pict>
          <v:line style="position:absolute;mso-position-horizontal-relative:page;mso-position-vertical-relative:paragraph;z-index:-460120" from="85.139999pt,.29314pt" to="526.789999pt,.29314pt" stroked="true" strokeweight="2.04pt" strokecolor="#000000">
            <w10:wrap type="none"/>
          </v:line>
        </w:pict>
      </w:r>
      <w:r>
        <w:rPr>
          <w:b/>
        </w:rPr>
        <w:t>Figura 15. </w:t>
      </w:r>
      <w:r>
        <w:rPr/>
        <w:t>Distribución de probabilidades acumuladas para alternativas A y B, en FSD.</w:t>
      </w:r>
    </w:p>
    <w:p>
      <w:pPr>
        <w:pStyle w:val="BodyText"/>
      </w:pPr>
    </w:p>
    <w:p>
      <w:pPr>
        <w:pStyle w:val="BodyText"/>
        <w:spacing w:before="4"/>
      </w:pPr>
    </w:p>
    <w:p>
      <w:pPr>
        <w:pStyle w:val="Heading2"/>
        <w:numPr>
          <w:ilvl w:val="2"/>
          <w:numId w:val="22"/>
        </w:numPr>
        <w:tabs>
          <w:tab w:pos="662" w:val="left" w:leader="none"/>
        </w:tabs>
        <w:spacing w:line="240" w:lineRule="auto" w:before="1" w:after="0"/>
        <w:ind w:left="662" w:right="0" w:hanging="540"/>
        <w:jc w:val="both"/>
        <w:rPr>
          <w:i/>
        </w:rPr>
      </w:pPr>
      <w:bookmarkStart w:name="_TOC_250004" w:id="38"/>
      <w:r>
        <w:rPr>
          <w:i/>
        </w:rPr>
        <w:t>Dominancia estocástica de segundo</w:t>
      </w:r>
      <w:r>
        <w:rPr>
          <w:i/>
          <w:spacing w:val="-6"/>
        </w:rPr>
        <w:t> </w:t>
      </w:r>
      <w:bookmarkEnd w:id="38"/>
      <w:r>
        <w:rPr>
          <w:i/>
        </w:rPr>
        <w:t>orden</w:t>
      </w:r>
    </w:p>
    <w:p>
      <w:pPr>
        <w:pStyle w:val="BodyText"/>
        <w:rPr>
          <w:b/>
          <w:i/>
        </w:rPr>
      </w:pPr>
    </w:p>
    <w:p>
      <w:pPr>
        <w:pStyle w:val="BodyText"/>
        <w:spacing w:before="6"/>
        <w:rPr>
          <w:b/>
          <w:i/>
          <w:sz w:val="23"/>
        </w:rPr>
      </w:pPr>
    </w:p>
    <w:p>
      <w:pPr>
        <w:pStyle w:val="BodyText"/>
        <w:ind w:left="122"/>
        <w:jc w:val="both"/>
      </w:pPr>
      <w:r>
        <w:rPr/>
        <w:t>De acuerdo con Almaraz (2010) la SSD clasifica a los individuos que:</w:t>
      </w:r>
    </w:p>
    <w:p>
      <w:pPr>
        <w:pStyle w:val="BodyText"/>
      </w:pPr>
    </w:p>
    <w:p>
      <w:pPr>
        <w:pStyle w:val="BodyText"/>
      </w:pPr>
    </w:p>
    <w:p>
      <w:pPr>
        <w:pStyle w:val="ListParagraph"/>
        <w:numPr>
          <w:ilvl w:val="3"/>
          <w:numId w:val="22"/>
        </w:numPr>
        <w:tabs>
          <w:tab w:pos="1201" w:val="left" w:leader="none"/>
          <w:tab w:pos="1202" w:val="left" w:leader="none"/>
        </w:tabs>
        <w:spacing w:line="240" w:lineRule="auto" w:before="0" w:after="0"/>
        <w:ind w:left="1202" w:right="0" w:hanging="720"/>
        <w:jc w:val="left"/>
        <w:rPr>
          <w:sz w:val="24"/>
        </w:rPr>
      </w:pPr>
      <w:r>
        <w:rPr>
          <w:sz w:val="24"/>
        </w:rPr>
        <w:t>Prefieren más a menos</w:t>
      </w:r>
      <w:r>
        <w:rPr>
          <w:spacing w:val="-7"/>
          <w:sz w:val="24"/>
        </w:rPr>
        <w:t> </w:t>
      </w:r>
      <w:r>
        <w:rPr>
          <w:sz w:val="24"/>
        </w:rPr>
        <w:t>riqueza</w:t>
      </w:r>
    </w:p>
    <w:p>
      <w:pPr>
        <w:pStyle w:val="ListParagraph"/>
        <w:numPr>
          <w:ilvl w:val="3"/>
          <w:numId w:val="22"/>
        </w:numPr>
        <w:tabs>
          <w:tab w:pos="1201" w:val="left" w:leader="none"/>
          <w:tab w:pos="1202" w:val="left" w:leader="none"/>
        </w:tabs>
        <w:spacing w:line="240" w:lineRule="auto" w:before="137" w:after="0"/>
        <w:ind w:left="1202" w:right="0" w:hanging="720"/>
        <w:jc w:val="left"/>
        <w:rPr>
          <w:sz w:val="24"/>
        </w:rPr>
      </w:pPr>
      <w:r>
        <w:rPr>
          <w:sz w:val="24"/>
        </w:rPr>
        <w:t>Son adversos o neutrales al</w:t>
      </w:r>
      <w:r>
        <w:rPr>
          <w:spacing w:val="-7"/>
          <w:sz w:val="24"/>
        </w:rPr>
        <w:t> </w:t>
      </w:r>
      <w:r>
        <w:rPr>
          <w:sz w:val="24"/>
        </w:rPr>
        <w:t>riesgo</w:t>
      </w:r>
    </w:p>
    <w:p>
      <w:pPr>
        <w:pStyle w:val="BodyText"/>
      </w:pPr>
    </w:p>
    <w:p>
      <w:pPr>
        <w:pStyle w:val="BodyText"/>
      </w:pPr>
    </w:p>
    <w:p>
      <w:pPr>
        <w:pStyle w:val="BodyText"/>
        <w:spacing w:line="360" w:lineRule="auto"/>
        <w:ind w:left="122" w:right="124"/>
        <w:jc w:val="both"/>
      </w:pPr>
      <w:r>
        <w:rPr/>
        <w:t>Por simplicidad se consideran distribuciones con la misma media, </w:t>
      </w:r>
      <w:r>
        <w:rPr>
          <w:spacing w:val="-3"/>
        </w:rPr>
        <w:t>ya </w:t>
      </w:r>
      <w:r>
        <w:rPr/>
        <w:t>que si las variables aleatorias</w:t>
      </w:r>
      <w:r>
        <w:rPr>
          <w:spacing w:val="-7"/>
        </w:rPr>
        <w:t> </w:t>
      </w:r>
      <w:r>
        <w:rPr/>
        <w:t>con</w:t>
      </w:r>
      <w:r>
        <w:rPr>
          <w:spacing w:val="-9"/>
        </w:rPr>
        <w:t> </w:t>
      </w:r>
      <w:r>
        <w:rPr/>
        <w:t>la</w:t>
      </w:r>
      <w:r>
        <w:rPr>
          <w:spacing w:val="-10"/>
        </w:rPr>
        <w:t> </w:t>
      </w:r>
      <w:r>
        <w:rPr/>
        <w:t>misma</w:t>
      </w:r>
      <w:r>
        <w:rPr>
          <w:spacing w:val="-7"/>
        </w:rPr>
        <w:t> </w:t>
      </w:r>
      <w:r>
        <w:rPr/>
        <w:t>media</w:t>
      </w:r>
      <w:r>
        <w:rPr>
          <w:spacing w:val="-10"/>
        </w:rPr>
        <w:t> </w:t>
      </w:r>
      <w:r>
        <w:rPr/>
        <w:t>describen</w:t>
      </w:r>
      <w:r>
        <w:rPr>
          <w:spacing w:val="-9"/>
        </w:rPr>
        <w:t> </w:t>
      </w:r>
      <w:r>
        <w:rPr/>
        <w:t>los</w:t>
      </w:r>
      <w:r>
        <w:rPr>
          <w:spacing w:val="-7"/>
        </w:rPr>
        <w:t> </w:t>
      </w:r>
      <w:r>
        <w:rPr/>
        <w:t>retornos</w:t>
      </w:r>
      <w:r>
        <w:rPr>
          <w:spacing w:val="-8"/>
        </w:rPr>
        <w:t> </w:t>
      </w:r>
      <w:r>
        <w:rPr/>
        <w:t>de</w:t>
      </w:r>
      <w:r>
        <w:rPr>
          <w:spacing w:val="-10"/>
        </w:rPr>
        <w:t> </w:t>
      </w:r>
      <w:r>
        <w:rPr/>
        <w:t>dos</w:t>
      </w:r>
      <w:r>
        <w:rPr>
          <w:spacing w:val="-7"/>
        </w:rPr>
        <w:t> </w:t>
      </w:r>
      <w:r>
        <w:rPr/>
        <w:t>inversiones</w:t>
      </w:r>
      <w:r>
        <w:rPr>
          <w:spacing w:val="-7"/>
        </w:rPr>
        <w:t> </w:t>
      </w:r>
      <w:r>
        <w:rPr/>
        <w:t>con</w:t>
      </w:r>
      <w:r>
        <w:rPr>
          <w:spacing w:val="-9"/>
        </w:rPr>
        <w:t> </w:t>
      </w:r>
      <w:r>
        <w:rPr/>
        <w:t>riesgo,</w:t>
      </w:r>
      <w:r>
        <w:rPr>
          <w:spacing w:val="-7"/>
        </w:rPr>
        <w:t> </w:t>
      </w:r>
      <w:r>
        <w:rPr/>
        <w:t>entonces el decisor con aversión al riesgo elegirá aquella inversión con variabilidad más</w:t>
      </w:r>
      <w:r>
        <w:rPr>
          <w:spacing w:val="-14"/>
        </w:rPr>
        <w:t> </w:t>
      </w:r>
      <w:r>
        <w:rPr/>
        <w:t>baja.</w:t>
      </w:r>
    </w:p>
    <w:p>
      <w:pPr>
        <w:pStyle w:val="BodyText"/>
      </w:pPr>
    </w:p>
    <w:p>
      <w:pPr>
        <w:pStyle w:val="BodyText"/>
        <w:spacing w:line="360" w:lineRule="auto" w:before="143"/>
        <w:ind w:left="122" w:right="117"/>
        <w:jc w:val="both"/>
      </w:pPr>
      <w:r>
        <w:rPr/>
        <w:t>El supuesto adicional del análisis de SSD sobre FSD, yace en que la función de utilidad presenta valores marginales incrementales decrecientes, es decir presenta cierto grado de aversión al riego, </w:t>
      </w:r>
      <w:r>
        <w:rPr>
          <w:spacing w:val="-3"/>
        </w:rPr>
        <w:t>ya </w:t>
      </w:r>
      <w:r>
        <w:rPr/>
        <w:t>se neutral o alto, por tanto, para las mismas dos alternativas de</w:t>
      </w:r>
      <w:r>
        <w:rPr>
          <w:spacing w:val="-41"/>
        </w:rPr>
        <w:t> </w:t>
      </w:r>
      <w:r>
        <w:rPr/>
        <w:t>decisión A y B, A será estocásticamente dominante en segundo grado sobre B si el área bajo la curva de la función de A es menor que el área bajo la curva de la función de B. En la Figura 15 es posible observar que el decisor prefiere la opción A dado que el área bajo la curva de esta estrategia es menor que el área bajo la curva de la estrategia</w:t>
      </w:r>
      <w:r>
        <w:rPr>
          <w:spacing w:val="-14"/>
        </w:rPr>
        <w:t> </w:t>
      </w:r>
      <w:r>
        <w:rPr/>
        <w:t>B.</w:t>
      </w:r>
    </w:p>
    <w:p>
      <w:pPr>
        <w:spacing w:after="0" w:line="360" w:lineRule="auto"/>
        <w:jc w:val="both"/>
        <w:sectPr>
          <w:pgSz w:w="12240" w:h="15840"/>
          <w:pgMar w:header="0" w:footer="657" w:top="1040" w:bottom="840" w:left="1580" w:right="1580"/>
        </w:sectPr>
      </w:pPr>
    </w:p>
    <w:p>
      <w:pPr>
        <w:spacing w:before="53"/>
        <w:ind w:left="1660" w:right="504" w:firstLine="0"/>
        <w:jc w:val="left"/>
        <w:rPr>
          <w:sz w:val="20"/>
        </w:rPr>
      </w:pPr>
      <w:r>
        <w:rPr/>
        <w:pict>
          <v:group style="position:absolute;margin-left:161.75pt;margin-top:19.535938pt;width:288.5pt;height:191.55pt;mso-position-horizontal-relative:page;mso-position-vertical-relative:paragraph;z-index:3784;mso-wrap-distance-left:0;mso-wrap-distance-right:0" coordorigin="3235,391" coordsize="5770,3831">
            <v:line style="position:absolute" from="3814,3725" to="3814,617" stroked="true" strokeweight=".72pt" strokecolor="#858585"/>
            <v:line style="position:absolute" from="3749,3725" to="3814,3725" stroked="true" strokeweight=".72pt" strokecolor="#858585"/>
            <v:line style="position:absolute" from="3749,3415" to="3814,3415" stroked="true" strokeweight=".72pt" strokecolor="#858585"/>
            <v:line style="position:absolute" from="3749,3103" to="3814,3103" stroked="true" strokeweight=".72pt" strokecolor="#858585"/>
            <v:line style="position:absolute" from="3749,2793" to="3814,2793" stroked="true" strokeweight=".72pt" strokecolor="#858585"/>
            <v:line style="position:absolute" from="3749,2481" to="3814,2481" stroked="true" strokeweight=".72pt" strokecolor="#858585"/>
            <v:line style="position:absolute" from="3749,2172" to="3814,2172" stroked="true" strokeweight=".72pt" strokecolor="#858585"/>
            <v:line style="position:absolute" from="3749,1860" to="3814,1860" stroked="true" strokeweight=".72pt" strokecolor="#858585"/>
            <v:line style="position:absolute" from="3749,1550" to="3814,1550" stroked="true" strokeweight=".72pt" strokecolor="#858585"/>
            <v:line style="position:absolute" from="3749,1238" to="3814,1238" stroked="true" strokeweight=".72pt" strokecolor="#858585"/>
            <v:line style="position:absolute" from="3749,929" to="3814,929" stroked="true" strokeweight=".72pt" strokecolor="#858585"/>
            <v:line style="position:absolute" from="3749,617" to="3814,617" stroked="true" strokeweight=".72pt" strokecolor="#858585"/>
            <v:line style="position:absolute" from="3814,3725" to="8779,3725" stroked="true" strokeweight=".72pt" strokecolor="#858585"/>
            <v:line style="position:absolute" from="3814,3725" to="3814,3787" stroked="true" strokeweight=".72pt" strokecolor="#858585"/>
            <v:line style="position:absolute" from="4310,3725" to="4310,3787" stroked="true" strokeweight=".72pt" strokecolor="#858585"/>
            <v:line style="position:absolute" from="4807,3725" to="4807,3787" stroked="true" strokeweight=".72pt" strokecolor="#858585"/>
            <v:line style="position:absolute" from="5304,3725" to="5304,3787" stroked="true" strokeweight=".72pt" strokecolor="#858585"/>
            <v:line style="position:absolute" from="5801,3725" to="5801,3787" stroked="true" strokeweight=".72pt" strokecolor="#858585"/>
            <v:line style="position:absolute" from="6298,3725" to="6298,3787" stroked="true" strokeweight=".72pt" strokecolor="#858585"/>
            <v:line style="position:absolute" from="6792,3725" to="6792,3787" stroked="true" strokeweight=".72pt" strokecolor="#858585"/>
            <v:line style="position:absolute" from="7289,3725" to="7289,3787" stroked="true" strokeweight=".72pt" strokecolor="#858585"/>
            <v:line style="position:absolute" from="7786,3725" to="7786,3787" stroked="true" strokeweight=".72pt" strokecolor="#858585"/>
            <v:line style="position:absolute" from="8282,3725" to="8282,3787" stroked="true" strokeweight=".72pt" strokecolor="#858585"/>
            <v:line style="position:absolute" from="8779,3725" to="8779,3787" stroked="true" strokeweight=".72pt" strokecolor="#858585"/>
            <v:shape style="position:absolute;left:4062;top:1146;width:4469;height:2268" coordorigin="4062,1146" coordsize="4469,2268" path="m4062,3414l4559,2948,5056,2605,5552,2327,6049,2015,6546,1611,7040,1487,7537,1393,8034,1299,8531,1146e" filled="false" stroked="true" strokeweight="3pt" strokecolor="#000000">
              <v:path arrowok="t"/>
            </v:shape>
            <v:shape style="position:absolute;left:4062;top:618;width:4469;height:3046" coordorigin="4062,618" coordsize="4469,3046" path="m4062,3663l4559,3539,5056,3383,5552,3135,6049,2483,6546,1611,7040,1239,7537,1021,8034,865,8531,618e" filled="false" stroked="true" strokeweight="2.280pt" strokecolor="#bd4a47">
              <v:path arrowok="t"/>
            </v:shape>
            <v:rect style="position:absolute;left:3240;top:396;width:5760;height:3821" filled="false" stroked="true" strokeweight=".48pt" strokecolor="#000000"/>
            <v:shape style="position:absolute;left:3371;top:519;width:262;height:3308" type="#_x0000_t202" filled="false" stroked="false">
              <v:textbox inset="0,0,0,0">
                <w:txbxContent>
                  <w:p>
                    <w:pPr>
                      <w:spacing w:line="206" w:lineRule="exact" w:before="0"/>
                      <w:ind w:left="151" w:right="0" w:firstLine="0"/>
                      <w:jc w:val="center"/>
                      <w:rPr>
                        <w:rFonts w:ascii="Cambria"/>
                        <w:sz w:val="20"/>
                      </w:rPr>
                    </w:pPr>
                    <w:r>
                      <w:rPr>
                        <w:rFonts w:ascii="Cambria"/>
                        <w:w w:val="99"/>
                        <w:sz w:val="20"/>
                      </w:rPr>
                      <w:t>1</w:t>
                    </w:r>
                  </w:p>
                  <w:p>
                    <w:pPr>
                      <w:spacing w:before="76"/>
                      <w:ind w:left="0" w:right="0" w:firstLine="0"/>
                      <w:jc w:val="center"/>
                      <w:rPr>
                        <w:rFonts w:ascii="Cambria"/>
                        <w:sz w:val="20"/>
                      </w:rPr>
                    </w:pPr>
                    <w:r>
                      <w:rPr>
                        <w:rFonts w:ascii="Cambria"/>
                        <w:w w:val="95"/>
                        <w:sz w:val="20"/>
                      </w:rPr>
                      <w:t>0.9</w:t>
                    </w:r>
                  </w:p>
                  <w:p>
                    <w:pPr>
                      <w:spacing w:before="76"/>
                      <w:ind w:left="0" w:right="0" w:firstLine="0"/>
                      <w:jc w:val="center"/>
                      <w:rPr>
                        <w:rFonts w:ascii="Cambria"/>
                        <w:sz w:val="20"/>
                      </w:rPr>
                    </w:pPr>
                    <w:r>
                      <w:rPr>
                        <w:rFonts w:ascii="Cambria"/>
                        <w:w w:val="95"/>
                        <w:sz w:val="20"/>
                      </w:rPr>
                      <w:t>0.8</w:t>
                    </w:r>
                  </w:p>
                  <w:p>
                    <w:pPr>
                      <w:spacing w:before="76"/>
                      <w:ind w:left="0" w:right="0" w:firstLine="0"/>
                      <w:jc w:val="center"/>
                      <w:rPr>
                        <w:rFonts w:ascii="Cambria"/>
                        <w:sz w:val="20"/>
                      </w:rPr>
                    </w:pPr>
                    <w:r>
                      <w:rPr>
                        <w:rFonts w:ascii="Cambria"/>
                        <w:w w:val="95"/>
                        <w:sz w:val="20"/>
                      </w:rPr>
                      <w:t>0.7</w:t>
                    </w:r>
                  </w:p>
                  <w:p>
                    <w:pPr>
                      <w:spacing w:before="76"/>
                      <w:ind w:left="0" w:right="0" w:firstLine="0"/>
                      <w:jc w:val="center"/>
                      <w:rPr>
                        <w:rFonts w:ascii="Cambria"/>
                        <w:sz w:val="20"/>
                      </w:rPr>
                    </w:pPr>
                    <w:r>
                      <w:rPr>
                        <w:rFonts w:ascii="Cambria"/>
                        <w:w w:val="95"/>
                        <w:sz w:val="20"/>
                      </w:rPr>
                      <w:t>0.6</w:t>
                    </w:r>
                  </w:p>
                  <w:p>
                    <w:pPr>
                      <w:spacing w:before="76"/>
                      <w:ind w:left="0" w:right="0" w:firstLine="0"/>
                      <w:jc w:val="center"/>
                      <w:rPr>
                        <w:rFonts w:ascii="Cambria"/>
                        <w:sz w:val="20"/>
                      </w:rPr>
                    </w:pPr>
                    <w:r>
                      <w:rPr>
                        <w:rFonts w:ascii="Cambria"/>
                        <w:w w:val="95"/>
                        <w:sz w:val="20"/>
                      </w:rPr>
                      <w:t>0.5</w:t>
                    </w:r>
                  </w:p>
                  <w:p>
                    <w:pPr>
                      <w:spacing w:before="76"/>
                      <w:ind w:left="0" w:right="0" w:firstLine="0"/>
                      <w:jc w:val="center"/>
                      <w:rPr>
                        <w:rFonts w:ascii="Cambria"/>
                        <w:sz w:val="20"/>
                      </w:rPr>
                    </w:pPr>
                    <w:r>
                      <w:rPr>
                        <w:rFonts w:ascii="Cambria"/>
                        <w:w w:val="95"/>
                        <w:sz w:val="20"/>
                      </w:rPr>
                      <w:t>0.4</w:t>
                    </w:r>
                  </w:p>
                  <w:p>
                    <w:pPr>
                      <w:spacing w:before="76"/>
                      <w:ind w:left="0" w:right="0" w:firstLine="0"/>
                      <w:jc w:val="center"/>
                      <w:rPr>
                        <w:rFonts w:ascii="Cambria"/>
                        <w:sz w:val="20"/>
                      </w:rPr>
                    </w:pPr>
                    <w:r>
                      <w:rPr>
                        <w:rFonts w:ascii="Cambria"/>
                        <w:w w:val="95"/>
                        <w:sz w:val="20"/>
                      </w:rPr>
                      <w:t>0.3</w:t>
                    </w:r>
                  </w:p>
                  <w:p>
                    <w:pPr>
                      <w:spacing w:before="76"/>
                      <w:ind w:left="0" w:right="0" w:firstLine="0"/>
                      <w:jc w:val="center"/>
                      <w:rPr>
                        <w:rFonts w:ascii="Cambria"/>
                        <w:sz w:val="20"/>
                      </w:rPr>
                    </w:pPr>
                    <w:r>
                      <w:rPr>
                        <w:rFonts w:ascii="Cambria"/>
                        <w:w w:val="95"/>
                        <w:sz w:val="20"/>
                      </w:rPr>
                      <w:t>0.2</w:t>
                    </w:r>
                  </w:p>
                  <w:p>
                    <w:pPr>
                      <w:spacing w:before="76"/>
                      <w:ind w:left="0" w:right="0" w:firstLine="0"/>
                      <w:jc w:val="center"/>
                      <w:rPr>
                        <w:rFonts w:ascii="Cambria"/>
                        <w:sz w:val="20"/>
                      </w:rPr>
                    </w:pPr>
                    <w:r>
                      <w:rPr>
                        <w:rFonts w:ascii="Cambria"/>
                        <w:w w:val="95"/>
                        <w:sz w:val="20"/>
                      </w:rPr>
                      <w:t>0.1</w:t>
                    </w:r>
                  </w:p>
                  <w:p>
                    <w:pPr>
                      <w:spacing w:line="228" w:lineRule="exact" w:before="76"/>
                      <w:ind w:left="151" w:right="0" w:firstLine="0"/>
                      <w:jc w:val="center"/>
                      <w:rPr>
                        <w:rFonts w:ascii="Cambria"/>
                        <w:sz w:val="20"/>
                      </w:rPr>
                    </w:pPr>
                    <w:r>
                      <w:rPr>
                        <w:rFonts w:ascii="Cambria"/>
                        <w:w w:val="99"/>
                        <w:sz w:val="20"/>
                      </w:rPr>
                      <w:t>0</w:t>
                    </w:r>
                  </w:p>
                </w:txbxContent>
              </v:textbox>
              <w10:wrap type="none"/>
            </v:shape>
            <v:shape style="position:absolute;left:7267;top:1488;width:1076;height:221" type="#_x0000_t202" filled="false" stroked="false">
              <v:textbox inset="0,0,0,0">
                <w:txbxContent>
                  <w:p>
                    <w:pPr>
                      <w:spacing w:line="221" w:lineRule="exact" w:before="0"/>
                      <w:ind w:left="0" w:right="-19" w:firstLine="0"/>
                      <w:jc w:val="left"/>
                      <w:rPr>
                        <w:rFonts w:ascii="Cambria"/>
                        <w:sz w:val="22"/>
                      </w:rPr>
                    </w:pPr>
                    <w:r>
                      <w:rPr>
                        <w:rFonts w:ascii="Cambria"/>
                        <w:sz w:val="22"/>
                      </w:rPr>
                      <w:t>Estratega B</w:t>
                    </w:r>
                  </w:p>
                </w:txbxContent>
              </v:textbox>
              <w10:wrap type="none"/>
            </v:shape>
            <v:shape style="position:absolute;left:5739;top:2965;width:1139;height:222" type="#_x0000_t202" filled="false" stroked="false">
              <v:textbox inset="0,0,0,0">
                <w:txbxContent>
                  <w:p>
                    <w:pPr>
                      <w:spacing w:line="221" w:lineRule="exact" w:before="0"/>
                      <w:ind w:left="0" w:right="-20" w:firstLine="0"/>
                      <w:jc w:val="left"/>
                      <w:rPr>
                        <w:rFonts w:ascii="Cambria"/>
                        <w:sz w:val="22"/>
                      </w:rPr>
                    </w:pPr>
                    <w:r>
                      <w:rPr>
                        <w:rFonts w:ascii="Cambria"/>
                        <w:sz w:val="22"/>
                      </w:rPr>
                      <w:t>Estrategia A</w:t>
                    </w:r>
                  </w:p>
                </w:txbxContent>
              </v:textbox>
              <w10:wrap type="none"/>
            </v:shape>
            <v:shape style="position:absolute;left:3951;top:3880;width:4748;height:200" type="#_x0000_t202" filled="false" stroked="false">
              <v:textbox inset="0,0,0,0">
                <w:txbxContent>
                  <w:p>
                    <w:pPr>
                      <w:tabs>
                        <w:tab w:pos="496" w:val="left" w:leader="none"/>
                        <w:tab w:pos="938" w:val="left" w:leader="none"/>
                      </w:tabs>
                      <w:spacing w:line="199" w:lineRule="exact" w:before="0"/>
                      <w:ind w:left="0" w:right="0" w:firstLine="0"/>
                      <w:jc w:val="left"/>
                      <w:rPr>
                        <w:rFonts w:ascii="Cambria"/>
                        <w:sz w:val="20"/>
                      </w:rPr>
                    </w:pPr>
                    <w:r>
                      <w:rPr>
                        <w:rFonts w:ascii="Cambria"/>
                        <w:sz w:val="20"/>
                      </w:rPr>
                      <w:t>50</w:t>
                      <w:tab/>
                      <w:t>80</w:t>
                      <w:tab/>
                      <w:t>120    180    220    300    350    400    430  500</w:t>
                    </w:r>
                  </w:p>
                </w:txbxContent>
              </v:textbox>
              <w10:wrap type="none"/>
            </v:shape>
            <w10:wrap type="topAndBottom"/>
          </v:group>
        </w:pict>
      </w:r>
      <w:r>
        <w:rPr>
          <w:sz w:val="20"/>
        </w:rPr>
        <w:t>Probabilidad</w:t>
      </w:r>
    </w:p>
    <w:p>
      <w:pPr>
        <w:spacing w:before="114"/>
        <w:ind w:left="5230" w:right="504" w:firstLine="0"/>
        <w:jc w:val="left"/>
        <w:rPr>
          <w:sz w:val="20"/>
        </w:rPr>
      </w:pPr>
      <w:r>
        <w:rPr>
          <w:sz w:val="20"/>
        </w:rPr>
        <w:t>Fuente: Elaboración propia</w:t>
      </w:r>
    </w:p>
    <w:p>
      <w:pPr>
        <w:pStyle w:val="BodyText"/>
        <w:rPr>
          <w:sz w:val="20"/>
        </w:rPr>
      </w:pPr>
    </w:p>
    <w:p>
      <w:pPr>
        <w:pStyle w:val="BodyText"/>
        <w:spacing w:before="2"/>
        <w:rPr>
          <w:sz w:val="26"/>
        </w:rPr>
      </w:pPr>
    </w:p>
    <w:p>
      <w:pPr>
        <w:pStyle w:val="BodyText"/>
        <w:spacing w:before="1"/>
        <w:ind w:left="122"/>
        <w:jc w:val="both"/>
      </w:pPr>
      <w:r>
        <w:rPr/>
        <w:pict>
          <v:line style="position:absolute;mso-position-horizontal-relative:page;mso-position-vertical-relative:paragraph;z-index:-459976" from="85.139999pt,.343126pt" to="526.789999pt,.343126pt" stroked="true" strokeweight="2.04pt" strokecolor="#000000">
            <w10:wrap type="none"/>
          </v:line>
        </w:pict>
      </w:r>
      <w:r>
        <w:rPr>
          <w:b/>
        </w:rPr>
        <w:t>Figura 16. </w:t>
      </w:r>
      <w:r>
        <w:rPr/>
        <w:t>Distribuciones de probabilidades acumuladas para estrategias A y B, en SSD.</w:t>
      </w:r>
    </w:p>
    <w:p>
      <w:pPr>
        <w:pStyle w:val="BodyText"/>
      </w:pPr>
    </w:p>
    <w:p>
      <w:pPr>
        <w:pStyle w:val="BodyText"/>
        <w:spacing w:before="4"/>
      </w:pPr>
    </w:p>
    <w:p>
      <w:pPr>
        <w:pStyle w:val="Heading2"/>
        <w:spacing w:before="1"/>
        <w:ind w:left="122" w:firstLine="0"/>
        <w:rPr>
          <w:i/>
        </w:rPr>
      </w:pPr>
      <w:bookmarkStart w:name="_TOC_250003" w:id="39"/>
      <w:bookmarkEnd w:id="39"/>
      <w:r>
        <w:rPr>
          <w:i/>
        </w:rPr>
        <w:t>4.6.3. Dominancia estocástica con respecto a una función</w:t>
      </w:r>
    </w:p>
    <w:p>
      <w:pPr>
        <w:pStyle w:val="BodyText"/>
        <w:rPr>
          <w:b/>
          <w:i/>
        </w:rPr>
      </w:pPr>
    </w:p>
    <w:p>
      <w:pPr>
        <w:pStyle w:val="BodyText"/>
        <w:spacing w:before="6"/>
        <w:rPr>
          <w:b/>
          <w:i/>
          <w:sz w:val="23"/>
        </w:rPr>
      </w:pPr>
    </w:p>
    <w:p>
      <w:pPr>
        <w:pStyle w:val="BodyText"/>
        <w:spacing w:line="360" w:lineRule="auto"/>
        <w:ind w:left="122" w:right="120"/>
        <w:jc w:val="both"/>
      </w:pPr>
      <w:r>
        <w:rPr/>
        <w:t>La</w:t>
      </w:r>
      <w:r>
        <w:rPr>
          <w:spacing w:val="-4"/>
        </w:rPr>
        <w:t> </w:t>
      </w:r>
      <w:r>
        <w:rPr/>
        <w:t>DERF</w:t>
      </w:r>
      <w:r>
        <w:rPr>
          <w:spacing w:val="-4"/>
        </w:rPr>
        <w:t> </w:t>
      </w:r>
      <w:r>
        <w:rPr/>
        <w:t>es</w:t>
      </w:r>
      <w:r>
        <w:rPr>
          <w:spacing w:val="-5"/>
        </w:rPr>
        <w:t> </w:t>
      </w:r>
      <w:r>
        <w:rPr/>
        <w:t>un</w:t>
      </w:r>
      <w:r>
        <w:rPr>
          <w:spacing w:val="-5"/>
        </w:rPr>
        <w:t> </w:t>
      </w:r>
      <w:r>
        <w:rPr/>
        <w:t>método</w:t>
      </w:r>
      <w:r>
        <w:rPr>
          <w:spacing w:val="-5"/>
        </w:rPr>
        <w:t> </w:t>
      </w:r>
      <w:r>
        <w:rPr/>
        <w:t>que</w:t>
      </w:r>
      <w:r>
        <w:rPr>
          <w:spacing w:val="-6"/>
        </w:rPr>
        <w:t> </w:t>
      </w:r>
      <w:r>
        <w:rPr/>
        <w:t>permite</w:t>
      </w:r>
      <w:r>
        <w:rPr>
          <w:spacing w:val="-3"/>
        </w:rPr>
        <w:t> </w:t>
      </w:r>
      <w:r>
        <w:rPr/>
        <w:t>al</w:t>
      </w:r>
      <w:r>
        <w:rPr>
          <w:spacing w:val="-5"/>
        </w:rPr>
        <w:t> </w:t>
      </w:r>
      <w:r>
        <w:rPr/>
        <w:t>actor</w:t>
      </w:r>
      <w:r>
        <w:rPr>
          <w:spacing w:val="-3"/>
        </w:rPr>
        <w:t> </w:t>
      </w:r>
      <w:r>
        <w:rPr/>
        <w:t>la</w:t>
      </w:r>
      <w:r>
        <w:rPr>
          <w:spacing w:val="-6"/>
        </w:rPr>
        <w:t> </w:t>
      </w:r>
      <w:r>
        <w:rPr/>
        <w:t>mejor</w:t>
      </w:r>
      <w:r>
        <w:rPr>
          <w:spacing w:val="-6"/>
        </w:rPr>
        <w:t> </w:t>
      </w:r>
      <w:r>
        <w:rPr/>
        <w:t>toma</w:t>
      </w:r>
      <w:r>
        <w:rPr>
          <w:spacing w:val="-6"/>
        </w:rPr>
        <w:t> </w:t>
      </w:r>
      <w:r>
        <w:rPr/>
        <w:t>de</w:t>
      </w:r>
      <w:r>
        <w:rPr>
          <w:spacing w:val="-6"/>
        </w:rPr>
        <w:t> </w:t>
      </w:r>
      <w:r>
        <w:rPr/>
        <w:t>decisiones</w:t>
      </w:r>
      <w:r>
        <w:rPr>
          <w:spacing w:val="-5"/>
        </w:rPr>
        <w:t> </w:t>
      </w:r>
      <w:r>
        <w:rPr/>
        <w:t>que</w:t>
      </w:r>
      <w:r>
        <w:rPr>
          <w:spacing w:val="-6"/>
        </w:rPr>
        <w:t> </w:t>
      </w:r>
      <w:r>
        <w:rPr/>
        <w:t>la</w:t>
      </w:r>
      <w:r>
        <w:rPr>
          <w:spacing w:val="-6"/>
        </w:rPr>
        <w:t> </w:t>
      </w:r>
      <w:r>
        <w:rPr/>
        <w:t>que</w:t>
      </w:r>
      <w:r>
        <w:rPr>
          <w:spacing w:val="-6"/>
        </w:rPr>
        <w:t> </w:t>
      </w:r>
      <w:r>
        <w:rPr/>
        <w:t>se</w:t>
      </w:r>
      <w:r>
        <w:rPr>
          <w:spacing w:val="-6"/>
        </w:rPr>
        <w:t> </w:t>
      </w:r>
      <w:r>
        <w:rPr/>
        <w:t>puede tomar con los resultados de dominancia estocástica de primer y segundo orden. Los escenarios se clasifican simultáneamente de mayor a menor riesgo (Hardaker et al.,</w:t>
      </w:r>
      <w:r>
        <w:rPr>
          <w:spacing w:val="-13"/>
        </w:rPr>
        <w:t> </w:t>
      </w:r>
      <w:r>
        <w:rPr/>
        <w:t>2004b).</w:t>
      </w:r>
    </w:p>
    <w:p>
      <w:pPr>
        <w:pStyle w:val="BodyText"/>
      </w:pPr>
    </w:p>
    <w:p>
      <w:pPr>
        <w:pStyle w:val="BodyText"/>
        <w:spacing w:line="360" w:lineRule="auto" w:before="140"/>
        <w:ind w:left="122" w:right="114"/>
        <w:jc w:val="both"/>
      </w:pPr>
      <w:r>
        <w:rPr/>
        <w:t>El análisis DERF evalúa simultáneamente las equivalencias de certeza (EC) a través de una gama</w:t>
      </w:r>
      <w:r>
        <w:rPr>
          <w:spacing w:val="-9"/>
        </w:rPr>
        <w:t> </w:t>
      </w:r>
      <w:r>
        <w:rPr/>
        <w:t>de</w:t>
      </w:r>
      <w:r>
        <w:rPr>
          <w:spacing w:val="-7"/>
        </w:rPr>
        <w:t> </w:t>
      </w:r>
      <w:r>
        <w:rPr/>
        <w:t>coeficientes</w:t>
      </w:r>
      <w:r>
        <w:rPr>
          <w:spacing w:val="-8"/>
        </w:rPr>
        <w:t> </w:t>
      </w:r>
      <w:r>
        <w:rPr/>
        <w:t>de</w:t>
      </w:r>
      <w:r>
        <w:rPr>
          <w:spacing w:val="-10"/>
        </w:rPr>
        <w:t> </w:t>
      </w:r>
      <w:r>
        <w:rPr/>
        <w:t>aversión</w:t>
      </w:r>
      <w:r>
        <w:rPr>
          <w:spacing w:val="-9"/>
        </w:rPr>
        <w:t> </w:t>
      </w:r>
      <w:r>
        <w:rPr/>
        <w:t>al</w:t>
      </w:r>
      <w:r>
        <w:rPr>
          <w:spacing w:val="-8"/>
        </w:rPr>
        <w:t> </w:t>
      </w:r>
      <w:r>
        <w:rPr/>
        <w:t>riesgo</w:t>
      </w:r>
      <w:r>
        <w:rPr>
          <w:spacing w:val="-9"/>
        </w:rPr>
        <w:t> </w:t>
      </w:r>
      <w:r>
        <w:rPr/>
        <w:t>(CAR)</w:t>
      </w:r>
      <w:r>
        <w:rPr>
          <w:spacing w:val="-9"/>
        </w:rPr>
        <w:t> </w:t>
      </w:r>
      <w:r>
        <w:rPr/>
        <w:t>para</w:t>
      </w:r>
      <w:r>
        <w:rPr>
          <w:spacing w:val="-10"/>
        </w:rPr>
        <w:t> </w:t>
      </w:r>
      <w:r>
        <w:rPr/>
        <w:t>varios</w:t>
      </w:r>
      <w:r>
        <w:rPr>
          <w:spacing w:val="-9"/>
        </w:rPr>
        <w:t> </w:t>
      </w:r>
      <w:r>
        <w:rPr/>
        <w:t>escenarios</w:t>
      </w:r>
      <w:r>
        <w:rPr>
          <w:spacing w:val="-9"/>
        </w:rPr>
        <w:t> </w:t>
      </w:r>
      <w:r>
        <w:rPr/>
        <w:t>(Richardson,</w:t>
      </w:r>
      <w:r>
        <w:rPr>
          <w:spacing w:val="-9"/>
        </w:rPr>
        <w:t> </w:t>
      </w:r>
      <w:r>
        <w:rPr/>
        <w:t>2008). El escenario con la más alta EC se prefiere para cualquier CAR, dónde este último es conocido como el riesgo al que el productor o empresario se enfrenta en una alternativa de negocio, un CAR de 0, se le da a un productor conservador </w:t>
      </w:r>
      <w:r>
        <w:rPr>
          <w:spacing w:val="-3"/>
        </w:rPr>
        <w:t>y, </w:t>
      </w:r>
      <w:r>
        <w:rPr/>
        <w:t>un CAR por ejemplo de 4, a un productor</w:t>
      </w:r>
      <w:r>
        <w:rPr>
          <w:spacing w:val="-7"/>
        </w:rPr>
        <w:t> </w:t>
      </w:r>
      <w:r>
        <w:rPr/>
        <w:t>arriesgado.</w:t>
      </w:r>
    </w:p>
    <w:p>
      <w:pPr>
        <w:pStyle w:val="BodyText"/>
      </w:pPr>
    </w:p>
    <w:p>
      <w:pPr>
        <w:pStyle w:val="BodyText"/>
        <w:spacing w:line="360" w:lineRule="auto" w:before="143"/>
        <w:ind w:left="122" w:right="122"/>
        <w:jc w:val="both"/>
      </w:pPr>
      <w:r>
        <w:rPr/>
        <w:t>La función de utilidad es la más adecuada para la clasificación de las alternativas de riesgo en horizontes de planeación (Richardson, 2008). Los parámetros necesarios para la función de utilidad, son el riesgo relativo y coeficientes de aversión (RCAR) y una cantidad de ingresos esperados para cada alternativa o escenario de negocio. La función de utilidad permite clasificar los escenarios a través de diferentes niveles de ingresos, ya que se  asume</w:t>
      </w:r>
    </w:p>
    <w:p>
      <w:pPr>
        <w:spacing w:after="0" w:line="360" w:lineRule="auto"/>
        <w:jc w:val="both"/>
        <w:sectPr>
          <w:pgSz w:w="12240" w:h="15840"/>
          <w:pgMar w:header="0" w:footer="657" w:top="1020" w:bottom="840" w:left="1580" w:right="1580"/>
        </w:sectPr>
      </w:pPr>
    </w:p>
    <w:p>
      <w:pPr>
        <w:pStyle w:val="BodyText"/>
        <w:spacing w:line="360" w:lineRule="auto" w:before="50"/>
        <w:ind w:left="122" w:right="140"/>
        <w:jc w:val="both"/>
      </w:pPr>
      <w:r>
        <w:rPr/>
        <w:t>que</w:t>
      </w:r>
      <w:r>
        <w:rPr>
          <w:spacing w:val="-7"/>
        </w:rPr>
        <w:t> </w:t>
      </w:r>
      <w:r>
        <w:rPr/>
        <w:t>un</w:t>
      </w:r>
      <w:r>
        <w:rPr>
          <w:spacing w:val="-6"/>
        </w:rPr>
        <w:t> </w:t>
      </w:r>
      <w:r>
        <w:rPr/>
        <w:t>actor,</w:t>
      </w:r>
      <w:r>
        <w:rPr>
          <w:spacing w:val="-7"/>
        </w:rPr>
        <w:t> </w:t>
      </w:r>
      <w:r>
        <w:rPr/>
        <w:t>presenta</w:t>
      </w:r>
      <w:r>
        <w:rPr>
          <w:spacing w:val="-7"/>
        </w:rPr>
        <w:t> </w:t>
      </w:r>
      <w:r>
        <w:rPr/>
        <w:t>diferentes</w:t>
      </w:r>
      <w:r>
        <w:rPr>
          <w:spacing w:val="-6"/>
        </w:rPr>
        <w:t> </w:t>
      </w:r>
      <w:r>
        <w:rPr/>
        <w:t>posturas</w:t>
      </w:r>
      <w:r>
        <w:rPr>
          <w:spacing w:val="-6"/>
        </w:rPr>
        <w:t> </w:t>
      </w:r>
      <w:r>
        <w:rPr/>
        <w:t>de</w:t>
      </w:r>
      <w:r>
        <w:rPr>
          <w:spacing w:val="-7"/>
        </w:rPr>
        <w:t> </w:t>
      </w:r>
      <w:r>
        <w:rPr/>
        <w:t>riesgo</w:t>
      </w:r>
      <w:r>
        <w:rPr>
          <w:spacing w:val="-6"/>
        </w:rPr>
        <w:t> </w:t>
      </w:r>
      <w:r>
        <w:rPr/>
        <w:t>cuando</w:t>
      </w:r>
      <w:r>
        <w:rPr>
          <w:spacing w:val="-6"/>
        </w:rPr>
        <w:t> </w:t>
      </w:r>
      <w:r>
        <w:rPr/>
        <w:t>su</w:t>
      </w:r>
      <w:r>
        <w:rPr>
          <w:spacing w:val="-6"/>
        </w:rPr>
        <w:t> </w:t>
      </w:r>
      <w:r>
        <w:rPr/>
        <w:t>inversión</w:t>
      </w:r>
      <w:r>
        <w:rPr>
          <w:spacing w:val="-6"/>
        </w:rPr>
        <w:t> </w:t>
      </w:r>
      <w:r>
        <w:rPr/>
        <w:t>cambia</w:t>
      </w:r>
      <w:r>
        <w:rPr>
          <w:spacing w:val="-7"/>
        </w:rPr>
        <w:t> </w:t>
      </w:r>
      <w:r>
        <w:rPr/>
        <w:t>con</w:t>
      </w:r>
      <w:r>
        <w:rPr>
          <w:spacing w:val="-6"/>
        </w:rPr>
        <w:t> </w:t>
      </w:r>
      <w:r>
        <w:rPr/>
        <w:t>respecto a la cantidad de dinero en juego. En la Tabla 12, se presenta un ejemplo de una salida con DERF, asumiendo una función de utilidad a través de una RCAR inferior de 0 y superior de 4, las cuales representan a productores muy conservadores y arriesgados</w:t>
      </w:r>
      <w:r>
        <w:rPr>
          <w:spacing w:val="-18"/>
        </w:rPr>
        <w:t> </w:t>
      </w:r>
      <w:r>
        <w:rPr/>
        <w:t>respectivamente.</w:t>
      </w:r>
    </w:p>
    <w:p>
      <w:pPr>
        <w:pStyle w:val="BodyText"/>
      </w:pPr>
    </w:p>
    <w:p>
      <w:pPr>
        <w:pStyle w:val="BodyText"/>
        <w:spacing w:line="360" w:lineRule="auto" w:before="143"/>
        <w:ind w:left="122" w:right="136"/>
        <w:jc w:val="both"/>
      </w:pPr>
      <w:r>
        <w:rPr/>
        <w:t>El escenario con la mayor EC, es el preferido en cada RCAR. En la Tabla 12 se observa</w:t>
      </w:r>
      <w:r>
        <w:rPr>
          <w:spacing w:val="-21"/>
        </w:rPr>
        <w:t> </w:t>
      </w:r>
      <w:r>
        <w:rPr/>
        <w:t>que la alternativa de inversión 2, es preferida independientemente de que tan arriesgados son los productores, esta decisión se sustenta debido a que este escenario presenta la mayor EC en todos los RCAR. Si dos escenarios tienen igualdad de EC en un RCAR, entonces cualquier postura de aversión al riesgo sería indiferente entre</w:t>
      </w:r>
      <w:r>
        <w:rPr>
          <w:spacing w:val="-13"/>
        </w:rPr>
        <w:t> </w:t>
      </w:r>
      <w:r>
        <w:rPr/>
        <w:t>ellos.</w:t>
      </w:r>
    </w:p>
    <w:p>
      <w:pPr>
        <w:pStyle w:val="BodyText"/>
        <w:spacing w:before="1"/>
        <w:rPr>
          <w:sz w:val="28"/>
        </w:rPr>
      </w:pPr>
    </w:p>
    <w:p>
      <w:pPr>
        <w:pStyle w:val="BodyText"/>
        <w:ind w:left="191"/>
        <w:jc w:val="both"/>
      </w:pPr>
      <w:r>
        <w:rPr/>
        <w:pict>
          <v:group style="position:absolute;margin-left:84.003998pt;margin-top:16.103113pt;width:444.25pt;height:2.2pt;mso-position-horizontal-relative:page;mso-position-vertical-relative:paragraph;z-index:3832;mso-wrap-distance-left:0;mso-wrap-distance-right:0" coordorigin="1680,322" coordsize="8885,44">
            <v:line style="position:absolute" from="1702,344" to="2369,344" stroked="true" strokeweight="2.16pt" strokecolor="#000000"/>
            <v:line style="position:absolute" from="2369,344" to="2412,344" stroked="true" strokeweight="2.16pt" strokecolor="#000000"/>
            <v:line style="position:absolute" from="2412,344" to="3183,344" stroked="true" strokeweight="2.16pt" strokecolor="#000000"/>
            <v:line style="position:absolute" from="3183,344" to="3226,344" stroked="true" strokeweight="2.16pt" strokecolor="#000000"/>
            <v:line style="position:absolute" from="3226,344" to="10543,344" stroked="true" strokeweight="2.16pt" strokecolor="#000000"/>
            <w10:wrap type="topAndBottom"/>
          </v:group>
        </w:pict>
      </w:r>
      <w:r>
        <w:rPr>
          <w:b/>
        </w:rPr>
        <w:t>Tabla 12. </w:t>
      </w:r>
      <w:r>
        <w:rPr/>
        <w:t>Determinación de DERF para cuatro alternativas de inversión</w:t>
      </w:r>
    </w:p>
    <w:p>
      <w:pPr>
        <w:pStyle w:val="BodyText"/>
        <w:spacing w:after="48"/>
        <w:ind w:left="2597" w:right="8"/>
      </w:pPr>
      <w:r>
        <w:rPr/>
        <w:t>Ingresos esperados para cada inversión (miles de pesos)</w:t>
      </w:r>
    </w:p>
    <w:p>
      <w:pPr>
        <w:pStyle w:val="BodyText"/>
        <w:spacing w:line="44" w:lineRule="exact"/>
        <w:ind w:left="1580"/>
        <w:rPr>
          <w:sz w:val="4"/>
        </w:rPr>
      </w:pPr>
      <w:r>
        <w:rPr>
          <w:position w:val="0"/>
          <w:sz w:val="4"/>
        </w:rPr>
        <w:pict>
          <v:group style="width:370.2pt;height:2.2pt;mso-position-horizontal-relative:char;mso-position-vertical-relative:line" coordorigin="0,0" coordsize="7404,44">
            <v:line style="position:absolute" from="22,22" to="1863,22" stroked="true" strokeweight="2.16pt" strokecolor="#000000"/>
            <v:line style="position:absolute" from="1863,22" to="1907,22" stroked="true" strokeweight="2.16pt" strokecolor="#000000"/>
            <v:line style="position:absolute" from="1907,22" to="3702,22" stroked="true" strokeweight="2.16pt" strokecolor="#000000"/>
            <v:line style="position:absolute" from="3702,22" to="3745,22" stroked="true" strokeweight="2.16pt" strokecolor="#000000"/>
            <v:line style="position:absolute" from="3745,22" to="5543,22" stroked="true" strokeweight="2.16pt" strokecolor="#000000"/>
            <v:line style="position:absolute" from="5543,22" to="5586,22" stroked="true" strokeweight="2.16pt" strokecolor="#000000"/>
            <v:line style="position:absolute" from="5586,22" to="7382,22" stroked="true" strokeweight="2.16pt" strokecolor="#000000"/>
          </v:group>
        </w:pict>
      </w:r>
      <w:r>
        <w:rPr>
          <w:position w:val="0"/>
          <w:sz w:val="4"/>
        </w:rPr>
      </w:r>
    </w:p>
    <w:p>
      <w:pPr>
        <w:pStyle w:val="BodyText"/>
        <w:tabs>
          <w:tab w:pos="2764" w:val="left" w:leader="none"/>
          <w:tab w:pos="4605" w:val="left" w:leader="none"/>
          <w:tab w:pos="6444" w:val="left" w:leader="none"/>
          <w:tab w:pos="8283" w:val="left" w:leader="none"/>
        </w:tabs>
        <w:ind w:left="534" w:right="8"/>
      </w:pPr>
      <w:r>
        <w:rPr/>
        <w:t>RCAR</w:t>
        <w:tab/>
        <w:t>INV</w:t>
      </w:r>
      <w:r>
        <w:rPr>
          <w:spacing w:val="-1"/>
        </w:rPr>
        <w:t> </w:t>
      </w:r>
      <w:r>
        <w:rPr/>
        <w:t>1</w:t>
        <w:tab/>
        <w:t>INV</w:t>
      </w:r>
      <w:r>
        <w:rPr>
          <w:spacing w:val="-1"/>
        </w:rPr>
        <w:t> </w:t>
      </w:r>
      <w:r>
        <w:rPr/>
        <w:t>2</w:t>
        <w:tab/>
        <w:t>INV</w:t>
      </w:r>
      <w:r>
        <w:rPr>
          <w:spacing w:val="-1"/>
        </w:rPr>
        <w:t> </w:t>
      </w:r>
      <w:r>
        <w:rPr/>
        <w:t>3</w:t>
        <w:tab/>
        <w:t>INV</w:t>
      </w:r>
      <w:r>
        <w:rPr>
          <w:spacing w:val="-4"/>
        </w:rPr>
        <w:t> </w:t>
      </w:r>
      <w:r>
        <w:rPr/>
        <w:t>4</w:t>
      </w:r>
    </w:p>
    <w:p>
      <w:pPr>
        <w:pStyle w:val="BodyText"/>
        <w:spacing w:before="1"/>
        <w:rPr>
          <w:sz w:val="6"/>
        </w:rPr>
      </w:pP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688"/>
        <w:gridCol w:w="1158"/>
        <w:gridCol w:w="1935"/>
        <w:gridCol w:w="1840"/>
        <w:gridCol w:w="1839"/>
        <w:gridCol w:w="1381"/>
      </w:tblGrid>
      <w:tr>
        <w:trPr>
          <w:trHeight w:val="326" w:hRule="exact"/>
        </w:trPr>
        <w:tc>
          <w:tcPr>
            <w:tcW w:w="688" w:type="dxa"/>
            <w:tcBorders>
              <w:left w:val="nil"/>
              <w:bottom w:val="nil"/>
              <w:right w:val="nil"/>
            </w:tcBorders>
          </w:tcPr>
          <w:p>
            <w:pPr>
              <w:pStyle w:val="TableParagraph"/>
              <w:spacing w:line="270" w:lineRule="exact"/>
              <w:ind w:right="291"/>
              <w:rPr>
                <w:sz w:val="24"/>
              </w:rPr>
            </w:pPr>
            <w:r>
              <w:rPr>
                <w:sz w:val="24"/>
              </w:rPr>
              <w:t>1</w:t>
            </w:r>
          </w:p>
        </w:tc>
        <w:tc>
          <w:tcPr>
            <w:tcW w:w="1158" w:type="dxa"/>
            <w:tcBorders>
              <w:left w:val="nil"/>
              <w:bottom w:val="nil"/>
              <w:right w:val="nil"/>
            </w:tcBorders>
          </w:tcPr>
          <w:p>
            <w:pPr>
              <w:pStyle w:val="TableParagraph"/>
              <w:spacing w:line="270" w:lineRule="exact"/>
              <w:ind w:left="233"/>
              <w:jc w:val="left"/>
              <w:rPr>
                <w:sz w:val="24"/>
              </w:rPr>
            </w:pPr>
            <w:r>
              <w:rPr>
                <w:sz w:val="24"/>
              </w:rPr>
              <w:t>0.0</w:t>
            </w:r>
          </w:p>
        </w:tc>
        <w:tc>
          <w:tcPr>
            <w:tcW w:w="1935" w:type="dxa"/>
            <w:tcBorders>
              <w:left w:val="nil"/>
              <w:bottom w:val="nil"/>
              <w:right w:val="nil"/>
            </w:tcBorders>
          </w:tcPr>
          <w:p>
            <w:pPr>
              <w:pStyle w:val="TableParagraph"/>
              <w:spacing w:line="270" w:lineRule="exact"/>
              <w:ind w:right="528"/>
              <w:rPr>
                <w:sz w:val="24"/>
              </w:rPr>
            </w:pPr>
            <w:r>
              <w:rPr>
                <w:sz w:val="24"/>
              </w:rPr>
              <w:t>180,245</w:t>
            </w:r>
          </w:p>
        </w:tc>
        <w:tc>
          <w:tcPr>
            <w:tcW w:w="1840" w:type="dxa"/>
            <w:tcBorders>
              <w:left w:val="nil"/>
              <w:bottom w:val="nil"/>
              <w:right w:val="nil"/>
            </w:tcBorders>
          </w:tcPr>
          <w:p>
            <w:pPr>
              <w:pStyle w:val="TableParagraph"/>
              <w:spacing w:line="270" w:lineRule="exact"/>
              <w:ind w:left="530"/>
              <w:jc w:val="left"/>
              <w:rPr>
                <w:sz w:val="24"/>
              </w:rPr>
            </w:pPr>
            <w:r>
              <w:rPr>
                <w:sz w:val="24"/>
              </w:rPr>
              <w:t>312,512</w:t>
            </w:r>
          </w:p>
        </w:tc>
        <w:tc>
          <w:tcPr>
            <w:tcW w:w="1839" w:type="dxa"/>
            <w:tcBorders>
              <w:left w:val="nil"/>
              <w:bottom w:val="nil"/>
              <w:right w:val="nil"/>
            </w:tcBorders>
          </w:tcPr>
          <w:p>
            <w:pPr>
              <w:pStyle w:val="TableParagraph"/>
              <w:spacing w:line="270" w:lineRule="exact"/>
              <w:ind w:right="527"/>
              <w:rPr>
                <w:sz w:val="24"/>
              </w:rPr>
            </w:pPr>
            <w:r>
              <w:rPr>
                <w:sz w:val="24"/>
              </w:rPr>
              <w:t>101,234</w:t>
            </w:r>
          </w:p>
        </w:tc>
        <w:tc>
          <w:tcPr>
            <w:tcW w:w="1381" w:type="dxa"/>
            <w:tcBorders>
              <w:left w:val="nil"/>
              <w:bottom w:val="nil"/>
              <w:right w:val="nil"/>
            </w:tcBorders>
          </w:tcPr>
          <w:p>
            <w:pPr>
              <w:pStyle w:val="TableParagraph"/>
              <w:spacing w:line="270" w:lineRule="exact"/>
              <w:ind w:right="69"/>
              <w:rPr>
                <w:sz w:val="24"/>
              </w:rPr>
            </w:pPr>
            <w:r>
              <w:rPr>
                <w:sz w:val="24"/>
              </w:rPr>
              <w:t>171,234</w:t>
            </w:r>
          </w:p>
        </w:tc>
      </w:tr>
      <w:tr>
        <w:trPr>
          <w:trHeight w:val="318" w:hRule="exact"/>
        </w:trPr>
        <w:tc>
          <w:tcPr>
            <w:tcW w:w="688" w:type="dxa"/>
            <w:tcBorders>
              <w:top w:val="nil"/>
              <w:left w:val="nil"/>
              <w:bottom w:val="nil"/>
              <w:right w:val="nil"/>
            </w:tcBorders>
          </w:tcPr>
          <w:p>
            <w:pPr>
              <w:pStyle w:val="TableParagraph"/>
              <w:spacing w:before="8"/>
              <w:ind w:right="291"/>
              <w:rPr>
                <w:sz w:val="24"/>
              </w:rPr>
            </w:pPr>
            <w:r>
              <w:rPr>
                <w:sz w:val="24"/>
              </w:rPr>
              <w:t>2</w:t>
            </w:r>
          </w:p>
        </w:tc>
        <w:tc>
          <w:tcPr>
            <w:tcW w:w="1158" w:type="dxa"/>
            <w:tcBorders>
              <w:top w:val="nil"/>
              <w:left w:val="nil"/>
              <w:bottom w:val="nil"/>
              <w:right w:val="nil"/>
            </w:tcBorders>
          </w:tcPr>
          <w:p>
            <w:pPr>
              <w:pStyle w:val="TableParagraph"/>
              <w:spacing w:before="8"/>
              <w:ind w:left="233"/>
              <w:jc w:val="left"/>
              <w:rPr>
                <w:sz w:val="24"/>
              </w:rPr>
            </w:pPr>
            <w:r>
              <w:rPr>
                <w:sz w:val="24"/>
              </w:rPr>
              <w:t>1.1</w:t>
            </w:r>
          </w:p>
        </w:tc>
        <w:tc>
          <w:tcPr>
            <w:tcW w:w="1935" w:type="dxa"/>
            <w:tcBorders>
              <w:top w:val="nil"/>
              <w:left w:val="nil"/>
              <w:bottom w:val="nil"/>
              <w:right w:val="nil"/>
            </w:tcBorders>
          </w:tcPr>
          <w:p>
            <w:pPr>
              <w:pStyle w:val="TableParagraph"/>
              <w:spacing w:before="8"/>
              <w:ind w:right="528"/>
              <w:rPr>
                <w:sz w:val="24"/>
              </w:rPr>
            </w:pPr>
            <w:r>
              <w:rPr>
                <w:sz w:val="24"/>
              </w:rPr>
              <w:t>179,765</w:t>
            </w:r>
          </w:p>
        </w:tc>
        <w:tc>
          <w:tcPr>
            <w:tcW w:w="1840" w:type="dxa"/>
            <w:tcBorders>
              <w:top w:val="nil"/>
              <w:left w:val="nil"/>
              <w:bottom w:val="nil"/>
              <w:right w:val="nil"/>
            </w:tcBorders>
          </w:tcPr>
          <w:p>
            <w:pPr>
              <w:pStyle w:val="TableParagraph"/>
              <w:spacing w:before="8"/>
              <w:ind w:left="530"/>
              <w:jc w:val="left"/>
              <w:rPr>
                <w:sz w:val="24"/>
              </w:rPr>
            </w:pPr>
            <w:r>
              <w:rPr>
                <w:sz w:val="24"/>
              </w:rPr>
              <w:t>308,498</w:t>
            </w:r>
          </w:p>
        </w:tc>
        <w:tc>
          <w:tcPr>
            <w:tcW w:w="1839" w:type="dxa"/>
            <w:tcBorders>
              <w:top w:val="nil"/>
              <w:left w:val="nil"/>
              <w:bottom w:val="nil"/>
              <w:right w:val="nil"/>
            </w:tcBorders>
          </w:tcPr>
          <w:p>
            <w:pPr>
              <w:pStyle w:val="TableParagraph"/>
              <w:spacing w:before="8"/>
              <w:ind w:right="527"/>
              <w:rPr>
                <w:sz w:val="24"/>
              </w:rPr>
            </w:pPr>
            <w:r>
              <w:rPr>
                <w:sz w:val="24"/>
              </w:rPr>
              <w:t>99,234</w:t>
            </w:r>
          </w:p>
        </w:tc>
        <w:tc>
          <w:tcPr>
            <w:tcW w:w="1381" w:type="dxa"/>
            <w:tcBorders>
              <w:top w:val="nil"/>
              <w:left w:val="nil"/>
              <w:bottom w:val="nil"/>
              <w:right w:val="nil"/>
            </w:tcBorders>
          </w:tcPr>
          <w:p>
            <w:pPr>
              <w:pStyle w:val="TableParagraph"/>
              <w:spacing w:before="8"/>
              <w:ind w:right="69"/>
              <w:rPr>
                <w:sz w:val="24"/>
              </w:rPr>
            </w:pPr>
            <w:r>
              <w:rPr>
                <w:sz w:val="24"/>
              </w:rPr>
              <w:t>169,453</w:t>
            </w:r>
          </w:p>
        </w:tc>
      </w:tr>
      <w:tr>
        <w:trPr>
          <w:trHeight w:val="317" w:hRule="exact"/>
        </w:trPr>
        <w:tc>
          <w:tcPr>
            <w:tcW w:w="688" w:type="dxa"/>
            <w:tcBorders>
              <w:top w:val="nil"/>
              <w:left w:val="nil"/>
              <w:bottom w:val="nil"/>
              <w:right w:val="nil"/>
            </w:tcBorders>
          </w:tcPr>
          <w:p>
            <w:pPr>
              <w:pStyle w:val="TableParagraph"/>
              <w:spacing w:before="7"/>
              <w:ind w:right="291"/>
              <w:rPr>
                <w:sz w:val="24"/>
              </w:rPr>
            </w:pPr>
            <w:r>
              <w:rPr>
                <w:sz w:val="24"/>
              </w:rPr>
              <w:t>3</w:t>
            </w:r>
          </w:p>
        </w:tc>
        <w:tc>
          <w:tcPr>
            <w:tcW w:w="1158" w:type="dxa"/>
            <w:tcBorders>
              <w:top w:val="nil"/>
              <w:left w:val="nil"/>
              <w:bottom w:val="nil"/>
              <w:right w:val="nil"/>
            </w:tcBorders>
          </w:tcPr>
          <w:p>
            <w:pPr>
              <w:pStyle w:val="TableParagraph"/>
              <w:spacing w:before="7"/>
              <w:ind w:left="233"/>
              <w:jc w:val="left"/>
              <w:rPr>
                <w:sz w:val="24"/>
              </w:rPr>
            </w:pPr>
            <w:r>
              <w:rPr>
                <w:sz w:val="24"/>
              </w:rPr>
              <w:t>1.5</w:t>
            </w:r>
          </w:p>
        </w:tc>
        <w:tc>
          <w:tcPr>
            <w:tcW w:w="1935" w:type="dxa"/>
            <w:tcBorders>
              <w:top w:val="nil"/>
              <w:left w:val="nil"/>
              <w:bottom w:val="nil"/>
              <w:right w:val="nil"/>
            </w:tcBorders>
          </w:tcPr>
          <w:p>
            <w:pPr>
              <w:pStyle w:val="TableParagraph"/>
              <w:spacing w:before="7"/>
              <w:ind w:right="528"/>
              <w:rPr>
                <w:sz w:val="24"/>
              </w:rPr>
            </w:pPr>
            <w:r>
              <w:rPr>
                <w:sz w:val="24"/>
              </w:rPr>
              <w:t>178,976</w:t>
            </w:r>
          </w:p>
        </w:tc>
        <w:tc>
          <w:tcPr>
            <w:tcW w:w="1840" w:type="dxa"/>
            <w:tcBorders>
              <w:top w:val="nil"/>
              <w:left w:val="nil"/>
              <w:bottom w:val="nil"/>
              <w:right w:val="nil"/>
            </w:tcBorders>
          </w:tcPr>
          <w:p>
            <w:pPr>
              <w:pStyle w:val="TableParagraph"/>
              <w:spacing w:before="7"/>
              <w:ind w:left="530"/>
              <w:jc w:val="left"/>
              <w:rPr>
                <w:sz w:val="24"/>
              </w:rPr>
            </w:pPr>
            <w:r>
              <w:rPr>
                <w:sz w:val="24"/>
              </w:rPr>
              <w:t>307,598</w:t>
            </w:r>
          </w:p>
        </w:tc>
        <w:tc>
          <w:tcPr>
            <w:tcW w:w="1839" w:type="dxa"/>
            <w:tcBorders>
              <w:top w:val="nil"/>
              <w:left w:val="nil"/>
              <w:bottom w:val="nil"/>
              <w:right w:val="nil"/>
            </w:tcBorders>
          </w:tcPr>
          <w:p>
            <w:pPr>
              <w:pStyle w:val="TableParagraph"/>
              <w:spacing w:before="7"/>
              <w:ind w:right="527"/>
              <w:rPr>
                <w:sz w:val="24"/>
              </w:rPr>
            </w:pPr>
            <w:r>
              <w:rPr>
                <w:sz w:val="24"/>
              </w:rPr>
              <w:t>95,678</w:t>
            </w:r>
          </w:p>
        </w:tc>
        <w:tc>
          <w:tcPr>
            <w:tcW w:w="1381" w:type="dxa"/>
            <w:tcBorders>
              <w:top w:val="nil"/>
              <w:left w:val="nil"/>
              <w:bottom w:val="nil"/>
              <w:right w:val="nil"/>
            </w:tcBorders>
          </w:tcPr>
          <w:p>
            <w:pPr>
              <w:pStyle w:val="TableParagraph"/>
              <w:spacing w:before="7"/>
              <w:ind w:right="69"/>
              <w:rPr>
                <w:sz w:val="24"/>
              </w:rPr>
            </w:pPr>
            <w:r>
              <w:rPr>
                <w:sz w:val="24"/>
              </w:rPr>
              <w:t>167,341</w:t>
            </w:r>
          </w:p>
        </w:tc>
      </w:tr>
      <w:tr>
        <w:trPr>
          <w:trHeight w:val="317" w:hRule="exact"/>
        </w:trPr>
        <w:tc>
          <w:tcPr>
            <w:tcW w:w="688" w:type="dxa"/>
            <w:tcBorders>
              <w:top w:val="nil"/>
              <w:left w:val="nil"/>
              <w:bottom w:val="nil"/>
              <w:right w:val="nil"/>
            </w:tcBorders>
          </w:tcPr>
          <w:p>
            <w:pPr>
              <w:pStyle w:val="TableParagraph"/>
              <w:spacing w:before="7"/>
              <w:ind w:right="291"/>
              <w:rPr>
                <w:sz w:val="24"/>
              </w:rPr>
            </w:pPr>
            <w:r>
              <w:rPr>
                <w:sz w:val="24"/>
              </w:rPr>
              <w:t>4</w:t>
            </w:r>
          </w:p>
        </w:tc>
        <w:tc>
          <w:tcPr>
            <w:tcW w:w="1158" w:type="dxa"/>
            <w:tcBorders>
              <w:top w:val="nil"/>
              <w:left w:val="nil"/>
              <w:bottom w:val="nil"/>
              <w:right w:val="nil"/>
            </w:tcBorders>
          </w:tcPr>
          <w:p>
            <w:pPr>
              <w:pStyle w:val="TableParagraph"/>
              <w:spacing w:before="7"/>
              <w:ind w:left="233"/>
              <w:jc w:val="left"/>
              <w:rPr>
                <w:sz w:val="24"/>
              </w:rPr>
            </w:pPr>
            <w:r>
              <w:rPr>
                <w:sz w:val="24"/>
              </w:rPr>
              <w:t>1.7</w:t>
            </w:r>
          </w:p>
        </w:tc>
        <w:tc>
          <w:tcPr>
            <w:tcW w:w="1935" w:type="dxa"/>
            <w:tcBorders>
              <w:top w:val="nil"/>
              <w:left w:val="nil"/>
              <w:bottom w:val="nil"/>
              <w:right w:val="nil"/>
            </w:tcBorders>
          </w:tcPr>
          <w:p>
            <w:pPr>
              <w:pStyle w:val="TableParagraph"/>
              <w:spacing w:before="7"/>
              <w:ind w:right="528"/>
              <w:rPr>
                <w:sz w:val="24"/>
              </w:rPr>
            </w:pPr>
            <w:r>
              <w:rPr>
                <w:sz w:val="24"/>
              </w:rPr>
              <w:t>175,356</w:t>
            </w:r>
          </w:p>
        </w:tc>
        <w:tc>
          <w:tcPr>
            <w:tcW w:w="1840" w:type="dxa"/>
            <w:tcBorders>
              <w:top w:val="nil"/>
              <w:left w:val="nil"/>
              <w:bottom w:val="nil"/>
              <w:right w:val="nil"/>
            </w:tcBorders>
          </w:tcPr>
          <w:p>
            <w:pPr>
              <w:pStyle w:val="TableParagraph"/>
              <w:spacing w:before="7"/>
              <w:ind w:left="530"/>
              <w:jc w:val="left"/>
              <w:rPr>
                <w:sz w:val="24"/>
              </w:rPr>
            </w:pPr>
            <w:r>
              <w:rPr>
                <w:sz w:val="24"/>
              </w:rPr>
              <w:t>304,876</w:t>
            </w:r>
          </w:p>
        </w:tc>
        <w:tc>
          <w:tcPr>
            <w:tcW w:w="1839" w:type="dxa"/>
            <w:tcBorders>
              <w:top w:val="nil"/>
              <w:left w:val="nil"/>
              <w:bottom w:val="nil"/>
              <w:right w:val="nil"/>
            </w:tcBorders>
          </w:tcPr>
          <w:p>
            <w:pPr>
              <w:pStyle w:val="TableParagraph"/>
              <w:spacing w:before="7"/>
              <w:ind w:right="527"/>
              <w:rPr>
                <w:sz w:val="24"/>
              </w:rPr>
            </w:pPr>
            <w:r>
              <w:rPr>
                <w:sz w:val="24"/>
              </w:rPr>
              <w:t>93,223</w:t>
            </w:r>
          </w:p>
        </w:tc>
        <w:tc>
          <w:tcPr>
            <w:tcW w:w="1381" w:type="dxa"/>
            <w:tcBorders>
              <w:top w:val="nil"/>
              <w:left w:val="nil"/>
              <w:bottom w:val="nil"/>
              <w:right w:val="nil"/>
            </w:tcBorders>
          </w:tcPr>
          <w:p>
            <w:pPr>
              <w:pStyle w:val="TableParagraph"/>
              <w:spacing w:before="7"/>
              <w:ind w:right="69"/>
              <w:rPr>
                <w:sz w:val="24"/>
              </w:rPr>
            </w:pPr>
            <w:r>
              <w:rPr>
                <w:sz w:val="24"/>
              </w:rPr>
              <w:t>165,213</w:t>
            </w:r>
          </w:p>
        </w:tc>
      </w:tr>
      <w:tr>
        <w:trPr>
          <w:trHeight w:val="318" w:hRule="exact"/>
        </w:trPr>
        <w:tc>
          <w:tcPr>
            <w:tcW w:w="688" w:type="dxa"/>
            <w:tcBorders>
              <w:top w:val="nil"/>
              <w:left w:val="nil"/>
              <w:bottom w:val="nil"/>
              <w:right w:val="nil"/>
            </w:tcBorders>
          </w:tcPr>
          <w:p>
            <w:pPr>
              <w:pStyle w:val="TableParagraph"/>
              <w:spacing w:before="7"/>
              <w:ind w:right="291"/>
              <w:rPr>
                <w:sz w:val="24"/>
              </w:rPr>
            </w:pPr>
            <w:r>
              <w:rPr>
                <w:sz w:val="24"/>
              </w:rPr>
              <w:t>5</w:t>
            </w:r>
          </w:p>
        </w:tc>
        <w:tc>
          <w:tcPr>
            <w:tcW w:w="1158" w:type="dxa"/>
            <w:tcBorders>
              <w:top w:val="nil"/>
              <w:left w:val="nil"/>
              <w:bottom w:val="nil"/>
              <w:right w:val="nil"/>
            </w:tcBorders>
          </w:tcPr>
          <w:p>
            <w:pPr>
              <w:pStyle w:val="TableParagraph"/>
              <w:spacing w:before="7"/>
              <w:ind w:left="233"/>
              <w:jc w:val="left"/>
              <w:rPr>
                <w:sz w:val="24"/>
              </w:rPr>
            </w:pPr>
            <w:r>
              <w:rPr>
                <w:sz w:val="24"/>
              </w:rPr>
              <w:t>2.0</w:t>
            </w:r>
          </w:p>
        </w:tc>
        <w:tc>
          <w:tcPr>
            <w:tcW w:w="1935" w:type="dxa"/>
            <w:tcBorders>
              <w:top w:val="nil"/>
              <w:left w:val="nil"/>
              <w:bottom w:val="nil"/>
              <w:right w:val="nil"/>
            </w:tcBorders>
          </w:tcPr>
          <w:p>
            <w:pPr>
              <w:pStyle w:val="TableParagraph"/>
              <w:spacing w:before="7"/>
              <w:ind w:right="528"/>
              <w:rPr>
                <w:sz w:val="24"/>
              </w:rPr>
            </w:pPr>
            <w:r>
              <w:rPr>
                <w:sz w:val="24"/>
              </w:rPr>
              <w:t>172,455</w:t>
            </w:r>
          </w:p>
        </w:tc>
        <w:tc>
          <w:tcPr>
            <w:tcW w:w="1840" w:type="dxa"/>
            <w:tcBorders>
              <w:top w:val="nil"/>
              <w:left w:val="nil"/>
              <w:bottom w:val="nil"/>
              <w:right w:val="nil"/>
            </w:tcBorders>
          </w:tcPr>
          <w:p>
            <w:pPr>
              <w:pStyle w:val="TableParagraph"/>
              <w:spacing w:before="7"/>
              <w:ind w:left="530"/>
              <w:jc w:val="left"/>
              <w:rPr>
                <w:sz w:val="24"/>
              </w:rPr>
            </w:pPr>
            <w:r>
              <w:rPr>
                <w:sz w:val="24"/>
              </w:rPr>
              <w:t>301,253</w:t>
            </w:r>
          </w:p>
        </w:tc>
        <w:tc>
          <w:tcPr>
            <w:tcW w:w="1839" w:type="dxa"/>
            <w:tcBorders>
              <w:top w:val="nil"/>
              <w:left w:val="nil"/>
              <w:bottom w:val="nil"/>
              <w:right w:val="nil"/>
            </w:tcBorders>
          </w:tcPr>
          <w:p>
            <w:pPr>
              <w:pStyle w:val="TableParagraph"/>
              <w:spacing w:before="7"/>
              <w:ind w:right="527"/>
              <w:rPr>
                <w:sz w:val="24"/>
              </w:rPr>
            </w:pPr>
            <w:r>
              <w:rPr>
                <w:sz w:val="24"/>
              </w:rPr>
              <w:t>91,345</w:t>
            </w:r>
          </w:p>
        </w:tc>
        <w:tc>
          <w:tcPr>
            <w:tcW w:w="1381" w:type="dxa"/>
            <w:tcBorders>
              <w:top w:val="nil"/>
              <w:left w:val="nil"/>
              <w:bottom w:val="nil"/>
              <w:right w:val="nil"/>
            </w:tcBorders>
          </w:tcPr>
          <w:p>
            <w:pPr>
              <w:pStyle w:val="TableParagraph"/>
              <w:spacing w:before="7"/>
              <w:ind w:right="69"/>
              <w:rPr>
                <w:sz w:val="24"/>
              </w:rPr>
            </w:pPr>
            <w:r>
              <w:rPr>
                <w:sz w:val="24"/>
              </w:rPr>
              <w:t>164,349</w:t>
            </w:r>
          </w:p>
        </w:tc>
      </w:tr>
      <w:tr>
        <w:trPr>
          <w:trHeight w:val="318" w:hRule="exact"/>
        </w:trPr>
        <w:tc>
          <w:tcPr>
            <w:tcW w:w="688" w:type="dxa"/>
            <w:tcBorders>
              <w:top w:val="nil"/>
              <w:left w:val="nil"/>
              <w:bottom w:val="nil"/>
              <w:right w:val="nil"/>
            </w:tcBorders>
          </w:tcPr>
          <w:p>
            <w:pPr>
              <w:pStyle w:val="TableParagraph"/>
              <w:spacing w:before="8"/>
              <w:ind w:right="291"/>
              <w:rPr>
                <w:sz w:val="24"/>
              </w:rPr>
            </w:pPr>
            <w:r>
              <w:rPr>
                <w:sz w:val="24"/>
              </w:rPr>
              <w:t>6</w:t>
            </w:r>
          </w:p>
        </w:tc>
        <w:tc>
          <w:tcPr>
            <w:tcW w:w="1158" w:type="dxa"/>
            <w:tcBorders>
              <w:top w:val="nil"/>
              <w:left w:val="nil"/>
              <w:bottom w:val="nil"/>
              <w:right w:val="nil"/>
            </w:tcBorders>
          </w:tcPr>
          <w:p>
            <w:pPr>
              <w:pStyle w:val="TableParagraph"/>
              <w:spacing w:before="8"/>
              <w:ind w:left="233"/>
              <w:jc w:val="left"/>
              <w:rPr>
                <w:sz w:val="24"/>
              </w:rPr>
            </w:pPr>
            <w:r>
              <w:rPr>
                <w:sz w:val="24"/>
              </w:rPr>
              <w:t>2.2</w:t>
            </w:r>
          </w:p>
        </w:tc>
        <w:tc>
          <w:tcPr>
            <w:tcW w:w="1935" w:type="dxa"/>
            <w:tcBorders>
              <w:top w:val="nil"/>
              <w:left w:val="nil"/>
              <w:bottom w:val="nil"/>
              <w:right w:val="nil"/>
            </w:tcBorders>
          </w:tcPr>
          <w:p>
            <w:pPr>
              <w:pStyle w:val="TableParagraph"/>
              <w:spacing w:before="8"/>
              <w:ind w:right="528"/>
              <w:rPr>
                <w:sz w:val="24"/>
              </w:rPr>
            </w:pPr>
            <w:r>
              <w:rPr>
                <w:sz w:val="24"/>
              </w:rPr>
              <w:t>169,897</w:t>
            </w:r>
          </w:p>
        </w:tc>
        <w:tc>
          <w:tcPr>
            <w:tcW w:w="1840" w:type="dxa"/>
            <w:tcBorders>
              <w:top w:val="nil"/>
              <w:left w:val="nil"/>
              <w:bottom w:val="nil"/>
              <w:right w:val="nil"/>
            </w:tcBorders>
          </w:tcPr>
          <w:p>
            <w:pPr>
              <w:pStyle w:val="TableParagraph"/>
              <w:spacing w:before="8"/>
              <w:ind w:left="530"/>
              <w:jc w:val="left"/>
              <w:rPr>
                <w:sz w:val="24"/>
              </w:rPr>
            </w:pPr>
            <w:r>
              <w:rPr>
                <w:sz w:val="24"/>
              </w:rPr>
              <w:t>298,875</w:t>
            </w:r>
          </w:p>
        </w:tc>
        <w:tc>
          <w:tcPr>
            <w:tcW w:w="1839" w:type="dxa"/>
            <w:tcBorders>
              <w:top w:val="nil"/>
              <w:left w:val="nil"/>
              <w:bottom w:val="nil"/>
              <w:right w:val="nil"/>
            </w:tcBorders>
          </w:tcPr>
          <w:p>
            <w:pPr>
              <w:pStyle w:val="TableParagraph"/>
              <w:spacing w:before="8"/>
              <w:ind w:right="527"/>
              <w:rPr>
                <w:sz w:val="24"/>
              </w:rPr>
            </w:pPr>
            <w:r>
              <w:rPr>
                <w:sz w:val="24"/>
              </w:rPr>
              <w:t>89,998</w:t>
            </w:r>
          </w:p>
        </w:tc>
        <w:tc>
          <w:tcPr>
            <w:tcW w:w="1381" w:type="dxa"/>
            <w:tcBorders>
              <w:top w:val="nil"/>
              <w:left w:val="nil"/>
              <w:bottom w:val="nil"/>
              <w:right w:val="nil"/>
            </w:tcBorders>
          </w:tcPr>
          <w:p>
            <w:pPr>
              <w:pStyle w:val="TableParagraph"/>
              <w:spacing w:before="8"/>
              <w:ind w:right="69"/>
              <w:rPr>
                <w:sz w:val="24"/>
              </w:rPr>
            </w:pPr>
            <w:r>
              <w:rPr>
                <w:sz w:val="24"/>
              </w:rPr>
              <w:t>162,987</w:t>
            </w:r>
          </w:p>
        </w:tc>
      </w:tr>
      <w:tr>
        <w:trPr>
          <w:trHeight w:val="317" w:hRule="exact"/>
        </w:trPr>
        <w:tc>
          <w:tcPr>
            <w:tcW w:w="688" w:type="dxa"/>
            <w:tcBorders>
              <w:top w:val="nil"/>
              <w:left w:val="nil"/>
              <w:bottom w:val="nil"/>
              <w:right w:val="nil"/>
            </w:tcBorders>
          </w:tcPr>
          <w:p>
            <w:pPr>
              <w:pStyle w:val="TableParagraph"/>
              <w:spacing w:before="7"/>
              <w:ind w:right="291"/>
              <w:rPr>
                <w:sz w:val="24"/>
              </w:rPr>
            </w:pPr>
            <w:r>
              <w:rPr>
                <w:sz w:val="24"/>
              </w:rPr>
              <w:t>7</w:t>
            </w:r>
          </w:p>
        </w:tc>
        <w:tc>
          <w:tcPr>
            <w:tcW w:w="1158" w:type="dxa"/>
            <w:tcBorders>
              <w:top w:val="nil"/>
              <w:left w:val="nil"/>
              <w:bottom w:val="nil"/>
              <w:right w:val="nil"/>
            </w:tcBorders>
          </w:tcPr>
          <w:p>
            <w:pPr>
              <w:pStyle w:val="TableParagraph"/>
              <w:spacing w:before="7"/>
              <w:ind w:left="233"/>
              <w:jc w:val="left"/>
              <w:rPr>
                <w:sz w:val="24"/>
              </w:rPr>
            </w:pPr>
            <w:r>
              <w:rPr>
                <w:sz w:val="24"/>
              </w:rPr>
              <w:t>2.5</w:t>
            </w:r>
          </w:p>
        </w:tc>
        <w:tc>
          <w:tcPr>
            <w:tcW w:w="1935" w:type="dxa"/>
            <w:tcBorders>
              <w:top w:val="nil"/>
              <w:left w:val="nil"/>
              <w:bottom w:val="nil"/>
              <w:right w:val="nil"/>
            </w:tcBorders>
          </w:tcPr>
          <w:p>
            <w:pPr>
              <w:pStyle w:val="TableParagraph"/>
              <w:spacing w:before="7"/>
              <w:ind w:right="528"/>
              <w:rPr>
                <w:sz w:val="24"/>
              </w:rPr>
            </w:pPr>
            <w:r>
              <w:rPr>
                <w:sz w:val="24"/>
              </w:rPr>
              <w:t>168,964</w:t>
            </w:r>
          </w:p>
        </w:tc>
        <w:tc>
          <w:tcPr>
            <w:tcW w:w="1840" w:type="dxa"/>
            <w:tcBorders>
              <w:top w:val="nil"/>
              <w:left w:val="nil"/>
              <w:bottom w:val="nil"/>
              <w:right w:val="nil"/>
            </w:tcBorders>
          </w:tcPr>
          <w:p>
            <w:pPr>
              <w:pStyle w:val="TableParagraph"/>
              <w:spacing w:before="7"/>
              <w:ind w:left="530"/>
              <w:jc w:val="left"/>
              <w:rPr>
                <w:sz w:val="24"/>
              </w:rPr>
            </w:pPr>
            <w:r>
              <w:rPr>
                <w:sz w:val="24"/>
              </w:rPr>
              <w:t>297,431</w:t>
            </w:r>
          </w:p>
        </w:tc>
        <w:tc>
          <w:tcPr>
            <w:tcW w:w="1839" w:type="dxa"/>
            <w:tcBorders>
              <w:top w:val="nil"/>
              <w:left w:val="nil"/>
              <w:bottom w:val="nil"/>
              <w:right w:val="nil"/>
            </w:tcBorders>
          </w:tcPr>
          <w:p>
            <w:pPr>
              <w:pStyle w:val="TableParagraph"/>
              <w:spacing w:before="7"/>
              <w:ind w:right="527"/>
              <w:rPr>
                <w:sz w:val="24"/>
              </w:rPr>
            </w:pPr>
            <w:r>
              <w:rPr>
                <w:sz w:val="24"/>
              </w:rPr>
              <w:t>87,345</w:t>
            </w:r>
          </w:p>
        </w:tc>
        <w:tc>
          <w:tcPr>
            <w:tcW w:w="1381" w:type="dxa"/>
            <w:tcBorders>
              <w:top w:val="nil"/>
              <w:left w:val="nil"/>
              <w:bottom w:val="nil"/>
              <w:right w:val="nil"/>
            </w:tcBorders>
          </w:tcPr>
          <w:p>
            <w:pPr>
              <w:pStyle w:val="TableParagraph"/>
              <w:spacing w:before="7"/>
              <w:ind w:right="69"/>
              <w:rPr>
                <w:sz w:val="24"/>
              </w:rPr>
            </w:pPr>
            <w:r>
              <w:rPr>
                <w:sz w:val="24"/>
              </w:rPr>
              <w:t>160,345</w:t>
            </w:r>
          </w:p>
        </w:tc>
      </w:tr>
      <w:tr>
        <w:trPr>
          <w:trHeight w:val="317" w:hRule="exact"/>
        </w:trPr>
        <w:tc>
          <w:tcPr>
            <w:tcW w:w="688" w:type="dxa"/>
            <w:tcBorders>
              <w:top w:val="nil"/>
              <w:left w:val="nil"/>
              <w:bottom w:val="nil"/>
              <w:right w:val="nil"/>
            </w:tcBorders>
          </w:tcPr>
          <w:p>
            <w:pPr>
              <w:pStyle w:val="TableParagraph"/>
              <w:spacing w:before="7"/>
              <w:ind w:right="291"/>
              <w:rPr>
                <w:sz w:val="24"/>
              </w:rPr>
            </w:pPr>
            <w:r>
              <w:rPr>
                <w:sz w:val="24"/>
              </w:rPr>
              <w:t>8</w:t>
            </w:r>
          </w:p>
        </w:tc>
        <w:tc>
          <w:tcPr>
            <w:tcW w:w="1158" w:type="dxa"/>
            <w:tcBorders>
              <w:top w:val="nil"/>
              <w:left w:val="nil"/>
              <w:bottom w:val="nil"/>
              <w:right w:val="nil"/>
            </w:tcBorders>
          </w:tcPr>
          <w:p>
            <w:pPr>
              <w:pStyle w:val="TableParagraph"/>
              <w:spacing w:before="7"/>
              <w:ind w:left="233"/>
              <w:jc w:val="left"/>
              <w:rPr>
                <w:sz w:val="24"/>
              </w:rPr>
            </w:pPr>
            <w:r>
              <w:rPr>
                <w:sz w:val="24"/>
              </w:rPr>
              <w:t>3.0</w:t>
            </w:r>
          </w:p>
        </w:tc>
        <w:tc>
          <w:tcPr>
            <w:tcW w:w="1935" w:type="dxa"/>
            <w:tcBorders>
              <w:top w:val="nil"/>
              <w:left w:val="nil"/>
              <w:bottom w:val="nil"/>
              <w:right w:val="nil"/>
            </w:tcBorders>
          </w:tcPr>
          <w:p>
            <w:pPr>
              <w:pStyle w:val="TableParagraph"/>
              <w:spacing w:before="7"/>
              <w:ind w:right="528"/>
              <w:rPr>
                <w:sz w:val="24"/>
              </w:rPr>
            </w:pPr>
            <w:r>
              <w:rPr>
                <w:sz w:val="24"/>
              </w:rPr>
              <w:t>166,467</w:t>
            </w:r>
          </w:p>
        </w:tc>
        <w:tc>
          <w:tcPr>
            <w:tcW w:w="1840" w:type="dxa"/>
            <w:tcBorders>
              <w:top w:val="nil"/>
              <w:left w:val="nil"/>
              <w:bottom w:val="nil"/>
              <w:right w:val="nil"/>
            </w:tcBorders>
          </w:tcPr>
          <w:p>
            <w:pPr>
              <w:pStyle w:val="TableParagraph"/>
              <w:spacing w:before="7"/>
              <w:ind w:left="530"/>
              <w:jc w:val="left"/>
              <w:rPr>
                <w:sz w:val="24"/>
              </w:rPr>
            </w:pPr>
            <w:r>
              <w:rPr>
                <w:sz w:val="24"/>
              </w:rPr>
              <w:t>296,213</w:t>
            </w:r>
          </w:p>
        </w:tc>
        <w:tc>
          <w:tcPr>
            <w:tcW w:w="1839" w:type="dxa"/>
            <w:tcBorders>
              <w:top w:val="nil"/>
              <w:left w:val="nil"/>
              <w:bottom w:val="nil"/>
              <w:right w:val="nil"/>
            </w:tcBorders>
          </w:tcPr>
          <w:p>
            <w:pPr>
              <w:pStyle w:val="TableParagraph"/>
              <w:spacing w:before="7"/>
              <w:ind w:right="527"/>
              <w:rPr>
                <w:sz w:val="24"/>
              </w:rPr>
            </w:pPr>
            <w:r>
              <w:rPr>
                <w:sz w:val="24"/>
              </w:rPr>
              <w:t>85,678</w:t>
            </w:r>
          </w:p>
        </w:tc>
        <w:tc>
          <w:tcPr>
            <w:tcW w:w="1381" w:type="dxa"/>
            <w:tcBorders>
              <w:top w:val="nil"/>
              <w:left w:val="nil"/>
              <w:bottom w:val="nil"/>
              <w:right w:val="nil"/>
            </w:tcBorders>
          </w:tcPr>
          <w:p>
            <w:pPr>
              <w:pStyle w:val="TableParagraph"/>
              <w:spacing w:before="7"/>
              <w:ind w:right="69"/>
              <w:rPr>
                <w:sz w:val="24"/>
              </w:rPr>
            </w:pPr>
            <w:r>
              <w:rPr>
                <w:sz w:val="24"/>
              </w:rPr>
              <w:t>158,221</w:t>
            </w:r>
          </w:p>
        </w:tc>
      </w:tr>
      <w:tr>
        <w:trPr>
          <w:trHeight w:val="318" w:hRule="exact"/>
        </w:trPr>
        <w:tc>
          <w:tcPr>
            <w:tcW w:w="688" w:type="dxa"/>
            <w:tcBorders>
              <w:top w:val="nil"/>
              <w:left w:val="nil"/>
              <w:bottom w:val="nil"/>
              <w:right w:val="nil"/>
            </w:tcBorders>
          </w:tcPr>
          <w:p>
            <w:pPr>
              <w:pStyle w:val="TableParagraph"/>
              <w:spacing w:before="7"/>
              <w:ind w:right="291"/>
              <w:rPr>
                <w:sz w:val="24"/>
              </w:rPr>
            </w:pPr>
            <w:r>
              <w:rPr>
                <w:sz w:val="24"/>
              </w:rPr>
              <w:t>9</w:t>
            </w:r>
          </w:p>
        </w:tc>
        <w:tc>
          <w:tcPr>
            <w:tcW w:w="1158" w:type="dxa"/>
            <w:tcBorders>
              <w:top w:val="nil"/>
              <w:left w:val="nil"/>
              <w:bottom w:val="nil"/>
              <w:right w:val="nil"/>
            </w:tcBorders>
          </w:tcPr>
          <w:p>
            <w:pPr>
              <w:pStyle w:val="TableParagraph"/>
              <w:spacing w:before="7"/>
              <w:ind w:left="233"/>
              <w:jc w:val="left"/>
              <w:rPr>
                <w:sz w:val="24"/>
              </w:rPr>
            </w:pPr>
            <w:r>
              <w:rPr>
                <w:sz w:val="24"/>
              </w:rPr>
              <w:t>3.5</w:t>
            </w:r>
          </w:p>
        </w:tc>
        <w:tc>
          <w:tcPr>
            <w:tcW w:w="1935" w:type="dxa"/>
            <w:tcBorders>
              <w:top w:val="nil"/>
              <w:left w:val="nil"/>
              <w:bottom w:val="nil"/>
              <w:right w:val="nil"/>
            </w:tcBorders>
          </w:tcPr>
          <w:p>
            <w:pPr>
              <w:pStyle w:val="TableParagraph"/>
              <w:spacing w:before="7"/>
              <w:ind w:right="528"/>
              <w:rPr>
                <w:sz w:val="24"/>
              </w:rPr>
            </w:pPr>
            <w:r>
              <w:rPr>
                <w:sz w:val="24"/>
              </w:rPr>
              <w:t>162,878</w:t>
            </w:r>
          </w:p>
        </w:tc>
        <w:tc>
          <w:tcPr>
            <w:tcW w:w="1840" w:type="dxa"/>
            <w:tcBorders>
              <w:top w:val="nil"/>
              <w:left w:val="nil"/>
              <w:bottom w:val="nil"/>
              <w:right w:val="nil"/>
            </w:tcBorders>
          </w:tcPr>
          <w:p>
            <w:pPr>
              <w:pStyle w:val="TableParagraph"/>
              <w:spacing w:before="7"/>
              <w:ind w:left="530"/>
              <w:jc w:val="left"/>
              <w:rPr>
                <w:sz w:val="24"/>
              </w:rPr>
            </w:pPr>
            <w:r>
              <w:rPr>
                <w:sz w:val="24"/>
              </w:rPr>
              <w:t>294,678</w:t>
            </w:r>
          </w:p>
        </w:tc>
        <w:tc>
          <w:tcPr>
            <w:tcW w:w="1839" w:type="dxa"/>
            <w:tcBorders>
              <w:top w:val="nil"/>
              <w:left w:val="nil"/>
              <w:bottom w:val="nil"/>
              <w:right w:val="nil"/>
            </w:tcBorders>
          </w:tcPr>
          <w:p>
            <w:pPr>
              <w:pStyle w:val="TableParagraph"/>
              <w:spacing w:before="7"/>
              <w:ind w:right="527"/>
              <w:rPr>
                <w:sz w:val="24"/>
              </w:rPr>
            </w:pPr>
            <w:r>
              <w:rPr>
                <w:sz w:val="24"/>
              </w:rPr>
              <w:t>84,567</w:t>
            </w:r>
          </w:p>
        </w:tc>
        <w:tc>
          <w:tcPr>
            <w:tcW w:w="1381" w:type="dxa"/>
            <w:tcBorders>
              <w:top w:val="nil"/>
              <w:left w:val="nil"/>
              <w:bottom w:val="nil"/>
              <w:right w:val="nil"/>
            </w:tcBorders>
          </w:tcPr>
          <w:p>
            <w:pPr>
              <w:pStyle w:val="TableParagraph"/>
              <w:spacing w:before="7"/>
              <w:ind w:right="69"/>
              <w:rPr>
                <w:sz w:val="24"/>
              </w:rPr>
            </w:pPr>
            <w:r>
              <w:rPr>
                <w:sz w:val="24"/>
              </w:rPr>
              <w:t>157,898</w:t>
            </w:r>
          </w:p>
        </w:tc>
      </w:tr>
      <w:tr>
        <w:trPr>
          <w:trHeight w:val="355" w:hRule="exact"/>
        </w:trPr>
        <w:tc>
          <w:tcPr>
            <w:tcW w:w="688" w:type="dxa"/>
            <w:tcBorders>
              <w:top w:val="nil"/>
              <w:left w:val="nil"/>
              <w:right w:val="nil"/>
            </w:tcBorders>
          </w:tcPr>
          <w:p>
            <w:pPr>
              <w:pStyle w:val="TableParagraph"/>
              <w:spacing w:before="8"/>
              <w:ind w:right="231"/>
              <w:rPr>
                <w:sz w:val="24"/>
              </w:rPr>
            </w:pPr>
            <w:r>
              <w:rPr>
                <w:sz w:val="24"/>
              </w:rPr>
              <w:t>10</w:t>
            </w:r>
          </w:p>
        </w:tc>
        <w:tc>
          <w:tcPr>
            <w:tcW w:w="1158" w:type="dxa"/>
            <w:tcBorders>
              <w:top w:val="nil"/>
              <w:left w:val="nil"/>
              <w:right w:val="nil"/>
            </w:tcBorders>
          </w:tcPr>
          <w:p>
            <w:pPr>
              <w:pStyle w:val="TableParagraph"/>
              <w:spacing w:before="8"/>
              <w:ind w:left="233"/>
              <w:jc w:val="left"/>
              <w:rPr>
                <w:sz w:val="24"/>
              </w:rPr>
            </w:pPr>
            <w:r>
              <w:rPr>
                <w:sz w:val="24"/>
              </w:rPr>
              <w:t>4.0</w:t>
            </w:r>
          </w:p>
        </w:tc>
        <w:tc>
          <w:tcPr>
            <w:tcW w:w="1935" w:type="dxa"/>
            <w:tcBorders>
              <w:top w:val="nil"/>
              <w:left w:val="nil"/>
              <w:right w:val="nil"/>
            </w:tcBorders>
          </w:tcPr>
          <w:p>
            <w:pPr>
              <w:pStyle w:val="TableParagraph"/>
              <w:spacing w:before="8"/>
              <w:ind w:right="528"/>
              <w:rPr>
                <w:sz w:val="24"/>
              </w:rPr>
            </w:pPr>
            <w:r>
              <w:rPr>
                <w:sz w:val="24"/>
              </w:rPr>
              <w:t>160,876</w:t>
            </w:r>
          </w:p>
        </w:tc>
        <w:tc>
          <w:tcPr>
            <w:tcW w:w="1840" w:type="dxa"/>
            <w:tcBorders>
              <w:top w:val="nil"/>
              <w:left w:val="nil"/>
              <w:right w:val="nil"/>
            </w:tcBorders>
          </w:tcPr>
          <w:p>
            <w:pPr>
              <w:pStyle w:val="TableParagraph"/>
              <w:spacing w:before="8"/>
              <w:ind w:left="530"/>
              <w:jc w:val="left"/>
              <w:rPr>
                <w:sz w:val="24"/>
              </w:rPr>
            </w:pPr>
            <w:r>
              <w:rPr>
                <w:sz w:val="24"/>
              </w:rPr>
              <w:t>293,457</w:t>
            </w:r>
          </w:p>
        </w:tc>
        <w:tc>
          <w:tcPr>
            <w:tcW w:w="1839" w:type="dxa"/>
            <w:tcBorders>
              <w:top w:val="nil"/>
              <w:left w:val="nil"/>
              <w:right w:val="nil"/>
            </w:tcBorders>
          </w:tcPr>
          <w:p>
            <w:pPr>
              <w:pStyle w:val="TableParagraph"/>
              <w:spacing w:before="8"/>
              <w:ind w:right="527"/>
              <w:rPr>
                <w:sz w:val="24"/>
              </w:rPr>
            </w:pPr>
            <w:r>
              <w:rPr>
                <w:sz w:val="24"/>
              </w:rPr>
              <w:t>83,468</w:t>
            </w:r>
          </w:p>
        </w:tc>
        <w:tc>
          <w:tcPr>
            <w:tcW w:w="1381" w:type="dxa"/>
            <w:tcBorders>
              <w:top w:val="nil"/>
              <w:left w:val="nil"/>
              <w:right w:val="nil"/>
            </w:tcBorders>
          </w:tcPr>
          <w:p>
            <w:pPr>
              <w:pStyle w:val="TableParagraph"/>
              <w:spacing w:before="8"/>
              <w:ind w:right="69"/>
              <w:rPr>
                <w:sz w:val="24"/>
              </w:rPr>
            </w:pPr>
            <w:r>
              <w:rPr>
                <w:sz w:val="24"/>
              </w:rPr>
              <w:t>156,847</w:t>
            </w:r>
          </w:p>
        </w:tc>
      </w:tr>
    </w:tbl>
    <w:p>
      <w:pPr>
        <w:spacing w:line="202" w:lineRule="exact" w:before="0"/>
        <w:ind w:left="122" w:right="0" w:firstLine="0"/>
        <w:jc w:val="both"/>
        <w:rPr>
          <w:sz w:val="20"/>
        </w:rPr>
      </w:pPr>
      <w:r>
        <w:rPr>
          <w:sz w:val="20"/>
        </w:rPr>
        <w:t>Fuente: Elaboración propia.</w:t>
      </w:r>
    </w:p>
    <w:p>
      <w:pPr>
        <w:pStyle w:val="BodyText"/>
        <w:rPr>
          <w:sz w:val="20"/>
        </w:rPr>
      </w:pPr>
    </w:p>
    <w:p>
      <w:pPr>
        <w:pStyle w:val="BodyText"/>
        <w:spacing w:before="11"/>
        <w:rPr>
          <w:sz w:val="19"/>
        </w:rPr>
      </w:pPr>
    </w:p>
    <w:p>
      <w:pPr>
        <w:pStyle w:val="BodyText"/>
        <w:spacing w:line="360" w:lineRule="auto"/>
        <w:ind w:left="122" w:right="139"/>
        <w:jc w:val="both"/>
      </w:pPr>
      <w:r>
        <w:rPr/>
        <w:t>La Figura 16, se interpreta similar a los resultados de la Tabla 12. Se puede observar que la inversión dos es preferida sobre los otros escenarios, ya que tiene la más alta EC en cada RCAR. Por el contario la inversión tres representa el escenario menos preferido entre las cuatro opciones, ya que tiene la EC más baja en cada RCAR.</w:t>
      </w:r>
    </w:p>
    <w:p>
      <w:pPr>
        <w:spacing w:after="0" w:line="360" w:lineRule="auto"/>
        <w:jc w:val="both"/>
        <w:sectPr>
          <w:pgSz w:w="12240" w:h="15840"/>
          <w:pgMar w:header="0" w:footer="657" w:top="1360" w:bottom="840" w:left="15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74"/>
        <w:ind w:left="122" w:right="1135" w:firstLine="6660"/>
        <w:jc w:val="left"/>
        <w:rPr>
          <w:sz w:val="20"/>
        </w:rPr>
      </w:pPr>
      <w:r>
        <w:rPr/>
        <w:pict>
          <v:group style="position:absolute;margin-left:84.830002pt;margin-top:-218.98407pt;width:441.05pt;height:216.5pt;mso-position-horizontal-relative:page;mso-position-vertical-relative:paragraph;z-index:4120" coordorigin="1697,-4380" coordsize="8821,4330">
            <v:shape style="position:absolute;left:2998;top:-4154;width:7294;height:3545" coordorigin="2998,-4154" coordsize="7294,3545" path="m3058,-609l10291,-609m3058,-1115l10291,-1115m3058,-1622l10291,-1622m3058,-2128l10291,-2128m3058,-2635l10291,-2635m3058,-3141l10291,-3141m3058,-3647l10291,-3647m3058,-4154l10291,-4154m3058,-609l3058,-4154m2998,-609l3058,-609m2998,-1115l3058,-1115m2998,-1622l3058,-1622m2998,-2128l3058,-2128m2998,-2635l3058,-2635m2998,-3141l3058,-3141m2998,-3647l3058,-3647m2998,-4154l3058,-4154e" filled="false" stroked="true" strokeweight=".72pt" strokecolor="#858585">
              <v:path arrowok="t"/>
            </v:shape>
            <v:shape style="position:absolute;left:3419;top:-2434;width:6512;height:197" coordorigin="3419,-2434" coordsize="6512,197" path="m3419,-2434l4141,-2429,4866,-2422,5588,-2386,6313,-2355,7036,-2331,7760,-2321,8483,-2295,9208,-2259,9930,-2237e" filled="false" stroked="true" strokeweight="2.280pt" strokecolor="#00afef">
              <v:path arrowok="t"/>
            </v:shape>
            <v:shape style="position:absolute;left:3419;top:-3773;width:6512;height:192" coordorigin="3419,-3773" coordsize="6512,192" path="m3419,-3773l4141,-3733,4866,-3725,5588,-3697,6313,-3661,7036,-3637,7760,-3622,8483,-3608,9208,-3593,9930,-3581e" filled="false" stroked="true" strokeweight="2.280pt" strokecolor="#000000">
              <v:path arrowok="t"/>
            </v:shape>
            <v:shape style="position:absolute;left:3419;top:-1635;width:6512;height:180" coordorigin="3419,-1635" coordsize="6512,180" path="m3419,-1635l4141,-1613,4866,-1577,5588,-1553,6313,-1534,7036,-1520,7760,-1493,8483,-1477,9208,-1467,9930,-1455e" filled="false" stroked="true" strokeweight="2.280pt" strokecolor="#ff0000">
              <v:path arrowok="t"/>
            </v:shape>
            <v:shape style="position:absolute;left:3419;top:-2343;width:6512;height:147" coordorigin="3419,-2343" coordsize="6512,147" path="m3419,-2343l4141,-2326,4866,-2305,5588,-2283,6313,-2273,7036,-2259,7760,-2233,8483,-2211,9208,-2209,9930,-2197e" filled="false" stroked="true" strokeweight="2.280pt" strokecolor="#9bba58">
              <v:path arrowok="t"/>
            </v:shape>
            <v:rect style="position:absolute;left:1702;top:-4375;width:8810;height:4320" filled="false" stroked="true" strokeweight=".48pt" strokecolor="#000000"/>
            <v:shape style="position:absolute;left:2288;top:-4252;width:599;height:200" type="#_x0000_t202" filled="false" stroked="false">
              <v:textbox inset="0,0,0,0">
                <w:txbxContent>
                  <w:p>
                    <w:pPr>
                      <w:spacing w:line="199" w:lineRule="exact" w:before="0"/>
                      <w:ind w:left="0" w:right="0" w:firstLine="0"/>
                      <w:jc w:val="left"/>
                      <w:rPr>
                        <w:sz w:val="20"/>
                      </w:rPr>
                    </w:pPr>
                    <w:r>
                      <w:rPr>
                        <w:w w:val="95"/>
                        <w:sz w:val="20"/>
                      </w:rPr>
                      <w:t>350000</w:t>
                    </w:r>
                  </w:p>
                </w:txbxContent>
              </v:textbox>
              <w10:wrap type="none"/>
            </v:shape>
            <v:shape style="position:absolute;left:6078;top:-3950;width:557;height:221" type="#_x0000_t202" filled="false" stroked="false">
              <v:textbox inset="0,0,0,0">
                <w:txbxContent>
                  <w:p>
                    <w:pPr>
                      <w:spacing w:line="221" w:lineRule="exact" w:before="0"/>
                      <w:ind w:left="0" w:right="-19" w:firstLine="0"/>
                      <w:jc w:val="left"/>
                      <w:rPr>
                        <w:sz w:val="22"/>
                      </w:rPr>
                    </w:pPr>
                    <w:r>
                      <w:rPr>
                        <w:sz w:val="22"/>
                      </w:rPr>
                      <w:t>INV 2</w:t>
                    </w:r>
                  </w:p>
                </w:txbxContent>
              </v:textbox>
              <w10:wrap type="none"/>
            </v:shape>
            <v:shape style="position:absolute;left:2288;top:-3746;width:599;height:1212" type="#_x0000_t202" filled="false" stroked="false">
              <v:textbox inset="0,0,0,0">
                <w:txbxContent>
                  <w:p>
                    <w:pPr>
                      <w:spacing w:line="204" w:lineRule="exact" w:before="0"/>
                      <w:ind w:left="0" w:right="0" w:firstLine="0"/>
                      <w:jc w:val="left"/>
                      <w:rPr>
                        <w:sz w:val="20"/>
                      </w:rPr>
                    </w:pPr>
                    <w:r>
                      <w:rPr>
                        <w:w w:val="95"/>
                        <w:sz w:val="20"/>
                      </w:rPr>
                      <w:t>300000</w:t>
                    </w:r>
                  </w:p>
                  <w:p>
                    <w:pPr>
                      <w:spacing w:line="240" w:lineRule="auto" w:before="0"/>
                      <w:rPr>
                        <w:sz w:val="24"/>
                      </w:rPr>
                    </w:pPr>
                  </w:p>
                  <w:p>
                    <w:pPr>
                      <w:spacing w:before="0"/>
                      <w:ind w:left="0" w:right="0" w:firstLine="0"/>
                      <w:jc w:val="left"/>
                      <w:rPr>
                        <w:sz w:val="20"/>
                      </w:rPr>
                    </w:pPr>
                    <w:r>
                      <w:rPr>
                        <w:w w:val="95"/>
                        <w:sz w:val="20"/>
                      </w:rPr>
                      <w:t>250000</w:t>
                    </w:r>
                  </w:p>
                  <w:p>
                    <w:pPr>
                      <w:spacing w:line="240" w:lineRule="auto" w:before="0"/>
                      <w:rPr>
                        <w:sz w:val="24"/>
                      </w:rPr>
                    </w:pPr>
                  </w:p>
                  <w:p>
                    <w:pPr>
                      <w:spacing w:line="226" w:lineRule="exact" w:before="0"/>
                      <w:ind w:left="0" w:right="0" w:firstLine="0"/>
                      <w:jc w:val="left"/>
                      <w:rPr>
                        <w:sz w:val="20"/>
                      </w:rPr>
                    </w:pPr>
                    <w:r>
                      <w:rPr>
                        <w:w w:val="95"/>
                        <w:sz w:val="20"/>
                      </w:rPr>
                      <w:t>200000</w:t>
                    </w:r>
                  </w:p>
                </w:txbxContent>
              </v:textbox>
              <w10:wrap type="none"/>
            </v:shape>
            <v:shape style="position:absolute;left:6030;top:-2648;width:557;height:221" type="#_x0000_t202" filled="false" stroked="false">
              <v:textbox inset="0,0,0,0">
                <w:txbxContent>
                  <w:p>
                    <w:pPr>
                      <w:spacing w:line="221" w:lineRule="exact" w:before="0"/>
                      <w:ind w:left="0" w:right="-19" w:firstLine="0"/>
                      <w:jc w:val="left"/>
                      <w:rPr>
                        <w:sz w:val="22"/>
                      </w:rPr>
                    </w:pPr>
                    <w:r>
                      <w:rPr>
                        <w:sz w:val="22"/>
                      </w:rPr>
                      <w:t>INV 1</w:t>
                    </w:r>
                  </w:p>
                </w:txbxContent>
              </v:textbox>
              <w10:wrap type="none"/>
            </v:shape>
            <v:shape style="position:absolute;left:2288;top:-2227;width:599;height:200" type="#_x0000_t202" filled="false" stroked="false">
              <v:textbox inset="0,0,0,0">
                <w:txbxContent>
                  <w:p>
                    <w:pPr>
                      <w:spacing w:line="199" w:lineRule="exact" w:before="0"/>
                      <w:ind w:left="0" w:right="0" w:firstLine="0"/>
                      <w:jc w:val="left"/>
                      <w:rPr>
                        <w:sz w:val="20"/>
                      </w:rPr>
                    </w:pPr>
                    <w:r>
                      <w:rPr>
                        <w:w w:val="95"/>
                        <w:sz w:val="20"/>
                      </w:rPr>
                      <w:t>150000</w:t>
                    </w:r>
                  </w:p>
                </w:txbxContent>
              </v:textbox>
              <w10:wrap type="none"/>
            </v:shape>
            <v:shape style="position:absolute;left:5994;top:-2130;width:557;height:221" type="#_x0000_t202" filled="false" stroked="false">
              <v:textbox inset="0,0,0,0">
                <w:txbxContent>
                  <w:p>
                    <w:pPr>
                      <w:spacing w:line="221" w:lineRule="exact" w:before="0"/>
                      <w:ind w:left="0" w:right="-19" w:firstLine="0"/>
                      <w:jc w:val="left"/>
                      <w:rPr>
                        <w:sz w:val="22"/>
                      </w:rPr>
                    </w:pPr>
                    <w:r>
                      <w:rPr>
                        <w:sz w:val="22"/>
                      </w:rPr>
                      <w:t>INV 4</w:t>
                    </w:r>
                  </w:p>
                </w:txbxContent>
              </v:textbox>
              <w10:wrap type="none"/>
            </v:shape>
            <v:shape style="position:absolute;left:2288;top:-1720;width:600;height:706" type="#_x0000_t202" filled="false" stroked="false">
              <v:textbox inset="0,0,0,0">
                <w:txbxContent>
                  <w:p>
                    <w:pPr>
                      <w:spacing w:line="204" w:lineRule="exact" w:before="0"/>
                      <w:ind w:left="0" w:right="1" w:firstLine="0"/>
                      <w:jc w:val="center"/>
                      <w:rPr>
                        <w:sz w:val="20"/>
                      </w:rPr>
                    </w:pPr>
                    <w:r>
                      <w:rPr>
                        <w:spacing w:val="-1"/>
                        <w:sz w:val="20"/>
                      </w:rPr>
                      <w:t>100000</w:t>
                    </w:r>
                  </w:p>
                  <w:p>
                    <w:pPr>
                      <w:spacing w:line="240" w:lineRule="auto" w:before="0"/>
                      <w:rPr>
                        <w:sz w:val="24"/>
                      </w:rPr>
                    </w:pPr>
                  </w:p>
                  <w:p>
                    <w:pPr>
                      <w:spacing w:line="226" w:lineRule="exact" w:before="0"/>
                      <w:ind w:left="100" w:right="0" w:firstLine="0"/>
                      <w:jc w:val="center"/>
                      <w:rPr>
                        <w:sz w:val="20"/>
                      </w:rPr>
                    </w:pPr>
                    <w:r>
                      <w:rPr>
                        <w:w w:val="95"/>
                        <w:sz w:val="20"/>
                      </w:rPr>
                      <w:t>50000</w:t>
                    </w:r>
                  </w:p>
                </w:txbxContent>
              </v:textbox>
              <w10:wrap type="none"/>
            </v:shape>
            <v:shape style="position:absolute;left:5958;top:-1370;width:557;height:222" type="#_x0000_t202" filled="false" stroked="false">
              <v:textbox inset="0,0,0,0">
                <w:txbxContent>
                  <w:p>
                    <w:pPr>
                      <w:spacing w:line="221" w:lineRule="exact" w:before="0"/>
                      <w:ind w:left="0" w:right="-19" w:firstLine="0"/>
                      <w:jc w:val="left"/>
                      <w:rPr>
                        <w:sz w:val="22"/>
                      </w:rPr>
                    </w:pPr>
                    <w:r>
                      <w:rPr>
                        <w:sz w:val="22"/>
                      </w:rPr>
                      <w:t>INV 3</w:t>
                    </w:r>
                  </w:p>
                </w:txbxContent>
              </v:textbox>
              <w10:wrap type="none"/>
            </v:shape>
            <v:shape style="position:absolute;left:2787;top:-708;width:100;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v:shape style="position:absolute;left:6329;top:-549;width:692;height:240" type="#_x0000_t202" filled="false" stroked="false">
              <v:textbox inset="0,0,0,0">
                <w:txbxContent>
                  <w:p>
                    <w:pPr>
                      <w:spacing w:line="240" w:lineRule="exact" w:before="0"/>
                      <w:ind w:left="0" w:right="-18" w:firstLine="0"/>
                      <w:jc w:val="left"/>
                      <w:rPr>
                        <w:b/>
                        <w:sz w:val="24"/>
                      </w:rPr>
                    </w:pPr>
                    <w:r>
                      <w:rPr>
                        <w:b/>
                        <w:spacing w:val="-1"/>
                        <w:sz w:val="24"/>
                      </w:rPr>
                      <w:t>RCAR</w:t>
                    </w:r>
                  </w:p>
                </w:txbxContent>
              </v:textbox>
              <w10:wrap type="none"/>
            </v:shape>
            <w10:wrap type="none"/>
          </v:group>
        </w:pict>
      </w:r>
      <w:r>
        <w:rPr/>
        <w:pict>
          <v:shape style="position:absolute;margin-left:98.044601pt;margin-top:-177.894958pt;width:14.05pt;height:117.7pt;mso-position-horizontal-relative:page;mso-position-vertical-relative:paragraph;z-index:4168" type="#_x0000_t202" filled="false" stroked="false">
            <v:textbox inset="0,0,0,0" style="layout-flow:vertical;mso-layout-flow-alt:bottom-to-top">
              <w:txbxContent>
                <w:p>
                  <w:pPr>
                    <w:spacing w:line="265" w:lineRule="exact" w:before="0"/>
                    <w:ind w:left="20" w:right="-967" w:firstLine="0"/>
                    <w:jc w:val="left"/>
                    <w:rPr>
                      <w:b/>
                      <w:sz w:val="24"/>
                    </w:rPr>
                  </w:pPr>
                  <w:r>
                    <w:rPr>
                      <w:b/>
                      <w:w w:val="100"/>
                      <w:sz w:val="24"/>
                    </w:rPr>
                    <w:t>Equi</w:t>
                  </w:r>
                  <w:r>
                    <w:rPr>
                      <w:b/>
                      <w:w w:val="100"/>
                      <w:sz w:val="24"/>
                    </w:rPr>
                    <w:t>val</w:t>
                  </w:r>
                  <w:r>
                    <w:rPr>
                      <w:b/>
                      <w:spacing w:val="-2"/>
                      <w:w w:val="100"/>
                      <w:sz w:val="24"/>
                    </w:rPr>
                    <w:t>e</w:t>
                  </w:r>
                  <w:r>
                    <w:rPr>
                      <w:b/>
                      <w:w w:val="100"/>
                      <w:sz w:val="24"/>
                    </w:rPr>
                    <w:t>nte</w:t>
                  </w:r>
                  <w:r>
                    <w:rPr>
                      <w:b/>
                      <w:spacing w:val="-4"/>
                      <w:sz w:val="24"/>
                    </w:rPr>
                    <w:t> </w:t>
                  </w:r>
                  <w:r>
                    <w:rPr>
                      <w:b/>
                      <w:w w:val="100"/>
                      <w:sz w:val="24"/>
                    </w:rPr>
                    <w:t>de</w:t>
                  </w:r>
                  <w:r>
                    <w:rPr>
                      <w:b/>
                      <w:sz w:val="24"/>
                    </w:rPr>
                    <w:t> </w:t>
                  </w:r>
                  <w:r>
                    <w:rPr>
                      <w:b/>
                      <w:spacing w:val="-2"/>
                      <w:w w:val="100"/>
                      <w:sz w:val="24"/>
                    </w:rPr>
                    <w:t>cer</w:t>
                  </w:r>
                  <w:r>
                    <w:rPr>
                      <w:b/>
                      <w:spacing w:val="-1"/>
                      <w:w w:val="100"/>
                      <w:sz w:val="24"/>
                    </w:rPr>
                    <w:t>t</w:t>
                  </w:r>
                  <w:r>
                    <w:rPr>
                      <w:b/>
                      <w:spacing w:val="-2"/>
                      <w:w w:val="100"/>
                      <w:sz w:val="24"/>
                    </w:rPr>
                    <w:t>ez</w:t>
                  </w:r>
                  <w:r>
                    <w:rPr>
                      <w:b/>
                      <w:w w:val="100"/>
                      <w:sz w:val="24"/>
                    </w:rPr>
                    <w:t>a</w:t>
                  </w:r>
                </w:p>
              </w:txbxContent>
            </v:textbox>
            <w10:wrap type="none"/>
          </v:shape>
        </w:pict>
      </w:r>
      <w:r>
        <w:rPr>
          <w:sz w:val="20"/>
        </w:rPr>
        <w:t>Fuente: Elaboración propia</w:t>
      </w:r>
    </w:p>
    <w:p>
      <w:pPr>
        <w:pStyle w:val="BodyText"/>
        <w:rPr>
          <w:sz w:val="20"/>
        </w:rPr>
      </w:pPr>
    </w:p>
    <w:p>
      <w:pPr>
        <w:pStyle w:val="BodyText"/>
        <w:spacing w:before="2"/>
        <w:rPr>
          <w:sz w:val="20"/>
        </w:rPr>
      </w:pPr>
    </w:p>
    <w:p>
      <w:pPr>
        <w:pStyle w:val="BodyText"/>
        <w:spacing w:line="360" w:lineRule="auto"/>
        <w:ind w:left="122" w:right="1135"/>
      </w:pPr>
      <w:r>
        <w:rPr/>
        <w:pict>
          <v:line style="position:absolute;mso-position-horizontal-relative:page;mso-position-vertical-relative:paragraph;z-index:-459640" from="85.139999pt,.293137pt" to="526.789999pt,.293137pt" stroked="true" strokeweight="2.04pt" strokecolor="#000000">
            <w10:wrap type="none"/>
          </v:line>
        </w:pict>
      </w:r>
      <w:r>
        <w:rPr>
          <w:b/>
        </w:rPr>
        <w:t>Figura 17. </w:t>
      </w:r>
      <w:r>
        <w:rPr/>
        <w:t>Dominancia estocástica con respecto a una función para cuatro alternativas de negocio.</w:t>
      </w:r>
    </w:p>
    <w:p>
      <w:pPr>
        <w:spacing w:after="0" w:line="360" w:lineRule="auto"/>
        <w:sectPr>
          <w:pgSz w:w="12240" w:h="15840"/>
          <w:pgMar w:header="0" w:footer="657" w:top="1420" w:bottom="840" w:left="1580" w:right="0"/>
        </w:sectPr>
      </w:pPr>
    </w:p>
    <w:p>
      <w:pPr>
        <w:pStyle w:val="Heading1"/>
        <w:spacing w:before="15"/>
        <w:ind w:left="7" w:right="26"/>
        <w:jc w:val="center"/>
        <w:rPr>
          <w:sz w:val="50"/>
        </w:rPr>
      </w:pPr>
      <w:bookmarkStart w:name="_TOC_250002" w:id="40"/>
      <w:r>
        <w:rPr/>
        <w:t>CAPÍTULO </w:t>
      </w:r>
      <w:bookmarkEnd w:id="40"/>
      <w:r>
        <w:rPr>
          <w:sz w:val="50"/>
        </w:rPr>
        <w:t>5</w:t>
      </w:r>
    </w:p>
    <w:p>
      <w:pPr>
        <w:pStyle w:val="Heading1"/>
        <w:spacing w:before="200"/>
        <w:ind w:left="11" w:right="26"/>
        <w:jc w:val="center"/>
      </w:pPr>
      <w:bookmarkStart w:name="_TOC_250001" w:id="41"/>
      <w:bookmarkEnd w:id="41"/>
      <w:r>
        <w:rPr/>
        <w:t>RESULTADOS</w:t>
      </w:r>
    </w:p>
    <w:p>
      <w:pPr>
        <w:pStyle w:val="BodyText"/>
        <w:rPr>
          <w:b/>
        </w:rPr>
      </w:pPr>
    </w:p>
    <w:p>
      <w:pPr>
        <w:pStyle w:val="BodyText"/>
        <w:spacing w:before="6"/>
        <w:rPr>
          <w:b/>
          <w:sz w:val="23"/>
        </w:rPr>
      </w:pPr>
    </w:p>
    <w:p>
      <w:pPr>
        <w:pStyle w:val="BodyText"/>
        <w:spacing w:line="360" w:lineRule="auto"/>
        <w:ind w:left="102" w:right="116"/>
        <w:jc w:val="both"/>
      </w:pPr>
      <w:r>
        <w:rPr/>
        <w:t>Los resultados de la investigación derivaron en seis trabajos científicos que dieron</w:t>
      </w:r>
      <w:r>
        <w:rPr>
          <w:spacing w:val="-23"/>
        </w:rPr>
        <w:t> </w:t>
      </w:r>
      <w:r>
        <w:rPr/>
        <w:t>respuesta a los objetivos planteados. El primer trabajo es un artículo aceptado para su publicación en la</w:t>
      </w:r>
      <w:r>
        <w:rPr>
          <w:spacing w:val="-9"/>
        </w:rPr>
        <w:t> </w:t>
      </w:r>
      <w:r>
        <w:rPr/>
        <w:t>Revista</w:t>
      </w:r>
      <w:r>
        <w:rPr>
          <w:spacing w:val="-10"/>
        </w:rPr>
        <w:t> </w:t>
      </w:r>
      <w:r>
        <w:rPr/>
        <w:t>Contaduría</w:t>
      </w:r>
      <w:r>
        <w:rPr>
          <w:spacing w:val="-4"/>
        </w:rPr>
        <w:t> </w:t>
      </w:r>
      <w:r>
        <w:rPr/>
        <w:t>y</w:t>
      </w:r>
      <w:r>
        <w:rPr>
          <w:spacing w:val="-11"/>
        </w:rPr>
        <w:t> </w:t>
      </w:r>
      <w:r>
        <w:rPr/>
        <w:t>Administración,</w:t>
      </w:r>
      <w:r>
        <w:rPr>
          <w:spacing w:val="-8"/>
        </w:rPr>
        <w:t> </w:t>
      </w:r>
      <w:r>
        <w:rPr/>
        <w:t>el</w:t>
      </w:r>
      <w:r>
        <w:rPr>
          <w:spacing w:val="-8"/>
        </w:rPr>
        <w:t> </w:t>
      </w:r>
      <w:r>
        <w:rPr/>
        <w:t>cual</w:t>
      </w:r>
      <w:r>
        <w:rPr>
          <w:spacing w:val="-8"/>
        </w:rPr>
        <w:t> </w:t>
      </w:r>
      <w:r>
        <w:rPr/>
        <w:t>analiza</w:t>
      </w:r>
      <w:r>
        <w:rPr>
          <w:spacing w:val="-10"/>
        </w:rPr>
        <w:t> </w:t>
      </w:r>
      <w:r>
        <w:rPr/>
        <w:t>la</w:t>
      </w:r>
      <w:r>
        <w:rPr>
          <w:spacing w:val="-9"/>
        </w:rPr>
        <w:t> </w:t>
      </w:r>
      <w:r>
        <w:rPr/>
        <w:t>rentabilidad</w:t>
      </w:r>
      <w:r>
        <w:rPr>
          <w:spacing w:val="-9"/>
        </w:rPr>
        <w:t> </w:t>
      </w:r>
      <w:r>
        <w:rPr/>
        <w:t>del</w:t>
      </w:r>
      <w:r>
        <w:rPr>
          <w:spacing w:val="-6"/>
        </w:rPr>
        <w:t> </w:t>
      </w:r>
      <w:r>
        <w:rPr/>
        <w:t>sistema</w:t>
      </w:r>
      <w:r>
        <w:rPr>
          <w:spacing w:val="-10"/>
        </w:rPr>
        <w:t> </w:t>
      </w:r>
      <w:r>
        <w:rPr/>
        <w:t>lechero</w:t>
      </w:r>
      <w:r>
        <w:rPr>
          <w:spacing w:val="-6"/>
        </w:rPr>
        <w:t> </w:t>
      </w:r>
      <w:r>
        <w:rPr/>
        <w:t>de pequeña escala y su retrospectiva en un periodo de 10</w:t>
      </w:r>
      <w:r>
        <w:rPr>
          <w:spacing w:val="-8"/>
        </w:rPr>
        <w:t> </w:t>
      </w:r>
      <w:r>
        <w:rPr/>
        <w:t>años.</w:t>
      </w:r>
    </w:p>
    <w:p>
      <w:pPr>
        <w:pStyle w:val="BodyText"/>
      </w:pPr>
    </w:p>
    <w:p>
      <w:pPr>
        <w:pStyle w:val="BodyText"/>
        <w:spacing w:line="360" w:lineRule="auto" w:before="143"/>
        <w:ind w:left="102" w:right="116"/>
        <w:jc w:val="both"/>
      </w:pPr>
      <w:r>
        <w:rPr/>
        <w:t>El segundo trabajo estuvo enfocado al análisis de rentabilidad y competitividad del sistema lechero de pequeña escala. Se publicó como capítulo de libro. En: Cavallotti-Vázquez Beatriz, Cesín-Vargas Alfredo, Ramírez-Valverde Benito, Marcof-Álvarez Carlos (Coordinadores). Ganadería y alimentación: alternativas frente a la crisis ambiental y el cambio social. Volumen 2. UACH-COLPOS-UNAM. 593-606. ISBN 978-607-715-076-3.</w:t>
      </w:r>
    </w:p>
    <w:p>
      <w:pPr>
        <w:pStyle w:val="BodyText"/>
      </w:pPr>
    </w:p>
    <w:p>
      <w:pPr>
        <w:pStyle w:val="BodyText"/>
        <w:spacing w:line="360" w:lineRule="auto" w:before="143"/>
        <w:ind w:left="102" w:right="114"/>
        <w:jc w:val="both"/>
      </w:pPr>
      <w:r>
        <w:rPr/>
        <w:t>El tercer trabajo analizó la contribución de la mano de obra familiar en la rentabilidad y competitividad del sistema lechero de pequeña escala en el centro de México. El artículo se publicó en la Revista Tropical Animal Health and Production 46 (1): 235-240.</w:t>
      </w:r>
    </w:p>
    <w:p>
      <w:pPr>
        <w:pStyle w:val="BodyText"/>
      </w:pPr>
    </w:p>
    <w:p>
      <w:pPr>
        <w:pStyle w:val="BodyText"/>
        <w:spacing w:line="360" w:lineRule="auto" w:before="143"/>
        <w:ind w:left="102" w:right="115"/>
        <w:jc w:val="both"/>
      </w:pPr>
      <w:r>
        <w:rPr/>
        <w:t>El cuarto trabajo analizó la contribución de la mano de obra familiar en la viabilidad económica</w:t>
      </w:r>
      <w:r>
        <w:rPr>
          <w:spacing w:val="-7"/>
        </w:rPr>
        <w:t> </w:t>
      </w:r>
      <w:r>
        <w:rPr/>
        <w:t>y</w:t>
      </w:r>
      <w:r>
        <w:rPr>
          <w:spacing w:val="-13"/>
        </w:rPr>
        <w:t> </w:t>
      </w:r>
      <w:r>
        <w:rPr/>
        <w:t>financiera</w:t>
      </w:r>
      <w:r>
        <w:rPr>
          <w:spacing w:val="-13"/>
        </w:rPr>
        <w:t> </w:t>
      </w:r>
      <w:r>
        <w:rPr/>
        <w:t>de</w:t>
      </w:r>
      <w:r>
        <w:rPr>
          <w:spacing w:val="-12"/>
        </w:rPr>
        <w:t> </w:t>
      </w:r>
      <w:r>
        <w:rPr/>
        <w:t>los</w:t>
      </w:r>
      <w:r>
        <w:rPr>
          <w:spacing w:val="-9"/>
        </w:rPr>
        <w:t> </w:t>
      </w:r>
      <w:r>
        <w:rPr/>
        <w:t>sistemas</w:t>
      </w:r>
      <w:r>
        <w:rPr>
          <w:spacing w:val="-11"/>
        </w:rPr>
        <w:t> </w:t>
      </w:r>
      <w:r>
        <w:rPr/>
        <w:t>lecheros</w:t>
      </w:r>
      <w:r>
        <w:rPr>
          <w:spacing w:val="-12"/>
        </w:rPr>
        <w:t> </w:t>
      </w:r>
      <w:r>
        <w:rPr/>
        <w:t>de</w:t>
      </w:r>
      <w:r>
        <w:rPr>
          <w:spacing w:val="-10"/>
        </w:rPr>
        <w:t> </w:t>
      </w:r>
      <w:r>
        <w:rPr/>
        <w:t>pequeña</w:t>
      </w:r>
      <w:r>
        <w:rPr>
          <w:spacing w:val="-10"/>
        </w:rPr>
        <w:t> </w:t>
      </w:r>
      <w:r>
        <w:rPr/>
        <w:t>escala.</w:t>
      </w:r>
      <w:r>
        <w:rPr>
          <w:spacing w:val="-10"/>
        </w:rPr>
        <w:t> </w:t>
      </w:r>
      <w:r>
        <w:rPr/>
        <w:t>Se</w:t>
      </w:r>
      <w:r>
        <w:rPr>
          <w:spacing w:val="-12"/>
        </w:rPr>
        <w:t> </w:t>
      </w:r>
      <w:r>
        <w:rPr/>
        <w:t>publicó</w:t>
      </w:r>
      <w:r>
        <w:rPr>
          <w:spacing w:val="-10"/>
        </w:rPr>
        <w:t> </w:t>
      </w:r>
      <w:r>
        <w:rPr/>
        <w:t>como</w:t>
      </w:r>
      <w:r>
        <w:rPr>
          <w:spacing w:val="-11"/>
        </w:rPr>
        <w:t> </w:t>
      </w:r>
      <w:r>
        <w:rPr/>
        <w:t>capítulo de</w:t>
      </w:r>
      <w:r>
        <w:rPr>
          <w:spacing w:val="-13"/>
        </w:rPr>
        <w:t> </w:t>
      </w:r>
      <w:r>
        <w:rPr/>
        <w:t>libro.</w:t>
      </w:r>
      <w:r>
        <w:rPr>
          <w:spacing w:val="-13"/>
        </w:rPr>
        <w:t> </w:t>
      </w:r>
      <w:r>
        <w:rPr/>
        <w:t>En:</w:t>
      </w:r>
      <w:r>
        <w:rPr>
          <w:spacing w:val="-12"/>
        </w:rPr>
        <w:t> </w:t>
      </w:r>
      <w:r>
        <w:rPr/>
        <w:t>Betariz</w:t>
      </w:r>
      <w:r>
        <w:rPr>
          <w:spacing w:val="-10"/>
        </w:rPr>
        <w:t> </w:t>
      </w:r>
      <w:r>
        <w:rPr/>
        <w:t>A.</w:t>
      </w:r>
      <w:r>
        <w:rPr>
          <w:spacing w:val="-13"/>
        </w:rPr>
        <w:t> </w:t>
      </w:r>
      <w:r>
        <w:rPr/>
        <w:t>Cavallotti</w:t>
      </w:r>
      <w:r>
        <w:rPr>
          <w:spacing w:val="-12"/>
        </w:rPr>
        <w:t> </w:t>
      </w:r>
      <w:r>
        <w:rPr/>
        <w:t>V.,</w:t>
      </w:r>
      <w:r>
        <w:rPr>
          <w:spacing w:val="-13"/>
        </w:rPr>
        <w:t> </w:t>
      </w:r>
      <w:r>
        <w:rPr/>
        <w:t>Gustavo</w:t>
      </w:r>
      <w:r>
        <w:rPr>
          <w:spacing w:val="-12"/>
        </w:rPr>
        <w:t> </w:t>
      </w:r>
      <w:r>
        <w:rPr/>
        <w:t>E.</w:t>
      </w:r>
      <w:r>
        <w:rPr>
          <w:spacing w:val="-12"/>
        </w:rPr>
        <w:t> </w:t>
      </w:r>
      <w:r>
        <w:rPr/>
        <w:t>Rojo</w:t>
      </w:r>
      <w:r>
        <w:rPr>
          <w:spacing w:val="-12"/>
        </w:rPr>
        <w:t> </w:t>
      </w:r>
      <w:r>
        <w:rPr/>
        <w:t>M.,</w:t>
      </w:r>
      <w:r>
        <w:rPr>
          <w:spacing w:val="-12"/>
        </w:rPr>
        <w:t> </w:t>
      </w:r>
      <w:r>
        <w:rPr/>
        <w:t>Benito</w:t>
      </w:r>
      <w:r>
        <w:rPr>
          <w:spacing w:val="-12"/>
        </w:rPr>
        <w:t> </w:t>
      </w:r>
      <w:r>
        <w:rPr/>
        <w:t>Ramírez</w:t>
      </w:r>
      <w:r>
        <w:rPr>
          <w:spacing w:val="-11"/>
        </w:rPr>
        <w:t> </w:t>
      </w:r>
      <w:r>
        <w:rPr/>
        <w:t>V.,</w:t>
      </w:r>
      <w:r>
        <w:rPr>
          <w:spacing w:val="-13"/>
        </w:rPr>
        <w:t> </w:t>
      </w:r>
      <w:r>
        <w:rPr/>
        <w:t>Alfredo</w:t>
      </w:r>
      <w:r>
        <w:rPr>
          <w:spacing w:val="-12"/>
        </w:rPr>
        <w:t> </w:t>
      </w:r>
      <w:r>
        <w:rPr/>
        <w:t>Cesín V., Carlos F. Marcof A., (coordinadores). La Ganadería en la seguridad alimentaria de las familias campesinas. UACH. 217-228. ISBN</w:t>
      </w:r>
      <w:r>
        <w:rPr>
          <w:spacing w:val="-9"/>
        </w:rPr>
        <w:t> </w:t>
      </w:r>
      <w:r>
        <w:rPr/>
        <w:t>432.341-300-0.</w:t>
      </w:r>
    </w:p>
    <w:p>
      <w:pPr>
        <w:pStyle w:val="BodyText"/>
      </w:pPr>
    </w:p>
    <w:p>
      <w:pPr>
        <w:pStyle w:val="BodyText"/>
        <w:spacing w:line="360" w:lineRule="auto" w:before="141"/>
        <w:ind w:left="102" w:right="121"/>
        <w:jc w:val="both"/>
      </w:pPr>
      <w:r>
        <w:rPr/>
        <w:t>El</w:t>
      </w:r>
      <w:r>
        <w:rPr>
          <w:spacing w:val="-11"/>
        </w:rPr>
        <w:t> </w:t>
      </w:r>
      <w:r>
        <w:rPr/>
        <w:t>quinto</w:t>
      </w:r>
      <w:r>
        <w:rPr>
          <w:spacing w:val="-11"/>
        </w:rPr>
        <w:t> </w:t>
      </w:r>
      <w:r>
        <w:rPr/>
        <w:t>trabajo</w:t>
      </w:r>
      <w:r>
        <w:rPr>
          <w:spacing w:val="-11"/>
        </w:rPr>
        <w:t> </w:t>
      </w:r>
      <w:r>
        <w:rPr/>
        <w:t>analizó</w:t>
      </w:r>
      <w:r>
        <w:rPr>
          <w:spacing w:val="-10"/>
        </w:rPr>
        <w:t> </w:t>
      </w:r>
      <w:r>
        <w:rPr/>
        <w:t>la</w:t>
      </w:r>
      <w:r>
        <w:rPr>
          <w:spacing w:val="-12"/>
        </w:rPr>
        <w:t> </w:t>
      </w:r>
      <w:r>
        <w:rPr/>
        <w:t>viabilidad</w:t>
      </w:r>
      <w:r>
        <w:rPr>
          <w:spacing w:val="-11"/>
        </w:rPr>
        <w:t> </w:t>
      </w:r>
      <w:r>
        <w:rPr/>
        <w:t>económica</w:t>
      </w:r>
      <w:r>
        <w:rPr>
          <w:spacing w:val="-7"/>
        </w:rPr>
        <w:t> </w:t>
      </w:r>
      <w:r>
        <w:rPr/>
        <w:t>y</w:t>
      </w:r>
      <w:r>
        <w:rPr>
          <w:spacing w:val="-13"/>
        </w:rPr>
        <w:t> </w:t>
      </w:r>
      <w:r>
        <w:rPr/>
        <w:t>financiera</w:t>
      </w:r>
      <w:r>
        <w:rPr>
          <w:spacing w:val="-12"/>
        </w:rPr>
        <w:t> </w:t>
      </w:r>
      <w:r>
        <w:rPr/>
        <w:t>del</w:t>
      </w:r>
      <w:r>
        <w:rPr>
          <w:spacing w:val="-11"/>
        </w:rPr>
        <w:t> </w:t>
      </w:r>
      <w:r>
        <w:rPr/>
        <w:t>sistema</w:t>
      </w:r>
      <w:r>
        <w:rPr>
          <w:spacing w:val="-12"/>
        </w:rPr>
        <w:t> </w:t>
      </w:r>
      <w:r>
        <w:rPr/>
        <w:t>lechero</w:t>
      </w:r>
      <w:r>
        <w:rPr>
          <w:spacing w:val="-12"/>
        </w:rPr>
        <w:t> </w:t>
      </w:r>
      <w:r>
        <w:rPr/>
        <w:t>de</w:t>
      </w:r>
      <w:r>
        <w:rPr>
          <w:spacing w:val="-12"/>
        </w:rPr>
        <w:t> </w:t>
      </w:r>
      <w:r>
        <w:rPr/>
        <w:t>pequeña escala en el centro de México, el cual será enviado a la Revista Livestock</w:t>
      </w:r>
      <w:r>
        <w:rPr>
          <w:spacing w:val="-15"/>
        </w:rPr>
        <w:t> </w:t>
      </w:r>
      <w:r>
        <w:rPr/>
        <w:t>Science.</w:t>
      </w:r>
    </w:p>
    <w:p>
      <w:pPr>
        <w:pStyle w:val="BodyText"/>
      </w:pPr>
    </w:p>
    <w:p>
      <w:pPr>
        <w:pStyle w:val="BodyText"/>
        <w:spacing w:line="360" w:lineRule="auto" w:before="143"/>
        <w:ind w:left="102" w:right="121"/>
        <w:jc w:val="both"/>
      </w:pPr>
      <w:r>
        <w:rPr/>
        <w:t>El sexto trabajo comprende el análisis de la competitividad y márgenes de comercialización de la cadena agroalimentaria productora de leche de pequeña escala en el municipio de Texcoco. El trabajo será preparado para su envió a la Revista Livestock Science.</w:t>
      </w:r>
    </w:p>
    <w:p>
      <w:pPr>
        <w:spacing w:after="0" w:line="360" w:lineRule="auto"/>
        <w:jc w:val="both"/>
        <w:sectPr>
          <w:footerReference w:type="default" r:id="rId103"/>
          <w:pgSz w:w="12240" w:h="15840"/>
          <w:pgMar w:footer="657" w:header="0" w:top="1400" w:bottom="840" w:left="1600" w:right="1580"/>
        </w:sectPr>
      </w:pPr>
    </w:p>
    <w:p>
      <w:pPr>
        <w:pStyle w:val="Heading1"/>
        <w:numPr>
          <w:ilvl w:val="1"/>
          <w:numId w:val="23"/>
        </w:numPr>
        <w:tabs>
          <w:tab w:pos="462" w:val="left" w:leader="none"/>
        </w:tabs>
        <w:spacing w:line="415" w:lineRule="auto" w:before="55" w:after="0"/>
        <w:ind w:left="462" w:right="349" w:hanging="360"/>
        <w:jc w:val="left"/>
      </w:pPr>
      <w:r>
        <w:rPr/>
        <w:t>Análisis de costos y estrategias productivas en la lechería de pequeña escala en el periodo:</w:t>
      </w:r>
      <w:r>
        <w:rPr>
          <w:spacing w:val="-4"/>
        </w:rPr>
        <w:t> </w:t>
      </w:r>
      <w:r>
        <w:rPr/>
        <w:t>2000-2012</w:t>
      </w:r>
    </w:p>
    <w:p>
      <w:pPr>
        <w:pStyle w:val="BodyText"/>
        <w:rPr>
          <w:b/>
        </w:rPr>
      </w:pPr>
    </w:p>
    <w:p>
      <w:pPr>
        <w:pStyle w:val="BodyText"/>
        <w:spacing w:before="1"/>
        <w:rPr>
          <w:b/>
          <w:sz w:val="28"/>
        </w:rPr>
      </w:pPr>
    </w:p>
    <w:p>
      <w:pPr>
        <w:pStyle w:val="BodyText"/>
        <w:spacing w:line="345" w:lineRule="auto"/>
        <w:ind w:left="102" w:right="116"/>
        <w:jc w:val="both"/>
      </w:pPr>
      <w:r>
        <w:rPr/>
        <w:t>Rodolfo Rogelio Posadas-Domínguez</w:t>
      </w:r>
      <w:r>
        <w:rPr>
          <w:position w:val="9"/>
          <w:sz w:val="16"/>
        </w:rPr>
        <w:t>1</w:t>
      </w:r>
      <w:r>
        <w:rPr/>
        <w:t>, Jesús Armando Salinas-Martínez</w:t>
      </w:r>
      <w:r>
        <w:rPr>
          <w:position w:val="9"/>
          <w:sz w:val="16"/>
        </w:rPr>
        <w:t>1</w:t>
      </w:r>
      <w:r>
        <w:rPr/>
        <w:t>, Nicolás</w:t>
      </w:r>
      <w:r>
        <w:rPr>
          <w:spacing w:val="-36"/>
        </w:rPr>
        <w:t> </w:t>
      </w:r>
      <w:r>
        <w:rPr/>
        <w:t>Callejas- Juárez</w:t>
      </w:r>
      <w:r>
        <w:rPr>
          <w:position w:val="9"/>
          <w:sz w:val="16"/>
        </w:rPr>
        <w:t>2</w:t>
      </w:r>
      <w:r>
        <w:rPr/>
        <w:t>, Gregorio Álvarez-Fuentes</w:t>
      </w:r>
      <w:r>
        <w:rPr>
          <w:position w:val="9"/>
          <w:sz w:val="16"/>
        </w:rPr>
        <w:t>3</w:t>
      </w:r>
      <w:r>
        <w:rPr/>
        <w:t>, José Herrera-Haro</w:t>
      </w:r>
      <w:r>
        <w:rPr>
          <w:position w:val="9"/>
          <w:sz w:val="16"/>
        </w:rPr>
        <w:t>4</w:t>
      </w:r>
      <w:r>
        <w:rPr/>
        <w:t>, Carlos Manuel Arriaga-Jordán</w:t>
      </w:r>
      <w:r>
        <w:rPr>
          <w:position w:val="9"/>
          <w:sz w:val="16"/>
        </w:rPr>
        <w:t>1</w:t>
      </w:r>
      <w:r>
        <w:rPr/>
        <w:t>, Francisco Ernesto</w:t>
      </w:r>
      <w:r>
        <w:rPr>
          <w:spacing w:val="-9"/>
        </w:rPr>
        <w:t> </w:t>
      </w:r>
      <w:r>
        <w:rPr/>
        <w:t>Martínez-Castañeda</w:t>
      </w:r>
      <w:r>
        <w:rPr>
          <w:position w:val="9"/>
          <w:sz w:val="16"/>
        </w:rPr>
        <w:t>1</w:t>
      </w:r>
      <w:r>
        <w:rPr/>
        <w:t>.</w:t>
      </w:r>
    </w:p>
    <w:p>
      <w:pPr>
        <w:pStyle w:val="BodyText"/>
        <w:spacing w:line="360" w:lineRule="auto" w:before="198"/>
        <w:ind w:left="102" w:right="118"/>
      </w:pPr>
      <w:r>
        <w:rPr>
          <w:position w:val="9"/>
          <w:sz w:val="16"/>
        </w:rPr>
        <w:t>1</w:t>
      </w:r>
      <w:r>
        <w:rPr/>
        <w:t>Instituto de Ciencias Agropecuarias y Rurales (ICAR), Universidad Autónoma del Estado de México (UAEM).</w:t>
      </w:r>
    </w:p>
    <w:p>
      <w:pPr>
        <w:pStyle w:val="BodyText"/>
        <w:spacing w:before="190"/>
        <w:ind w:left="102"/>
      </w:pPr>
      <w:r>
        <w:rPr>
          <w:position w:val="9"/>
          <w:sz w:val="16"/>
        </w:rPr>
        <w:t>2</w:t>
      </w:r>
      <w:r>
        <w:rPr/>
        <w:t>Facultad de Zootecnia y Ecología, Universidad Autónoma de Chihuahua.</w:t>
      </w:r>
    </w:p>
    <w:p>
      <w:pPr>
        <w:pStyle w:val="BodyText"/>
        <w:spacing w:before="10"/>
        <w:rPr>
          <w:sz w:val="27"/>
        </w:rPr>
      </w:pPr>
    </w:p>
    <w:p>
      <w:pPr>
        <w:pStyle w:val="BodyText"/>
        <w:ind w:left="102"/>
      </w:pPr>
      <w:r>
        <w:rPr>
          <w:position w:val="9"/>
          <w:sz w:val="16"/>
        </w:rPr>
        <w:t>3</w:t>
      </w:r>
      <w:r>
        <w:rPr/>
        <w:t>Instituto de Investigación de Zonas Desérticas; Universidad Autónoma de San Luis Potosí,</w:t>
      </w:r>
    </w:p>
    <w:p>
      <w:pPr>
        <w:pStyle w:val="BodyText"/>
      </w:pPr>
    </w:p>
    <w:p>
      <w:pPr>
        <w:pStyle w:val="BodyText"/>
        <w:ind w:left="102"/>
      </w:pPr>
      <w:r>
        <w:rPr/>
        <w:t>S.L.P. México.</w:t>
      </w:r>
    </w:p>
    <w:p>
      <w:pPr>
        <w:pStyle w:val="BodyText"/>
        <w:spacing w:before="10"/>
        <w:rPr>
          <w:sz w:val="22"/>
        </w:rPr>
      </w:pPr>
    </w:p>
    <w:p>
      <w:pPr>
        <w:pStyle w:val="BodyText"/>
        <w:ind w:left="102"/>
      </w:pPr>
      <w:r>
        <w:rPr>
          <w:position w:val="9"/>
          <w:sz w:val="16"/>
        </w:rPr>
        <w:t>4</w:t>
      </w:r>
      <w:r>
        <w:rPr/>
        <w:t>Colegio de Postgraduados, Campus Montecillo.</w:t>
      </w:r>
    </w:p>
    <w:p>
      <w:pPr>
        <w:pStyle w:val="BodyText"/>
        <w:rPr>
          <w:sz w:val="26"/>
        </w:rPr>
      </w:pPr>
    </w:p>
    <w:p>
      <w:pPr>
        <w:pStyle w:val="BodyText"/>
        <w:spacing w:before="176"/>
        <w:ind w:left="102"/>
      </w:pPr>
      <w:r>
        <w:rPr/>
        <w:t>Corresponding author:</w:t>
      </w:r>
    </w:p>
    <w:p>
      <w:pPr>
        <w:pStyle w:val="BodyText"/>
        <w:spacing w:before="5"/>
        <w:rPr>
          <w:sz w:val="29"/>
        </w:rPr>
      </w:pPr>
    </w:p>
    <w:p>
      <w:pPr>
        <w:pStyle w:val="BodyText"/>
        <w:ind w:left="102"/>
      </w:pPr>
      <w:r>
        <w:rPr/>
        <w:t>Dr. F.E. Martínez-Castañeda</w:t>
      </w:r>
    </w:p>
    <w:p>
      <w:pPr>
        <w:pStyle w:val="BodyText"/>
        <w:spacing w:before="4"/>
        <w:rPr>
          <w:sz w:val="29"/>
        </w:rPr>
      </w:pPr>
    </w:p>
    <w:p>
      <w:pPr>
        <w:pStyle w:val="BodyText"/>
        <w:spacing w:line="532" w:lineRule="auto" w:before="1"/>
        <w:ind w:left="102" w:right="3559"/>
      </w:pPr>
      <w:r>
        <w:rPr/>
        <w:t>Instituto de Ciencias Agropecuarias y Rurales (ICAR), Universidad Autónoma del Estado de México (UAEM), Instituto Literario # 100,</w:t>
      </w:r>
    </w:p>
    <w:p>
      <w:pPr>
        <w:pStyle w:val="BodyText"/>
        <w:spacing w:line="535" w:lineRule="auto" w:before="14"/>
        <w:ind w:left="102" w:right="6371"/>
      </w:pPr>
      <w:r>
        <w:rPr/>
        <w:t>C.P. 50000, Toluca, Estado de México,</w:t>
      </w:r>
      <w:r>
        <w:rPr>
          <w:spacing w:val="-7"/>
        </w:rPr>
        <w:t> </w:t>
      </w:r>
      <w:r>
        <w:rPr/>
        <w:t>México</w:t>
      </w:r>
    </w:p>
    <w:p>
      <w:pPr>
        <w:pStyle w:val="BodyText"/>
        <w:spacing w:before="11"/>
        <w:ind w:left="102"/>
      </w:pPr>
      <w:r>
        <w:rPr/>
        <w:t>Tel. and fax: +52 (722) 296 5552</w:t>
      </w:r>
    </w:p>
    <w:p>
      <w:pPr>
        <w:pStyle w:val="BodyText"/>
        <w:spacing w:before="4"/>
        <w:rPr>
          <w:sz w:val="29"/>
        </w:rPr>
      </w:pPr>
    </w:p>
    <w:p>
      <w:pPr>
        <w:pStyle w:val="BodyText"/>
        <w:spacing w:line="532" w:lineRule="auto" w:before="1"/>
        <w:ind w:left="102" w:right="2045"/>
      </w:pPr>
      <w:r>
        <w:rPr/>
        <w:t>e-</w:t>
      </w:r>
      <w:hyperlink r:id="rId105">
        <w:r>
          <w:rPr/>
          <w:t>mail: femartinezc@uaemex.mx</w:t>
        </w:r>
      </w:hyperlink>
      <w:r>
        <w:rPr/>
        <w:t> and </w:t>
      </w:r>
      <w:hyperlink r:id="rId106">
        <w:r>
          <w:rPr/>
          <w:t>fernestom@yahoo.com.mx</w:t>
        </w:r>
      </w:hyperlink>
      <w:r>
        <w:rPr/>
        <w:t> Estado del artículo: Aceptado para su publicación</w:t>
      </w:r>
    </w:p>
    <w:p>
      <w:pPr>
        <w:pStyle w:val="BodyText"/>
        <w:spacing w:before="14"/>
        <w:ind w:left="102"/>
      </w:pPr>
      <w:r>
        <w:rPr/>
        <w:t>Revista: Contaduría y Adminstración (Anexo 3).</w:t>
      </w:r>
    </w:p>
    <w:p>
      <w:pPr>
        <w:spacing w:after="0"/>
        <w:sectPr>
          <w:footerReference w:type="default" r:id="rId104"/>
          <w:pgSz w:w="12240" w:h="15840"/>
          <w:pgMar w:footer="657" w:header="0" w:top="1360" w:bottom="840" w:left="1600" w:right="1580"/>
          <w:pgNumType w:start="81"/>
        </w:sectPr>
      </w:pPr>
    </w:p>
    <w:p>
      <w:pPr>
        <w:pStyle w:val="Heading1"/>
        <w:spacing w:line="362" w:lineRule="auto"/>
        <w:ind w:right="116"/>
      </w:pPr>
      <w:r>
        <w:rPr/>
        <w:t>Análisis de costos y estrategias productivas en la lechería de pequeña escala en el periodo: 2000-2012</w:t>
      </w:r>
    </w:p>
    <w:p>
      <w:pPr>
        <w:pStyle w:val="BodyText"/>
        <w:rPr>
          <w:b/>
        </w:rPr>
      </w:pPr>
    </w:p>
    <w:p>
      <w:pPr>
        <w:pStyle w:val="BodyText"/>
        <w:rPr>
          <w:b/>
        </w:rPr>
      </w:pPr>
    </w:p>
    <w:p>
      <w:pPr>
        <w:pStyle w:val="BodyText"/>
        <w:rPr>
          <w:b/>
          <w:sz w:val="23"/>
        </w:rPr>
      </w:pPr>
    </w:p>
    <w:p>
      <w:pPr>
        <w:spacing w:before="1"/>
        <w:ind w:left="102" w:right="0" w:firstLine="0"/>
        <w:jc w:val="both"/>
        <w:rPr>
          <w:b/>
          <w:sz w:val="24"/>
        </w:rPr>
      </w:pPr>
      <w:r>
        <w:rPr>
          <w:b/>
          <w:sz w:val="24"/>
        </w:rPr>
        <w:t>Resumen</w:t>
      </w:r>
    </w:p>
    <w:p>
      <w:pPr>
        <w:pStyle w:val="BodyText"/>
        <w:rPr>
          <w:b/>
        </w:rPr>
      </w:pPr>
    </w:p>
    <w:p>
      <w:pPr>
        <w:pStyle w:val="BodyText"/>
        <w:rPr>
          <w:b/>
        </w:rPr>
      </w:pPr>
    </w:p>
    <w:p>
      <w:pPr>
        <w:pStyle w:val="BodyText"/>
        <w:spacing w:before="2"/>
        <w:rPr>
          <w:b/>
          <w:sz w:val="34"/>
        </w:rPr>
      </w:pPr>
    </w:p>
    <w:p>
      <w:pPr>
        <w:pStyle w:val="BodyText"/>
        <w:spacing w:line="360" w:lineRule="auto"/>
        <w:ind w:left="102" w:right="117"/>
        <w:jc w:val="both"/>
      </w:pPr>
      <w:r>
        <w:rPr/>
        <w:t>Se analizó financieramente la evolución y desempeño de las estrategias productivas, económicas y comerciales utilizadas por productores lecheros de pequeña en la zona peri- urbana de Texcoco, México. Para tal motivo, los datos económicos y productivos fueron obtenidos de 1023 lactancias en dos periodos, 2000 y 2012. Para determinar las variaciones entre los sistemas productivos, los productores fueron estratificados con una asignación Neyman en base a su tamaño de granja determinando tres estratos. Se utilizó la</w:t>
      </w:r>
      <w:r>
        <w:rPr>
          <w:spacing w:val="-23"/>
        </w:rPr>
        <w:t> </w:t>
      </w:r>
      <w:r>
        <w:rPr/>
        <w:t>metodología general</w:t>
      </w:r>
      <w:r>
        <w:rPr>
          <w:spacing w:val="-3"/>
        </w:rPr>
        <w:t> </w:t>
      </w:r>
      <w:r>
        <w:rPr/>
        <w:t>de</w:t>
      </w:r>
      <w:r>
        <w:rPr>
          <w:spacing w:val="-5"/>
        </w:rPr>
        <w:t> </w:t>
      </w:r>
      <w:r>
        <w:rPr/>
        <w:t>costos</w:t>
      </w:r>
      <w:r>
        <w:rPr>
          <w:spacing w:val="-3"/>
        </w:rPr>
        <w:t> </w:t>
      </w:r>
      <w:r>
        <w:rPr/>
        <w:t>para</w:t>
      </w:r>
      <w:r>
        <w:rPr>
          <w:spacing w:val="-3"/>
        </w:rPr>
        <w:t> </w:t>
      </w:r>
      <w:r>
        <w:rPr/>
        <w:t>establecer</w:t>
      </w:r>
      <w:r>
        <w:rPr>
          <w:spacing w:val="-5"/>
        </w:rPr>
        <w:t> </w:t>
      </w:r>
      <w:r>
        <w:rPr/>
        <w:t>las</w:t>
      </w:r>
      <w:r>
        <w:rPr>
          <w:spacing w:val="-4"/>
        </w:rPr>
        <w:t> </w:t>
      </w:r>
      <w:r>
        <w:rPr/>
        <w:t>estructuras</w:t>
      </w:r>
      <w:r>
        <w:rPr>
          <w:spacing w:val="-4"/>
        </w:rPr>
        <w:t> </w:t>
      </w:r>
      <w:r>
        <w:rPr/>
        <w:t>contables</w:t>
      </w:r>
      <w:r>
        <w:rPr>
          <w:spacing w:val="-4"/>
        </w:rPr>
        <w:t> </w:t>
      </w:r>
      <w:r>
        <w:rPr/>
        <w:t>de</w:t>
      </w:r>
      <w:r>
        <w:rPr>
          <w:spacing w:val="-5"/>
        </w:rPr>
        <w:t> </w:t>
      </w:r>
      <w:r>
        <w:rPr/>
        <w:t>los</w:t>
      </w:r>
      <w:r>
        <w:rPr>
          <w:spacing w:val="-3"/>
        </w:rPr>
        <w:t> </w:t>
      </w:r>
      <w:r>
        <w:rPr/>
        <w:t>sistemas</w:t>
      </w:r>
      <w:r>
        <w:rPr>
          <w:spacing w:val="-4"/>
        </w:rPr>
        <w:t> </w:t>
      </w:r>
      <w:r>
        <w:rPr/>
        <w:t>de</w:t>
      </w:r>
      <w:r>
        <w:rPr>
          <w:spacing w:val="-5"/>
        </w:rPr>
        <w:t> </w:t>
      </w:r>
      <w:r>
        <w:rPr/>
        <w:t>producción</w:t>
      </w:r>
      <w:r>
        <w:rPr>
          <w:spacing w:val="1"/>
        </w:rPr>
        <w:t> </w:t>
      </w:r>
      <w:r>
        <w:rPr/>
        <w:t>y</w:t>
      </w:r>
      <w:r>
        <w:rPr>
          <w:spacing w:val="-11"/>
        </w:rPr>
        <w:t> </w:t>
      </w:r>
      <w:r>
        <w:rPr/>
        <w:t>la metodología</w:t>
      </w:r>
      <w:r>
        <w:rPr>
          <w:spacing w:val="-5"/>
        </w:rPr>
        <w:t> </w:t>
      </w:r>
      <w:r>
        <w:rPr/>
        <w:t>financiera</w:t>
      </w:r>
      <w:r>
        <w:rPr>
          <w:spacing w:val="-7"/>
        </w:rPr>
        <w:t> </w:t>
      </w:r>
      <w:r>
        <w:rPr/>
        <w:t>de</w:t>
      </w:r>
      <w:r>
        <w:rPr>
          <w:spacing w:val="-8"/>
        </w:rPr>
        <w:t> </w:t>
      </w:r>
      <w:r>
        <w:rPr/>
        <w:t>reajustabilidad</w:t>
      </w:r>
      <w:r>
        <w:rPr>
          <w:spacing w:val="-8"/>
        </w:rPr>
        <w:t> </w:t>
      </w:r>
      <w:r>
        <w:rPr/>
        <w:t>de</w:t>
      </w:r>
      <w:r>
        <w:rPr>
          <w:spacing w:val="-6"/>
        </w:rPr>
        <w:t> </w:t>
      </w:r>
      <w:r>
        <w:rPr/>
        <w:t>valores</w:t>
      </w:r>
      <w:r>
        <w:rPr>
          <w:spacing w:val="-7"/>
        </w:rPr>
        <w:t> </w:t>
      </w:r>
      <w:r>
        <w:rPr/>
        <w:t>mediante</w:t>
      </w:r>
      <w:r>
        <w:rPr>
          <w:spacing w:val="-6"/>
        </w:rPr>
        <w:t> </w:t>
      </w:r>
      <w:r>
        <w:rPr/>
        <w:t>la</w:t>
      </w:r>
      <w:r>
        <w:rPr>
          <w:spacing w:val="-5"/>
        </w:rPr>
        <w:t> </w:t>
      </w:r>
      <w:r>
        <w:rPr/>
        <w:t>construcción</w:t>
      </w:r>
      <w:r>
        <w:rPr>
          <w:spacing w:val="-7"/>
        </w:rPr>
        <w:t> </w:t>
      </w:r>
      <w:r>
        <w:rPr/>
        <w:t>de</w:t>
      </w:r>
      <w:r>
        <w:rPr>
          <w:spacing w:val="-8"/>
        </w:rPr>
        <w:t> </w:t>
      </w:r>
      <w:r>
        <w:rPr/>
        <w:t>deflactores usando</w:t>
      </w:r>
      <w:r>
        <w:rPr>
          <w:spacing w:val="-12"/>
        </w:rPr>
        <w:t> </w:t>
      </w:r>
      <w:r>
        <w:rPr/>
        <w:t>la</w:t>
      </w:r>
      <w:r>
        <w:rPr>
          <w:spacing w:val="-13"/>
        </w:rPr>
        <w:t> </w:t>
      </w:r>
      <w:r>
        <w:rPr/>
        <w:t>variación</w:t>
      </w:r>
      <w:r>
        <w:rPr>
          <w:spacing w:val="-12"/>
        </w:rPr>
        <w:t> </w:t>
      </w:r>
      <w:r>
        <w:rPr/>
        <w:t>del</w:t>
      </w:r>
      <w:r>
        <w:rPr>
          <w:spacing w:val="-9"/>
        </w:rPr>
        <w:t> </w:t>
      </w:r>
      <w:r>
        <w:rPr/>
        <w:t>INPC,</w:t>
      </w:r>
      <w:r>
        <w:rPr>
          <w:spacing w:val="-12"/>
        </w:rPr>
        <w:t> </w:t>
      </w:r>
      <w:r>
        <w:rPr/>
        <w:t>que</w:t>
      </w:r>
      <w:r>
        <w:rPr>
          <w:spacing w:val="-13"/>
        </w:rPr>
        <w:t> </w:t>
      </w:r>
      <w:r>
        <w:rPr/>
        <w:t>permitió</w:t>
      </w:r>
      <w:r>
        <w:rPr>
          <w:spacing w:val="-12"/>
        </w:rPr>
        <w:t> </w:t>
      </w:r>
      <w:r>
        <w:rPr/>
        <w:t>determinar</w:t>
      </w:r>
      <w:r>
        <w:rPr>
          <w:spacing w:val="-13"/>
        </w:rPr>
        <w:t> </w:t>
      </w:r>
      <w:r>
        <w:rPr/>
        <w:t>los</w:t>
      </w:r>
      <w:r>
        <w:rPr>
          <w:spacing w:val="-11"/>
        </w:rPr>
        <w:t> </w:t>
      </w:r>
      <w:r>
        <w:rPr/>
        <w:t>ajustes</w:t>
      </w:r>
      <w:r>
        <w:rPr>
          <w:spacing w:val="-12"/>
        </w:rPr>
        <w:t> </w:t>
      </w:r>
      <w:r>
        <w:rPr/>
        <w:t>en</w:t>
      </w:r>
      <w:r>
        <w:rPr>
          <w:spacing w:val="-12"/>
        </w:rPr>
        <w:t> </w:t>
      </w:r>
      <w:r>
        <w:rPr/>
        <w:t>costos</w:t>
      </w:r>
      <w:r>
        <w:rPr>
          <w:spacing w:val="-11"/>
        </w:rPr>
        <w:t> </w:t>
      </w:r>
      <w:r>
        <w:rPr/>
        <w:t>en</w:t>
      </w:r>
      <w:r>
        <w:rPr>
          <w:spacing w:val="-12"/>
        </w:rPr>
        <w:t> </w:t>
      </w:r>
      <w:r>
        <w:rPr/>
        <w:t>el</w:t>
      </w:r>
      <w:r>
        <w:rPr>
          <w:spacing w:val="-12"/>
        </w:rPr>
        <w:t> </w:t>
      </w:r>
      <w:r>
        <w:rPr/>
        <w:t>tiempo</w:t>
      </w:r>
      <w:r>
        <w:rPr>
          <w:spacing w:val="-12"/>
        </w:rPr>
        <w:t> </w:t>
      </w:r>
      <w:r>
        <w:rPr/>
        <w:t>para realizar</w:t>
      </w:r>
      <w:r>
        <w:rPr>
          <w:spacing w:val="-18"/>
        </w:rPr>
        <w:t> </w:t>
      </w:r>
      <w:r>
        <w:rPr/>
        <w:t>la</w:t>
      </w:r>
      <w:r>
        <w:rPr>
          <w:spacing w:val="-17"/>
        </w:rPr>
        <w:t> </w:t>
      </w:r>
      <w:r>
        <w:rPr/>
        <w:t>comparación</w:t>
      </w:r>
      <w:r>
        <w:rPr>
          <w:spacing w:val="-16"/>
        </w:rPr>
        <w:t> </w:t>
      </w:r>
      <w:r>
        <w:rPr/>
        <w:t>en</w:t>
      </w:r>
      <w:r>
        <w:rPr>
          <w:spacing w:val="-17"/>
        </w:rPr>
        <w:t> </w:t>
      </w:r>
      <w:r>
        <w:rPr/>
        <w:t>términos</w:t>
      </w:r>
      <w:r>
        <w:rPr>
          <w:spacing w:val="-17"/>
        </w:rPr>
        <w:t> </w:t>
      </w:r>
      <w:r>
        <w:rPr/>
        <w:t>económicos.</w:t>
      </w:r>
      <w:r>
        <w:rPr>
          <w:spacing w:val="-17"/>
        </w:rPr>
        <w:t> </w:t>
      </w:r>
      <w:r>
        <w:rPr/>
        <w:t>Se</w:t>
      </w:r>
      <w:r>
        <w:rPr>
          <w:spacing w:val="-18"/>
        </w:rPr>
        <w:t> </w:t>
      </w:r>
      <w:r>
        <w:rPr/>
        <w:t>presenta</w:t>
      </w:r>
      <w:r>
        <w:rPr>
          <w:spacing w:val="-15"/>
        </w:rPr>
        <w:t> </w:t>
      </w:r>
      <w:r>
        <w:rPr/>
        <w:t>evidencia</w:t>
      </w:r>
      <w:r>
        <w:rPr>
          <w:spacing w:val="-15"/>
        </w:rPr>
        <w:t> </w:t>
      </w:r>
      <w:r>
        <w:rPr/>
        <w:t>que</w:t>
      </w:r>
      <w:r>
        <w:rPr>
          <w:spacing w:val="-18"/>
        </w:rPr>
        <w:t> </w:t>
      </w:r>
      <w:r>
        <w:rPr/>
        <w:t>entre</w:t>
      </w:r>
      <w:r>
        <w:rPr>
          <w:spacing w:val="-18"/>
        </w:rPr>
        <w:t> </w:t>
      </w:r>
      <w:r>
        <w:rPr/>
        <w:t>los</w:t>
      </w:r>
      <w:r>
        <w:rPr>
          <w:spacing w:val="-16"/>
        </w:rPr>
        <w:t> </w:t>
      </w:r>
      <w:r>
        <w:rPr/>
        <w:t>periodos productivos 2000 y 2012, el grupo de productores ubicados en el estrato </w:t>
      </w:r>
      <w:r>
        <w:rPr>
          <w:spacing w:val="-3"/>
        </w:rPr>
        <w:t>I, </w:t>
      </w:r>
      <w:r>
        <w:rPr/>
        <w:t>definió como estrategias, una nula participación de mano de obra eventual y contratada, así como la independencia en la compra de insumos (ya que este estrato produce 90% de sus insumos), el estrato II, disminuyó 3 de los 4 principales rubros del costo total de producción (alimentación,</w:t>
      </w:r>
      <w:r>
        <w:rPr>
          <w:spacing w:val="-6"/>
        </w:rPr>
        <w:t> </w:t>
      </w:r>
      <w:r>
        <w:rPr/>
        <w:t>medicamentos</w:t>
      </w:r>
      <w:r>
        <w:rPr>
          <w:spacing w:val="-3"/>
        </w:rPr>
        <w:t> </w:t>
      </w:r>
      <w:r>
        <w:rPr/>
        <w:t>y</w:t>
      </w:r>
      <w:r>
        <w:rPr>
          <w:spacing w:val="-11"/>
        </w:rPr>
        <w:t> </w:t>
      </w:r>
      <w:r>
        <w:rPr/>
        <w:t>servicio</w:t>
      </w:r>
      <w:r>
        <w:rPr>
          <w:spacing w:val="-6"/>
        </w:rPr>
        <w:t> </w:t>
      </w:r>
      <w:r>
        <w:rPr/>
        <w:t>reproductivo)</w:t>
      </w:r>
      <w:r>
        <w:rPr>
          <w:spacing w:val="-7"/>
        </w:rPr>
        <w:t> </w:t>
      </w:r>
      <w:r>
        <w:rPr/>
        <w:t>e</w:t>
      </w:r>
      <w:r>
        <w:rPr>
          <w:spacing w:val="-7"/>
        </w:rPr>
        <w:t> </w:t>
      </w:r>
      <w:r>
        <w:rPr/>
        <w:t>incrementó</w:t>
      </w:r>
      <w:r>
        <w:rPr>
          <w:spacing w:val="-6"/>
        </w:rPr>
        <w:t> </w:t>
      </w:r>
      <w:r>
        <w:rPr/>
        <w:t>la</w:t>
      </w:r>
      <w:r>
        <w:rPr>
          <w:spacing w:val="-7"/>
        </w:rPr>
        <w:t> </w:t>
      </w:r>
      <w:r>
        <w:rPr/>
        <w:t>utilidad</w:t>
      </w:r>
      <w:r>
        <w:rPr>
          <w:spacing w:val="-6"/>
        </w:rPr>
        <w:t> </w:t>
      </w:r>
      <w:r>
        <w:rPr/>
        <w:t>promedio</w:t>
      </w:r>
      <w:r>
        <w:rPr>
          <w:spacing w:val="-6"/>
        </w:rPr>
        <w:t> </w:t>
      </w:r>
      <w:r>
        <w:rPr/>
        <w:t>por litro de leche ($2.00) con estrategias comerciales de venta, el estrato III definió como estrategias, el aumento de productividad (59%), la disminución en costo (29%) del</w:t>
      </w:r>
      <w:r>
        <w:rPr>
          <w:spacing w:val="-22"/>
        </w:rPr>
        <w:t> </w:t>
      </w:r>
      <w:r>
        <w:rPr/>
        <w:t>principal insumo (alimento) en la dieta, y el aprovechamiento de la escala productiva para obtener la mayor entrada de ingresos por unidad</w:t>
      </w:r>
      <w:r>
        <w:rPr>
          <w:spacing w:val="-8"/>
        </w:rPr>
        <w:t> </w:t>
      </w:r>
      <w:r>
        <w:rPr/>
        <w:t>productiva.</w:t>
      </w:r>
    </w:p>
    <w:p>
      <w:pPr>
        <w:pStyle w:val="BodyText"/>
      </w:pPr>
    </w:p>
    <w:p>
      <w:pPr>
        <w:pStyle w:val="BodyText"/>
      </w:pPr>
    </w:p>
    <w:p>
      <w:pPr>
        <w:pStyle w:val="BodyText"/>
        <w:spacing w:before="3"/>
        <w:rPr>
          <w:sz w:val="23"/>
        </w:rPr>
      </w:pPr>
    </w:p>
    <w:p>
      <w:pPr>
        <w:pStyle w:val="BodyText"/>
        <w:spacing w:line="360" w:lineRule="auto"/>
        <w:ind w:left="102" w:right="118"/>
        <w:jc w:val="both"/>
      </w:pPr>
      <w:r>
        <w:rPr>
          <w:b/>
        </w:rPr>
        <w:t>Palabras</w:t>
      </w:r>
      <w:r>
        <w:rPr>
          <w:b/>
          <w:spacing w:val="-17"/>
        </w:rPr>
        <w:t> </w:t>
      </w:r>
      <w:r>
        <w:rPr>
          <w:b/>
        </w:rPr>
        <w:t>clave</w:t>
      </w:r>
      <w:r>
        <w:rPr/>
        <w:t>.</w:t>
      </w:r>
      <w:r>
        <w:rPr>
          <w:spacing w:val="-17"/>
        </w:rPr>
        <w:t> </w:t>
      </w:r>
      <w:r>
        <w:rPr/>
        <w:t>Costos</w:t>
      </w:r>
      <w:r>
        <w:rPr>
          <w:spacing w:val="-16"/>
        </w:rPr>
        <w:t> </w:t>
      </w:r>
      <w:r>
        <w:rPr/>
        <w:t>de</w:t>
      </w:r>
      <w:r>
        <w:rPr>
          <w:spacing w:val="-18"/>
        </w:rPr>
        <w:t> </w:t>
      </w:r>
      <w:r>
        <w:rPr/>
        <w:t>producción,</w:t>
      </w:r>
      <w:r>
        <w:rPr>
          <w:spacing w:val="-16"/>
        </w:rPr>
        <w:t> </w:t>
      </w:r>
      <w:r>
        <w:rPr/>
        <w:t>estrategias</w:t>
      </w:r>
      <w:r>
        <w:rPr>
          <w:spacing w:val="-14"/>
        </w:rPr>
        <w:t> </w:t>
      </w:r>
      <w:r>
        <w:rPr/>
        <w:t>económicas,</w:t>
      </w:r>
      <w:r>
        <w:rPr>
          <w:spacing w:val="-17"/>
        </w:rPr>
        <w:t> </w:t>
      </w:r>
      <w:r>
        <w:rPr/>
        <w:t>insumos</w:t>
      </w:r>
      <w:r>
        <w:rPr>
          <w:spacing w:val="-17"/>
        </w:rPr>
        <w:t> </w:t>
      </w:r>
      <w:r>
        <w:rPr/>
        <w:t>productivos,</w:t>
      </w:r>
      <w:r>
        <w:rPr>
          <w:spacing w:val="-17"/>
        </w:rPr>
        <w:t> </w:t>
      </w:r>
      <w:r>
        <w:rPr/>
        <w:t>política económica, producción de</w:t>
      </w:r>
      <w:r>
        <w:rPr>
          <w:spacing w:val="-8"/>
        </w:rPr>
        <w:t> </w:t>
      </w:r>
      <w:r>
        <w:rPr/>
        <w:t>leche.</w:t>
      </w:r>
    </w:p>
    <w:p>
      <w:pPr>
        <w:spacing w:after="0" w:line="360" w:lineRule="auto"/>
        <w:jc w:val="both"/>
        <w:sectPr>
          <w:pgSz w:w="12240" w:h="15840"/>
          <w:pgMar w:header="0" w:footer="657" w:top="1360" w:bottom="840" w:left="1600" w:right="1580"/>
        </w:sectPr>
      </w:pPr>
    </w:p>
    <w:p>
      <w:pPr>
        <w:pStyle w:val="Heading1"/>
      </w:pPr>
      <w:r>
        <w:rPr/>
        <w:t>Abstract</w:t>
      </w:r>
    </w:p>
    <w:p>
      <w:pPr>
        <w:pStyle w:val="BodyText"/>
        <w:rPr>
          <w:b/>
        </w:rPr>
      </w:pPr>
    </w:p>
    <w:p>
      <w:pPr>
        <w:pStyle w:val="BodyText"/>
        <w:spacing w:before="7"/>
        <w:rPr>
          <w:b/>
          <w:sz w:val="23"/>
        </w:rPr>
      </w:pPr>
    </w:p>
    <w:p>
      <w:pPr>
        <w:pStyle w:val="BodyText"/>
        <w:spacing w:line="360" w:lineRule="auto"/>
        <w:ind w:left="102" w:right="116"/>
        <w:jc w:val="both"/>
      </w:pPr>
      <w:r>
        <w:rPr/>
        <w:t>Evolution and performance of the strategies used by small dairy farmers in peri-urban scale of</w:t>
      </w:r>
      <w:r>
        <w:rPr>
          <w:spacing w:val="-9"/>
        </w:rPr>
        <w:t> </w:t>
      </w:r>
      <w:r>
        <w:rPr/>
        <w:t>Texcoco</w:t>
      </w:r>
      <w:r>
        <w:rPr>
          <w:spacing w:val="-9"/>
        </w:rPr>
        <w:t> </w:t>
      </w:r>
      <w:r>
        <w:rPr/>
        <w:t>Mexico</w:t>
      </w:r>
      <w:r>
        <w:rPr>
          <w:spacing w:val="-9"/>
        </w:rPr>
        <w:t> </w:t>
      </w:r>
      <w:r>
        <w:rPr/>
        <w:t>was</w:t>
      </w:r>
      <w:r>
        <w:rPr>
          <w:spacing w:val="-8"/>
        </w:rPr>
        <w:t> </w:t>
      </w:r>
      <w:r>
        <w:rPr/>
        <w:t>Financially</w:t>
      </w:r>
      <w:r>
        <w:rPr>
          <w:spacing w:val="-13"/>
        </w:rPr>
        <w:t> </w:t>
      </w:r>
      <w:r>
        <w:rPr/>
        <w:t>analyzed.</w:t>
      </w:r>
      <w:r>
        <w:rPr>
          <w:spacing w:val="-9"/>
        </w:rPr>
        <w:t> </w:t>
      </w:r>
      <w:r>
        <w:rPr/>
        <w:t>For</w:t>
      </w:r>
      <w:r>
        <w:rPr>
          <w:spacing w:val="-7"/>
        </w:rPr>
        <w:t> </w:t>
      </w:r>
      <w:r>
        <w:rPr/>
        <w:t>this</w:t>
      </w:r>
      <w:r>
        <w:rPr>
          <w:spacing w:val="-8"/>
        </w:rPr>
        <w:t> </w:t>
      </w:r>
      <w:r>
        <w:rPr/>
        <w:t>reason,</w:t>
      </w:r>
      <w:r>
        <w:rPr>
          <w:spacing w:val="-8"/>
        </w:rPr>
        <w:t> </w:t>
      </w:r>
      <w:r>
        <w:rPr/>
        <w:t>economic</w:t>
      </w:r>
      <w:r>
        <w:rPr>
          <w:spacing w:val="-10"/>
        </w:rPr>
        <w:t> </w:t>
      </w:r>
      <w:r>
        <w:rPr/>
        <w:t>and</w:t>
      </w:r>
      <w:r>
        <w:rPr>
          <w:spacing w:val="-9"/>
        </w:rPr>
        <w:t> </w:t>
      </w:r>
      <w:r>
        <w:rPr/>
        <w:t>production</w:t>
      </w:r>
      <w:r>
        <w:rPr>
          <w:spacing w:val="-9"/>
        </w:rPr>
        <w:t> </w:t>
      </w:r>
      <w:r>
        <w:rPr/>
        <w:t>data were obtained from 1023 lactations in two periods, 2000 and 2012. To determine small variations between production system, farmers were stratified with a Neyman allocation based</w:t>
      </w:r>
      <w:r>
        <w:rPr>
          <w:spacing w:val="-4"/>
        </w:rPr>
        <w:t> </w:t>
      </w:r>
      <w:r>
        <w:rPr/>
        <w:t>on</w:t>
      </w:r>
      <w:r>
        <w:rPr>
          <w:spacing w:val="-4"/>
        </w:rPr>
        <w:t> </w:t>
      </w:r>
      <w:r>
        <w:rPr/>
        <w:t>farm</w:t>
      </w:r>
      <w:r>
        <w:rPr>
          <w:spacing w:val="-4"/>
        </w:rPr>
        <w:t> </w:t>
      </w:r>
      <w:r>
        <w:rPr/>
        <w:t>size</w:t>
      </w:r>
      <w:r>
        <w:rPr>
          <w:spacing w:val="-5"/>
        </w:rPr>
        <w:t> </w:t>
      </w:r>
      <w:r>
        <w:rPr/>
        <w:t>determining</w:t>
      </w:r>
      <w:r>
        <w:rPr>
          <w:spacing w:val="-6"/>
        </w:rPr>
        <w:t> </w:t>
      </w:r>
      <w:r>
        <w:rPr/>
        <w:t>three</w:t>
      </w:r>
      <w:r>
        <w:rPr>
          <w:spacing w:val="-3"/>
        </w:rPr>
        <w:t> </w:t>
      </w:r>
      <w:r>
        <w:rPr/>
        <w:t>strata.</w:t>
      </w:r>
      <w:r>
        <w:rPr>
          <w:spacing w:val="-4"/>
        </w:rPr>
        <w:t> </w:t>
      </w:r>
      <w:r>
        <w:rPr/>
        <w:t>Cost</w:t>
      </w:r>
      <w:r>
        <w:rPr>
          <w:spacing w:val="-1"/>
        </w:rPr>
        <w:t> </w:t>
      </w:r>
      <w:r>
        <w:rPr/>
        <w:t>general</w:t>
      </w:r>
      <w:r>
        <w:rPr>
          <w:spacing w:val="-3"/>
        </w:rPr>
        <w:t> </w:t>
      </w:r>
      <w:r>
        <w:rPr/>
        <w:t>methodology</w:t>
      </w:r>
      <w:r>
        <w:rPr>
          <w:spacing w:val="-6"/>
        </w:rPr>
        <w:t> </w:t>
      </w:r>
      <w:r>
        <w:rPr/>
        <w:t>was</w:t>
      </w:r>
      <w:r>
        <w:rPr>
          <w:spacing w:val="-4"/>
        </w:rPr>
        <w:t> </w:t>
      </w:r>
      <w:r>
        <w:rPr/>
        <w:t>used</w:t>
      </w:r>
      <w:r>
        <w:rPr>
          <w:spacing w:val="-4"/>
        </w:rPr>
        <w:t> </w:t>
      </w:r>
      <w:r>
        <w:rPr/>
        <w:t>to</w:t>
      </w:r>
      <w:r>
        <w:rPr>
          <w:spacing w:val="-3"/>
        </w:rPr>
        <w:t> </w:t>
      </w:r>
      <w:r>
        <w:rPr/>
        <w:t>establish cost</w:t>
      </w:r>
      <w:r>
        <w:rPr>
          <w:spacing w:val="-6"/>
        </w:rPr>
        <w:t> </w:t>
      </w:r>
      <w:r>
        <w:rPr/>
        <w:t>accounting</w:t>
      </w:r>
      <w:r>
        <w:rPr>
          <w:spacing w:val="-9"/>
        </w:rPr>
        <w:t> </w:t>
      </w:r>
      <w:r>
        <w:rPr/>
        <w:t>structures</w:t>
      </w:r>
      <w:r>
        <w:rPr>
          <w:spacing w:val="-6"/>
        </w:rPr>
        <w:t> </w:t>
      </w:r>
      <w:r>
        <w:rPr/>
        <w:t>of</w:t>
      </w:r>
      <w:r>
        <w:rPr>
          <w:spacing w:val="-7"/>
        </w:rPr>
        <w:t> </w:t>
      </w:r>
      <w:r>
        <w:rPr/>
        <w:t>production</w:t>
      </w:r>
      <w:r>
        <w:rPr>
          <w:spacing w:val="-6"/>
        </w:rPr>
        <w:t> </w:t>
      </w:r>
      <w:r>
        <w:rPr/>
        <w:t>systems</w:t>
      </w:r>
      <w:r>
        <w:rPr>
          <w:spacing w:val="-6"/>
        </w:rPr>
        <w:t> </w:t>
      </w:r>
      <w:r>
        <w:rPr/>
        <w:t>and</w:t>
      </w:r>
      <w:r>
        <w:rPr>
          <w:spacing w:val="-6"/>
        </w:rPr>
        <w:t> </w:t>
      </w:r>
      <w:r>
        <w:rPr/>
        <w:t>financial</w:t>
      </w:r>
      <w:r>
        <w:rPr>
          <w:spacing w:val="-6"/>
        </w:rPr>
        <w:t> </w:t>
      </w:r>
      <w:r>
        <w:rPr/>
        <w:t>methodology</w:t>
      </w:r>
      <w:r>
        <w:rPr>
          <w:spacing w:val="-9"/>
        </w:rPr>
        <w:t> </w:t>
      </w:r>
      <w:r>
        <w:rPr/>
        <w:t>of</w:t>
      </w:r>
      <w:r>
        <w:rPr>
          <w:spacing w:val="-7"/>
        </w:rPr>
        <w:t> </w:t>
      </w:r>
      <w:r>
        <w:rPr/>
        <w:t>indexation</w:t>
      </w:r>
      <w:r>
        <w:rPr>
          <w:spacing w:val="-6"/>
        </w:rPr>
        <w:t> </w:t>
      </w:r>
      <w:r>
        <w:rPr/>
        <w:t>of values</w:t>
      </w:r>
      <w:r>
        <w:rPr>
          <w:spacing w:val="-11"/>
        </w:rPr>
        <w:t> </w:t>
      </w:r>
      <w:r>
        <w:rPr/>
        <w:t>using</w:t>
      </w:r>
      <w:r>
        <w:rPr>
          <w:spacing w:val="-13"/>
        </w:rPr>
        <w:t> </w:t>
      </w:r>
      <w:r>
        <w:rPr/>
        <w:t>the</w:t>
      </w:r>
      <w:r>
        <w:rPr>
          <w:spacing w:val="-9"/>
        </w:rPr>
        <w:t> </w:t>
      </w:r>
      <w:r>
        <w:rPr/>
        <w:t>INPC</w:t>
      </w:r>
      <w:r>
        <w:rPr>
          <w:spacing w:val="-10"/>
        </w:rPr>
        <w:t> </w:t>
      </w:r>
      <w:r>
        <w:rPr/>
        <w:t>variation,</w:t>
      </w:r>
      <w:r>
        <w:rPr>
          <w:spacing w:val="-11"/>
        </w:rPr>
        <w:t> </w:t>
      </w:r>
      <w:r>
        <w:rPr/>
        <w:t>which</w:t>
      </w:r>
      <w:r>
        <w:rPr>
          <w:spacing w:val="-11"/>
        </w:rPr>
        <w:t> </w:t>
      </w:r>
      <w:r>
        <w:rPr/>
        <w:t>allowed</w:t>
      </w:r>
      <w:r>
        <w:rPr>
          <w:spacing w:val="-11"/>
        </w:rPr>
        <w:t> </w:t>
      </w:r>
      <w:r>
        <w:rPr/>
        <w:t>to</w:t>
      </w:r>
      <w:r>
        <w:rPr>
          <w:spacing w:val="-11"/>
        </w:rPr>
        <w:t> </w:t>
      </w:r>
      <w:r>
        <w:rPr/>
        <w:t>determine</w:t>
      </w:r>
      <w:r>
        <w:rPr>
          <w:spacing w:val="-12"/>
        </w:rPr>
        <w:t> </w:t>
      </w:r>
      <w:r>
        <w:rPr/>
        <w:t>the</w:t>
      </w:r>
      <w:r>
        <w:rPr>
          <w:spacing w:val="-12"/>
        </w:rPr>
        <w:t> </w:t>
      </w:r>
      <w:r>
        <w:rPr/>
        <w:t>adjustments</w:t>
      </w:r>
      <w:r>
        <w:rPr>
          <w:spacing w:val="-11"/>
        </w:rPr>
        <w:t> </w:t>
      </w:r>
      <w:r>
        <w:rPr/>
        <w:t>taken</w:t>
      </w:r>
      <w:r>
        <w:rPr>
          <w:spacing w:val="-11"/>
        </w:rPr>
        <w:t> </w:t>
      </w:r>
      <w:r>
        <w:rPr/>
        <w:t>over</w:t>
      </w:r>
      <w:r>
        <w:rPr>
          <w:spacing w:val="-12"/>
        </w:rPr>
        <w:t> </w:t>
      </w:r>
      <w:r>
        <w:rPr/>
        <w:t>time by producers. We present evidence that in the period under review the group of producers located</w:t>
      </w:r>
      <w:r>
        <w:rPr>
          <w:spacing w:val="-12"/>
        </w:rPr>
        <w:t> </w:t>
      </w:r>
      <w:r>
        <w:rPr/>
        <w:t>in</w:t>
      </w:r>
      <w:r>
        <w:rPr>
          <w:spacing w:val="-11"/>
        </w:rPr>
        <w:t> </w:t>
      </w:r>
      <w:r>
        <w:rPr/>
        <w:t>stratum</w:t>
      </w:r>
      <w:r>
        <w:rPr>
          <w:spacing w:val="-8"/>
        </w:rPr>
        <w:t> </w:t>
      </w:r>
      <w:r>
        <w:rPr/>
        <w:t>I,</w:t>
      </w:r>
      <w:r>
        <w:rPr>
          <w:spacing w:val="-11"/>
        </w:rPr>
        <w:t> </w:t>
      </w:r>
      <w:r>
        <w:rPr/>
        <w:t>defined</w:t>
      </w:r>
      <w:r>
        <w:rPr>
          <w:spacing w:val="-11"/>
        </w:rPr>
        <w:t> </w:t>
      </w:r>
      <w:r>
        <w:rPr/>
        <w:t>as</w:t>
      </w:r>
      <w:r>
        <w:rPr>
          <w:spacing w:val="-11"/>
        </w:rPr>
        <w:t> </w:t>
      </w:r>
      <w:r>
        <w:rPr/>
        <w:t>strategies,</w:t>
      </w:r>
      <w:r>
        <w:rPr>
          <w:spacing w:val="-11"/>
        </w:rPr>
        <w:t> </w:t>
      </w:r>
      <w:r>
        <w:rPr/>
        <w:t>not</w:t>
      </w:r>
      <w:r>
        <w:rPr>
          <w:spacing w:val="-11"/>
        </w:rPr>
        <w:t> </w:t>
      </w:r>
      <w:r>
        <w:rPr/>
        <w:t>to</w:t>
      </w:r>
      <w:r>
        <w:rPr>
          <w:spacing w:val="-11"/>
        </w:rPr>
        <w:t> </w:t>
      </w:r>
      <w:r>
        <w:rPr/>
        <w:t>contract</w:t>
      </w:r>
      <w:r>
        <w:rPr>
          <w:spacing w:val="-11"/>
        </w:rPr>
        <w:t> </w:t>
      </w:r>
      <w:r>
        <w:rPr/>
        <w:t>eventual</w:t>
      </w:r>
      <w:r>
        <w:rPr>
          <w:spacing w:val="-11"/>
        </w:rPr>
        <w:t> </w:t>
      </w:r>
      <w:r>
        <w:rPr/>
        <w:t>neither</w:t>
      </w:r>
      <w:r>
        <w:rPr>
          <w:spacing w:val="-12"/>
        </w:rPr>
        <w:t> </w:t>
      </w:r>
      <w:r>
        <w:rPr/>
        <w:t>definitive</w:t>
      </w:r>
      <w:r>
        <w:rPr>
          <w:spacing w:val="-12"/>
        </w:rPr>
        <w:t> </w:t>
      </w:r>
      <w:r>
        <w:rPr/>
        <w:t>labor</w:t>
      </w:r>
      <w:r>
        <w:rPr>
          <w:spacing w:val="-12"/>
        </w:rPr>
        <w:t> </w:t>
      </w:r>
      <w:r>
        <w:rPr/>
        <w:t>and their independence in the purchase of inputs (as this stratum produces 90% of its inputs), stratum </w:t>
      </w:r>
      <w:r>
        <w:rPr>
          <w:spacing w:val="-3"/>
        </w:rPr>
        <w:t>II, </w:t>
      </w:r>
      <w:r>
        <w:rPr/>
        <w:t>declined 3 of the 4 main items of the total cost of production (food, medicine</w:t>
      </w:r>
      <w:r>
        <w:rPr>
          <w:spacing w:val="-18"/>
        </w:rPr>
        <w:t> </w:t>
      </w:r>
      <w:r>
        <w:rPr/>
        <w:t>and service reproductive) and increased the average profit per liter of milk sold ($ 2.00), the stratum III defined as strategies, increased productivity (59%), the decrease in production cost (29%) of the major input (food) in the diet and used more milk produced in</w:t>
      </w:r>
      <w:r>
        <w:rPr>
          <w:spacing w:val="-11"/>
        </w:rPr>
        <w:t> </w:t>
      </w:r>
      <w:r>
        <w:rPr/>
        <w:t>market.</w:t>
      </w:r>
    </w:p>
    <w:p>
      <w:pPr>
        <w:pStyle w:val="BodyText"/>
      </w:pPr>
    </w:p>
    <w:p>
      <w:pPr>
        <w:pStyle w:val="BodyText"/>
        <w:spacing w:line="360" w:lineRule="auto" w:before="143"/>
        <w:ind w:left="102" w:right="119"/>
        <w:jc w:val="both"/>
      </w:pPr>
      <w:r>
        <w:rPr>
          <w:b/>
        </w:rPr>
        <w:t>Key</w:t>
      </w:r>
      <w:r>
        <w:rPr>
          <w:b/>
          <w:spacing w:val="-10"/>
        </w:rPr>
        <w:t> </w:t>
      </w:r>
      <w:r>
        <w:rPr>
          <w:b/>
        </w:rPr>
        <w:t>words:</w:t>
      </w:r>
      <w:r>
        <w:rPr>
          <w:b/>
          <w:spacing w:val="-10"/>
        </w:rPr>
        <w:t> </w:t>
      </w:r>
      <w:r>
        <w:rPr/>
        <w:t>Production</w:t>
      </w:r>
      <w:r>
        <w:rPr>
          <w:spacing w:val="-10"/>
        </w:rPr>
        <w:t> </w:t>
      </w:r>
      <w:r>
        <w:rPr/>
        <w:t>costs,</w:t>
      </w:r>
      <w:r>
        <w:rPr>
          <w:spacing w:val="-10"/>
        </w:rPr>
        <w:t> </w:t>
      </w:r>
      <w:r>
        <w:rPr/>
        <w:t>economic</w:t>
      </w:r>
      <w:r>
        <w:rPr>
          <w:spacing w:val="-11"/>
        </w:rPr>
        <w:t> </w:t>
      </w:r>
      <w:r>
        <w:rPr/>
        <w:t>strategies,</w:t>
      </w:r>
      <w:r>
        <w:rPr>
          <w:spacing w:val="-9"/>
        </w:rPr>
        <w:t> </w:t>
      </w:r>
      <w:r>
        <w:rPr/>
        <w:t>productive</w:t>
      </w:r>
      <w:r>
        <w:rPr>
          <w:spacing w:val="-11"/>
        </w:rPr>
        <w:t> </w:t>
      </w:r>
      <w:r>
        <w:rPr/>
        <w:t>inputs,</w:t>
      </w:r>
      <w:r>
        <w:rPr>
          <w:spacing w:val="-9"/>
        </w:rPr>
        <w:t> </w:t>
      </w:r>
      <w:r>
        <w:rPr/>
        <w:t>economic</w:t>
      </w:r>
      <w:r>
        <w:rPr>
          <w:spacing w:val="-11"/>
        </w:rPr>
        <w:t> </w:t>
      </w:r>
      <w:r>
        <w:rPr/>
        <w:t>policy,</w:t>
      </w:r>
      <w:r>
        <w:rPr>
          <w:spacing w:val="-10"/>
        </w:rPr>
        <w:t> </w:t>
      </w:r>
      <w:r>
        <w:rPr/>
        <w:t>milk production.</w:t>
      </w:r>
    </w:p>
    <w:p>
      <w:pPr>
        <w:spacing w:after="0" w:line="360" w:lineRule="auto"/>
        <w:jc w:val="both"/>
        <w:sectPr>
          <w:pgSz w:w="12240" w:h="15840"/>
          <w:pgMar w:header="0" w:footer="657" w:top="1360" w:bottom="840" w:left="1600" w:right="1580"/>
        </w:sectPr>
      </w:pPr>
    </w:p>
    <w:p>
      <w:pPr>
        <w:pStyle w:val="Heading1"/>
      </w:pPr>
      <w:r>
        <w:rPr/>
        <w:t>Introducción</w:t>
      </w:r>
    </w:p>
    <w:p>
      <w:pPr>
        <w:pStyle w:val="BodyText"/>
        <w:rPr>
          <w:b/>
        </w:rPr>
      </w:pPr>
    </w:p>
    <w:p>
      <w:pPr>
        <w:pStyle w:val="BodyText"/>
        <w:rPr>
          <w:b/>
        </w:rPr>
      </w:pPr>
    </w:p>
    <w:p>
      <w:pPr>
        <w:pStyle w:val="BodyText"/>
        <w:spacing w:before="5"/>
        <w:rPr>
          <w:b/>
          <w:sz w:val="34"/>
        </w:rPr>
      </w:pPr>
    </w:p>
    <w:p>
      <w:pPr>
        <w:pStyle w:val="BodyText"/>
        <w:spacing w:line="360" w:lineRule="auto"/>
        <w:ind w:left="102" w:right="99"/>
        <w:jc w:val="both"/>
      </w:pPr>
      <w:r>
        <w:rPr/>
        <w:t>Para el año 2010 el sector pecuario en México aportó el 45% del valor de la producción agropecuaria (SIAP, 2011), siendo la producción de leche uno de los tres sistemas producto con mayor presencia y aporte económico (CANILEC, 2012a). Tan solo en 2010, de los 246 mil</w:t>
      </w:r>
      <w:r>
        <w:rPr>
          <w:spacing w:val="-8"/>
        </w:rPr>
        <w:t> </w:t>
      </w:r>
      <w:r>
        <w:rPr/>
        <w:t>millones</w:t>
      </w:r>
      <w:r>
        <w:rPr>
          <w:spacing w:val="-8"/>
        </w:rPr>
        <w:t> </w:t>
      </w:r>
      <w:r>
        <w:rPr/>
        <w:t>de</w:t>
      </w:r>
      <w:r>
        <w:rPr>
          <w:spacing w:val="-10"/>
        </w:rPr>
        <w:t> </w:t>
      </w:r>
      <w:r>
        <w:rPr/>
        <w:t>pesos</w:t>
      </w:r>
      <w:r>
        <w:rPr>
          <w:spacing w:val="-6"/>
        </w:rPr>
        <w:t> </w:t>
      </w:r>
      <w:r>
        <w:rPr/>
        <w:t>generados</w:t>
      </w:r>
      <w:r>
        <w:rPr>
          <w:spacing w:val="-8"/>
        </w:rPr>
        <w:t> </w:t>
      </w:r>
      <w:r>
        <w:rPr/>
        <w:t>por</w:t>
      </w:r>
      <w:r>
        <w:rPr>
          <w:spacing w:val="-9"/>
        </w:rPr>
        <w:t> </w:t>
      </w:r>
      <w:r>
        <w:rPr/>
        <w:t>los</w:t>
      </w:r>
      <w:r>
        <w:rPr>
          <w:spacing w:val="-8"/>
        </w:rPr>
        <w:t> </w:t>
      </w:r>
      <w:r>
        <w:rPr/>
        <w:t>tres</w:t>
      </w:r>
      <w:r>
        <w:rPr>
          <w:spacing w:val="-8"/>
        </w:rPr>
        <w:t> </w:t>
      </w:r>
      <w:r>
        <w:rPr/>
        <w:t>principales</w:t>
      </w:r>
      <w:r>
        <w:rPr>
          <w:spacing w:val="-8"/>
        </w:rPr>
        <w:t> </w:t>
      </w:r>
      <w:r>
        <w:rPr/>
        <w:t>sistemas</w:t>
      </w:r>
      <w:r>
        <w:rPr>
          <w:spacing w:val="-8"/>
        </w:rPr>
        <w:t> </w:t>
      </w:r>
      <w:r>
        <w:rPr/>
        <w:t>producto,</w:t>
      </w:r>
      <w:r>
        <w:rPr>
          <w:spacing w:val="-6"/>
        </w:rPr>
        <w:t> </w:t>
      </w:r>
      <w:r>
        <w:rPr/>
        <w:t>la</w:t>
      </w:r>
      <w:r>
        <w:rPr>
          <w:spacing w:val="-9"/>
        </w:rPr>
        <w:t> </w:t>
      </w:r>
      <w:r>
        <w:rPr/>
        <w:t>leche</w:t>
      </w:r>
      <w:r>
        <w:rPr>
          <w:spacing w:val="-10"/>
        </w:rPr>
        <w:t> </w:t>
      </w:r>
      <w:r>
        <w:rPr/>
        <w:t>participó con</w:t>
      </w:r>
      <w:r>
        <w:rPr>
          <w:spacing w:val="-13"/>
        </w:rPr>
        <w:t> </w:t>
      </w:r>
      <w:r>
        <w:rPr/>
        <w:t>el</w:t>
      </w:r>
      <w:r>
        <w:rPr>
          <w:spacing w:val="-11"/>
        </w:rPr>
        <w:t> </w:t>
      </w:r>
      <w:r>
        <w:rPr/>
        <w:t>21%,</w:t>
      </w:r>
      <w:r>
        <w:rPr>
          <w:spacing w:val="-13"/>
        </w:rPr>
        <w:t> </w:t>
      </w:r>
      <w:r>
        <w:rPr/>
        <w:t>la</w:t>
      </w:r>
      <w:r>
        <w:rPr>
          <w:spacing w:val="-14"/>
        </w:rPr>
        <w:t> </w:t>
      </w:r>
      <w:r>
        <w:rPr/>
        <w:t>carne</w:t>
      </w:r>
      <w:r>
        <w:rPr>
          <w:spacing w:val="-14"/>
        </w:rPr>
        <w:t> </w:t>
      </w:r>
      <w:r>
        <w:rPr/>
        <w:t>en</w:t>
      </w:r>
      <w:r>
        <w:rPr>
          <w:spacing w:val="-11"/>
        </w:rPr>
        <w:t> </w:t>
      </w:r>
      <w:r>
        <w:rPr/>
        <w:t>canal</w:t>
      </w:r>
      <w:r>
        <w:rPr>
          <w:spacing w:val="-13"/>
        </w:rPr>
        <w:t> </w:t>
      </w:r>
      <w:r>
        <w:rPr/>
        <w:t>con</w:t>
      </w:r>
      <w:r>
        <w:rPr>
          <w:spacing w:val="-11"/>
        </w:rPr>
        <w:t> </w:t>
      </w:r>
      <w:r>
        <w:rPr/>
        <w:t>el</w:t>
      </w:r>
      <w:r>
        <w:rPr>
          <w:spacing w:val="-13"/>
        </w:rPr>
        <w:t> </w:t>
      </w:r>
      <w:r>
        <w:rPr/>
        <w:t>66.5%</w:t>
      </w:r>
      <w:r>
        <w:rPr>
          <w:spacing w:val="-9"/>
        </w:rPr>
        <w:t> </w:t>
      </w:r>
      <w:r>
        <w:rPr/>
        <w:t>y</w:t>
      </w:r>
      <w:r>
        <w:rPr>
          <w:spacing w:val="-16"/>
        </w:rPr>
        <w:t> </w:t>
      </w:r>
      <w:r>
        <w:rPr/>
        <w:t>el</w:t>
      </w:r>
      <w:r>
        <w:rPr>
          <w:spacing w:val="-13"/>
        </w:rPr>
        <w:t> </w:t>
      </w:r>
      <w:r>
        <w:rPr/>
        <w:t>huevo</w:t>
      </w:r>
      <w:r>
        <w:rPr>
          <w:spacing w:val="-13"/>
        </w:rPr>
        <w:t> </w:t>
      </w:r>
      <w:r>
        <w:rPr/>
        <w:t>para</w:t>
      </w:r>
      <w:r>
        <w:rPr>
          <w:spacing w:val="-14"/>
        </w:rPr>
        <w:t> </w:t>
      </w:r>
      <w:r>
        <w:rPr/>
        <w:t>plato</w:t>
      </w:r>
      <w:r>
        <w:rPr>
          <w:spacing w:val="-11"/>
        </w:rPr>
        <w:t> </w:t>
      </w:r>
      <w:r>
        <w:rPr/>
        <w:t>con</w:t>
      </w:r>
      <w:r>
        <w:rPr>
          <w:spacing w:val="-11"/>
        </w:rPr>
        <w:t> </w:t>
      </w:r>
      <w:r>
        <w:rPr/>
        <w:t>el</w:t>
      </w:r>
      <w:r>
        <w:rPr>
          <w:spacing w:val="-13"/>
        </w:rPr>
        <w:t> </w:t>
      </w:r>
      <w:r>
        <w:rPr/>
        <w:t>12.5%</w:t>
      </w:r>
      <w:r>
        <w:rPr>
          <w:spacing w:val="-14"/>
        </w:rPr>
        <w:t> </w:t>
      </w:r>
      <w:r>
        <w:rPr/>
        <w:t>restante</w:t>
      </w:r>
      <w:r>
        <w:rPr>
          <w:spacing w:val="-11"/>
        </w:rPr>
        <w:t> </w:t>
      </w:r>
      <w:r>
        <w:rPr/>
        <w:t>(SIAP, 2012).</w:t>
      </w:r>
    </w:p>
    <w:p>
      <w:pPr>
        <w:pStyle w:val="BodyText"/>
      </w:pPr>
    </w:p>
    <w:p>
      <w:pPr>
        <w:pStyle w:val="BodyText"/>
      </w:pPr>
    </w:p>
    <w:p>
      <w:pPr>
        <w:pStyle w:val="BodyText"/>
        <w:spacing w:before="4"/>
        <w:rPr>
          <w:sz w:val="23"/>
        </w:rPr>
      </w:pPr>
    </w:p>
    <w:p>
      <w:pPr>
        <w:pStyle w:val="BodyText"/>
        <w:spacing w:line="360" w:lineRule="auto"/>
        <w:ind w:left="102" w:right="98"/>
        <w:jc w:val="both"/>
      </w:pPr>
      <w:r>
        <w:rPr/>
        <w:t>Por lo anterior, se considera al subsector lechero como uno de los sistemas prioritarios en México,</w:t>
      </w:r>
      <w:r>
        <w:rPr>
          <w:spacing w:val="-5"/>
        </w:rPr>
        <w:t> </w:t>
      </w:r>
      <w:r>
        <w:rPr/>
        <w:t>dada</w:t>
      </w:r>
      <w:r>
        <w:rPr>
          <w:spacing w:val="-6"/>
        </w:rPr>
        <w:t> </w:t>
      </w:r>
      <w:r>
        <w:rPr/>
        <w:t>su</w:t>
      </w:r>
      <w:r>
        <w:rPr>
          <w:spacing w:val="-5"/>
        </w:rPr>
        <w:t> </w:t>
      </w:r>
      <w:r>
        <w:rPr/>
        <w:t>importancia</w:t>
      </w:r>
      <w:r>
        <w:rPr>
          <w:spacing w:val="-5"/>
        </w:rPr>
        <w:t> </w:t>
      </w:r>
      <w:r>
        <w:rPr/>
        <w:t>como</w:t>
      </w:r>
      <w:r>
        <w:rPr>
          <w:spacing w:val="-4"/>
        </w:rPr>
        <w:t> </w:t>
      </w:r>
      <w:r>
        <w:rPr/>
        <w:t>sector</w:t>
      </w:r>
      <w:r>
        <w:rPr>
          <w:spacing w:val="-5"/>
        </w:rPr>
        <w:t> </w:t>
      </w:r>
      <w:r>
        <w:rPr/>
        <w:t>proveedor</w:t>
      </w:r>
      <w:r>
        <w:rPr>
          <w:spacing w:val="-6"/>
        </w:rPr>
        <w:t> </w:t>
      </w:r>
      <w:r>
        <w:rPr/>
        <w:t>de</w:t>
      </w:r>
      <w:r>
        <w:rPr>
          <w:spacing w:val="-6"/>
        </w:rPr>
        <w:t> </w:t>
      </w:r>
      <w:r>
        <w:rPr/>
        <w:t>alimentos</w:t>
      </w:r>
      <w:r>
        <w:rPr>
          <w:spacing w:val="-3"/>
        </w:rPr>
        <w:t> </w:t>
      </w:r>
      <w:r>
        <w:rPr/>
        <w:t>y</w:t>
      </w:r>
      <w:r>
        <w:rPr>
          <w:spacing w:val="-8"/>
        </w:rPr>
        <w:t> </w:t>
      </w:r>
      <w:r>
        <w:rPr/>
        <w:t>generador</w:t>
      </w:r>
      <w:r>
        <w:rPr>
          <w:spacing w:val="-6"/>
        </w:rPr>
        <w:t> </w:t>
      </w:r>
      <w:r>
        <w:rPr/>
        <w:t>de</w:t>
      </w:r>
      <w:r>
        <w:rPr>
          <w:spacing w:val="-6"/>
        </w:rPr>
        <w:t> </w:t>
      </w:r>
      <w:r>
        <w:rPr/>
        <w:t>empleo,</w:t>
      </w:r>
      <w:r>
        <w:rPr>
          <w:spacing w:val="-5"/>
        </w:rPr>
        <w:t> </w:t>
      </w:r>
      <w:r>
        <w:rPr/>
        <w:t>lo cual es apoyado por estadísticas del INEGI, las cuales señalan que la leche es el tercer producto alimenticio más consumido en los hogares mexicanos, uno de cada diez pesos del gasto en los hogares corresponde a dicho</w:t>
      </w:r>
      <w:r>
        <w:rPr>
          <w:spacing w:val="-8"/>
        </w:rPr>
        <w:t> </w:t>
      </w:r>
      <w:r>
        <w:rPr/>
        <w:t>producto.</w:t>
      </w:r>
    </w:p>
    <w:p>
      <w:pPr>
        <w:pStyle w:val="BodyText"/>
      </w:pPr>
    </w:p>
    <w:p>
      <w:pPr>
        <w:pStyle w:val="BodyText"/>
      </w:pPr>
    </w:p>
    <w:p>
      <w:pPr>
        <w:pStyle w:val="BodyText"/>
        <w:spacing w:before="3"/>
        <w:rPr>
          <w:sz w:val="23"/>
        </w:rPr>
      </w:pPr>
    </w:p>
    <w:p>
      <w:pPr>
        <w:pStyle w:val="BodyText"/>
        <w:spacing w:line="360" w:lineRule="auto" w:before="1"/>
        <w:ind w:left="102" w:right="98"/>
        <w:jc w:val="both"/>
      </w:pPr>
      <w:r>
        <w:rPr/>
        <w:t>En lo particular, el sistema lechero de pequeña escala, ha jugado un papel importante en el desarrollo del sector lechero nacional, en la última década investigaciones científicas mencionan la importancia en la contribución social y económica que la lechería de pequeña escala aportó a las familias y comunidades donde se desarrolla, su relevancia se sustenta al aportar ingresos a un número importante de familias campesinas, además de generar diferentes beneficios sociales y económicos (Arriaga </w:t>
      </w:r>
      <w:r>
        <w:rPr>
          <w:i/>
        </w:rPr>
        <w:t>et al., </w:t>
      </w:r>
      <w:r>
        <w:rPr/>
        <w:t>2002; Cesín </w:t>
      </w:r>
      <w:r>
        <w:rPr>
          <w:i/>
        </w:rPr>
        <w:t>et al., </w:t>
      </w:r>
      <w:r>
        <w:rPr/>
        <w:t>2007), frenar la</w:t>
      </w:r>
      <w:r>
        <w:rPr>
          <w:spacing w:val="-4"/>
        </w:rPr>
        <w:t> </w:t>
      </w:r>
      <w:r>
        <w:rPr/>
        <w:t>migración</w:t>
      </w:r>
      <w:r>
        <w:rPr>
          <w:spacing w:val="-3"/>
        </w:rPr>
        <w:t> </w:t>
      </w:r>
      <w:r>
        <w:rPr/>
        <w:t>en</w:t>
      </w:r>
      <w:r>
        <w:rPr>
          <w:spacing w:val="-4"/>
        </w:rPr>
        <w:t> </w:t>
      </w:r>
      <w:r>
        <w:rPr/>
        <w:t>las</w:t>
      </w:r>
      <w:r>
        <w:rPr>
          <w:spacing w:val="-4"/>
        </w:rPr>
        <w:t> </w:t>
      </w:r>
      <w:r>
        <w:rPr/>
        <w:t>zonas</w:t>
      </w:r>
      <w:r>
        <w:rPr>
          <w:spacing w:val="-1"/>
        </w:rPr>
        <w:t> </w:t>
      </w:r>
      <w:r>
        <w:rPr/>
        <w:t>rurales</w:t>
      </w:r>
      <w:r>
        <w:rPr>
          <w:spacing w:val="-4"/>
        </w:rPr>
        <w:t> </w:t>
      </w:r>
      <w:r>
        <w:rPr/>
        <w:t>(Arriaga</w:t>
      </w:r>
      <w:r>
        <w:rPr>
          <w:spacing w:val="-3"/>
        </w:rPr>
        <w:t> </w:t>
      </w:r>
      <w:r>
        <w:rPr>
          <w:i/>
        </w:rPr>
        <w:t>et</w:t>
      </w:r>
      <w:r>
        <w:rPr>
          <w:i/>
          <w:spacing w:val="-3"/>
        </w:rPr>
        <w:t> </w:t>
      </w:r>
      <w:r>
        <w:rPr>
          <w:i/>
        </w:rPr>
        <w:t>al.,</w:t>
      </w:r>
      <w:r>
        <w:rPr>
          <w:i/>
          <w:spacing w:val="-3"/>
        </w:rPr>
        <w:t> </w:t>
      </w:r>
      <w:r>
        <w:rPr/>
        <w:t>2002;</w:t>
      </w:r>
      <w:r>
        <w:rPr>
          <w:spacing w:val="-3"/>
        </w:rPr>
        <w:t> </w:t>
      </w:r>
      <w:r>
        <w:rPr/>
        <w:t>Espinoza</w:t>
      </w:r>
      <w:r>
        <w:rPr>
          <w:spacing w:val="-4"/>
        </w:rPr>
        <w:t> </w:t>
      </w:r>
      <w:r>
        <w:rPr>
          <w:i/>
        </w:rPr>
        <w:t>et</w:t>
      </w:r>
      <w:r>
        <w:rPr>
          <w:i/>
          <w:spacing w:val="-3"/>
        </w:rPr>
        <w:t> </w:t>
      </w:r>
      <w:r>
        <w:rPr>
          <w:i/>
        </w:rPr>
        <w:t>al.,</w:t>
      </w:r>
      <w:r>
        <w:rPr>
          <w:i/>
          <w:spacing w:val="-3"/>
        </w:rPr>
        <w:t> </w:t>
      </w:r>
      <w:r>
        <w:rPr/>
        <w:t>2007)</w:t>
      </w:r>
      <w:r>
        <w:rPr>
          <w:spacing w:val="-1"/>
        </w:rPr>
        <w:t> </w:t>
      </w:r>
      <w:r>
        <w:rPr/>
        <w:t>y</w:t>
      </w:r>
      <w:r>
        <w:rPr>
          <w:spacing w:val="-7"/>
        </w:rPr>
        <w:t> </w:t>
      </w:r>
      <w:r>
        <w:rPr/>
        <w:t>conservar</w:t>
      </w:r>
      <w:r>
        <w:rPr>
          <w:spacing w:val="-5"/>
        </w:rPr>
        <w:t> </w:t>
      </w:r>
      <w:r>
        <w:rPr/>
        <w:t>las tradiciones culturales de la gastronomía mexicana mediante un saber-hacer, aplicado en la trasformación de leche a quesos artesanales (Cesín </w:t>
      </w:r>
      <w:r>
        <w:rPr>
          <w:i/>
        </w:rPr>
        <w:t>et al., </w:t>
      </w:r>
      <w:r>
        <w:rPr/>
        <w:t>2007). Así mismo, la pequeña lechería ha aprovechado eficientemente las ventajas comparativas que le brinda el núcleo familiar, la tenencia del minifundio para la producción de insumos y las zonas peri-urbanas donde</w:t>
      </w:r>
      <w:r>
        <w:rPr>
          <w:spacing w:val="26"/>
        </w:rPr>
        <w:t> </w:t>
      </w:r>
      <w:r>
        <w:rPr/>
        <w:t>se</w:t>
      </w:r>
      <w:r>
        <w:rPr>
          <w:spacing w:val="26"/>
        </w:rPr>
        <w:t> </w:t>
      </w:r>
      <w:r>
        <w:rPr/>
        <w:t>desarrolla</w:t>
      </w:r>
      <w:r>
        <w:rPr>
          <w:spacing w:val="26"/>
        </w:rPr>
        <w:t> </w:t>
      </w:r>
      <w:r>
        <w:rPr/>
        <w:t>la</w:t>
      </w:r>
      <w:r>
        <w:rPr>
          <w:spacing w:val="29"/>
        </w:rPr>
        <w:t> </w:t>
      </w:r>
      <w:r>
        <w:rPr/>
        <w:t>actividad</w:t>
      </w:r>
      <w:r>
        <w:rPr>
          <w:spacing w:val="27"/>
        </w:rPr>
        <w:t> </w:t>
      </w:r>
      <w:r>
        <w:rPr/>
        <w:t>para</w:t>
      </w:r>
      <w:r>
        <w:rPr>
          <w:spacing w:val="28"/>
        </w:rPr>
        <w:t> </w:t>
      </w:r>
      <w:r>
        <w:rPr/>
        <w:t>adoptar</w:t>
      </w:r>
      <w:r>
        <w:rPr>
          <w:spacing w:val="26"/>
        </w:rPr>
        <w:t> </w:t>
      </w:r>
      <w:r>
        <w:rPr/>
        <w:t>diferentes</w:t>
      </w:r>
      <w:r>
        <w:rPr>
          <w:spacing w:val="29"/>
        </w:rPr>
        <w:t> </w:t>
      </w:r>
      <w:r>
        <w:rPr/>
        <w:t>estrategias</w:t>
      </w:r>
      <w:r>
        <w:rPr>
          <w:spacing w:val="27"/>
        </w:rPr>
        <w:t> </w:t>
      </w:r>
      <w:r>
        <w:rPr/>
        <w:t>que</w:t>
      </w:r>
      <w:r>
        <w:rPr>
          <w:spacing w:val="26"/>
        </w:rPr>
        <w:t> </w:t>
      </w:r>
      <w:r>
        <w:rPr/>
        <w:t>les</w:t>
      </w:r>
      <w:r>
        <w:rPr>
          <w:spacing w:val="27"/>
        </w:rPr>
        <w:t> </w:t>
      </w:r>
      <w:r>
        <w:rPr/>
        <w:t>han</w:t>
      </w:r>
      <w:r>
        <w:rPr>
          <w:spacing w:val="27"/>
        </w:rPr>
        <w:t> </w:t>
      </w:r>
      <w:r>
        <w:rPr/>
        <w:t>permitido</w:t>
      </w:r>
    </w:p>
    <w:p>
      <w:pPr>
        <w:spacing w:after="0" w:line="360" w:lineRule="auto"/>
        <w:jc w:val="both"/>
        <w:sectPr>
          <w:pgSz w:w="12240" w:h="15840"/>
          <w:pgMar w:header="0" w:footer="657" w:top="1360" w:bottom="840" w:left="1600" w:right="1600"/>
        </w:sectPr>
      </w:pPr>
    </w:p>
    <w:p>
      <w:pPr>
        <w:pStyle w:val="BodyText"/>
        <w:spacing w:line="362" w:lineRule="auto" w:before="50"/>
        <w:ind w:left="102" w:right="117"/>
        <w:jc w:val="both"/>
      </w:pPr>
      <w:r>
        <w:rPr/>
        <w:t>disminuir costos de producción (Salinas-Martínez </w:t>
      </w:r>
      <w:r>
        <w:rPr>
          <w:i/>
        </w:rPr>
        <w:t>et al., </w:t>
      </w:r>
      <w:r>
        <w:rPr/>
        <w:t>2010) y aumentar el grado de rentabilidad y competitividad sectorial.</w:t>
      </w:r>
    </w:p>
    <w:p>
      <w:pPr>
        <w:pStyle w:val="BodyText"/>
      </w:pPr>
    </w:p>
    <w:p>
      <w:pPr>
        <w:pStyle w:val="BodyText"/>
      </w:pPr>
    </w:p>
    <w:p>
      <w:pPr>
        <w:pStyle w:val="BodyText"/>
        <w:rPr>
          <w:sz w:val="23"/>
        </w:rPr>
      </w:pPr>
    </w:p>
    <w:p>
      <w:pPr>
        <w:pStyle w:val="BodyText"/>
        <w:spacing w:line="360" w:lineRule="auto" w:before="1"/>
        <w:ind w:left="102" w:right="120"/>
        <w:jc w:val="both"/>
      </w:pPr>
      <w:r>
        <w:rPr/>
        <w:t>El desempeño económico y financiero de un sistema empresarial como agropecuario, es sin duda, uno de los aspectos más importantes y difíciles de determinar. En la búsqueda de su estimación se han creado medidas cuantitativas como utilidad, rentabilidad, liquidez y otras más, e indicadores cualitativos como innovación perspectivas de mercado y administración. No obstante, los indicadores cualitativos son menos estáticos y absolutos que los cuantitativos, en tanto que los segundos pueden ser opacados por factores como; la consideración del tiempo en la obtención de beneficios, la omisión de los costos de oportunidad, y las ventajas financieras a largo plazo (Morillo, 2001), así como la postura de la mayoría de los sistemas agropecuarios de no refinanciar sus activos fijos, la cual impacta en la descapitalización de las unidades productivas en el mediano y largo plazo.</w:t>
      </w:r>
    </w:p>
    <w:p>
      <w:pPr>
        <w:pStyle w:val="BodyText"/>
      </w:pPr>
    </w:p>
    <w:p>
      <w:pPr>
        <w:pStyle w:val="BodyText"/>
      </w:pPr>
    </w:p>
    <w:p>
      <w:pPr>
        <w:pStyle w:val="BodyText"/>
        <w:spacing w:before="3"/>
        <w:rPr>
          <w:sz w:val="23"/>
        </w:rPr>
      </w:pPr>
    </w:p>
    <w:p>
      <w:pPr>
        <w:pStyle w:val="BodyText"/>
        <w:spacing w:line="360" w:lineRule="auto"/>
        <w:ind w:left="102" w:right="117"/>
        <w:jc w:val="both"/>
      </w:pPr>
      <w:r>
        <w:rPr/>
        <w:t>La</w:t>
      </w:r>
      <w:r>
        <w:rPr>
          <w:spacing w:val="-3"/>
        </w:rPr>
        <w:t> </w:t>
      </w:r>
      <w:r>
        <w:rPr/>
        <w:t>combinación</w:t>
      </w:r>
      <w:r>
        <w:rPr>
          <w:spacing w:val="-4"/>
        </w:rPr>
        <w:t> </w:t>
      </w:r>
      <w:r>
        <w:rPr/>
        <w:t>en</w:t>
      </w:r>
      <w:r>
        <w:rPr>
          <w:spacing w:val="-5"/>
        </w:rPr>
        <w:t> </w:t>
      </w:r>
      <w:r>
        <w:rPr/>
        <w:t>el</w:t>
      </w:r>
      <w:r>
        <w:rPr>
          <w:spacing w:val="-4"/>
        </w:rPr>
        <w:t> </w:t>
      </w:r>
      <w:r>
        <w:rPr/>
        <w:t>uso</w:t>
      </w:r>
      <w:r>
        <w:rPr>
          <w:spacing w:val="-2"/>
        </w:rPr>
        <w:t> </w:t>
      </w:r>
      <w:r>
        <w:rPr/>
        <w:t>de</w:t>
      </w:r>
      <w:r>
        <w:rPr>
          <w:spacing w:val="-6"/>
        </w:rPr>
        <w:t> </w:t>
      </w:r>
      <w:r>
        <w:rPr/>
        <w:t>herramientas</w:t>
      </w:r>
      <w:r>
        <w:rPr>
          <w:spacing w:val="-5"/>
        </w:rPr>
        <w:t> </w:t>
      </w:r>
      <w:r>
        <w:rPr/>
        <w:t>contables,</w:t>
      </w:r>
      <w:r>
        <w:rPr>
          <w:spacing w:val="-5"/>
        </w:rPr>
        <w:t> </w:t>
      </w:r>
      <w:r>
        <w:rPr/>
        <w:t>como</w:t>
      </w:r>
      <w:r>
        <w:rPr>
          <w:spacing w:val="-4"/>
        </w:rPr>
        <w:t> </w:t>
      </w:r>
      <w:r>
        <w:rPr/>
        <w:t>la</w:t>
      </w:r>
      <w:r>
        <w:rPr>
          <w:spacing w:val="-5"/>
        </w:rPr>
        <w:t> </w:t>
      </w:r>
      <w:r>
        <w:rPr/>
        <w:t>metodología</w:t>
      </w:r>
      <w:r>
        <w:rPr>
          <w:spacing w:val="-5"/>
        </w:rPr>
        <w:t> </w:t>
      </w:r>
      <w:r>
        <w:rPr/>
        <w:t>general</w:t>
      </w:r>
      <w:r>
        <w:rPr>
          <w:spacing w:val="-4"/>
        </w:rPr>
        <w:t> </w:t>
      </w:r>
      <w:r>
        <w:rPr/>
        <w:t>de</w:t>
      </w:r>
      <w:r>
        <w:rPr>
          <w:spacing w:val="-3"/>
        </w:rPr>
        <w:t> </w:t>
      </w:r>
      <w:r>
        <w:rPr/>
        <w:t>costos de</w:t>
      </w:r>
      <w:r>
        <w:rPr>
          <w:spacing w:val="-12"/>
        </w:rPr>
        <w:t> </w:t>
      </w:r>
      <w:r>
        <w:rPr/>
        <w:t>producción</w:t>
      </w:r>
      <w:r>
        <w:rPr>
          <w:spacing w:val="-6"/>
        </w:rPr>
        <w:t> </w:t>
      </w:r>
      <w:r>
        <w:rPr/>
        <w:t>y</w:t>
      </w:r>
      <w:r>
        <w:rPr>
          <w:spacing w:val="-13"/>
        </w:rPr>
        <w:t> </w:t>
      </w:r>
      <w:r>
        <w:rPr/>
        <w:t>financieras</w:t>
      </w:r>
      <w:r>
        <w:rPr>
          <w:spacing w:val="-11"/>
        </w:rPr>
        <w:t> </w:t>
      </w:r>
      <w:r>
        <w:rPr/>
        <w:t>como</w:t>
      </w:r>
      <w:r>
        <w:rPr>
          <w:spacing w:val="-11"/>
        </w:rPr>
        <w:t> </w:t>
      </w:r>
      <w:r>
        <w:rPr/>
        <w:t>la</w:t>
      </w:r>
      <w:r>
        <w:rPr>
          <w:spacing w:val="-12"/>
        </w:rPr>
        <w:t> </w:t>
      </w:r>
      <w:r>
        <w:rPr/>
        <w:t>técnica</w:t>
      </w:r>
      <w:r>
        <w:rPr>
          <w:spacing w:val="-12"/>
        </w:rPr>
        <w:t> </w:t>
      </w:r>
      <w:r>
        <w:rPr/>
        <w:t>de</w:t>
      </w:r>
      <w:r>
        <w:rPr>
          <w:spacing w:val="-10"/>
        </w:rPr>
        <w:t> </w:t>
      </w:r>
      <w:r>
        <w:rPr/>
        <w:t>reajustabilidad</w:t>
      </w:r>
      <w:r>
        <w:rPr>
          <w:spacing w:val="-12"/>
        </w:rPr>
        <w:t> </w:t>
      </w:r>
      <w:r>
        <w:rPr/>
        <w:t>de</w:t>
      </w:r>
      <w:r>
        <w:rPr>
          <w:spacing w:val="-12"/>
        </w:rPr>
        <w:t> </w:t>
      </w:r>
      <w:r>
        <w:rPr/>
        <w:t>valores</w:t>
      </w:r>
      <w:r>
        <w:rPr>
          <w:spacing w:val="-11"/>
        </w:rPr>
        <w:t> </w:t>
      </w:r>
      <w:r>
        <w:rPr/>
        <w:t>usando</w:t>
      </w:r>
      <w:r>
        <w:rPr>
          <w:spacing w:val="-11"/>
        </w:rPr>
        <w:t> </w:t>
      </w:r>
      <w:r>
        <w:rPr/>
        <w:t>la</w:t>
      </w:r>
      <w:r>
        <w:rPr>
          <w:spacing w:val="-12"/>
        </w:rPr>
        <w:t> </w:t>
      </w:r>
      <w:r>
        <w:rPr/>
        <w:t>variación del Índice Nacional de Precios al Consumidor (INPC), pueden aportar elementos y ser herramientas que permitan inhibir la omisión del tiempo y costos de oportunidad </w:t>
      </w:r>
      <w:r>
        <w:rPr>
          <w:spacing w:val="2"/>
        </w:rPr>
        <w:t>en </w:t>
      </w:r>
      <w:r>
        <w:rPr/>
        <w:t>la construcción de indicadores cuantitativos, que puedan medir con mayor precisión la rentabilidad</w:t>
      </w:r>
      <w:r>
        <w:rPr>
          <w:spacing w:val="-1"/>
        </w:rPr>
        <w:t> </w:t>
      </w:r>
      <w:r>
        <w:rPr/>
        <w:t>y</w:t>
      </w:r>
      <w:r>
        <w:rPr>
          <w:spacing w:val="-11"/>
        </w:rPr>
        <w:t> </w:t>
      </w:r>
      <w:r>
        <w:rPr/>
        <w:t>discernir</w:t>
      </w:r>
      <w:r>
        <w:rPr>
          <w:spacing w:val="-7"/>
        </w:rPr>
        <w:t> </w:t>
      </w:r>
      <w:r>
        <w:rPr/>
        <w:t>las</w:t>
      </w:r>
      <w:r>
        <w:rPr>
          <w:spacing w:val="-6"/>
        </w:rPr>
        <w:t> </w:t>
      </w:r>
      <w:r>
        <w:rPr/>
        <w:t>estrategias</w:t>
      </w:r>
      <w:r>
        <w:rPr>
          <w:spacing w:val="-4"/>
        </w:rPr>
        <w:t> </w:t>
      </w:r>
      <w:r>
        <w:rPr/>
        <w:t>adoptadas</w:t>
      </w:r>
      <w:r>
        <w:rPr>
          <w:spacing w:val="-6"/>
        </w:rPr>
        <w:t> </w:t>
      </w:r>
      <w:r>
        <w:rPr/>
        <w:t>por</w:t>
      </w:r>
      <w:r>
        <w:rPr>
          <w:spacing w:val="-7"/>
        </w:rPr>
        <w:t> </w:t>
      </w:r>
      <w:r>
        <w:rPr/>
        <w:t>los</w:t>
      </w:r>
      <w:r>
        <w:rPr>
          <w:spacing w:val="-6"/>
        </w:rPr>
        <w:t> </w:t>
      </w:r>
      <w:r>
        <w:rPr/>
        <w:t>sistemas</w:t>
      </w:r>
      <w:r>
        <w:rPr>
          <w:spacing w:val="-6"/>
        </w:rPr>
        <w:t> </w:t>
      </w:r>
      <w:r>
        <w:rPr/>
        <w:t>lecheros</w:t>
      </w:r>
      <w:r>
        <w:rPr>
          <w:spacing w:val="-7"/>
        </w:rPr>
        <w:t> </w:t>
      </w:r>
      <w:r>
        <w:rPr/>
        <w:t>de</w:t>
      </w:r>
      <w:r>
        <w:rPr>
          <w:spacing w:val="-7"/>
        </w:rPr>
        <w:t> </w:t>
      </w:r>
      <w:r>
        <w:rPr/>
        <w:t>pequeña</w:t>
      </w:r>
      <w:r>
        <w:rPr>
          <w:spacing w:val="-7"/>
        </w:rPr>
        <w:t> </w:t>
      </w:r>
      <w:r>
        <w:rPr/>
        <w:t>escala en dos periodos en el</w:t>
      </w:r>
      <w:r>
        <w:rPr>
          <w:spacing w:val="-3"/>
        </w:rPr>
        <w:t> </w:t>
      </w:r>
      <w:r>
        <w:rPr/>
        <w:t>tiempo.</w:t>
      </w:r>
    </w:p>
    <w:p>
      <w:pPr>
        <w:pStyle w:val="BodyText"/>
      </w:pPr>
    </w:p>
    <w:p>
      <w:pPr>
        <w:pStyle w:val="BodyText"/>
      </w:pPr>
    </w:p>
    <w:p>
      <w:pPr>
        <w:pStyle w:val="BodyText"/>
        <w:spacing w:before="4"/>
        <w:rPr>
          <w:sz w:val="23"/>
        </w:rPr>
      </w:pPr>
    </w:p>
    <w:p>
      <w:pPr>
        <w:pStyle w:val="BodyText"/>
        <w:spacing w:line="360" w:lineRule="auto"/>
        <w:ind w:left="102" w:right="115"/>
        <w:jc w:val="both"/>
      </w:pPr>
      <w:r>
        <w:rPr/>
        <w:t>En</w:t>
      </w:r>
      <w:r>
        <w:rPr>
          <w:spacing w:val="-4"/>
        </w:rPr>
        <w:t> </w:t>
      </w:r>
      <w:r>
        <w:rPr/>
        <w:t>este</w:t>
      </w:r>
      <w:r>
        <w:rPr>
          <w:spacing w:val="-4"/>
        </w:rPr>
        <w:t> </w:t>
      </w:r>
      <w:r>
        <w:rPr/>
        <w:t>sentido,</w:t>
      </w:r>
      <w:r>
        <w:rPr>
          <w:spacing w:val="-4"/>
        </w:rPr>
        <w:t> </w:t>
      </w:r>
      <w:r>
        <w:rPr/>
        <w:t>existe</w:t>
      </w:r>
      <w:r>
        <w:rPr>
          <w:spacing w:val="-5"/>
        </w:rPr>
        <w:t> </w:t>
      </w:r>
      <w:r>
        <w:rPr/>
        <w:t>evidencia</w:t>
      </w:r>
      <w:r>
        <w:rPr>
          <w:spacing w:val="-4"/>
        </w:rPr>
        <w:t> </w:t>
      </w:r>
      <w:r>
        <w:rPr/>
        <w:t>en</w:t>
      </w:r>
      <w:r>
        <w:rPr>
          <w:spacing w:val="-1"/>
        </w:rPr>
        <w:t> </w:t>
      </w:r>
      <w:r>
        <w:rPr/>
        <w:t>el</w:t>
      </w:r>
      <w:r>
        <w:rPr>
          <w:spacing w:val="-3"/>
        </w:rPr>
        <w:t> </w:t>
      </w:r>
      <w:r>
        <w:rPr/>
        <w:t>ámbito</w:t>
      </w:r>
      <w:r>
        <w:rPr>
          <w:spacing w:val="-3"/>
        </w:rPr>
        <w:t> </w:t>
      </w:r>
      <w:r>
        <w:rPr/>
        <w:t>nacional</w:t>
      </w:r>
      <w:r>
        <w:rPr>
          <w:spacing w:val="-4"/>
        </w:rPr>
        <w:t> </w:t>
      </w:r>
      <w:r>
        <w:rPr/>
        <w:t>e</w:t>
      </w:r>
      <w:r>
        <w:rPr>
          <w:spacing w:val="-5"/>
        </w:rPr>
        <w:t> </w:t>
      </w:r>
      <w:r>
        <w:rPr/>
        <w:t>internacional</w:t>
      </w:r>
      <w:r>
        <w:rPr>
          <w:spacing w:val="-2"/>
        </w:rPr>
        <w:t> </w:t>
      </w:r>
      <w:r>
        <w:rPr/>
        <w:t>en</w:t>
      </w:r>
      <w:r>
        <w:rPr>
          <w:spacing w:val="-4"/>
        </w:rPr>
        <w:t> </w:t>
      </w:r>
      <w:r>
        <w:rPr/>
        <w:t>la</w:t>
      </w:r>
      <w:r>
        <w:rPr>
          <w:spacing w:val="-2"/>
        </w:rPr>
        <w:t> </w:t>
      </w:r>
      <w:r>
        <w:rPr/>
        <w:t>cual</w:t>
      </w:r>
      <w:r>
        <w:rPr>
          <w:spacing w:val="-3"/>
        </w:rPr>
        <w:t> </w:t>
      </w:r>
      <w:r>
        <w:rPr/>
        <w:t>se</w:t>
      </w:r>
      <w:r>
        <w:rPr>
          <w:spacing w:val="-5"/>
        </w:rPr>
        <w:t> </w:t>
      </w:r>
      <w:r>
        <w:rPr/>
        <w:t>ha</w:t>
      </w:r>
      <w:r>
        <w:rPr>
          <w:spacing w:val="-5"/>
        </w:rPr>
        <w:t> </w:t>
      </w:r>
      <w:r>
        <w:rPr/>
        <w:t>hecho uso</w:t>
      </w:r>
      <w:r>
        <w:rPr>
          <w:spacing w:val="-8"/>
        </w:rPr>
        <w:t> </w:t>
      </w:r>
      <w:r>
        <w:rPr/>
        <w:t>de</w:t>
      </w:r>
      <w:r>
        <w:rPr>
          <w:spacing w:val="-10"/>
        </w:rPr>
        <w:t> </w:t>
      </w:r>
      <w:r>
        <w:rPr/>
        <w:t>herramientas</w:t>
      </w:r>
      <w:r>
        <w:rPr>
          <w:spacing w:val="-9"/>
        </w:rPr>
        <w:t> </w:t>
      </w:r>
      <w:r>
        <w:rPr/>
        <w:t>contables</w:t>
      </w:r>
      <w:r>
        <w:rPr>
          <w:spacing w:val="-6"/>
        </w:rPr>
        <w:t> </w:t>
      </w:r>
      <w:r>
        <w:rPr/>
        <w:t>y</w:t>
      </w:r>
      <w:r>
        <w:rPr>
          <w:spacing w:val="-11"/>
        </w:rPr>
        <w:t> </w:t>
      </w:r>
      <w:r>
        <w:rPr/>
        <w:t>financieras</w:t>
      </w:r>
      <w:r>
        <w:rPr>
          <w:spacing w:val="-8"/>
        </w:rPr>
        <w:t> </w:t>
      </w:r>
      <w:r>
        <w:rPr/>
        <w:t>por</w:t>
      </w:r>
      <w:r>
        <w:rPr>
          <w:spacing w:val="-9"/>
        </w:rPr>
        <w:t> </w:t>
      </w:r>
      <w:r>
        <w:rPr/>
        <w:t>separado</w:t>
      </w:r>
      <w:r>
        <w:rPr>
          <w:spacing w:val="-9"/>
        </w:rPr>
        <w:t> </w:t>
      </w:r>
      <w:r>
        <w:rPr/>
        <w:t>para</w:t>
      </w:r>
      <w:r>
        <w:rPr>
          <w:spacing w:val="-10"/>
        </w:rPr>
        <w:t> </w:t>
      </w:r>
      <w:r>
        <w:rPr/>
        <w:t>determinar</w:t>
      </w:r>
      <w:r>
        <w:rPr>
          <w:spacing w:val="-9"/>
        </w:rPr>
        <w:t> </w:t>
      </w:r>
      <w:r>
        <w:rPr/>
        <w:t>distintos</w:t>
      </w:r>
      <w:r>
        <w:rPr>
          <w:spacing w:val="-8"/>
        </w:rPr>
        <w:t> </w:t>
      </w:r>
      <w:r>
        <w:rPr/>
        <w:t>objetivos, todos encaminados a mejorar las condiciones económicas en sistemas lecheros de pequeña escala, entre ellos, la estimación de rentabilidad (Somda </w:t>
      </w:r>
      <w:r>
        <w:rPr>
          <w:i/>
        </w:rPr>
        <w:t>et al., </w:t>
      </w:r>
      <w:r>
        <w:rPr/>
        <w:t>2005; Espinoza </w:t>
      </w:r>
      <w:r>
        <w:rPr>
          <w:i/>
        </w:rPr>
        <w:t>et al., </w:t>
      </w:r>
      <w:r>
        <w:rPr/>
        <w:t>2005; Espinoza </w:t>
      </w:r>
      <w:r>
        <w:rPr>
          <w:i/>
        </w:rPr>
        <w:t>et al., </w:t>
      </w:r>
      <w:r>
        <w:rPr/>
        <w:t>2007), competitividad (Carranza-Trinidad </w:t>
      </w:r>
      <w:r>
        <w:rPr>
          <w:i/>
        </w:rPr>
        <w:t>et al., </w:t>
      </w:r>
      <w:r>
        <w:rPr/>
        <w:t>2007), márgenes de comercialización (Espinosa </w:t>
      </w:r>
      <w:r>
        <w:rPr>
          <w:i/>
        </w:rPr>
        <w:t>et al., </w:t>
      </w:r>
      <w:r>
        <w:rPr/>
        <w:t>2008) y viabilidad económica (Argilés </w:t>
      </w:r>
      <w:r>
        <w:rPr>
          <w:i/>
        </w:rPr>
        <w:t>et al., </w:t>
      </w:r>
      <w:r>
        <w:rPr/>
        <w:t>2007).  </w:t>
      </w:r>
      <w:r>
        <w:rPr>
          <w:spacing w:val="33"/>
        </w:rPr>
        <w:t> </w:t>
      </w:r>
      <w:r>
        <w:rPr/>
        <w:t>Sin</w:t>
      </w:r>
    </w:p>
    <w:p>
      <w:pPr>
        <w:spacing w:after="0" w:line="360" w:lineRule="auto"/>
        <w:jc w:val="both"/>
        <w:sectPr>
          <w:pgSz w:w="12240" w:h="15840"/>
          <w:pgMar w:header="0" w:footer="657" w:top="1360" w:bottom="840" w:left="1600" w:right="1580"/>
        </w:sectPr>
      </w:pPr>
    </w:p>
    <w:p>
      <w:pPr>
        <w:pStyle w:val="BodyText"/>
        <w:spacing w:line="360" w:lineRule="auto" w:before="50"/>
        <w:ind w:left="122" w:right="116"/>
        <w:jc w:val="both"/>
      </w:pPr>
      <w:r>
        <w:rPr/>
        <w:t>embargo, hay pocos textos científicos donde se haya hecho uso de metodologías contables</w:t>
      </w:r>
      <w:r>
        <w:rPr>
          <w:spacing w:val="-20"/>
        </w:rPr>
        <w:t> </w:t>
      </w:r>
      <w:r>
        <w:rPr/>
        <w:t>y financieras en forma conjunta para examinar el comportamiento evolutivo de costos e ingresos</w:t>
      </w:r>
      <w:r>
        <w:rPr>
          <w:spacing w:val="-4"/>
        </w:rPr>
        <w:t> </w:t>
      </w:r>
      <w:r>
        <w:rPr/>
        <w:t>y</w:t>
      </w:r>
      <w:r>
        <w:rPr>
          <w:spacing w:val="-13"/>
        </w:rPr>
        <w:t> </w:t>
      </w:r>
      <w:r>
        <w:rPr/>
        <w:t>que</w:t>
      </w:r>
      <w:r>
        <w:rPr>
          <w:spacing w:val="-8"/>
        </w:rPr>
        <w:t> </w:t>
      </w:r>
      <w:r>
        <w:rPr/>
        <w:t>a</w:t>
      </w:r>
      <w:r>
        <w:rPr>
          <w:spacing w:val="-11"/>
        </w:rPr>
        <w:t> </w:t>
      </w:r>
      <w:r>
        <w:rPr/>
        <w:t>través</w:t>
      </w:r>
      <w:r>
        <w:rPr>
          <w:spacing w:val="-9"/>
        </w:rPr>
        <w:t> </w:t>
      </w:r>
      <w:r>
        <w:rPr/>
        <w:t>de</w:t>
      </w:r>
      <w:r>
        <w:rPr>
          <w:spacing w:val="-8"/>
        </w:rPr>
        <w:t> </w:t>
      </w:r>
      <w:r>
        <w:rPr/>
        <w:t>estos</w:t>
      </w:r>
      <w:r>
        <w:rPr>
          <w:spacing w:val="-9"/>
        </w:rPr>
        <w:t> </w:t>
      </w:r>
      <w:r>
        <w:rPr/>
        <w:t>análisis</w:t>
      </w:r>
      <w:r>
        <w:rPr>
          <w:spacing w:val="-9"/>
        </w:rPr>
        <w:t> </w:t>
      </w:r>
      <w:r>
        <w:rPr/>
        <w:t>se</w:t>
      </w:r>
      <w:r>
        <w:rPr>
          <w:spacing w:val="-10"/>
        </w:rPr>
        <w:t> </w:t>
      </w:r>
      <w:r>
        <w:rPr/>
        <w:t>puedan</w:t>
      </w:r>
      <w:r>
        <w:rPr>
          <w:spacing w:val="-10"/>
        </w:rPr>
        <w:t> </w:t>
      </w:r>
      <w:r>
        <w:rPr/>
        <w:t>aportar</w:t>
      </w:r>
      <w:r>
        <w:rPr>
          <w:spacing w:val="-10"/>
        </w:rPr>
        <w:t> </w:t>
      </w:r>
      <w:r>
        <w:rPr/>
        <w:t>elementos</w:t>
      </w:r>
      <w:r>
        <w:rPr>
          <w:spacing w:val="-10"/>
        </w:rPr>
        <w:t> </w:t>
      </w:r>
      <w:r>
        <w:rPr/>
        <w:t>para</w:t>
      </w:r>
      <w:r>
        <w:rPr>
          <w:spacing w:val="-9"/>
        </w:rPr>
        <w:t> </w:t>
      </w:r>
      <w:r>
        <w:rPr/>
        <w:t>analizar</w:t>
      </w:r>
      <w:r>
        <w:rPr>
          <w:spacing w:val="-10"/>
        </w:rPr>
        <w:t> </w:t>
      </w:r>
      <w:r>
        <w:rPr/>
        <w:t>estrategias implementadas por los sistemas productivos en el</w:t>
      </w:r>
      <w:r>
        <w:rPr>
          <w:spacing w:val="-9"/>
        </w:rPr>
        <w:t> </w:t>
      </w:r>
      <w:r>
        <w:rPr/>
        <w:t>tiempo.</w:t>
      </w:r>
    </w:p>
    <w:p>
      <w:pPr>
        <w:pStyle w:val="BodyText"/>
      </w:pPr>
    </w:p>
    <w:p>
      <w:pPr>
        <w:pStyle w:val="BodyText"/>
      </w:pPr>
    </w:p>
    <w:p>
      <w:pPr>
        <w:pStyle w:val="BodyText"/>
        <w:spacing w:before="3"/>
        <w:rPr>
          <w:sz w:val="23"/>
        </w:rPr>
      </w:pPr>
    </w:p>
    <w:p>
      <w:pPr>
        <w:pStyle w:val="BodyText"/>
        <w:spacing w:line="360" w:lineRule="auto"/>
        <w:ind w:left="122" w:right="122"/>
        <w:jc w:val="both"/>
      </w:pPr>
      <w:r>
        <w:rPr/>
        <w:t>Por lo anterior, el objetivo del presente trabajo fue analizar financieramente las estrategias productivas, económicas y comerciales que han adoptado los productores lecheros de pequeña escala en el periodo 2000-2012. La hipótesis central fue que las diferentes estrategias implementadas han permitido a los productores vivir de la actividad y seguir en el mercado de competencia actual.</w:t>
      </w:r>
    </w:p>
    <w:p>
      <w:pPr>
        <w:pStyle w:val="BodyText"/>
      </w:pPr>
    </w:p>
    <w:p>
      <w:pPr>
        <w:pStyle w:val="BodyText"/>
      </w:pPr>
    </w:p>
    <w:p>
      <w:pPr>
        <w:pStyle w:val="BodyText"/>
        <w:spacing w:before="8"/>
        <w:rPr>
          <w:sz w:val="23"/>
        </w:rPr>
      </w:pPr>
    </w:p>
    <w:p>
      <w:pPr>
        <w:pStyle w:val="Heading1"/>
        <w:spacing w:before="0"/>
        <w:ind w:left="100"/>
      </w:pPr>
      <w:r>
        <w:rPr/>
        <w:t>Materiales y métodos</w:t>
      </w:r>
    </w:p>
    <w:p>
      <w:pPr>
        <w:pStyle w:val="BodyText"/>
        <w:rPr>
          <w:b/>
        </w:rPr>
      </w:pPr>
    </w:p>
    <w:p>
      <w:pPr>
        <w:pStyle w:val="BodyText"/>
        <w:rPr>
          <w:b/>
        </w:rPr>
      </w:pPr>
    </w:p>
    <w:p>
      <w:pPr>
        <w:pStyle w:val="BodyText"/>
        <w:spacing w:before="5"/>
        <w:rPr>
          <w:b/>
          <w:sz w:val="34"/>
        </w:rPr>
      </w:pPr>
    </w:p>
    <w:p>
      <w:pPr>
        <w:spacing w:before="0"/>
        <w:ind w:left="122" w:right="0" w:firstLine="0"/>
        <w:jc w:val="both"/>
        <w:rPr>
          <w:i/>
          <w:sz w:val="24"/>
        </w:rPr>
      </w:pPr>
      <w:r>
        <w:rPr>
          <w:i/>
          <w:sz w:val="24"/>
        </w:rPr>
        <w:t>Zona de estudio</w:t>
      </w:r>
    </w:p>
    <w:p>
      <w:pPr>
        <w:pStyle w:val="BodyText"/>
        <w:rPr>
          <w:i/>
        </w:rPr>
      </w:pPr>
    </w:p>
    <w:p>
      <w:pPr>
        <w:pStyle w:val="BodyText"/>
        <w:rPr>
          <w:i/>
        </w:rPr>
      </w:pPr>
    </w:p>
    <w:p>
      <w:pPr>
        <w:pStyle w:val="BodyText"/>
        <w:spacing w:before="7"/>
        <w:rPr>
          <w:i/>
          <w:sz w:val="34"/>
        </w:rPr>
      </w:pPr>
    </w:p>
    <w:p>
      <w:pPr>
        <w:pStyle w:val="BodyText"/>
        <w:spacing w:line="360" w:lineRule="auto" w:before="1"/>
        <w:ind w:left="122" w:right="114"/>
        <w:jc w:val="both"/>
      </w:pPr>
      <w:r>
        <w:rPr/>
        <w:t>La investigación se llevó a cabo en el Distrito de Desarrollo Rural de Texcoco (en las comunidades de San Miguel Coatlinchan, Sta. Cruz, Cuahutlalpan, Tocuila, Huexotla, Palmillas y La Trinidad) situado al nor-oriente del Estado de México en los periodos 2000</w:t>
      </w:r>
      <w:r>
        <w:rPr>
          <w:spacing w:val="-16"/>
        </w:rPr>
        <w:t> </w:t>
      </w:r>
      <w:r>
        <w:rPr/>
        <w:t>y 2012, dicho Distrito ocupa el segundo lugar en producción de leche a nivel estatal (SIAP, 2012) y se caracteriza por su histórica vocación lechera, predominando la pequeña lechería. La</w:t>
      </w:r>
      <w:r>
        <w:rPr>
          <w:spacing w:val="-11"/>
        </w:rPr>
        <w:t> </w:t>
      </w:r>
      <w:r>
        <w:rPr/>
        <w:t>zona</w:t>
      </w:r>
      <w:r>
        <w:rPr>
          <w:spacing w:val="-13"/>
        </w:rPr>
        <w:t> </w:t>
      </w:r>
      <w:r>
        <w:rPr/>
        <w:t>de</w:t>
      </w:r>
      <w:r>
        <w:rPr>
          <w:spacing w:val="-11"/>
        </w:rPr>
        <w:t> </w:t>
      </w:r>
      <w:r>
        <w:rPr/>
        <w:t>estudio</w:t>
      </w:r>
      <w:r>
        <w:rPr>
          <w:spacing w:val="-12"/>
        </w:rPr>
        <w:t> </w:t>
      </w:r>
      <w:r>
        <w:rPr/>
        <w:t>tiene</w:t>
      </w:r>
      <w:r>
        <w:rPr>
          <w:spacing w:val="-9"/>
        </w:rPr>
        <w:t> </w:t>
      </w:r>
      <w:r>
        <w:rPr/>
        <w:t>una</w:t>
      </w:r>
      <w:r>
        <w:rPr>
          <w:spacing w:val="-13"/>
        </w:rPr>
        <w:t> </w:t>
      </w:r>
      <w:r>
        <w:rPr/>
        <w:t>altitud</w:t>
      </w:r>
      <w:r>
        <w:rPr>
          <w:spacing w:val="-12"/>
        </w:rPr>
        <w:t> </w:t>
      </w:r>
      <w:r>
        <w:rPr/>
        <w:t>de</w:t>
      </w:r>
      <w:r>
        <w:rPr>
          <w:spacing w:val="-13"/>
        </w:rPr>
        <w:t> </w:t>
      </w:r>
      <w:r>
        <w:rPr/>
        <w:t>2250</w:t>
      </w:r>
      <w:r>
        <w:rPr>
          <w:spacing w:val="-10"/>
        </w:rPr>
        <w:t> </w:t>
      </w:r>
      <w:r>
        <w:rPr/>
        <w:t>msnm,</w:t>
      </w:r>
      <w:r>
        <w:rPr>
          <w:spacing w:val="-12"/>
        </w:rPr>
        <w:t> </w:t>
      </w:r>
      <w:r>
        <w:rPr/>
        <w:t>su</w:t>
      </w:r>
      <w:r>
        <w:rPr>
          <w:spacing w:val="-12"/>
        </w:rPr>
        <w:t> </w:t>
      </w:r>
      <w:r>
        <w:rPr/>
        <w:t>clima</w:t>
      </w:r>
      <w:r>
        <w:rPr>
          <w:spacing w:val="-13"/>
        </w:rPr>
        <w:t> </w:t>
      </w:r>
      <w:r>
        <w:rPr/>
        <w:t>se</w:t>
      </w:r>
      <w:r>
        <w:rPr>
          <w:spacing w:val="-13"/>
        </w:rPr>
        <w:t> </w:t>
      </w:r>
      <w:r>
        <w:rPr/>
        <w:t>considera</w:t>
      </w:r>
      <w:r>
        <w:rPr>
          <w:spacing w:val="-14"/>
        </w:rPr>
        <w:t> </w:t>
      </w:r>
      <w:r>
        <w:rPr/>
        <w:t>templado</w:t>
      </w:r>
      <w:r>
        <w:rPr>
          <w:spacing w:val="-12"/>
        </w:rPr>
        <w:t> </w:t>
      </w:r>
      <w:r>
        <w:rPr/>
        <w:t>semiseco, con una temperatura media anual de 15.9°C y una precipitación media anual de 686 mm (INEGI,</w:t>
      </w:r>
      <w:r>
        <w:rPr>
          <w:spacing w:val="-6"/>
        </w:rPr>
        <w:t> </w:t>
      </w:r>
      <w:r>
        <w:rPr/>
        <w:t>2003).</w:t>
      </w:r>
    </w:p>
    <w:p>
      <w:pPr>
        <w:spacing w:after="0" w:line="360" w:lineRule="auto"/>
        <w:jc w:val="both"/>
        <w:sectPr>
          <w:pgSz w:w="12240" w:h="15840"/>
          <w:pgMar w:header="0" w:footer="657" w:top="1360" w:bottom="840" w:left="1580" w:right="1580"/>
        </w:sectPr>
      </w:pPr>
    </w:p>
    <w:p>
      <w:pPr>
        <w:spacing w:before="50"/>
        <w:ind w:left="102" w:right="0" w:firstLine="0"/>
        <w:jc w:val="left"/>
        <w:rPr>
          <w:i/>
          <w:sz w:val="24"/>
        </w:rPr>
      </w:pPr>
      <w:r>
        <w:rPr>
          <w:i/>
          <w:sz w:val="24"/>
        </w:rPr>
        <w:t>Estimación del tamaño de muestra</w:t>
      </w:r>
    </w:p>
    <w:p>
      <w:pPr>
        <w:pStyle w:val="BodyText"/>
        <w:rPr>
          <w:i/>
        </w:rPr>
      </w:pPr>
    </w:p>
    <w:p>
      <w:pPr>
        <w:pStyle w:val="BodyText"/>
        <w:rPr>
          <w:i/>
        </w:rPr>
      </w:pPr>
    </w:p>
    <w:p>
      <w:pPr>
        <w:pStyle w:val="BodyText"/>
        <w:spacing w:before="10"/>
        <w:rPr>
          <w:i/>
          <w:sz w:val="34"/>
        </w:rPr>
      </w:pPr>
    </w:p>
    <w:p>
      <w:pPr>
        <w:pStyle w:val="BodyText"/>
        <w:spacing w:line="360" w:lineRule="auto"/>
        <w:ind w:left="102" w:right="122"/>
        <w:jc w:val="both"/>
      </w:pPr>
      <w:r>
        <w:rPr/>
        <w:t>Para obtener la información de campo se empleó una encuesta por muestreo estadístico estratificado. El marco de muestreo se integró del padrón de la Asociación Ganadera Local del municipio de Texcoco en ambos periodos de análisis. El instrumento principal para la obtención</w:t>
      </w:r>
      <w:r>
        <w:rPr>
          <w:spacing w:val="-6"/>
        </w:rPr>
        <w:t> </w:t>
      </w:r>
      <w:r>
        <w:rPr/>
        <w:t>de</w:t>
      </w:r>
      <w:r>
        <w:rPr>
          <w:spacing w:val="-7"/>
        </w:rPr>
        <w:t> </w:t>
      </w:r>
      <w:r>
        <w:rPr/>
        <w:t>información</w:t>
      </w:r>
      <w:r>
        <w:rPr>
          <w:spacing w:val="-6"/>
        </w:rPr>
        <w:t> </w:t>
      </w:r>
      <w:r>
        <w:rPr/>
        <w:t>fue</w:t>
      </w:r>
      <w:r>
        <w:rPr>
          <w:spacing w:val="-8"/>
        </w:rPr>
        <w:t> </w:t>
      </w:r>
      <w:r>
        <w:rPr/>
        <w:t>una</w:t>
      </w:r>
      <w:r>
        <w:rPr>
          <w:spacing w:val="-7"/>
        </w:rPr>
        <w:t> </w:t>
      </w:r>
      <w:r>
        <w:rPr/>
        <w:t>cédula</w:t>
      </w:r>
      <w:r>
        <w:rPr>
          <w:spacing w:val="-7"/>
        </w:rPr>
        <w:t> </w:t>
      </w:r>
      <w:r>
        <w:rPr/>
        <w:t>de</w:t>
      </w:r>
      <w:r>
        <w:rPr>
          <w:spacing w:val="-5"/>
        </w:rPr>
        <w:t> </w:t>
      </w:r>
      <w:r>
        <w:rPr/>
        <w:t>entrevista</w:t>
      </w:r>
      <w:r>
        <w:rPr>
          <w:spacing w:val="-7"/>
        </w:rPr>
        <w:t> </w:t>
      </w:r>
      <w:r>
        <w:rPr/>
        <w:t>cuya</w:t>
      </w:r>
      <w:r>
        <w:rPr>
          <w:spacing w:val="-5"/>
        </w:rPr>
        <w:t> </w:t>
      </w:r>
      <w:r>
        <w:rPr/>
        <w:t>estructura</w:t>
      </w:r>
      <w:r>
        <w:rPr>
          <w:spacing w:val="-5"/>
        </w:rPr>
        <w:t> </w:t>
      </w:r>
      <w:r>
        <w:rPr/>
        <w:t>comprendió</w:t>
      </w:r>
      <w:r>
        <w:rPr>
          <w:spacing w:val="-6"/>
        </w:rPr>
        <w:t> </w:t>
      </w:r>
      <w:r>
        <w:rPr/>
        <w:t>las</w:t>
      </w:r>
      <w:r>
        <w:rPr>
          <w:spacing w:val="-7"/>
        </w:rPr>
        <w:t> </w:t>
      </w:r>
      <w:r>
        <w:rPr/>
        <w:t>partes correspondientes a productividad, infraestructura, manejo técnico, comercialización, los gastos derivados para la producción de leche y los ingresos por su venta. La información económica y productiva provino de 1023 lactancias (305 días por lactancia) en los dos periodos</w:t>
      </w:r>
      <w:r>
        <w:rPr>
          <w:spacing w:val="-9"/>
        </w:rPr>
        <w:t> </w:t>
      </w:r>
      <w:r>
        <w:rPr/>
        <w:t>de</w:t>
      </w:r>
      <w:r>
        <w:rPr>
          <w:spacing w:val="-7"/>
        </w:rPr>
        <w:t> </w:t>
      </w:r>
      <w:r>
        <w:rPr/>
        <w:t>análisis,</w:t>
      </w:r>
      <w:r>
        <w:rPr>
          <w:spacing w:val="-9"/>
        </w:rPr>
        <w:t> </w:t>
      </w:r>
      <w:r>
        <w:rPr/>
        <w:t>(456</w:t>
      </w:r>
      <w:r>
        <w:rPr>
          <w:spacing w:val="-7"/>
        </w:rPr>
        <w:t> </w:t>
      </w:r>
      <w:r>
        <w:rPr/>
        <w:t>para</w:t>
      </w:r>
      <w:r>
        <w:rPr>
          <w:spacing w:val="-8"/>
        </w:rPr>
        <w:t> </w:t>
      </w:r>
      <w:r>
        <w:rPr/>
        <w:t>el</w:t>
      </w:r>
      <w:r>
        <w:rPr>
          <w:spacing w:val="-8"/>
        </w:rPr>
        <w:t> </w:t>
      </w:r>
      <w:r>
        <w:rPr/>
        <w:t>periodo</w:t>
      </w:r>
      <w:r>
        <w:rPr>
          <w:spacing w:val="-9"/>
        </w:rPr>
        <w:t> </w:t>
      </w:r>
      <w:r>
        <w:rPr/>
        <w:t>2000</w:t>
      </w:r>
      <w:r>
        <w:rPr>
          <w:spacing w:val="-7"/>
        </w:rPr>
        <w:t> </w:t>
      </w:r>
      <w:r>
        <w:rPr/>
        <w:t>en</w:t>
      </w:r>
      <w:r>
        <w:rPr>
          <w:spacing w:val="-4"/>
        </w:rPr>
        <w:t> </w:t>
      </w:r>
      <w:r>
        <w:rPr/>
        <w:t>20</w:t>
      </w:r>
      <w:r>
        <w:rPr>
          <w:spacing w:val="-9"/>
        </w:rPr>
        <w:t> </w:t>
      </w:r>
      <w:r>
        <w:rPr/>
        <w:t>hatos</w:t>
      </w:r>
      <w:r>
        <w:rPr>
          <w:spacing w:val="-8"/>
        </w:rPr>
        <w:t> </w:t>
      </w:r>
      <w:r>
        <w:rPr/>
        <w:t>lecheras</w:t>
      </w:r>
      <w:r>
        <w:rPr>
          <w:spacing w:val="-4"/>
        </w:rPr>
        <w:t> </w:t>
      </w:r>
      <w:r>
        <w:rPr/>
        <w:t>y</w:t>
      </w:r>
      <w:r>
        <w:rPr>
          <w:spacing w:val="-13"/>
        </w:rPr>
        <w:t> </w:t>
      </w:r>
      <w:r>
        <w:rPr/>
        <w:t>567</w:t>
      </w:r>
      <w:r>
        <w:rPr>
          <w:spacing w:val="-7"/>
        </w:rPr>
        <w:t> </w:t>
      </w:r>
      <w:r>
        <w:rPr/>
        <w:t>en</w:t>
      </w:r>
      <w:r>
        <w:rPr>
          <w:spacing w:val="-9"/>
        </w:rPr>
        <w:t> </w:t>
      </w:r>
      <w:r>
        <w:rPr/>
        <w:t>el</w:t>
      </w:r>
      <w:r>
        <w:rPr>
          <w:spacing w:val="-8"/>
        </w:rPr>
        <w:t> </w:t>
      </w:r>
      <w:r>
        <w:rPr/>
        <w:t>periodo</w:t>
      </w:r>
      <w:r>
        <w:rPr>
          <w:spacing w:val="-9"/>
        </w:rPr>
        <w:t> </w:t>
      </w:r>
      <w:r>
        <w:rPr/>
        <w:t>2012 en 20</w:t>
      </w:r>
      <w:r>
        <w:rPr>
          <w:spacing w:val="-2"/>
        </w:rPr>
        <w:t> </w:t>
      </w:r>
      <w:r>
        <w:rPr/>
        <w:t>hatos).</w:t>
      </w:r>
    </w:p>
    <w:p>
      <w:pPr>
        <w:pStyle w:val="BodyText"/>
      </w:pPr>
    </w:p>
    <w:p>
      <w:pPr>
        <w:pStyle w:val="BodyText"/>
        <w:spacing w:line="360" w:lineRule="auto" w:before="143"/>
        <w:ind w:left="102"/>
      </w:pPr>
      <w:r>
        <w:rPr/>
        <w:t>La variable fundamental asociada al muestreo fue el tamaño de hato y se consideró a éste al ser un elemento determinante en la construcción y distribución del presupuesto de costos, ingresos como en la rentabilidad del sistema. La estimación del tamaño de muestra final consideró un límite de error de estimación de 10% de la media muestral, con un nivel de confianza del 95%, la ecuación utilizada fue la siguiente:</w:t>
      </w:r>
    </w:p>
    <w:p>
      <w:pPr>
        <w:pStyle w:val="BodyText"/>
        <w:spacing w:before="7"/>
        <w:rPr>
          <w:sz w:val="28"/>
        </w:rPr>
      </w:pPr>
    </w:p>
    <w:p>
      <w:pPr>
        <w:spacing w:line="197" w:lineRule="exact" w:before="142"/>
        <w:ind w:left="492" w:right="26" w:firstLine="0"/>
        <w:jc w:val="center"/>
        <w:rPr>
          <w:rFonts w:ascii="Cambria Math" w:hAnsi="Cambria Math"/>
          <w:sz w:val="17"/>
        </w:rPr>
      </w:pPr>
      <w:r>
        <w:rPr/>
        <w:pict>
          <v:shape style="position:absolute;margin-left:307.010010pt;margin-top:13.934632pt;width:1.95pt;height:7pt;mso-position-horizontal-relative:page;mso-position-vertical-relative:paragraph;z-index:-459544" type="#_x0000_t202" filled="false" stroked="false">
            <v:textbox inset="0,0,0,0">
              <w:txbxContent>
                <w:p>
                  <w:pPr>
                    <w:spacing w:line="139" w:lineRule="exact" w:before="0"/>
                    <w:ind w:left="0" w:right="0" w:firstLine="0"/>
                    <w:jc w:val="left"/>
                    <w:rPr>
                      <w:sz w:val="14"/>
                    </w:rPr>
                  </w:pPr>
                  <w:r>
                    <w:rPr>
                      <w:w w:val="99"/>
                      <w:sz w:val="14"/>
                    </w:rPr>
                    <w:t>i</w:t>
                  </w:r>
                </w:p>
              </w:txbxContent>
            </v:textbox>
            <w10:wrap type="none"/>
          </v:shape>
        </w:pict>
      </w:r>
      <w:r>
        <w:rPr/>
        <w:pict>
          <v:shape style="position:absolute;margin-left:339.190002pt;margin-top:5.014112pt;width:4.150pt;height:7pt;mso-position-horizontal-relative:page;mso-position-vertical-relative:paragraph;z-index:4312"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w:pict>
      </w:r>
      <w:r>
        <w:rPr>
          <w:rFonts w:ascii="Cambria Math" w:hAnsi="Cambria Math"/>
          <w:sz w:val="17"/>
        </w:rPr>
        <w:t>(</w:t>
      </w:r>
      <w:r>
        <w:rPr>
          <w:rFonts w:ascii="Cambria Math" w:hAnsi="Cambria Math"/>
          <w:position w:val="1"/>
          <w:sz w:val="17"/>
        </w:rPr>
        <w:t>∑</w:t>
      </w:r>
      <w:r>
        <w:rPr>
          <w:position w:val="7"/>
          <w:sz w:val="14"/>
        </w:rPr>
        <w:t>L </w:t>
      </w:r>
      <w:r>
        <w:rPr>
          <w:sz w:val="17"/>
        </w:rPr>
        <w:t>N</w:t>
      </w:r>
      <w:r>
        <w:rPr>
          <w:position w:val="-3"/>
          <w:sz w:val="14"/>
        </w:rPr>
        <w:t>i </w:t>
      </w:r>
      <w:r>
        <w:rPr>
          <w:sz w:val="17"/>
        </w:rPr>
        <w:t>S</w:t>
      </w:r>
      <w:r>
        <w:rPr>
          <w:position w:val="-3"/>
          <w:sz w:val="14"/>
        </w:rPr>
        <w:t>Ni</w:t>
      </w:r>
      <w:r>
        <w:rPr>
          <w:rFonts w:ascii="Cambria Math" w:hAnsi="Cambria Math"/>
          <w:sz w:val="17"/>
        </w:rPr>
        <w:t>)</w:t>
      </w:r>
    </w:p>
    <w:p>
      <w:pPr>
        <w:tabs>
          <w:tab w:pos="4845" w:val="left" w:leader="none"/>
          <w:tab w:pos="5265" w:val="left" w:leader="none"/>
          <w:tab w:pos="8474" w:val="left" w:leader="none"/>
        </w:tabs>
        <w:spacing w:line="93" w:lineRule="exact" w:before="0"/>
        <w:ind w:left="3726" w:right="0" w:firstLine="0"/>
        <w:jc w:val="left"/>
        <w:rPr>
          <w:sz w:val="24"/>
        </w:rPr>
      </w:pPr>
      <w:r>
        <w:rPr/>
        <w:pict>
          <v:line style="position:absolute;mso-position-horizontal-relative:page;mso-position-vertical-relative:paragraph;z-index:-459592" from="290.089996pt,4.084469pt" to="350.713996pt,4.084469pt" stroked="true" strokeweight=".84003pt" strokecolor="#000000">
            <w10:wrap type="none"/>
          </v:line>
        </w:pict>
      </w:r>
      <w:r>
        <w:rPr>
          <w:sz w:val="24"/>
        </w:rPr>
        <w:t>n=</w:t>
        <w:tab/>
      </w:r>
      <w:r>
        <w:rPr>
          <w:position w:val="-5"/>
          <w:sz w:val="14"/>
        </w:rPr>
        <w:t>L</w:t>
        <w:tab/>
      </w:r>
      <w:r>
        <w:rPr>
          <w:position w:val="-4"/>
          <w:sz w:val="14"/>
        </w:rPr>
        <w:t>2</w:t>
        <w:tab/>
      </w:r>
      <w:r>
        <w:rPr>
          <w:sz w:val="24"/>
        </w:rPr>
        <w:t>1)</w:t>
      </w:r>
    </w:p>
    <w:p>
      <w:pPr>
        <w:spacing w:line="279" w:lineRule="exact" w:before="0"/>
        <w:ind w:left="572" w:right="26" w:firstLine="0"/>
        <w:jc w:val="center"/>
        <w:rPr>
          <w:sz w:val="14"/>
        </w:rPr>
      </w:pPr>
      <w:r>
        <w:rPr>
          <w:sz w:val="17"/>
        </w:rPr>
        <w:t>N</w:t>
      </w:r>
      <w:r>
        <w:rPr>
          <w:position w:val="8"/>
          <w:sz w:val="14"/>
        </w:rPr>
        <w:t>2</w:t>
      </w:r>
      <w:r>
        <w:rPr>
          <w:sz w:val="17"/>
        </w:rPr>
        <w:t>D</w:t>
      </w:r>
      <w:r>
        <w:rPr>
          <w:position w:val="8"/>
          <w:sz w:val="14"/>
        </w:rPr>
        <w:t>2</w:t>
      </w:r>
      <w:r>
        <w:rPr>
          <w:sz w:val="17"/>
        </w:rPr>
        <w:t>+ </w:t>
      </w:r>
      <w:r>
        <w:rPr>
          <w:rFonts w:ascii="Cambria Math" w:hAnsi="Cambria Math"/>
          <w:position w:val="1"/>
          <w:sz w:val="17"/>
        </w:rPr>
        <w:t>∑</w:t>
      </w:r>
      <w:r>
        <w:rPr>
          <w:position w:val="-5"/>
          <w:sz w:val="14"/>
        </w:rPr>
        <w:t>i  </w:t>
      </w:r>
      <w:r>
        <w:rPr>
          <w:sz w:val="17"/>
        </w:rPr>
        <w:t>N</w:t>
      </w:r>
      <w:r>
        <w:rPr>
          <w:position w:val="-3"/>
          <w:sz w:val="14"/>
        </w:rPr>
        <w:t>i </w:t>
      </w:r>
      <w:r>
        <w:rPr>
          <w:sz w:val="17"/>
        </w:rPr>
        <w:t>S</w:t>
      </w:r>
      <w:r>
        <w:rPr>
          <w:position w:val="-3"/>
          <w:sz w:val="14"/>
        </w:rPr>
        <w:t>Ni</w:t>
      </w:r>
    </w:p>
    <w:p>
      <w:pPr>
        <w:pStyle w:val="BodyText"/>
        <w:rPr>
          <w:sz w:val="20"/>
        </w:rPr>
      </w:pPr>
    </w:p>
    <w:p>
      <w:pPr>
        <w:pStyle w:val="BodyText"/>
        <w:spacing w:before="5"/>
        <w:rPr>
          <w:sz w:val="18"/>
        </w:rPr>
      </w:pPr>
    </w:p>
    <w:p>
      <w:pPr>
        <w:pStyle w:val="BodyText"/>
        <w:spacing w:line="345" w:lineRule="auto" w:before="68"/>
        <w:ind w:left="102" w:right="115"/>
        <w:jc w:val="both"/>
      </w:pPr>
      <w:r>
        <w:rPr>
          <w:position w:val="2"/>
        </w:rPr>
        <w:t>Donde, n=tamaño de muestra final; N=tamaño de la población; N</w:t>
      </w:r>
      <w:r>
        <w:rPr>
          <w:sz w:val="16"/>
        </w:rPr>
        <w:t>i</w:t>
      </w:r>
      <w:r>
        <w:rPr>
          <w:position w:val="2"/>
        </w:rPr>
        <w:t>=número de productores del</w:t>
      </w:r>
      <w:r>
        <w:rPr>
          <w:spacing w:val="-11"/>
          <w:position w:val="2"/>
        </w:rPr>
        <w:t> </w:t>
      </w:r>
      <w:r>
        <w:rPr>
          <w:position w:val="2"/>
        </w:rPr>
        <w:t>i-esimo</w:t>
      </w:r>
      <w:r>
        <w:rPr>
          <w:spacing w:val="-11"/>
          <w:position w:val="2"/>
        </w:rPr>
        <w:t> </w:t>
      </w:r>
      <w:r>
        <w:rPr>
          <w:position w:val="2"/>
        </w:rPr>
        <w:t>estrato;</w:t>
      </w:r>
      <w:r>
        <w:rPr>
          <w:spacing w:val="-10"/>
          <w:position w:val="2"/>
        </w:rPr>
        <w:t> </w:t>
      </w:r>
      <w:r>
        <w:rPr>
          <w:position w:val="2"/>
        </w:rPr>
        <w:t>S</w:t>
      </w:r>
      <w:r>
        <w:rPr>
          <w:sz w:val="16"/>
        </w:rPr>
        <w:t>Ni</w:t>
      </w:r>
      <w:r>
        <w:rPr>
          <w:position w:val="11"/>
          <w:sz w:val="16"/>
        </w:rPr>
        <w:t>2</w:t>
      </w:r>
      <w:r>
        <w:rPr>
          <w:position w:val="2"/>
        </w:rPr>
        <w:t>=varianza</w:t>
      </w:r>
      <w:r>
        <w:rPr>
          <w:spacing w:val="-12"/>
          <w:position w:val="2"/>
        </w:rPr>
        <w:t> </w:t>
      </w:r>
      <w:r>
        <w:rPr>
          <w:position w:val="2"/>
        </w:rPr>
        <w:t>estimada</w:t>
      </w:r>
      <w:r>
        <w:rPr>
          <w:spacing w:val="-12"/>
          <w:position w:val="2"/>
        </w:rPr>
        <w:t> </w:t>
      </w:r>
      <w:r>
        <w:rPr>
          <w:position w:val="2"/>
        </w:rPr>
        <w:t>del</w:t>
      </w:r>
      <w:r>
        <w:rPr>
          <w:spacing w:val="-8"/>
          <w:position w:val="2"/>
        </w:rPr>
        <w:t> </w:t>
      </w:r>
      <w:r>
        <w:rPr>
          <w:position w:val="2"/>
        </w:rPr>
        <w:t>estrato</w:t>
      </w:r>
      <w:r>
        <w:rPr>
          <w:spacing w:val="-11"/>
          <w:position w:val="2"/>
        </w:rPr>
        <w:t> </w:t>
      </w:r>
      <w:r>
        <w:rPr>
          <w:position w:val="2"/>
        </w:rPr>
        <w:t>(i);</w:t>
      </w:r>
      <w:r>
        <w:rPr>
          <w:spacing w:val="-8"/>
          <w:position w:val="2"/>
        </w:rPr>
        <w:t> </w:t>
      </w:r>
      <w:r>
        <w:rPr>
          <w:position w:val="2"/>
        </w:rPr>
        <w:t>S</w:t>
      </w:r>
      <w:r>
        <w:rPr>
          <w:sz w:val="16"/>
        </w:rPr>
        <w:t>i</w:t>
      </w:r>
      <w:r>
        <w:rPr>
          <w:position w:val="2"/>
        </w:rPr>
        <w:t>=desviación</w:t>
      </w:r>
      <w:r>
        <w:rPr>
          <w:spacing w:val="-8"/>
          <w:position w:val="2"/>
        </w:rPr>
        <w:t> </w:t>
      </w:r>
      <w:r>
        <w:rPr>
          <w:position w:val="2"/>
        </w:rPr>
        <w:t>estándar</w:t>
      </w:r>
      <w:r>
        <w:rPr>
          <w:spacing w:val="-10"/>
          <w:position w:val="2"/>
        </w:rPr>
        <w:t> </w:t>
      </w:r>
      <w:r>
        <w:rPr>
          <w:position w:val="2"/>
        </w:rPr>
        <w:t>del</w:t>
      </w:r>
      <w:r>
        <w:rPr>
          <w:spacing w:val="-11"/>
          <w:position w:val="2"/>
        </w:rPr>
        <w:t> </w:t>
      </w:r>
      <w:r>
        <w:rPr>
          <w:position w:val="2"/>
        </w:rPr>
        <w:t>i-esimo </w:t>
      </w:r>
      <w:r>
        <w:rPr/>
        <w:t>estrato; D</w:t>
      </w:r>
      <w:r>
        <w:rPr>
          <w:position w:val="9"/>
          <w:sz w:val="16"/>
        </w:rPr>
        <w:t>2</w:t>
      </w:r>
      <w:r>
        <w:rPr/>
        <w:t>=precisión,</w:t>
      </w:r>
      <w:r>
        <w:rPr>
          <w:spacing w:val="-4"/>
        </w:rPr>
        <w:t> </w:t>
      </w:r>
      <w:r>
        <w:rPr/>
        <w:t>donde:</w:t>
      </w:r>
    </w:p>
    <w:p>
      <w:pPr>
        <w:pStyle w:val="BodyText"/>
        <w:spacing w:before="2"/>
        <w:rPr>
          <w:sz w:val="29"/>
        </w:rPr>
      </w:pPr>
    </w:p>
    <w:p>
      <w:pPr>
        <w:tabs>
          <w:tab w:pos="8666" w:val="left" w:leader="none"/>
        </w:tabs>
        <w:spacing w:line="283" w:lineRule="exact" w:before="115"/>
        <w:ind w:left="3777" w:right="0" w:firstLine="0"/>
        <w:jc w:val="left"/>
        <w:rPr>
          <w:sz w:val="24"/>
        </w:rPr>
      </w:pPr>
      <w:r>
        <w:rPr/>
        <w:pict>
          <v:line style="position:absolute;mso-position-horizontal-relative:page;mso-position-vertical-relative:paragraph;z-index:-459568" from="298.609985pt,17.406643pt" to="315.289985pt,17.406643pt" stroked="true" strokeweight=".84003pt" strokecolor="#000000">
            <w10:wrap type="none"/>
          </v:line>
        </w:pict>
      </w:r>
      <w:r>
        <w:rPr/>
        <w:pict>
          <v:shape style="position:absolute;margin-left:302.809998pt;margin-top:17.825607pt;width:4.150pt;height:7pt;mso-position-horizontal-relative:page;mso-position-vertical-relative:paragraph;z-index:-45952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w:pict>
      </w:r>
      <w:r>
        <w:rPr/>
        <w:pict>
          <v:shape style="position:absolute;margin-left:307.489990pt;margin-top:4.985608pt;width:4.150pt;height:7pt;mso-position-horizontal-relative:page;mso-position-vertical-relative:paragraph;z-index:-459448"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w:pict>
      </w:r>
      <w:r>
        <w:rPr>
          <w:rFonts w:ascii="Cambria Math" w:eastAsia="Cambria Math"/>
          <w:spacing w:val="3"/>
          <w:sz w:val="24"/>
        </w:rPr>
        <w:t>�</w:t>
      </w:r>
      <w:r>
        <w:rPr>
          <w:rFonts w:ascii="Cambria Math" w:eastAsia="Cambria Math"/>
          <w:spacing w:val="3"/>
          <w:position w:val="9"/>
          <w:sz w:val="17"/>
        </w:rPr>
        <w:t>2</w:t>
      </w:r>
      <w:r>
        <w:rPr>
          <w:rFonts w:ascii="Cambria Math" w:eastAsia="Cambria Math"/>
          <w:spacing w:val="40"/>
          <w:position w:val="9"/>
          <w:sz w:val="17"/>
        </w:rPr>
        <w:t> </w:t>
      </w:r>
      <w:r>
        <w:rPr>
          <w:rFonts w:ascii="Cambria Math" w:eastAsia="Cambria Math"/>
          <w:sz w:val="24"/>
        </w:rPr>
        <w:t>= </w:t>
      </w:r>
      <w:r>
        <w:rPr>
          <w:rFonts w:ascii="Cambria Math" w:eastAsia="Cambria Math"/>
          <w:spacing w:val="30"/>
          <w:sz w:val="24"/>
        </w:rPr>
        <w:t> </w:t>
      </w:r>
      <w:r>
        <w:rPr>
          <w:rFonts w:ascii="Cambria Math" w:eastAsia="Cambria Math"/>
          <w:position w:val="14"/>
          <w:sz w:val="17"/>
        </w:rPr>
        <w:t>�</w:t>
        <w:tab/>
      </w:r>
      <w:r>
        <w:rPr>
          <w:sz w:val="24"/>
        </w:rPr>
        <w:t>2)</w:t>
      </w:r>
    </w:p>
    <w:p>
      <w:pPr>
        <w:spacing w:line="224" w:lineRule="exact" w:before="0"/>
        <w:ind w:left="35" w:right="26" w:firstLine="0"/>
        <w:jc w:val="center"/>
        <w:rPr>
          <w:rFonts w:ascii="Cambria Math" w:eastAsia="Cambria Math"/>
          <w:sz w:val="14"/>
        </w:rPr>
      </w:pPr>
      <w:r>
        <w:rPr>
          <w:rFonts w:ascii="Cambria Math" w:eastAsia="Cambria Math"/>
          <w:position w:val="6"/>
          <w:sz w:val="17"/>
        </w:rPr>
        <w:t>�</w:t>
      </w:r>
      <w:r>
        <w:rPr>
          <w:rFonts w:ascii="Cambria Math" w:eastAsia="Cambria Math"/>
          <w:sz w:val="14"/>
        </w:rPr>
        <w:t>𝛼/2</w:t>
      </w:r>
    </w:p>
    <w:p>
      <w:pPr>
        <w:pStyle w:val="BodyText"/>
        <w:rPr>
          <w:rFonts w:ascii="Cambria Math"/>
          <w:sz w:val="20"/>
        </w:rPr>
      </w:pPr>
    </w:p>
    <w:p>
      <w:pPr>
        <w:pStyle w:val="BodyText"/>
        <w:spacing w:before="3"/>
        <w:rPr>
          <w:rFonts w:ascii="Cambria Math"/>
          <w:sz w:val="19"/>
        </w:rPr>
      </w:pPr>
    </w:p>
    <w:p>
      <w:pPr>
        <w:pStyle w:val="BodyText"/>
        <w:spacing w:line="355" w:lineRule="auto" w:before="95"/>
        <w:ind w:left="102" w:right="119"/>
        <w:jc w:val="both"/>
      </w:pPr>
      <w:r>
        <w:rPr/>
        <w:pict>
          <v:shape style="position:absolute;margin-left:269.690002pt;margin-top:5.013324pt;width:4.95pt;height:8.550pt;mso-position-horizontal-relative:page;mso-position-vertical-relative:paragraph;z-index:-459496"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t>Donde,</w:t>
      </w:r>
      <w:r>
        <w:rPr>
          <w:spacing w:val="-8"/>
        </w:rPr>
        <w:t> </w:t>
      </w:r>
      <w:r>
        <w:rPr/>
        <w:t>d</w:t>
      </w:r>
      <w:r>
        <w:rPr>
          <w:position w:val="9"/>
          <w:sz w:val="16"/>
        </w:rPr>
        <w:t>2</w:t>
      </w:r>
      <w:r>
        <w:rPr/>
        <w:t>=</w:t>
      </w:r>
      <w:r>
        <w:rPr>
          <w:spacing w:val="-8"/>
        </w:rPr>
        <w:t> </w:t>
      </w:r>
      <w:r>
        <w:rPr/>
        <w:t>precisión</w:t>
      </w:r>
      <w:r>
        <w:rPr>
          <w:spacing w:val="-8"/>
        </w:rPr>
        <w:t> </w:t>
      </w:r>
      <w:r>
        <w:rPr/>
        <w:t>del</w:t>
      </w:r>
      <w:r>
        <w:rPr>
          <w:spacing w:val="-5"/>
        </w:rPr>
        <w:t> </w:t>
      </w:r>
      <w:r>
        <w:rPr/>
        <w:t>estimador;</w:t>
      </w:r>
      <w:r>
        <w:rPr>
          <w:spacing w:val="-3"/>
        </w:rPr>
        <w:t> </w:t>
      </w:r>
      <w:r>
        <w:rPr>
          <w:rFonts w:ascii="Cambria Math" w:hAnsi="Cambria Math" w:eastAsia="Cambria Math"/>
          <w:spacing w:val="2"/>
        </w:rPr>
        <w:t>�</w:t>
      </w:r>
      <w:r>
        <w:rPr>
          <w:rFonts w:ascii="Cambria Math" w:hAnsi="Cambria Math" w:eastAsia="Cambria Math"/>
          <w:spacing w:val="2"/>
          <w:position w:val="-5"/>
          <w:sz w:val="17"/>
        </w:rPr>
        <w:t>𝛼/2</w:t>
      </w:r>
      <w:r>
        <w:rPr>
          <w:spacing w:val="2"/>
        </w:rPr>
        <w:t>=</w:t>
      </w:r>
      <w:r>
        <w:rPr>
          <w:spacing w:val="-8"/>
        </w:rPr>
        <w:t> </w:t>
      </w:r>
      <w:r>
        <w:rPr/>
        <w:t>valor</w:t>
      </w:r>
      <w:r>
        <w:rPr>
          <w:spacing w:val="-8"/>
        </w:rPr>
        <w:t> </w:t>
      </w:r>
      <w:r>
        <w:rPr/>
        <w:t>obtenido</w:t>
      </w:r>
      <w:r>
        <w:rPr>
          <w:spacing w:val="-7"/>
        </w:rPr>
        <w:t> </w:t>
      </w:r>
      <w:r>
        <w:rPr/>
        <w:t>de</w:t>
      </w:r>
      <w:r>
        <w:rPr>
          <w:spacing w:val="-8"/>
        </w:rPr>
        <w:t> </w:t>
      </w:r>
      <w:r>
        <w:rPr/>
        <w:t>las</w:t>
      </w:r>
      <w:r>
        <w:rPr>
          <w:spacing w:val="-8"/>
        </w:rPr>
        <w:t> </w:t>
      </w:r>
      <w:r>
        <w:rPr/>
        <w:t>tablas</w:t>
      </w:r>
      <w:r>
        <w:rPr>
          <w:spacing w:val="-7"/>
        </w:rPr>
        <w:t> </w:t>
      </w:r>
      <w:r>
        <w:rPr/>
        <w:t>de</w:t>
      </w:r>
      <w:r>
        <w:rPr>
          <w:spacing w:val="-8"/>
        </w:rPr>
        <w:t> </w:t>
      </w:r>
      <w:r>
        <w:rPr/>
        <w:t>distribución</w:t>
      </w:r>
      <w:r>
        <w:rPr>
          <w:spacing w:val="-7"/>
        </w:rPr>
        <w:t> </w:t>
      </w:r>
      <w:r>
        <w:rPr/>
        <w:t>de </w:t>
      </w:r>
      <w:r>
        <w:rPr>
          <w:b/>
        </w:rPr>
        <w:t>t </w:t>
      </w:r>
      <w:r>
        <w:rPr/>
        <w:t>de Student con un t, 0.25, </w:t>
      </w:r>
      <w:r>
        <w:rPr>
          <w:i/>
        </w:rPr>
        <w:t>n, gl</w:t>
      </w:r>
      <w:r>
        <w:rPr/>
        <w:t>; d, 10% (ӯ). La información para estimar el tamaño de muestra se presenta en el siguiente</w:t>
      </w:r>
      <w:r>
        <w:rPr>
          <w:spacing w:val="-5"/>
        </w:rPr>
        <w:t> </w:t>
      </w:r>
      <w:r>
        <w:rPr/>
        <w:t>cuadro.</w:t>
      </w:r>
    </w:p>
    <w:p>
      <w:pPr>
        <w:spacing w:after="0" w:line="355" w:lineRule="auto"/>
        <w:jc w:val="both"/>
        <w:sectPr>
          <w:pgSz w:w="12240" w:h="15840"/>
          <w:pgMar w:header="0" w:footer="657" w:top="1360" w:bottom="840" w:left="1600" w:right="1580"/>
        </w:sectPr>
      </w:pPr>
    </w:p>
    <w:p>
      <w:pPr>
        <w:pStyle w:val="BodyText"/>
        <w:spacing w:before="50"/>
        <w:ind w:left="251" w:right="8"/>
      </w:pPr>
      <w:r>
        <w:rPr/>
        <w:pict>
          <v:shape style="position:absolute;margin-left:466.420013pt;margin-top:25.733578pt;width:4.05pt;height:8.0500pt;mso-position-horizontal-relative:page;mso-position-vertical-relative:paragraph;z-index:-459328" type="#_x0000_t202" filled="false" stroked="false">
            <v:textbox inset="0,0,0,0">
              <w:txbxContent>
                <w:p>
                  <w:pPr>
                    <w:spacing w:line="161" w:lineRule="exact" w:before="0"/>
                    <w:ind w:left="0" w:right="0" w:firstLine="0"/>
                    <w:jc w:val="left"/>
                    <w:rPr>
                      <w:sz w:val="16"/>
                    </w:rPr>
                  </w:pPr>
                  <w:r>
                    <w:rPr>
                      <w:w w:val="100"/>
                      <w:sz w:val="16"/>
                    </w:rPr>
                    <w:t>2</w:t>
                  </w:r>
                </w:p>
              </w:txbxContent>
            </v:textbox>
            <w10:wrap type="none"/>
          </v:shape>
        </w:pict>
      </w:r>
      <w:r>
        <w:rPr>
          <w:b/>
        </w:rPr>
        <w:t>Tabla 1. </w:t>
      </w:r>
      <w:r>
        <w:rPr/>
        <w:t>Información base para calcular el tamaño de muestra</w:t>
      </w:r>
    </w:p>
    <w:p>
      <w:pPr>
        <w:pStyle w:val="BodyText"/>
        <w:spacing w:before="2"/>
        <w:rPr>
          <w:sz w:val="9"/>
        </w:rPr>
      </w:pPr>
      <w:r>
        <w:rPr/>
        <w:pict>
          <v:group style="position:absolute;margin-left:84.003998pt;margin-top:7.244326pt;width:444.25pt;height:2.2pt;mso-position-horizontal-relative:page;mso-position-vertical-relative:paragraph;z-index:4360;mso-wrap-distance-left:0;mso-wrap-distance-right:0" coordorigin="1680,145" coordsize="8885,44">
            <v:line style="position:absolute" from="1702,167" to="5221,167" stroked="true" strokeweight="2.16pt" strokecolor="#000000"/>
            <v:line style="position:absolute" from="5221,167" to="5264,167" stroked="true" strokeweight="2.16pt" strokecolor="#000000"/>
            <v:line style="position:absolute" from="5264,167" to="6284,167" stroked="true" strokeweight="2.16pt" strokecolor="#000000"/>
            <v:line style="position:absolute" from="6284,167" to="6327,167" stroked="true" strokeweight="2.16pt" strokecolor="#000000"/>
            <v:line style="position:absolute" from="6327,167" to="7350,167" stroked="true" strokeweight="2.16pt" strokecolor="#000000"/>
            <v:line style="position:absolute" from="7350,167" to="7393,167" stroked="true" strokeweight="2.16pt" strokecolor="#000000"/>
            <v:line style="position:absolute" from="7393,167" to="8413,167" stroked="true" strokeweight="2.16pt" strokecolor="#000000"/>
            <v:line style="position:absolute" from="8413,167" to="8457,167" stroked="true" strokeweight="2.16pt" strokecolor="#000000"/>
            <v:line style="position:absolute" from="8457,167" to="9287,167" stroked="true" strokeweight="2.16pt" strokecolor="#000000"/>
            <v:line style="position:absolute" from="9288,167" to="9331,167" stroked="true" strokeweight="2.16pt" strokecolor="#000000"/>
            <v:line style="position:absolute" from="9331,167" to="9477,167" stroked="true" strokeweight="2.16pt" strokecolor="#000000"/>
            <v:line style="position:absolute" from="9477,167" to="9520,167" stroked="true" strokeweight="2.16pt" strokecolor="#000000"/>
            <v:line style="position:absolute" from="9520,167" to="10543,167" stroked="true" strokeweight="2.16pt" strokecolor="#000000"/>
            <w10:wrap type="topAndBottom"/>
          </v:group>
        </w:pict>
      </w:r>
    </w:p>
    <w:p>
      <w:pPr>
        <w:tabs>
          <w:tab w:pos="4416" w:val="left" w:leader="none"/>
          <w:tab w:pos="5520" w:val="left" w:leader="none"/>
          <w:tab w:pos="6365" w:val="left" w:leader="none"/>
          <w:tab w:pos="7351" w:val="left" w:leader="none"/>
          <w:tab w:pos="8619" w:val="left" w:leader="none"/>
        </w:tabs>
        <w:spacing w:before="0"/>
        <w:ind w:left="191" w:right="8" w:firstLine="0"/>
        <w:jc w:val="left"/>
        <w:rPr>
          <w:sz w:val="16"/>
        </w:rPr>
      </w:pPr>
      <w:r>
        <w:rPr>
          <w:position w:val="2"/>
          <w:sz w:val="24"/>
        </w:rPr>
        <w:t>Sistema</w:t>
      </w:r>
      <w:r>
        <w:rPr>
          <w:spacing w:val="-1"/>
          <w:position w:val="2"/>
          <w:sz w:val="24"/>
        </w:rPr>
        <w:t> </w:t>
      </w:r>
      <w:r>
        <w:rPr>
          <w:position w:val="2"/>
          <w:sz w:val="24"/>
        </w:rPr>
        <w:t>de</w:t>
      </w:r>
      <w:r>
        <w:rPr>
          <w:spacing w:val="-3"/>
          <w:position w:val="2"/>
          <w:sz w:val="24"/>
        </w:rPr>
        <w:t> </w:t>
      </w:r>
      <w:r>
        <w:rPr>
          <w:position w:val="2"/>
          <w:sz w:val="24"/>
        </w:rPr>
        <w:t>producción</w:t>
        <w:tab/>
        <w:t>N</w:t>
      </w:r>
      <w:r>
        <w:rPr>
          <w:sz w:val="16"/>
        </w:rPr>
        <w:t>i</w:t>
        <w:tab/>
      </w:r>
      <w:r>
        <w:rPr>
          <w:position w:val="2"/>
          <w:sz w:val="24"/>
        </w:rPr>
        <w:t>S</w:t>
      </w:r>
      <w:r>
        <w:rPr>
          <w:sz w:val="16"/>
        </w:rPr>
        <w:t>i</w:t>
        <w:tab/>
      </w:r>
      <w:r>
        <w:rPr>
          <w:position w:val="2"/>
          <w:sz w:val="24"/>
        </w:rPr>
        <w:t>N</w:t>
      </w:r>
      <w:r>
        <w:rPr>
          <w:sz w:val="16"/>
        </w:rPr>
        <w:t>i</w:t>
      </w:r>
      <w:r>
        <w:rPr>
          <w:position w:val="2"/>
          <w:sz w:val="24"/>
        </w:rPr>
        <w:t>S</w:t>
      </w:r>
      <w:r>
        <w:rPr>
          <w:sz w:val="16"/>
        </w:rPr>
        <w:t>i</w:t>
        <w:tab/>
      </w:r>
      <w:r>
        <w:rPr>
          <w:position w:val="2"/>
          <w:sz w:val="24"/>
        </w:rPr>
        <w:t>N</w:t>
      </w:r>
      <w:r>
        <w:rPr>
          <w:sz w:val="16"/>
        </w:rPr>
        <w:t>i</w:t>
      </w:r>
      <w:r>
        <w:rPr>
          <w:position w:val="2"/>
          <w:sz w:val="24"/>
        </w:rPr>
        <w:t>S</w:t>
      </w:r>
      <w:r>
        <w:rPr>
          <w:sz w:val="16"/>
        </w:rPr>
        <w:t>i</w:t>
        <w:tab/>
      </w:r>
      <w:r>
        <w:rPr>
          <w:position w:val="2"/>
          <w:sz w:val="24"/>
        </w:rPr>
        <w:t>W</w:t>
      </w:r>
      <w:r>
        <w:rPr>
          <w:sz w:val="16"/>
        </w:rPr>
        <w:t>i</w:t>
      </w:r>
    </w:p>
    <w:p>
      <w:pPr>
        <w:pStyle w:val="BodyText"/>
        <w:spacing w:before="1"/>
        <w:rPr>
          <w:sz w:val="14"/>
        </w:rPr>
      </w:pP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207"/>
        <w:gridCol w:w="2312"/>
        <w:gridCol w:w="1255"/>
        <w:gridCol w:w="1003"/>
        <w:gridCol w:w="1004"/>
        <w:gridCol w:w="1245"/>
        <w:gridCol w:w="814"/>
      </w:tblGrid>
      <w:tr>
        <w:trPr>
          <w:trHeight w:val="790" w:hRule="exact"/>
        </w:trPr>
        <w:tc>
          <w:tcPr>
            <w:tcW w:w="1207" w:type="dxa"/>
            <w:tcBorders>
              <w:left w:val="nil"/>
              <w:bottom w:val="nil"/>
              <w:right w:val="nil"/>
            </w:tcBorders>
          </w:tcPr>
          <w:p>
            <w:pPr>
              <w:pStyle w:val="TableParagraph"/>
              <w:spacing w:line="273" w:lineRule="exact"/>
              <w:ind w:left="69"/>
              <w:jc w:val="left"/>
              <w:rPr>
                <w:sz w:val="24"/>
              </w:rPr>
            </w:pPr>
            <w:r>
              <w:rPr>
                <w:sz w:val="24"/>
              </w:rPr>
              <w:t>Año 2000</w:t>
            </w:r>
          </w:p>
          <w:p>
            <w:pPr>
              <w:pStyle w:val="TableParagraph"/>
              <w:spacing w:before="137"/>
              <w:ind w:left="69"/>
              <w:jc w:val="left"/>
              <w:rPr>
                <w:sz w:val="24"/>
              </w:rPr>
            </w:pPr>
            <w:r>
              <w:rPr>
                <w:sz w:val="24"/>
              </w:rPr>
              <w:t>Estratos:</w:t>
            </w:r>
          </w:p>
        </w:tc>
        <w:tc>
          <w:tcPr>
            <w:tcW w:w="2312" w:type="dxa"/>
            <w:tcBorders>
              <w:left w:val="nil"/>
              <w:bottom w:val="nil"/>
              <w:right w:val="nil"/>
            </w:tcBorders>
          </w:tcPr>
          <w:p>
            <w:pPr>
              <w:pStyle w:val="TableParagraph"/>
              <w:spacing w:before="7"/>
              <w:jc w:val="left"/>
              <w:rPr>
                <w:sz w:val="35"/>
              </w:rPr>
            </w:pPr>
          </w:p>
          <w:p>
            <w:pPr>
              <w:pStyle w:val="TableParagraph"/>
              <w:ind w:left="304"/>
              <w:jc w:val="left"/>
              <w:rPr>
                <w:sz w:val="24"/>
              </w:rPr>
            </w:pPr>
            <w:r>
              <w:rPr>
                <w:w w:val="99"/>
                <w:sz w:val="24"/>
              </w:rPr>
              <w:t>I</w:t>
            </w:r>
          </w:p>
        </w:tc>
        <w:tc>
          <w:tcPr>
            <w:tcW w:w="1255" w:type="dxa"/>
            <w:tcBorders>
              <w:left w:val="nil"/>
              <w:bottom w:val="nil"/>
              <w:right w:val="nil"/>
            </w:tcBorders>
          </w:tcPr>
          <w:p>
            <w:pPr>
              <w:pStyle w:val="TableParagraph"/>
              <w:spacing w:before="7"/>
              <w:jc w:val="left"/>
              <w:rPr>
                <w:sz w:val="35"/>
              </w:rPr>
            </w:pPr>
          </w:p>
          <w:p>
            <w:pPr>
              <w:pStyle w:val="TableParagraph"/>
              <w:ind w:right="259"/>
              <w:rPr>
                <w:sz w:val="24"/>
              </w:rPr>
            </w:pPr>
            <w:r>
              <w:rPr>
                <w:sz w:val="24"/>
              </w:rPr>
              <w:t>111.00</w:t>
            </w:r>
          </w:p>
        </w:tc>
        <w:tc>
          <w:tcPr>
            <w:tcW w:w="1003" w:type="dxa"/>
            <w:tcBorders>
              <w:left w:val="nil"/>
              <w:bottom w:val="nil"/>
              <w:right w:val="nil"/>
            </w:tcBorders>
          </w:tcPr>
          <w:p>
            <w:pPr>
              <w:pStyle w:val="TableParagraph"/>
              <w:spacing w:before="7"/>
              <w:jc w:val="left"/>
              <w:rPr>
                <w:sz w:val="35"/>
              </w:rPr>
            </w:pPr>
          </w:p>
          <w:p>
            <w:pPr>
              <w:pStyle w:val="TableParagraph"/>
              <w:ind w:right="199"/>
              <w:rPr>
                <w:sz w:val="24"/>
              </w:rPr>
            </w:pPr>
            <w:r>
              <w:rPr>
                <w:sz w:val="24"/>
              </w:rPr>
              <w:t>1.62</w:t>
            </w:r>
          </w:p>
        </w:tc>
        <w:tc>
          <w:tcPr>
            <w:tcW w:w="1004" w:type="dxa"/>
            <w:tcBorders>
              <w:left w:val="nil"/>
              <w:bottom w:val="nil"/>
              <w:right w:val="nil"/>
            </w:tcBorders>
          </w:tcPr>
          <w:p>
            <w:pPr>
              <w:pStyle w:val="TableParagraph"/>
              <w:spacing w:before="7"/>
              <w:jc w:val="left"/>
              <w:rPr>
                <w:sz w:val="35"/>
              </w:rPr>
            </w:pPr>
          </w:p>
          <w:p>
            <w:pPr>
              <w:pStyle w:val="TableParagraph"/>
              <w:ind w:right="140"/>
              <w:rPr>
                <w:sz w:val="24"/>
              </w:rPr>
            </w:pPr>
            <w:r>
              <w:rPr>
                <w:sz w:val="24"/>
              </w:rPr>
              <w:t>179.75</w:t>
            </w:r>
          </w:p>
        </w:tc>
        <w:tc>
          <w:tcPr>
            <w:tcW w:w="1245" w:type="dxa"/>
            <w:tcBorders>
              <w:left w:val="nil"/>
              <w:bottom w:val="nil"/>
              <w:right w:val="nil"/>
            </w:tcBorders>
          </w:tcPr>
          <w:p>
            <w:pPr>
              <w:pStyle w:val="TableParagraph"/>
              <w:spacing w:before="7"/>
              <w:jc w:val="left"/>
              <w:rPr>
                <w:sz w:val="35"/>
              </w:rPr>
            </w:pPr>
          </w:p>
          <w:p>
            <w:pPr>
              <w:pStyle w:val="TableParagraph"/>
              <w:ind w:right="319"/>
              <w:rPr>
                <w:sz w:val="24"/>
              </w:rPr>
            </w:pPr>
            <w:r>
              <w:rPr>
                <w:sz w:val="24"/>
              </w:rPr>
              <w:t>291.07</w:t>
            </w:r>
          </w:p>
        </w:tc>
        <w:tc>
          <w:tcPr>
            <w:tcW w:w="814" w:type="dxa"/>
            <w:tcBorders>
              <w:left w:val="nil"/>
              <w:bottom w:val="nil"/>
              <w:right w:val="nil"/>
            </w:tcBorders>
          </w:tcPr>
          <w:p>
            <w:pPr>
              <w:pStyle w:val="TableParagraph"/>
              <w:spacing w:before="7"/>
              <w:jc w:val="left"/>
              <w:rPr>
                <w:sz w:val="35"/>
              </w:rPr>
            </w:pPr>
          </w:p>
          <w:p>
            <w:pPr>
              <w:pStyle w:val="TableParagraph"/>
              <w:ind w:right="71"/>
              <w:rPr>
                <w:sz w:val="24"/>
              </w:rPr>
            </w:pPr>
            <w:r>
              <w:rPr>
                <w:sz w:val="24"/>
              </w:rPr>
              <w:t>0.63</w:t>
            </w:r>
          </w:p>
        </w:tc>
      </w:tr>
      <w:tr>
        <w:trPr>
          <w:trHeight w:val="414" w:hRule="exact"/>
        </w:trPr>
        <w:tc>
          <w:tcPr>
            <w:tcW w:w="1207" w:type="dxa"/>
            <w:tcBorders>
              <w:top w:val="nil"/>
              <w:left w:val="nil"/>
              <w:bottom w:val="nil"/>
              <w:right w:val="nil"/>
            </w:tcBorders>
          </w:tcPr>
          <w:p>
            <w:pPr/>
          </w:p>
        </w:tc>
        <w:tc>
          <w:tcPr>
            <w:tcW w:w="2312" w:type="dxa"/>
            <w:tcBorders>
              <w:top w:val="nil"/>
              <w:left w:val="nil"/>
              <w:bottom w:val="nil"/>
              <w:right w:val="nil"/>
            </w:tcBorders>
          </w:tcPr>
          <w:p>
            <w:pPr>
              <w:pStyle w:val="TableParagraph"/>
              <w:spacing w:before="56"/>
              <w:ind w:left="244"/>
              <w:jc w:val="left"/>
              <w:rPr>
                <w:sz w:val="24"/>
              </w:rPr>
            </w:pPr>
            <w:r>
              <w:rPr>
                <w:sz w:val="24"/>
              </w:rPr>
              <w:t>II</w:t>
            </w:r>
          </w:p>
        </w:tc>
        <w:tc>
          <w:tcPr>
            <w:tcW w:w="1255" w:type="dxa"/>
            <w:tcBorders>
              <w:top w:val="nil"/>
              <w:left w:val="nil"/>
              <w:bottom w:val="nil"/>
              <w:right w:val="nil"/>
            </w:tcBorders>
          </w:tcPr>
          <w:p>
            <w:pPr>
              <w:pStyle w:val="TableParagraph"/>
              <w:spacing w:before="56"/>
              <w:ind w:right="259"/>
              <w:rPr>
                <w:sz w:val="24"/>
              </w:rPr>
            </w:pPr>
            <w:r>
              <w:rPr>
                <w:sz w:val="24"/>
              </w:rPr>
              <w:t>56.00</w:t>
            </w:r>
          </w:p>
        </w:tc>
        <w:tc>
          <w:tcPr>
            <w:tcW w:w="1003" w:type="dxa"/>
            <w:tcBorders>
              <w:top w:val="nil"/>
              <w:left w:val="nil"/>
              <w:bottom w:val="nil"/>
              <w:right w:val="nil"/>
            </w:tcBorders>
          </w:tcPr>
          <w:p>
            <w:pPr>
              <w:pStyle w:val="TableParagraph"/>
              <w:spacing w:before="56"/>
              <w:ind w:right="199"/>
              <w:rPr>
                <w:sz w:val="24"/>
              </w:rPr>
            </w:pPr>
            <w:r>
              <w:rPr>
                <w:sz w:val="24"/>
              </w:rPr>
              <w:t>2.66</w:t>
            </w:r>
          </w:p>
        </w:tc>
        <w:tc>
          <w:tcPr>
            <w:tcW w:w="1004" w:type="dxa"/>
            <w:tcBorders>
              <w:top w:val="nil"/>
              <w:left w:val="nil"/>
              <w:bottom w:val="nil"/>
              <w:right w:val="nil"/>
            </w:tcBorders>
          </w:tcPr>
          <w:p>
            <w:pPr>
              <w:pStyle w:val="TableParagraph"/>
              <w:spacing w:before="56"/>
              <w:ind w:right="140"/>
              <w:rPr>
                <w:sz w:val="24"/>
              </w:rPr>
            </w:pPr>
            <w:r>
              <w:rPr>
                <w:sz w:val="24"/>
              </w:rPr>
              <w:t>148.87</w:t>
            </w:r>
          </w:p>
        </w:tc>
        <w:tc>
          <w:tcPr>
            <w:tcW w:w="1245" w:type="dxa"/>
            <w:tcBorders>
              <w:top w:val="nil"/>
              <w:left w:val="nil"/>
              <w:bottom w:val="nil"/>
              <w:right w:val="nil"/>
            </w:tcBorders>
          </w:tcPr>
          <w:p>
            <w:pPr>
              <w:pStyle w:val="TableParagraph"/>
              <w:spacing w:before="56"/>
              <w:ind w:right="319"/>
              <w:rPr>
                <w:sz w:val="24"/>
              </w:rPr>
            </w:pPr>
            <w:r>
              <w:rPr>
                <w:sz w:val="24"/>
              </w:rPr>
              <w:t>395.73</w:t>
            </w:r>
          </w:p>
        </w:tc>
        <w:tc>
          <w:tcPr>
            <w:tcW w:w="814" w:type="dxa"/>
            <w:tcBorders>
              <w:top w:val="nil"/>
              <w:left w:val="nil"/>
              <w:bottom w:val="nil"/>
              <w:right w:val="nil"/>
            </w:tcBorders>
          </w:tcPr>
          <w:p>
            <w:pPr>
              <w:pStyle w:val="TableParagraph"/>
              <w:spacing w:before="56"/>
              <w:ind w:right="71"/>
              <w:rPr>
                <w:sz w:val="24"/>
              </w:rPr>
            </w:pPr>
            <w:r>
              <w:rPr>
                <w:sz w:val="24"/>
              </w:rPr>
              <w:t>0.32</w:t>
            </w:r>
          </w:p>
        </w:tc>
      </w:tr>
      <w:tr>
        <w:trPr>
          <w:trHeight w:val="414" w:hRule="exact"/>
        </w:trPr>
        <w:tc>
          <w:tcPr>
            <w:tcW w:w="1207" w:type="dxa"/>
            <w:tcBorders>
              <w:top w:val="nil"/>
              <w:left w:val="nil"/>
              <w:bottom w:val="nil"/>
              <w:right w:val="nil"/>
            </w:tcBorders>
          </w:tcPr>
          <w:p>
            <w:pPr/>
          </w:p>
        </w:tc>
        <w:tc>
          <w:tcPr>
            <w:tcW w:w="2312" w:type="dxa"/>
            <w:tcBorders>
              <w:top w:val="nil"/>
              <w:left w:val="nil"/>
              <w:bottom w:val="nil"/>
              <w:right w:val="nil"/>
            </w:tcBorders>
          </w:tcPr>
          <w:p>
            <w:pPr>
              <w:pStyle w:val="TableParagraph"/>
              <w:spacing w:before="55"/>
              <w:ind w:left="184"/>
              <w:jc w:val="left"/>
              <w:rPr>
                <w:sz w:val="24"/>
              </w:rPr>
            </w:pPr>
            <w:r>
              <w:rPr>
                <w:sz w:val="24"/>
              </w:rPr>
              <w:t>III</w:t>
            </w:r>
          </w:p>
        </w:tc>
        <w:tc>
          <w:tcPr>
            <w:tcW w:w="1255" w:type="dxa"/>
            <w:tcBorders>
              <w:top w:val="nil"/>
              <w:left w:val="nil"/>
              <w:bottom w:val="nil"/>
              <w:right w:val="nil"/>
            </w:tcBorders>
          </w:tcPr>
          <w:p>
            <w:pPr>
              <w:pStyle w:val="TableParagraph"/>
              <w:spacing w:before="55"/>
              <w:ind w:right="259"/>
              <w:rPr>
                <w:sz w:val="24"/>
              </w:rPr>
            </w:pPr>
            <w:r>
              <w:rPr>
                <w:sz w:val="24"/>
              </w:rPr>
              <w:t>8.00</w:t>
            </w:r>
          </w:p>
        </w:tc>
        <w:tc>
          <w:tcPr>
            <w:tcW w:w="1003" w:type="dxa"/>
            <w:tcBorders>
              <w:top w:val="nil"/>
              <w:left w:val="nil"/>
              <w:bottom w:val="nil"/>
              <w:right w:val="nil"/>
            </w:tcBorders>
          </w:tcPr>
          <w:p>
            <w:pPr>
              <w:pStyle w:val="TableParagraph"/>
              <w:spacing w:before="55"/>
              <w:ind w:right="199"/>
              <w:rPr>
                <w:sz w:val="24"/>
              </w:rPr>
            </w:pPr>
            <w:r>
              <w:rPr>
                <w:sz w:val="24"/>
              </w:rPr>
              <w:t>9.47</w:t>
            </w:r>
          </w:p>
        </w:tc>
        <w:tc>
          <w:tcPr>
            <w:tcW w:w="1004" w:type="dxa"/>
            <w:tcBorders>
              <w:top w:val="nil"/>
              <w:left w:val="nil"/>
              <w:bottom w:val="nil"/>
              <w:right w:val="nil"/>
            </w:tcBorders>
          </w:tcPr>
          <w:p>
            <w:pPr>
              <w:pStyle w:val="TableParagraph"/>
              <w:spacing w:before="55"/>
              <w:ind w:right="140"/>
              <w:rPr>
                <w:sz w:val="24"/>
              </w:rPr>
            </w:pPr>
            <w:r>
              <w:rPr>
                <w:sz w:val="24"/>
              </w:rPr>
              <w:t>75.73</w:t>
            </w:r>
          </w:p>
        </w:tc>
        <w:tc>
          <w:tcPr>
            <w:tcW w:w="1245" w:type="dxa"/>
            <w:tcBorders>
              <w:top w:val="nil"/>
              <w:left w:val="nil"/>
              <w:bottom w:val="nil"/>
              <w:right w:val="nil"/>
            </w:tcBorders>
          </w:tcPr>
          <w:p>
            <w:pPr>
              <w:pStyle w:val="TableParagraph"/>
              <w:spacing w:before="55"/>
              <w:ind w:right="319"/>
              <w:rPr>
                <w:sz w:val="24"/>
              </w:rPr>
            </w:pPr>
            <w:r>
              <w:rPr>
                <w:sz w:val="24"/>
              </w:rPr>
              <w:t>716.80</w:t>
            </w:r>
          </w:p>
        </w:tc>
        <w:tc>
          <w:tcPr>
            <w:tcW w:w="814" w:type="dxa"/>
            <w:tcBorders>
              <w:top w:val="nil"/>
              <w:left w:val="nil"/>
              <w:bottom w:val="nil"/>
              <w:right w:val="nil"/>
            </w:tcBorders>
          </w:tcPr>
          <w:p>
            <w:pPr>
              <w:pStyle w:val="TableParagraph"/>
              <w:spacing w:before="55"/>
              <w:ind w:right="71"/>
              <w:rPr>
                <w:sz w:val="24"/>
              </w:rPr>
            </w:pPr>
            <w:r>
              <w:rPr>
                <w:sz w:val="24"/>
              </w:rPr>
              <w:t>0.05</w:t>
            </w:r>
          </w:p>
        </w:tc>
      </w:tr>
      <w:tr>
        <w:trPr>
          <w:trHeight w:val="497" w:hRule="exact"/>
        </w:trPr>
        <w:tc>
          <w:tcPr>
            <w:tcW w:w="1207" w:type="dxa"/>
            <w:tcBorders>
              <w:top w:val="nil"/>
              <w:left w:val="nil"/>
              <w:bottom w:val="nil"/>
              <w:right w:val="nil"/>
            </w:tcBorders>
          </w:tcPr>
          <w:p>
            <w:pPr>
              <w:pStyle w:val="TableParagraph"/>
              <w:spacing w:before="56"/>
              <w:ind w:left="69"/>
              <w:jc w:val="left"/>
              <w:rPr>
                <w:sz w:val="24"/>
              </w:rPr>
            </w:pPr>
            <w:r>
              <w:rPr>
                <w:sz w:val="24"/>
              </w:rPr>
              <w:t>Total</w:t>
            </w:r>
          </w:p>
        </w:tc>
        <w:tc>
          <w:tcPr>
            <w:tcW w:w="2312" w:type="dxa"/>
            <w:tcBorders>
              <w:top w:val="nil"/>
              <w:left w:val="nil"/>
              <w:bottom w:val="nil"/>
              <w:right w:val="nil"/>
            </w:tcBorders>
          </w:tcPr>
          <w:p>
            <w:pPr/>
          </w:p>
        </w:tc>
        <w:tc>
          <w:tcPr>
            <w:tcW w:w="1255" w:type="dxa"/>
            <w:tcBorders>
              <w:top w:val="nil"/>
              <w:left w:val="nil"/>
              <w:right w:val="nil"/>
            </w:tcBorders>
          </w:tcPr>
          <w:p>
            <w:pPr>
              <w:pStyle w:val="TableParagraph"/>
              <w:spacing w:before="56"/>
              <w:ind w:right="259"/>
              <w:rPr>
                <w:sz w:val="24"/>
              </w:rPr>
            </w:pPr>
            <w:r>
              <w:rPr>
                <w:sz w:val="24"/>
              </w:rPr>
              <w:t>175.00</w:t>
            </w:r>
          </w:p>
        </w:tc>
        <w:tc>
          <w:tcPr>
            <w:tcW w:w="1003" w:type="dxa"/>
            <w:tcBorders>
              <w:top w:val="nil"/>
              <w:left w:val="nil"/>
              <w:right w:val="nil"/>
            </w:tcBorders>
          </w:tcPr>
          <w:p>
            <w:pPr>
              <w:pStyle w:val="TableParagraph"/>
              <w:spacing w:before="56"/>
              <w:ind w:right="199"/>
              <w:rPr>
                <w:sz w:val="24"/>
              </w:rPr>
            </w:pPr>
            <w:r>
              <w:rPr>
                <w:sz w:val="24"/>
              </w:rPr>
              <w:t>13.74</w:t>
            </w:r>
          </w:p>
        </w:tc>
        <w:tc>
          <w:tcPr>
            <w:tcW w:w="1004" w:type="dxa"/>
            <w:tcBorders>
              <w:top w:val="nil"/>
              <w:left w:val="nil"/>
              <w:right w:val="nil"/>
            </w:tcBorders>
          </w:tcPr>
          <w:p>
            <w:pPr>
              <w:pStyle w:val="TableParagraph"/>
              <w:spacing w:before="56"/>
              <w:ind w:right="140"/>
              <w:rPr>
                <w:sz w:val="24"/>
              </w:rPr>
            </w:pPr>
            <w:r>
              <w:rPr>
                <w:sz w:val="24"/>
              </w:rPr>
              <w:t>404.34</w:t>
            </w:r>
          </w:p>
        </w:tc>
        <w:tc>
          <w:tcPr>
            <w:tcW w:w="1245" w:type="dxa"/>
            <w:tcBorders>
              <w:top w:val="nil"/>
              <w:left w:val="nil"/>
              <w:right w:val="nil"/>
            </w:tcBorders>
          </w:tcPr>
          <w:p>
            <w:pPr>
              <w:pStyle w:val="TableParagraph"/>
              <w:spacing w:before="56"/>
              <w:ind w:right="319"/>
              <w:rPr>
                <w:sz w:val="24"/>
              </w:rPr>
            </w:pPr>
            <w:r>
              <w:rPr>
                <w:sz w:val="24"/>
              </w:rPr>
              <w:t>1403.60</w:t>
            </w:r>
          </w:p>
        </w:tc>
        <w:tc>
          <w:tcPr>
            <w:tcW w:w="814" w:type="dxa"/>
            <w:tcBorders>
              <w:top w:val="nil"/>
              <w:left w:val="nil"/>
              <w:right w:val="nil"/>
            </w:tcBorders>
          </w:tcPr>
          <w:p>
            <w:pPr>
              <w:pStyle w:val="TableParagraph"/>
              <w:spacing w:before="56"/>
              <w:ind w:right="71"/>
              <w:rPr>
                <w:sz w:val="24"/>
              </w:rPr>
            </w:pPr>
            <w:r>
              <w:rPr>
                <w:sz w:val="24"/>
              </w:rPr>
              <w:t>1.00</w:t>
            </w:r>
          </w:p>
        </w:tc>
      </w:tr>
      <w:tr>
        <w:trPr>
          <w:trHeight w:val="377" w:hRule="exact"/>
        </w:trPr>
        <w:tc>
          <w:tcPr>
            <w:tcW w:w="1207" w:type="dxa"/>
            <w:tcBorders>
              <w:top w:val="nil"/>
              <w:left w:val="nil"/>
              <w:bottom w:val="nil"/>
              <w:right w:val="nil"/>
            </w:tcBorders>
          </w:tcPr>
          <w:p>
            <w:pPr>
              <w:pStyle w:val="TableParagraph"/>
              <w:spacing w:before="18"/>
              <w:ind w:left="69"/>
              <w:jc w:val="left"/>
              <w:rPr>
                <w:sz w:val="24"/>
              </w:rPr>
            </w:pPr>
            <w:r>
              <w:rPr>
                <w:sz w:val="24"/>
              </w:rPr>
              <w:t>Año 2012</w:t>
            </w:r>
          </w:p>
        </w:tc>
        <w:tc>
          <w:tcPr>
            <w:tcW w:w="2312" w:type="dxa"/>
            <w:tcBorders>
              <w:top w:val="nil"/>
              <w:left w:val="nil"/>
              <w:bottom w:val="nil"/>
              <w:right w:val="nil"/>
            </w:tcBorders>
          </w:tcPr>
          <w:p>
            <w:pPr/>
          </w:p>
        </w:tc>
        <w:tc>
          <w:tcPr>
            <w:tcW w:w="1255" w:type="dxa"/>
            <w:tcBorders>
              <w:left w:val="nil"/>
              <w:bottom w:val="nil"/>
              <w:right w:val="nil"/>
            </w:tcBorders>
          </w:tcPr>
          <w:p>
            <w:pPr/>
          </w:p>
        </w:tc>
        <w:tc>
          <w:tcPr>
            <w:tcW w:w="1003" w:type="dxa"/>
            <w:tcBorders>
              <w:left w:val="nil"/>
              <w:bottom w:val="nil"/>
              <w:right w:val="nil"/>
            </w:tcBorders>
          </w:tcPr>
          <w:p>
            <w:pPr/>
          </w:p>
        </w:tc>
        <w:tc>
          <w:tcPr>
            <w:tcW w:w="1004" w:type="dxa"/>
            <w:tcBorders>
              <w:left w:val="nil"/>
              <w:bottom w:val="nil"/>
              <w:right w:val="nil"/>
            </w:tcBorders>
          </w:tcPr>
          <w:p>
            <w:pPr/>
          </w:p>
        </w:tc>
        <w:tc>
          <w:tcPr>
            <w:tcW w:w="1245" w:type="dxa"/>
            <w:tcBorders>
              <w:left w:val="nil"/>
              <w:bottom w:val="nil"/>
              <w:right w:val="nil"/>
            </w:tcBorders>
          </w:tcPr>
          <w:p>
            <w:pPr/>
          </w:p>
        </w:tc>
        <w:tc>
          <w:tcPr>
            <w:tcW w:w="814" w:type="dxa"/>
            <w:tcBorders>
              <w:left w:val="nil"/>
              <w:bottom w:val="nil"/>
              <w:right w:val="nil"/>
            </w:tcBorders>
          </w:tcPr>
          <w:p>
            <w:pPr/>
          </w:p>
        </w:tc>
      </w:tr>
      <w:tr>
        <w:trPr>
          <w:trHeight w:val="414" w:hRule="exact"/>
        </w:trPr>
        <w:tc>
          <w:tcPr>
            <w:tcW w:w="1207" w:type="dxa"/>
            <w:tcBorders>
              <w:top w:val="nil"/>
              <w:left w:val="nil"/>
              <w:bottom w:val="nil"/>
              <w:right w:val="nil"/>
            </w:tcBorders>
          </w:tcPr>
          <w:p>
            <w:pPr>
              <w:pStyle w:val="TableParagraph"/>
              <w:spacing w:before="57"/>
              <w:ind w:left="69"/>
              <w:jc w:val="left"/>
              <w:rPr>
                <w:sz w:val="24"/>
              </w:rPr>
            </w:pPr>
            <w:r>
              <w:rPr>
                <w:sz w:val="24"/>
              </w:rPr>
              <w:t>Estratos:</w:t>
            </w:r>
          </w:p>
        </w:tc>
        <w:tc>
          <w:tcPr>
            <w:tcW w:w="2312" w:type="dxa"/>
            <w:tcBorders>
              <w:top w:val="nil"/>
              <w:left w:val="nil"/>
              <w:bottom w:val="nil"/>
              <w:right w:val="nil"/>
            </w:tcBorders>
          </w:tcPr>
          <w:p>
            <w:pPr>
              <w:pStyle w:val="TableParagraph"/>
              <w:spacing w:before="57"/>
              <w:ind w:left="304"/>
              <w:jc w:val="left"/>
              <w:rPr>
                <w:sz w:val="24"/>
              </w:rPr>
            </w:pPr>
            <w:r>
              <w:rPr>
                <w:w w:val="99"/>
                <w:sz w:val="24"/>
              </w:rPr>
              <w:t>I</w:t>
            </w:r>
          </w:p>
        </w:tc>
        <w:tc>
          <w:tcPr>
            <w:tcW w:w="1255" w:type="dxa"/>
            <w:tcBorders>
              <w:top w:val="nil"/>
              <w:left w:val="nil"/>
              <w:bottom w:val="nil"/>
              <w:right w:val="nil"/>
            </w:tcBorders>
          </w:tcPr>
          <w:p>
            <w:pPr>
              <w:pStyle w:val="TableParagraph"/>
              <w:spacing w:before="57"/>
              <w:ind w:right="259"/>
              <w:rPr>
                <w:sz w:val="24"/>
              </w:rPr>
            </w:pPr>
            <w:r>
              <w:rPr>
                <w:sz w:val="24"/>
              </w:rPr>
              <w:t>130.00</w:t>
            </w:r>
          </w:p>
        </w:tc>
        <w:tc>
          <w:tcPr>
            <w:tcW w:w="1003" w:type="dxa"/>
            <w:tcBorders>
              <w:top w:val="nil"/>
              <w:left w:val="nil"/>
              <w:bottom w:val="nil"/>
              <w:right w:val="nil"/>
            </w:tcBorders>
          </w:tcPr>
          <w:p>
            <w:pPr>
              <w:pStyle w:val="TableParagraph"/>
              <w:spacing w:before="57"/>
              <w:ind w:right="199"/>
              <w:rPr>
                <w:sz w:val="24"/>
              </w:rPr>
            </w:pPr>
            <w:r>
              <w:rPr>
                <w:sz w:val="24"/>
              </w:rPr>
              <w:t>3.60</w:t>
            </w:r>
          </w:p>
        </w:tc>
        <w:tc>
          <w:tcPr>
            <w:tcW w:w="1004" w:type="dxa"/>
            <w:tcBorders>
              <w:top w:val="nil"/>
              <w:left w:val="nil"/>
              <w:bottom w:val="nil"/>
              <w:right w:val="nil"/>
            </w:tcBorders>
          </w:tcPr>
          <w:p>
            <w:pPr>
              <w:pStyle w:val="TableParagraph"/>
              <w:spacing w:before="57"/>
              <w:ind w:right="140"/>
              <w:rPr>
                <w:sz w:val="24"/>
              </w:rPr>
            </w:pPr>
            <w:r>
              <w:rPr>
                <w:sz w:val="24"/>
              </w:rPr>
              <w:t>468.19</w:t>
            </w:r>
          </w:p>
        </w:tc>
        <w:tc>
          <w:tcPr>
            <w:tcW w:w="1245" w:type="dxa"/>
            <w:tcBorders>
              <w:top w:val="nil"/>
              <w:left w:val="nil"/>
              <w:bottom w:val="nil"/>
              <w:right w:val="nil"/>
            </w:tcBorders>
          </w:tcPr>
          <w:p>
            <w:pPr>
              <w:pStyle w:val="TableParagraph"/>
              <w:spacing w:before="57"/>
              <w:ind w:right="319"/>
              <w:rPr>
                <w:sz w:val="24"/>
              </w:rPr>
            </w:pPr>
            <w:r>
              <w:rPr>
                <w:sz w:val="24"/>
              </w:rPr>
              <w:t>1686.19</w:t>
            </w:r>
          </w:p>
        </w:tc>
        <w:tc>
          <w:tcPr>
            <w:tcW w:w="814" w:type="dxa"/>
            <w:tcBorders>
              <w:top w:val="nil"/>
              <w:left w:val="nil"/>
              <w:bottom w:val="nil"/>
              <w:right w:val="nil"/>
            </w:tcBorders>
          </w:tcPr>
          <w:p>
            <w:pPr>
              <w:pStyle w:val="TableParagraph"/>
              <w:spacing w:before="57"/>
              <w:ind w:right="71"/>
              <w:rPr>
                <w:sz w:val="24"/>
              </w:rPr>
            </w:pPr>
            <w:r>
              <w:rPr>
                <w:sz w:val="24"/>
              </w:rPr>
              <w:t>0.53</w:t>
            </w:r>
          </w:p>
        </w:tc>
      </w:tr>
      <w:tr>
        <w:trPr>
          <w:trHeight w:val="414" w:hRule="exact"/>
        </w:trPr>
        <w:tc>
          <w:tcPr>
            <w:tcW w:w="1207" w:type="dxa"/>
            <w:tcBorders>
              <w:top w:val="nil"/>
              <w:left w:val="nil"/>
              <w:bottom w:val="nil"/>
              <w:right w:val="nil"/>
            </w:tcBorders>
          </w:tcPr>
          <w:p>
            <w:pPr/>
          </w:p>
        </w:tc>
        <w:tc>
          <w:tcPr>
            <w:tcW w:w="2312" w:type="dxa"/>
            <w:tcBorders>
              <w:top w:val="nil"/>
              <w:left w:val="nil"/>
              <w:bottom w:val="nil"/>
              <w:right w:val="nil"/>
            </w:tcBorders>
          </w:tcPr>
          <w:p>
            <w:pPr>
              <w:pStyle w:val="TableParagraph"/>
              <w:spacing w:before="55"/>
              <w:ind w:left="244"/>
              <w:jc w:val="left"/>
              <w:rPr>
                <w:sz w:val="24"/>
              </w:rPr>
            </w:pPr>
            <w:r>
              <w:rPr>
                <w:sz w:val="24"/>
              </w:rPr>
              <w:t>II</w:t>
            </w:r>
          </w:p>
        </w:tc>
        <w:tc>
          <w:tcPr>
            <w:tcW w:w="1255" w:type="dxa"/>
            <w:tcBorders>
              <w:top w:val="nil"/>
              <w:left w:val="nil"/>
              <w:bottom w:val="nil"/>
              <w:right w:val="nil"/>
            </w:tcBorders>
          </w:tcPr>
          <w:p>
            <w:pPr>
              <w:pStyle w:val="TableParagraph"/>
              <w:spacing w:before="55"/>
              <w:ind w:right="259"/>
              <w:rPr>
                <w:sz w:val="24"/>
              </w:rPr>
            </w:pPr>
            <w:r>
              <w:rPr>
                <w:sz w:val="24"/>
              </w:rPr>
              <w:t>99.00</w:t>
            </w:r>
          </w:p>
        </w:tc>
        <w:tc>
          <w:tcPr>
            <w:tcW w:w="1003" w:type="dxa"/>
            <w:tcBorders>
              <w:top w:val="nil"/>
              <w:left w:val="nil"/>
              <w:bottom w:val="nil"/>
              <w:right w:val="nil"/>
            </w:tcBorders>
          </w:tcPr>
          <w:p>
            <w:pPr>
              <w:pStyle w:val="TableParagraph"/>
              <w:spacing w:before="55"/>
              <w:ind w:right="199"/>
              <w:rPr>
                <w:sz w:val="24"/>
              </w:rPr>
            </w:pPr>
            <w:r>
              <w:rPr>
                <w:sz w:val="24"/>
              </w:rPr>
              <w:t>2.74</w:t>
            </w:r>
          </w:p>
        </w:tc>
        <w:tc>
          <w:tcPr>
            <w:tcW w:w="1004" w:type="dxa"/>
            <w:tcBorders>
              <w:top w:val="nil"/>
              <w:left w:val="nil"/>
              <w:bottom w:val="nil"/>
              <w:right w:val="nil"/>
            </w:tcBorders>
          </w:tcPr>
          <w:p>
            <w:pPr>
              <w:pStyle w:val="TableParagraph"/>
              <w:spacing w:before="55"/>
              <w:ind w:right="140"/>
              <w:rPr>
                <w:sz w:val="24"/>
              </w:rPr>
            </w:pPr>
            <w:r>
              <w:rPr>
                <w:sz w:val="24"/>
              </w:rPr>
              <w:t>270.80</w:t>
            </w:r>
          </w:p>
        </w:tc>
        <w:tc>
          <w:tcPr>
            <w:tcW w:w="1245" w:type="dxa"/>
            <w:tcBorders>
              <w:top w:val="nil"/>
              <w:left w:val="nil"/>
              <w:bottom w:val="nil"/>
              <w:right w:val="nil"/>
            </w:tcBorders>
          </w:tcPr>
          <w:p>
            <w:pPr>
              <w:pStyle w:val="TableParagraph"/>
              <w:spacing w:before="55"/>
              <w:ind w:right="319"/>
              <w:rPr>
                <w:sz w:val="24"/>
              </w:rPr>
            </w:pPr>
            <w:r>
              <w:rPr>
                <w:sz w:val="24"/>
              </w:rPr>
              <w:t>740.76</w:t>
            </w:r>
          </w:p>
        </w:tc>
        <w:tc>
          <w:tcPr>
            <w:tcW w:w="814" w:type="dxa"/>
            <w:tcBorders>
              <w:top w:val="nil"/>
              <w:left w:val="nil"/>
              <w:bottom w:val="nil"/>
              <w:right w:val="nil"/>
            </w:tcBorders>
          </w:tcPr>
          <w:p>
            <w:pPr>
              <w:pStyle w:val="TableParagraph"/>
              <w:spacing w:before="55"/>
              <w:ind w:right="71"/>
              <w:rPr>
                <w:sz w:val="24"/>
              </w:rPr>
            </w:pPr>
            <w:r>
              <w:rPr>
                <w:sz w:val="24"/>
              </w:rPr>
              <w:t>0.40</w:t>
            </w:r>
          </w:p>
        </w:tc>
      </w:tr>
      <w:tr>
        <w:trPr>
          <w:trHeight w:val="414" w:hRule="exact"/>
        </w:trPr>
        <w:tc>
          <w:tcPr>
            <w:tcW w:w="1207" w:type="dxa"/>
            <w:tcBorders>
              <w:top w:val="nil"/>
              <w:left w:val="nil"/>
              <w:bottom w:val="nil"/>
              <w:right w:val="nil"/>
            </w:tcBorders>
          </w:tcPr>
          <w:p>
            <w:pPr/>
          </w:p>
        </w:tc>
        <w:tc>
          <w:tcPr>
            <w:tcW w:w="2312" w:type="dxa"/>
            <w:tcBorders>
              <w:top w:val="nil"/>
              <w:left w:val="nil"/>
              <w:bottom w:val="nil"/>
              <w:right w:val="nil"/>
            </w:tcBorders>
          </w:tcPr>
          <w:p>
            <w:pPr>
              <w:pStyle w:val="TableParagraph"/>
              <w:spacing w:before="56"/>
              <w:ind w:left="184"/>
              <w:jc w:val="left"/>
              <w:rPr>
                <w:sz w:val="24"/>
              </w:rPr>
            </w:pPr>
            <w:r>
              <w:rPr>
                <w:sz w:val="24"/>
              </w:rPr>
              <w:t>III</w:t>
            </w:r>
          </w:p>
        </w:tc>
        <w:tc>
          <w:tcPr>
            <w:tcW w:w="1255" w:type="dxa"/>
            <w:tcBorders>
              <w:top w:val="nil"/>
              <w:left w:val="nil"/>
              <w:bottom w:val="nil"/>
              <w:right w:val="nil"/>
            </w:tcBorders>
          </w:tcPr>
          <w:p>
            <w:pPr>
              <w:pStyle w:val="TableParagraph"/>
              <w:spacing w:before="56"/>
              <w:ind w:right="259"/>
              <w:rPr>
                <w:sz w:val="24"/>
              </w:rPr>
            </w:pPr>
            <w:r>
              <w:rPr>
                <w:sz w:val="24"/>
              </w:rPr>
              <w:t>16.00</w:t>
            </w:r>
          </w:p>
        </w:tc>
        <w:tc>
          <w:tcPr>
            <w:tcW w:w="1003" w:type="dxa"/>
            <w:tcBorders>
              <w:top w:val="nil"/>
              <w:left w:val="nil"/>
              <w:bottom w:val="nil"/>
              <w:right w:val="nil"/>
            </w:tcBorders>
          </w:tcPr>
          <w:p>
            <w:pPr>
              <w:pStyle w:val="TableParagraph"/>
              <w:spacing w:before="56"/>
              <w:ind w:right="199"/>
              <w:rPr>
                <w:sz w:val="24"/>
              </w:rPr>
            </w:pPr>
            <w:r>
              <w:rPr>
                <w:sz w:val="24"/>
              </w:rPr>
              <w:t>3.46</w:t>
            </w:r>
          </w:p>
        </w:tc>
        <w:tc>
          <w:tcPr>
            <w:tcW w:w="1004" w:type="dxa"/>
            <w:tcBorders>
              <w:top w:val="nil"/>
              <w:left w:val="nil"/>
              <w:bottom w:val="nil"/>
              <w:right w:val="nil"/>
            </w:tcBorders>
          </w:tcPr>
          <w:p>
            <w:pPr>
              <w:pStyle w:val="TableParagraph"/>
              <w:spacing w:before="56"/>
              <w:ind w:right="140"/>
              <w:rPr>
                <w:sz w:val="24"/>
              </w:rPr>
            </w:pPr>
            <w:r>
              <w:rPr>
                <w:sz w:val="24"/>
              </w:rPr>
              <w:t>55.43</w:t>
            </w:r>
          </w:p>
        </w:tc>
        <w:tc>
          <w:tcPr>
            <w:tcW w:w="1245" w:type="dxa"/>
            <w:tcBorders>
              <w:top w:val="nil"/>
              <w:left w:val="nil"/>
              <w:bottom w:val="nil"/>
              <w:right w:val="nil"/>
            </w:tcBorders>
          </w:tcPr>
          <w:p>
            <w:pPr>
              <w:pStyle w:val="TableParagraph"/>
              <w:spacing w:before="56"/>
              <w:ind w:right="319"/>
              <w:rPr>
                <w:sz w:val="24"/>
              </w:rPr>
            </w:pPr>
            <w:r>
              <w:rPr>
                <w:sz w:val="24"/>
              </w:rPr>
              <w:t>192.00</w:t>
            </w:r>
          </w:p>
        </w:tc>
        <w:tc>
          <w:tcPr>
            <w:tcW w:w="814" w:type="dxa"/>
            <w:tcBorders>
              <w:top w:val="nil"/>
              <w:left w:val="nil"/>
              <w:bottom w:val="nil"/>
              <w:right w:val="nil"/>
            </w:tcBorders>
          </w:tcPr>
          <w:p>
            <w:pPr>
              <w:pStyle w:val="TableParagraph"/>
              <w:spacing w:before="56"/>
              <w:ind w:right="71"/>
              <w:rPr>
                <w:sz w:val="24"/>
              </w:rPr>
            </w:pPr>
            <w:r>
              <w:rPr>
                <w:sz w:val="24"/>
              </w:rPr>
              <w:t>0.07</w:t>
            </w:r>
          </w:p>
        </w:tc>
      </w:tr>
      <w:tr>
        <w:trPr>
          <w:trHeight w:val="496" w:hRule="exact"/>
        </w:trPr>
        <w:tc>
          <w:tcPr>
            <w:tcW w:w="1207" w:type="dxa"/>
            <w:tcBorders>
              <w:top w:val="nil"/>
              <w:left w:val="nil"/>
              <w:right w:val="nil"/>
            </w:tcBorders>
          </w:tcPr>
          <w:p>
            <w:pPr>
              <w:pStyle w:val="TableParagraph"/>
              <w:spacing w:before="55"/>
              <w:ind w:left="69"/>
              <w:jc w:val="left"/>
              <w:rPr>
                <w:sz w:val="24"/>
              </w:rPr>
            </w:pPr>
            <w:r>
              <w:rPr>
                <w:sz w:val="24"/>
              </w:rPr>
              <w:t>Total</w:t>
            </w:r>
          </w:p>
        </w:tc>
        <w:tc>
          <w:tcPr>
            <w:tcW w:w="2312" w:type="dxa"/>
            <w:tcBorders>
              <w:top w:val="nil"/>
              <w:left w:val="nil"/>
              <w:right w:val="nil"/>
            </w:tcBorders>
          </w:tcPr>
          <w:p>
            <w:pPr/>
          </w:p>
        </w:tc>
        <w:tc>
          <w:tcPr>
            <w:tcW w:w="1255" w:type="dxa"/>
            <w:tcBorders>
              <w:top w:val="nil"/>
              <w:left w:val="nil"/>
              <w:right w:val="nil"/>
            </w:tcBorders>
          </w:tcPr>
          <w:p>
            <w:pPr>
              <w:pStyle w:val="TableParagraph"/>
              <w:spacing w:before="55"/>
              <w:ind w:right="259"/>
              <w:rPr>
                <w:sz w:val="24"/>
              </w:rPr>
            </w:pPr>
            <w:r>
              <w:rPr>
                <w:sz w:val="24"/>
              </w:rPr>
              <w:t>245.00</w:t>
            </w:r>
          </w:p>
        </w:tc>
        <w:tc>
          <w:tcPr>
            <w:tcW w:w="1003" w:type="dxa"/>
            <w:tcBorders>
              <w:top w:val="nil"/>
              <w:left w:val="nil"/>
              <w:right w:val="nil"/>
            </w:tcBorders>
          </w:tcPr>
          <w:p>
            <w:pPr>
              <w:pStyle w:val="TableParagraph"/>
              <w:spacing w:before="55"/>
              <w:ind w:right="199"/>
              <w:rPr>
                <w:sz w:val="24"/>
              </w:rPr>
            </w:pPr>
            <w:r>
              <w:rPr>
                <w:sz w:val="24"/>
              </w:rPr>
              <w:t>9.80</w:t>
            </w:r>
          </w:p>
        </w:tc>
        <w:tc>
          <w:tcPr>
            <w:tcW w:w="1004" w:type="dxa"/>
            <w:tcBorders>
              <w:top w:val="nil"/>
              <w:left w:val="nil"/>
              <w:right w:val="nil"/>
            </w:tcBorders>
          </w:tcPr>
          <w:p>
            <w:pPr>
              <w:pStyle w:val="TableParagraph"/>
              <w:spacing w:before="55"/>
              <w:ind w:right="140"/>
              <w:rPr>
                <w:sz w:val="24"/>
              </w:rPr>
            </w:pPr>
            <w:r>
              <w:rPr>
                <w:sz w:val="24"/>
              </w:rPr>
              <w:t>794.42</w:t>
            </w:r>
          </w:p>
        </w:tc>
        <w:tc>
          <w:tcPr>
            <w:tcW w:w="1245" w:type="dxa"/>
            <w:tcBorders>
              <w:top w:val="nil"/>
              <w:left w:val="nil"/>
              <w:right w:val="nil"/>
            </w:tcBorders>
          </w:tcPr>
          <w:p>
            <w:pPr>
              <w:pStyle w:val="TableParagraph"/>
              <w:spacing w:before="55"/>
              <w:ind w:right="319"/>
              <w:rPr>
                <w:sz w:val="24"/>
              </w:rPr>
            </w:pPr>
            <w:r>
              <w:rPr>
                <w:sz w:val="24"/>
              </w:rPr>
              <w:t>2618.95</w:t>
            </w:r>
          </w:p>
        </w:tc>
        <w:tc>
          <w:tcPr>
            <w:tcW w:w="814" w:type="dxa"/>
            <w:tcBorders>
              <w:top w:val="nil"/>
              <w:left w:val="nil"/>
              <w:right w:val="nil"/>
            </w:tcBorders>
          </w:tcPr>
          <w:p>
            <w:pPr>
              <w:pStyle w:val="TableParagraph"/>
              <w:spacing w:before="55"/>
              <w:ind w:right="71"/>
              <w:rPr>
                <w:sz w:val="24"/>
              </w:rPr>
            </w:pPr>
            <w:r>
              <w:rPr>
                <w:sz w:val="24"/>
              </w:rPr>
              <w:t>1.00</w:t>
            </w:r>
          </w:p>
        </w:tc>
      </w:tr>
    </w:tbl>
    <w:p>
      <w:pPr>
        <w:spacing w:line="204" w:lineRule="exact" w:before="0"/>
        <w:ind w:left="191" w:right="8" w:firstLine="0"/>
        <w:jc w:val="left"/>
        <w:rPr>
          <w:sz w:val="20"/>
        </w:rPr>
      </w:pPr>
      <w:r>
        <w:rPr>
          <w:sz w:val="20"/>
        </w:rPr>
        <w:t>Fuente: Elaboración propia con información de campo</w:t>
      </w:r>
    </w:p>
    <w:p>
      <w:pPr>
        <w:pStyle w:val="BodyText"/>
        <w:rPr>
          <w:sz w:val="20"/>
        </w:rPr>
      </w:pPr>
    </w:p>
    <w:p>
      <w:pPr>
        <w:pStyle w:val="BodyText"/>
        <w:rPr>
          <w:sz w:val="20"/>
        </w:rPr>
      </w:pPr>
    </w:p>
    <w:p>
      <w:pPr>
        <w:pStyle w:val="BodyText"/>
        <w:spacing w:line="360" w:lineRule="auto" w:before="69"/>
        <w:ind w:left="122" w:right="8"/>
      </w:pPr>
      <w:r>
        <w:rPr/>
        <w:t>La asignación de la muestra por estrato en cada época analizada se realizó mediante distribución de Neyman, para ello, se utilizó la siguiente ecuación:</w:t>
      </w:r>
    </w:p>
    <w:p>
      <w:pPr>
        <w:pStyle w:val="BodyText"/>
        <w:spacing w:before="6"/>
        <w:rPr>
          <w:sz w:val="28"/>
        </w:rPr>
      </w:pPr>
    </w:p>
    <w:p>
      <w:pPr>
        <w:spacing w:after="0"/>
        <w:rPr>
          <w:sz w:val="28"/>
        </w:rPr>
        <w:sectPr>
          <w:pgSz w:w="12240" w:h="15840"/>
          <w:pgMar w:header="0" w:footer="657" w:top="1360" w:bottom="840" w:left="1580" w:right="1560"/>
        </w:sectPr>
      </w:pPr>
    </w:p>
    <w:p>
      <w:pPr>
        <w:spacing w:line="212" w:lineRule="exact" w:before="77"/>
        <w:ind w:left="0" w:right="0" w:firstLine="0"/>
        <w:jc w:val="right"/>
        <w:rPr>
          <w:rFonts w:ascii="Cambria Math" w:eastAsia="Cambria Math"/>
          <w:sz w:val="14"/>
        </w:rPr>
      </w:pPr>
      <w:r>
        <w:rPr/>
        <w:pict>
          <v:shape style="position:absolute;margin-left:267.649994pt;margin-top:9.28072pt;width:24.35pt;height:12pt;mso-position-horizontal-relative:page;mso-position-vertical-relative:paragraph;z-index:-459304" type="#_x0000_t202" filled="false" stroked="false">
            <v:textbox inset="0,0,0,0">
              <w:txbxContent>
                <w:p>
                  <w:pPr>
                    <w:pStyle w:val="BodyText"/>
                    <w:spacing w:line="240" w:lineRule="exact"/>
                    <w:ind w:right="67"/>
                    <w:rPr>
                      <w:rFonts w:ascii="Cambria Math" w:eastAsia="Cambria Math"/>
                    </w:rPr>
                  </w:pPr>
                  <w:r>
                    <w:rPr>
                      <w:rFonts w:ascii="Cambria Math" w:eastAsia="Cambria Math"/>
                    </w:rPr>
                    <w:t>�  =</w:t>
                  </w:r>
                </w:p>
              </w:txbxContent>
            </v:textbox>
            <w10:wrap type="none"/>
          </v:shape>
        </w:pict>
      </w:r>
      <w:r>
        <w:rPr>
          <w:w w:val="100"/>
          <w:sz w:val="17"/>
          <w:u w:val="single"/>
        </w:rPr>
        <w:t> </w:t>
      </w:r>
      <w:r>
        <w:rPr>
          <w:sz w:val="17"/>
          <w:u w:val="single"/>
        </w:rPr>
        <w:t>  </w:t>
      </w:r>
      <w:r>
        <w:rPr>
          <w:rFonts w:ascii="Cambria Math" w:eastAsia="Cambria Math"/>
          <w:w w:val="110"/>
          <w:sz w:val="17"/>
          <w:u w:val="single"/>
        </w:rPr>
        <w:t>�</w:t>
      </w:r>
      <w:r>
        <w:rPr>
          <w:rFonts w:ascii="Cambria Math" w:eastAsia="Cambria Math"/>
          <w:w w:val="110"/>
          <w:position w:val="-3"/>
          <w:sz w:val="14"/>
          <w:u w:val="single"/>
        </w:rPr>
        <w:t>𝑖</w:t>
      </w:r>
      <w:r>
        <w:rPr>
          <w:rFonts w:ascii="Cambria Math" w:eastAsia="Cambria Math"/>
          <w:w w:val="110"/>
          <w:sz w:val="17"/>
          <w:u w:val="single"/>
        </w:rPr>
        <w:t>�</w:t>
      </w:r>
      <w:r>
        <w:rPr>
          <w:rFonts w:ascii="Cambria Math" w:eastAsia="Cambria Math"/>
          <w:w w:val="110"/>
          <w:position w:val="-3"/>
          <w:sz w:val="14"/>
          <w:u w:val="single"/>
        </w:rPr>
        <w:t>𝑁𝑖</w:t>
      </w:r>
      <w:r>
        <w:rPr>
          <w:rFonts w:ascii="Cambria Math" w:eastAsia="Cambria Math"/>
          <w:position w:val="-3"/>
          <w:sz w:val="14"/>
          <w:u w:val="single"/>
        </w:rPr>
        <w:t> </w:t>
      </w:r>
    </w:p>
    <w:p>
      <w:pPr>
        <w:tabs>
          <w:tab w:pos="422" w:val="left" w:leader="none"/>
        </w:tabs>
        <w:spacing w:line="137" w:lineRule="exact" w:before="0"/>
        <w:ind w:left="0" w:right="175" w:firstLine="0"/>
        <w:jc w:val="right"/>
        <w:rPr>
          <w:rFonts w:ascii="Cambria Math" w:hAnsi="Cambria Math" w:eastAsia="Cambria Math"/>
          <w:sz w:val="17"/>
        </w:rPr>
      </w:pPr>
      <w:r>
        <w:rPr>
          <w:rFonts w:ascii="Cambria Math" w:hAnsi="Cambria Math" w:eastAsia="Cambria Math"/>
          <w:w w:val="105"/>
          <w:position w:val="7"/>
          <w:sz w:val="17"/>
        </w:rPr>
        <w:t>1</w:t>
        <w:tab/>
      </w:r>
      <w:r>
        <w:rPr>
          <w:rFonts w:ascii="Cambria Math" w:hAnsi="Cambria Math" w:eastAsia="Cambria Math"/>
          <w:w w:val="105"/>
          <w:position w:val="1"/>
          <w:sz w:val="17"/>
        </w:rPr>
        <w:t>∑</w:t>
      </w:r>
      <w:r>
        <w:rPr>
          <w:rFonts w:ascii="Cambria Math" w:hAnsi="Cambria Math" w:eastAsia="Cambria Math"/>
          <w:w w:val="105"/>
          <w:position w:val="7"/>
          <w:sz w:val="14"/>
        </w:rPr>
        <w:t>𝐿 </w:t>
      </w:r>
      <w:r>
        <w:rPr>
          <w:rFonts w:ascii="Cambria Math" w:hAnsi="Cambria Math" w:eastAsia="Cambria Math"/>
          <w:w w:val="105"/>
          <w:sz w:val="17"/>
        </w:rPr>
        <w:t>�</w:t>
      </w:r>
      <w:r>
        <w:rPr>
          <w:rFonts w:ascii="Cambria Math" w:hAnsi="Cambria Math" w:eastAsia="Cambria Math"/>
          <w:spacing w:val="2"/>
          <w:w w:val="105"/>
          <w:sz w:val="17"/>
        </w:rPr>
        <w:t> </w:t>
      </w:r>
      <w:r>
        <w:rPr>
          <w:rFonts w:ascii="Cambria Math" w:hAnsi="Cambria Math" w:eastAsia="Cambria Math"/>
          <w:w w:val="105"/>
          <w:sz w:val="17"/>
        </w:rPr>
        <w:t>�</w:t>
      </w:r>
    </w:p>
    <w:p>
      <w:pPr>
        <w:pStyle w:val="BodyText"/>
        <w:tabs>
          <w:tab w:pos="3649" w:val="left" w:leader="none"/>
        </w:tabs>
        <w:spacing w:line="274" w:lineRule="exact" w:before="152"/>
        <w:ind w:left="-2"/>
      </w:pPr>
      <w:r>
        <w:rPr/>
        <w:br w:type="column"/>
      </w:r>
      <w:r>
        <w:rPr>
          <w:rFonts w:ascii="Cambria Math" w:eastAsia="Cambria Math"/>
        </w:rPr>
        <w:t>.</w:t>
      </w:r>
      <w:r>
        <w:rPr>
          <w:rFonts w:ascii="Cambria Math" w:eastAsia="Cambria Math"/>
          <w:spacing w:val="-20"/>
        </w:rPr>
        <w:t> </w:t>
      </w:r>
      <w:r>
        <w:rPr>
          <w:rFonts w:ascii="Cambria Math" w:eastAsia="Cambria Math"/>
        </w:rPr>
        <w:t>�</w:t>
        <w:tab/>
      </w:r>
      <w:r>
        <w:rPr/>
        <w:t>3)</w:t>
      </w:r>
    </w:p>
    <w:p>
      <w:pPr>
        <w:spacing w:after="0" w:line="274" w:lineRule="exact"/>
        <w:sectPr>
          <w:type w:val="continuous"/>
          <w:pgSz w:w="12240" w:h="15840"/>
          <w:pgMar w:top="1360" w:bottom="280" w:left="1580" w:right="1560"/>
          <w:cols w:num="2" w:equalWidth="0">
            <w:col w:w="5022" w:space="40"/>
            <w:col w:w="4038"/>
          </w:cols>
        </w:sectPr>
      </w:pPr>
    </w:p>
    <w:p>
      <w:pPr>
        <w:spacing w:line="163" w:lineRule="exact" w:before="0"/>
        <w:ind w:left="361" w:right="0" w:firstLine="0"/>
        <w:jc w:val="center"/>
        <w:rPr>
          <w:rFonts w:ascii="Cambria Math" w:eastAsia="Cambria Math"/>
          <w:sz w:val="14"/>
        </w:rPr>
      </w:pPr>
      <w:r>
        <w:rPr>
          <w:rFonts w:ascii="Cambria Math" w:eastAsia="Cambria Math"/>
          <w:w w:val="115"/>
          <w:sz w:val="14"/>
        </w:rPr>
        <w:t>𝑖   </w:t>
      </w:r>
      <w:r>
        <w:rPr>
          <w:rFonts w:ascii="Cambria Math" w:eastAsia="Cambria Math"/>
          <w:w w:val="115"/>
          <w:position w:val="2"/>
          <w:sz w:val="14"/>
        </w:rPr>
        <w:t>𝑖 𝑁𝑖</w:t>
      </w:r>
    </w:p>
    <w:p>
      <w:pPr>
        <w:pStyle w:val="BodyText"/>
        <w:rPr>
          <w:rFonts w:ascii="Cambria Math"/>
          <w:sz w:val="20"/>
        </w:rPr>
      </w:pPr>
    </w:p>
    <w:p>
      <w:pPr>
        <w:pStyle w:val="BodyText"/>
        <w:spacing w:before="5"/>
        <w:rPr>
          <w:rFonts w:ascii="Cambria Math"/>
          <w:sz w:val="18"/>
        </w:rPr>
      </w:pPr>
    </w:p>
    <w:p>
      <w:pPr>
        <w:pStyle w:val="BodyText"/>
        <w:spacing w:line="360" w:lineRule="auto" w:before="68"/>
        <w:ind w:left="122" w:right="138"/>
        <w:jc w:val="both"/>
      </w:pPr>
      <w:r>
        <w:rPr>
          <w:position w:val="2"/>
        </w:rPr>
        <w:t>Donde, n</w:t>
      </w:r>
      <w:r>
        <w:rPr>
          <w:sz w:val="16"/>
        </w:rPr>
        <w:t>i</w:t>
      </w:r>
      <w:r>
        <w:rPr>
          <w:position w:val="2"/>
        </w:rPr>
        <w:t>= productores por estrato; N</w:t>
      </w:r>
      <w:r>
        <w:rPr>
          <w:sz w:val="16"/>
        </w:rPr>
        <w:t>i</w:t>
      </w:r>
      <w:r>
        <w:rPr>
          <w:position w:val="2"/>
        </w:rPr>
        <w:t>= número de productores del estrato (i); n= tamaño</w:t>
      </w:r>
      <w:r>
        <w:rPr>
          <w:spacing w:val="-39"/>
          <w:position w:val="2"/>
        </w:rPr>
        <w:t> </w:t>
      </w:r>
      <w:r>
        <w:rPr>
          <w:position w:val="2"/>
        </w:rPr>
        <w:t>de </w:t>
      </w:r>
      <w:r>
        <w:rPr/>
        <w:t>la muestra por estrato; = varianza del estrato (i). La muestra estratificada quedo conformada de la siguiente manera (tabla</w:t>
      </w:r>
      <w:r>
        <w:rPr>
          <w:spacing w:val="-7"/>
        </w:rPr>
        <w:t> </w:t>
      </w:r>
      <w:r>
        <w:rPr/>
        <w:t>2).</w:t>
      </w:r>
    </w:p>
    <w:p>
      <w:pPr>
        <w:pStyle w:val="BodyText"/>
      </w:pPr>
    </w:p>
    <w:p>
      <w:pPr>
        <w:pStyle w:val="BodyText"/>
        <w:spacing w:line="360" w:lineRule="auto" w:before="143" w:after="12"/>
        <w:ind w:left="191" w:right="8"/>
      </w:pPr>
      <w:r>
        <w:rPr>
          <w:b/>
        </w:rPr>
        <w:t>Tabla 2. </w:t>
      </w:r>
      <w:r>
        <w:rPr/>
        <w:t>Muestra estratificada de productores lecheros de pequeña escala por periodo productivo</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2859,22" stroked="true" strokeweight="2.16pt" strokecolor="#000000"/>
            <v:line style="position:absolute" from="2859,22" to="2903,22" stroked="true" strokeweight="2.16pt" strokecolor="#000000"/>
            <v:line style="position:absolute" from="2903,22" to="5862,22" stroked="true" strokeweight="2.16pt" strokecolor="#000000"/>
            <v:line style="position:absolute" from="5862,22" to="5905,22" stroked="true" strokeweight="2.16pt" strokecolor="#000000"/>
            <v:line style="position:absolute" from="5905,22" to="8863,22" stroked="true" strokeweight="2.16pt" strokecolor="#000000"/>
          </v:group>
        </w:pict>
      </w:r>
      <w:r>
        <w:rPr>
          <w:position w:val="0"/>
          <w:sz w:val="4"/>
        </w:rPr>
      </w:r>
    </w:p>
    <w:p>
      <w:pPr>
        <w:pStyle w:val="BodyText"/>
        <w:tabs>
          <w:tab w:pos="3984" w:val="left" w:leader="none"/>
          <w:tab w:pos="6984" w:val="left" w:leader="none"/>
        </w:tabs>
        <w:ind w:left="191"/>
        <w:jc w:val="both"/>
      </w:pPr>
      <w:r>
        <w:rPr/>
        <w:t>Estratos</w:t>
        <w:tab/>
        <w:t>Año</w:t>
      </w:r>
      <w:r>
        <w:rPr>
          <w:spacing w:val="-1"/>
        </w:rPr>
        <w:t> </w:t>
      </w:r>
      <w:r>
        <w:rPr/>
        <w:t>2000</w:t>
        <w:tab/>
        <w:t>Año</w:t>
      </w:r>
      <w:r>
        <w:rPr>
          <w:spacing w:val="-1"/>
        </w:rPr>
        <w:t> </w:t>
      </w:r>
      <w:r>
        <w:rPr/>
        <w:t>2012</w:t>
      </w:r>
    </w:p>
    <w:p>
      <w:pPr>
        <w:pStyle w:val="BodyText"/>
        <w:tabs>
          <w:tab w:pos="4399" w:val="left" w:leader="none"/>
          <w:tab w:pos="7579" w:val="right" w:leader="none"/>
        </w:tabs>
        <w:spacing w:before="86"/>
        <w:ind w:left="191"/>
      </w:pPr>
      <w:r>
        <w:rPr/>
        <w:pict>
          <v:group style="position:absolute;margin-left:84.003998pt;margin-top:2.403121pt;width:444.25pt;height:2.2pt;mso-position-horizontal-relative:page;mso-position-vertical-relative:paragraph;z-index:-459376" coordorigin="1680,48" coordsize="8885,44">
            <v:line style="position:absolute" from="1702,70" to="4539,70" stroked="true" strokeweight="2.16pt" strokecolor="#000000"/>
            <v:line style="position:absolute" from="4539,70" to="4583,70" stroked="true" strokeweight="2.16pt" strokecolor="#000000"/>
            <v:line style="position:absolute" from="4583,70" to="7542,70" stroked="true" strokeweight="2.16pt" strokecolor="#000000"/>
            <v:line style="position:absolute" from="7542,70" to="7585,70" stroked="true" strokeweight="2.16pt" strokecolor="#000000"/>
            <v:line style="position:absolute" from="7585,70" to="10543,70" stroked="true" strokeweight="2.16pt" strokecolor="#000000"/>
            <w10:wrap type="none"/>
          </v:group>
        </w:pict>
      </w:r>
      <w:r>
        <w:rPr/>
        <w:t>Estrato</w:t>
      </w:r>
      <w:r>
        <w:rPr>
          <w:spacing w:val="1"/>
        </w:rPr>
        <w:t> </w:t>
      </w:r>
      <w:r>
        <w:rPr/>
        <w:t>I</w:t>
        <w:tab/>
        <w:t>9</w:t>
        <w:tab/>
        <w:t>22</w:t>
      </w:r>
    </w:p>
    <w:p>
      <w:pPr>
        <w:pStyle w:val="BodyText"/>
        <w:tabs>
          <w:tab w:pos="4399" w:val="left" w:leader="none"/>
          <w:tab w:pos="7579" w:val="right" w:leader="none"/>
        </w:tabs>
        <w:spacing w:before="43"/>
        <w:ind w:left="191"/>
      </w:pPr>
      <w:r>
        <w:rPr/>
        <w:t>Estrato</w:t>
      </w:r>
      <w:r>
        <w:rPr>
          <w:spacing w:val="1"/>
        </w:rPr>
        <w:t> </w:t>
      </w:r>
      <w:r>
        <w:rPr/>
        <w:t>II</w:t>
        <w:tab/>
        <w:t>7</w:t>
        <w:tab/>
        <w:t>12</w:t>
      </w:r>
    </w:p>
    <w:p>
      <w:pPr>
        <w:pStyle w:val="BodyText"/>
        <w:tabs>
          <w:tab w:pos="4430" w:val="left" w:leader="none"/>
          <w:tab w:pos="7520" w:val="right" w:leader="none"/>
        </w:tabs>
        <w:spacing w:before="41"/>
        <w:ind w:left="191"/>
      </w:pPr>
      <w:r>
        <w:rPr/>
        <w:t>Estrato III</w:t>
        <w:tab/>
        <w:t>4</w:t>
        <w:tab/>
        <w:t>4</w:t>
      </w:r>
    </w:p>
    <w:p>
      <w:pPr>
        <w:pStyle w:val="BodyText"/>
        <w:tabs>
          <w:tab w:pos="4339" w:val="left" w:leader="none"/>
          <w:tab w:pos="7579" w:val="right" w:leader="none"/>
        </w:tabs>
        <w:spacing w:before="41"/>
        <w:ind w:left="191"/>
      </w:pPr>
      <w:r>
        <w:rPr/>
        <w:t>Total</w:t>
        <w:tab/>
        <w:t>20</w:t>
        <w:tab/>
        <w:t>37</w:t>
      </w:r>
    </w:p>
    <w:p>
      <w:pPr>
        <w:spacing w:before="85"/>
        <w:ind w:left="191" w:right="0" w:firstLine="0"/>
        <w:jc w:val="both"/>
        <w:rPr>
          <w:sz w:val="20"/>
        </w:rPr>
      </w:pPr>
      <w:r>
        <w:rPr/>
        <w:pict>
          <v:group style="position:absolute;margin-left:84.003998pt;margin-top:2.289935pt;width:444.25pt;height:2.2pt;mso-position-horizontal-relative:page;mso-position-vertical-relative:paragraph;z-index:-459352" coordorigin="1680,46" coordsize="8885,44">
            <v:line style="position:absolute" from="1702,68" to="4539,68" stroked="true" strokeweight="2.16pt" strokecolor="#000000"/>
            <v:line style="position:absolute" from="4539,68" to="4583,68" stroked="true" strokeweight="2.16pt" strokecolor="#000000"/>
            <v:line style="position:absolute" from="4583,68" to="7542,68" stroked="true" strokeweight="2.16pt" strokecolor="#000000"/>
            <v:line style="position:absolute" from="7542,68" to="7585,68" stroked="true" strokeweight="2.16pt" strokecolor="#000000"/>
            <v:line style="position:absolute" from="7585,68" to="10543,68" stroked="true" strokeweight="2.16pt" strokecolor="#000000"/>
            <w10:wrap type="none"/>
          </v:group>
        </w:pict>
      </w:r>
      <w:r>
        <w:rPr>
          <w:sz w:val="20"/>
        </w:rPr>
        <w:t>Fuente: Elaboración propia con información de la tabla 1</w:t>
      </w:r>
    </w:p>
    <w:p>
      <w:pPr>
        <w:spacing w:after="0"/>
        <w:jc w:val="both"/>
        <w:rPr>
          <w:sz w:val="20"/>
        </w:rPr>
        <w:sectPr>
          <w:type w:val="continuous"/>
          <w:pgSz w:w="12240" w:h="15840"/>
          <w:pgMar w:top="1360" w:bottom="280" w:left="1580" w:right="1560"/>
        </w:sectPr>
      </w:pPr>
    </w:p>
    <w:p>
      <w:pPr>
        <w:spacing w:before="50"/>
        <w:ind w:left="102" w:right="0" w:firstLine="0"/>
        <w:jc w:val="both"/>
        <w:rPr>
          <w:i/>
          <w:sz w:val="24"/>
        </w:rPr>
      </w:pPr>
      <w:r>
        <w:rPr>
          <w:i/>
          <w:sz w:val="24"/>
        </w:rPr>
        <w:t>Análisis económico de la información</w:t>
      </w:r>
    </w:p>
    <w:p>
      <w:pPr>
        <w:pStyle w:val="BodyText"/>
        <w:rPr>
          <w:i/>
        </w:rPr>
      </w:pPr>
    </w:p>
    <w:p>
      <w:pPr>
        <w:pStyle w:val="BodyText"/>
        <w:rPr>
          <w:i/>
        </w:rPr>
      </w:pPr>
    </w:p>
    <w:p>
      <w:pPr>
        <w:pStyle w:val="BodyText"/>
        <w:spacing w:before="10"/>
        <w:rPr>
          <w:i/>
          <w:sz w:val="34"/>
        </w:rPr>
      </w:pPr>
    </w:p>
    <w:p>
      <w:pPr>
        <w:pStyle w:val="BodyText"/>
        <w:spacing w:line="360" w:lineRule="auto"/>
        <w:ind w:left="102" w:right="116"/>
        <w:jc w:val="both"/>
      </w:pPr>
      <w:r>
        <w:rPr/>
        <w:t>Para determinar el análisis económico y el cambio en los años estudiados de los sistemas lecheros de pequeña escala se adaptó la metodología general de costos de producción a la metodología propuesta por Székely y Rascón (2005), la cual supone la construcción de deflactores individuales por rubro de costo y compara su comportamiento con el deflactor del Índice Nacional de Precios al Consumidor (INPC). En este sentido, el primer paso fue examinar la dinámica microeconómica en el crecimiento real </w:t>
      </w:r>
      <w:r>
        <w:rPr>
          <w:spacing w:val="3"/>
        </w:rPr>
        <w:t>de </w:t>
      </w:r>
      <w:r>
        <w:rPr/>
        <w:t>gastos e ingresos por litro de leche entre periodos productivos, identificando con estos resultados, las estrategias económicas, comerciales y productivas que han adoptado las unidades de producción en el periodo 2000 y 2012. Posteriormente se comparó el crecimiento individual de cada rubro de la estructura de costos de producción con el deflactor del INPC, para analizar el ritmo de cambio</w:t>
      </w:r>
      <w:r>
        <w:rPr>
          <w:spacing w:val="-9"/>
        </w:rPr>
        <w:t> </w:t>
      </w:r>
      <w:r>
        <w:rPr/>
        <w:t>del</w:t>
      </w:r>
      <w:r>
        <w:rPr>
          <w:spacing w:val="-8"/>
        </w:rPr>
        <w:t> </w:t>
      </w:r>
      <w:r>
        <w:rPr/>
        <w:t>crecimiento</w:t>
      </w:r>
      <w:r>
        <w:rPr>
          <w:spacing w:val="-9"/>
        </w:rPr>
        <w:t> </w:t>
      </w:r>
      <w:r>
        <w:rPr/>
        <w:t>en</w:t>
      </w:r>
      <w:r>
        <w:rPr>
          <w:spacing w:val="-9"/>
        </w:rPr>
        <w:t> </w:t>
      </w:r>
      <w:r>
        <w:rPr/>
        <w:t>el</w:t>
      </w:r>
      <w:r>
        <w:rPr>
          <w:spacing w:val="-8"/>
        </w:rPr>
        <w:t> </w:t>
      </w:r>
      <w:r>
        <w:rPr/>
        <w:t>precio</w:t>
      </w:r>
      <w:r>
        <w:rPr>
          <w:spacing w:val="-8"/>
        </w:rPr>
        <w:t> </w:t>
      </w:r>
      <w:r>
        <w:rPr/>
        <w:t>de</w:t>
      </w:r>
      <w:r>
        <w:rPr>
          <w:spacing w:val="-10"/>
        </w:rPr>
        <w:t> </w:t>
      </w:r>
      <w:r>
        <w:rPr/>
        <w:t>los</w:t>
      </w:r>
      <w:r>
        <w:rPr>
          <w:spacing w:val="-8"/>
        </w:rPr>
        <w:t> </w:t>
      </w:r>
      <w:r>
        <w:rPr/>
        <w:t>insumos</w:t>
      </w:r>
      <w:r>
        <w:rPr>
          <w:spacing w:val="-6"/>
        </w:rPr>
        <w:t> </w:t>
      </w:r>
      <w:r>
        <w:rPr/>
        <w:t>y</w:t>
      </w:r>
      <w:r>
        <w:rPr>
          <w:spacing w:val="-13"/>
        </w:rPr>
        <w:t> </w:t>
      </w:r>
      <w:r>
        <w:rPr/>
        <w:t>el</w:t>
      </w:r>
      <w:r>
        <w:rPr>
          <w:spacing w:val="-8"/>
        </w:rPr>
        <w:t> </w:t>
      </w:r>
      <w:r>
        <w:rPr/>
        <w:t>poder</w:t>
      </w:r>
      <w:r>
        <w:rPr>
          <w:spacing w:val="-9"/>
        </w:rPr>
        <w:t> </w:t>
      </w:r>
      <w:r>
        <w:rPr/>
        <w:t>adquisitivo</w:t>
      </w:r>
      <w:r>
        <w:rPr>
          <w:spacing w:val="-8"/>
        </w:rPr>
        <w:t> </w:t>
      </w:r>
      <w:r>
        <w:rPr/>
        <w:t>de</w:t>
      </w:r>
      <w:r>
        <w:rPr>
          <w:spacing w:val="-10"/>
        </w:rPr>
        <w:t> </w:t>
      </w:r>
      <w:r>
        <w:rPr/>
        <w:t>los</w:t>
      </w:r>
      <w:r>
        <w:rPr>
          <w:spacing w:val="-8"/>
        </w:rPr>
        <w:t> </w:t>
      </w:r>
      <w:r>
        <w:rPr/>
        <w:t>productores.</w:t>
      </w:r>
    </w:p>
    <w:p>
      <w:pPr>
        <w:pStyle w:val="BodyText"/>
      </w:pPr>
    </w:p>
    <w:p>
      <w:pPr>
        <w:pStyle w:val="BodyText"/>
      </w:pPr>
    </w:p>
    <w:p>
      <w:pPr>
        <w:pStyle w:val="BodyText"/>
        <w:spacing w:before="3"/>
        <w:rPr>
          <w:sz w:val="23"/>
        </w:rPr>
      </w:pPr>
    </w:p>
    <w:p>
      <w:pPr>
        <w:pStyle w:val="BodyText"/>
        <w:spacing w:line="360" w:lineRule="auto"/>
        <w:ind w:left="102" w:right="116"/>
        <w:jc w:val="both"/>
      </w:pPr>
      <w:r>
        <w:rPr/>
        <w:t>La</w:t>
      </w:r>
      <w:r>
        <w:rPr>
          <w:spacing w:val="-13"/>
        </w:rPr>
        <w:t> </w:t>
      </w:r>
      <w:r>
        <w:rPr/>
        <w:t>estimación</w:t>
      </w:r>
      <w:r>
        <w:rPr>
          <w:spacing w:val="-12"/>
        </w:rPr>
        <w:t> </w:t>
      </w:r>
      <w:r>
        <w:rPr/>
        <w:t>de</w:t>
      </w:r>
      <w:r>
        <w:rPr>
          <w:spacing w:val="-13"/>
        </w:rPr>
        <w:t> </w:t>
      </w:r>
      <w:r>
        <w:rPr/>
        <w:t>las</w:t>
      </w:r>
      <w:r>
        <w:rPr>
          <w:spacing w:val="-12"/>
        </w:rPr>
        <w:t> </w:t>
      </w:r>
      <w:r>
        <w:rPr/>
        <w:t>estructuras</w:t>
      </w:r>
      <w:r>
        <w:rPr>
          <w:spacing w:val="-12"/>
        </w:rPr>
        <w:t> </w:t>
      </w:r>
      <w:r>
        <w:rPr/>
        <w:t>contables</w:t>
      </w:r>
      <w:r>
        <w:rPr>
          <w:spacing w:val="-12"/>
        </w:rPr>
        <w:t> </w:t>
      </w:r>
      <w:r>
        <w:rPr/>
        <w:t>de</w:t>
      </w:r>
      <w:r>
        <w:rPr>
          <w:spacing w:val="-13"/>
        </w:rPr>
        <w:t> </w:t>
      </w:r>
      <w:r>
        <w:rPr/>
        <w:t>costos</w:t>
      </w:r>
      <w:r>
        <w:rPr>
          <w:spacing w:val="-9"/>
        </w:rPr>
        <w:t> </w:t>
      </w:r>
      <w:r>
        <w:rPr/>
        <w:t>de</w:t>
      </w:r>
      <w:r>
        <w:rPr>
          <w:spacing w:val="-13"/>
        </w:rPr>
        <w:t> </w:t>
      </w:r>
      <w:r>
        <w:rPr/>
        <w:t>producción</w:t>
      </w:r>
      <w:r>
        <w:rPr>
          <w:spacing w:val="-12"/>
        </w:rPr>
        <w:t> </w:t>
      </w:r>
      <w:r>
        <w:rPr/>
        <w:t>en</w:t>
      </w:r>
      <w:r>
        <w:rPr>
          <w:spacing w:val="-12"/>
        </w:rPr>
        <w:t> </w:t>
      </w:r>
      <w:r>
        <w:rPr/>
        <w:t>cada</w:t>
      </w:r>
      <w:r>
        <w:rPr>
          <w:spacing w:val="-13"/>
        </w:rPr>
        <w:t> </w:t>
      </w:r>
      <w:r>
        <w:rPr/>
        <w:t>periodo</w:t>
      </w:r>
      <w:r>
        <w:rPr>
          <w:spacing w:val="-12"/>
        </w:rPr>
        <w:t> </w:t>
      </w:r>
      <w:r>
        <w:rPr/>
        <w:t>consideró un</w:t>
      </w:r>
      <w:r>
        <w:rPr>
          <w:spacing w:val="-4"/>
        </w:rPr>
        <w:t> </w:t>
      </w:r>
      <w:r>
        <w:rPr/>
        <w:t>ajuste</w:t>
      </w:r>
      <w:r>
        <w:rPr>
          <w:spacing w:val="-5"/>
        </w:rPr>
        <w:t> </w:t>
      </w:r>
      <w:r>
        <w:rPr/>
        <w:t>por</w:t>
      </w:r>
      <w:r>
        <w:rPr>
          <w:spacing w:val="-5"/>
        </w:rPr>
        <w:t> </w:t>
      </w:r>
      <w:r>
        <w:rPr/>
        <w:t>concepto</w:t>
      </w:r>
      <w:r>
        <w:rPr>
          <w:spacing w:val="-3"/>
        </w:rPr>
        <w:t> </w:t>
      </w:r>
      <w:r>
        <w:rPr/>
        <w:t>de</w:t>
      </w:r>
      <w:r>
        <w:rPr>
          <w:spacing w:val="-3"/>
        </w:rPr>
        <w:t> </w:t>
      </w:r>
      <w:r>
        <w:rPr/>
        <w:t>inflación,</w:t>
      </w:r>
      <w:r>
        <w:rPr>
          <w:spacing w:val="-3"/>
        </w:rPr>
        <w:t> </w:t>
      </w:r>
      <w:r>
        <w:rPr/>
        <w:t>para</w:t>
      </w:r>
      <w:r>
        <w:rPr>
          <w:spacing w:val="-5"/>
        </w:rPr>
        <w:t> </w:t>
      </w:r>
      <w:r>
        <w:rPr/>
        <w:t>lo</w:t>
      </w:r>
      <w:r>
        <w:rPr>
          <w:spacing w:val="-3"/>
        </w:rPr>
        <w:t> </w:t>
      </w:r>
      <w:r>
        <w:rPr/>
        <w:t>cual</w:t>
      </w:r>
      <w:r>
        <w:rPr>
          <w:spacing w:val="-3"/>
        </w:rPr>
        <w:t> </w:t>
      </w:r>
      <w:r>
        <w:rPr/>
        <w:t>se</w:t>
      </w:r>
      <w:r>
        <w:rPr>
          <w:spacing w:val="-2"/>
        </w:rPr>
        <w:t> </w:t>
      </w:r>
      <w:r>
        <w:rPr/>
        <w:t>tomó</w:t>
      </w:r>
      <w:r>
        <w:rPr>
          <w:spacing w:val="-4"/>
        </w:rPr>
        <w:t> </w:t>
      </w:r>
      <w:r>
        <w:rPr/>
        <w:t>como</w:t>
      </w:r>
      <w:r>
        <w:rPr>
          <w:spacing w:val="-3"/>
        </w:rPr>
        <w:t> </w:t>
      </w:r>
      <w:r>
        <w:rPr/>
        <w:t>punto</w:t>
      </w:r>
      <w:r>
        <w:rPr>
          <w:spacing w:val="-3"/>
        </w:rPr>
        <w:t> </w:t>
      </w:r>
      <w:r>
        <w:rPr/>
        <w:t>de</w:t>
      </w:r>
      <w:r>
        <w:rPr>
          <w:spacing w:val="-5"/>
        </w:rPr>
        <w:t> </w:t>
      </w:r>
      <w:r>
        <w:rPr/>
        <w:t>referencia</w:t>
      </w:r>
      <w:r>
        <w:rPr>
          <w:spacing w:val="-5"/>
        </w:rPr>
        <w:t> </w:t>
      </w:r>
      <w:r>
        <w:rPr/>
        <w:t>la</w:t>
      </w:r>
      <w:r>
        <w:rPr>
          <w:spacing w:val="-4"/>
        </w:rPr>
        <w:t> </w:t>
      </w:r>
      <w:r>
        <w:rPr/>
        <w:t>tasa</w:t>
      </w:r>
      <w:r>
        <w:rPr>
          <w:spacing w:val="-5"/>
        </w:rPr>
        <w:t> </w:t>
      </w:r>
      <w:r>
        <w:rPr/>
        <w:t>de crecimiento</w:t>
      </w:r>
      <w:r>
        <w:rPr>
          <w:spacing w:val="-10"/>
        </w:rPr>
        <w:t> </w:t>
      </w:r>
      <w:r>
        <w:rPr/>
        <w:t>del</w:t>
      </w:r>
      <w:r>
        <w:rPr>
          <w:spacing w:val="-7"/>
        </w:rPr>
        <w:t> </w:t>
      </w:r>
      <w:r>
        <w:rPr/>
        <w:t>INPC</w:t>
      </w:r>
      <w:r>
        <w:rPr>
          <w:spacing w:val="-9"/>
        </w:rPr>
        <w:t> </w:t>
      </w:r>
      <w:r>
        <w:rPr/>
        <w:t>del</w:t>
      </w:r>
      <w:r>
        <w:rPr>
          <w:spacing w:val="-7"/>
        </w:rPr>
        <w:t> </w:t>
      </w:r>
      <w:r>
        <w:rPr/>
        <w:t>mes</w:t>
      </w:r>
      <w:r>
        <w:rPr>
          <w:spacing w:val="-10"/>
        </w:rPr>
        <w:t> </w:t>
      </w:r>
      <w:r>
        <w:rPr/>
        <w:t>de</w:t>
      </w:r>
      <w:r>
        <w:rPr>
          <w:spacing w:val="-11"/>
        </w:rPr>
        <w:t> </w:t>
      </w:r>
      <w:r>
        <w:rPr/>
        <w:t>Septiembre</w:t>
      </w:r>
      <w:r>
        <w:rPr>
          <w:spacing w:val="-11"/>
        </w:rPr>
        <w:t> </w:t>
      </w:r>
      <w:r>
        <w:rPr/>
        <w:t>(base</w:t>
      </w:r>
      <w:r>
        <w:rPr>
          <w:spacing w:val="-8"/>
        </w:rPr>
        <w:t> </w:t>
      </w:r>
      <w:r>
        <w:rPr/>
        <w:t>segunda</w:t>
      </w:r>
      <w:r>
        <w:rPr>
          <w:spacing w:val="-11"/>
        </w:rPr>
        <w:t> </w:t>
      </w:r>
      <w:r>
        <w:rPr/>
        <w:t>quincena</w:t>
      </w:r>
      <w:r>
        <w:rPr>
          <w:spacing w:val="-11"/>
        </w:rPr>
        <w:t> </w:t>
      </w:r>
      <w:r>
        <w:rPr/>
        <w:t>de</w:t>
      </w:r>
      <w:r>
        <w:rPr>
          <w:spacing w:val="-11"/>
        </w:rPr>
        <w:t> </w:t>
      </w:r>
      <w:r>
        <w:rPr/>
        <w:t>Diciembre</w:t>
      </w:r>
      <w:r>
        <w:rPr>
          <w:spacing w:val="-11"/>
        </w:rPr>
        <w:t> </w:t>
      </w:r>
      <w:r>
        <w:rPr/>
        <w:t>de</w:t>
      </w:r>
      <w:r>
        <w:rPr>
          <w:spacing w:val="-11"/>
        </w:rPr>
        <w:t> </w:t>
      </w:r>
      <w:r>
        <w:rPr/>
        <w:t>2010) de cada periodo. La ecuación que se consideró para la construcción de los deflactores individuales y compuestos fue la</w:t>
      </w:r>
      <w:r>
        <w:rPr>
          <w:spacing w:val="-8"/>
        </w:rPr>
        <w:t> </w:t>
      </w:r>
      <w:r>
        <w:rPr/>
        <w:t>siguiente:</w:t>
      </w:r>
    </w:p>
    <w:p>
      <w:pPr>
        <w:pStyle w:val="BodyText"/>
        <w:rPr>
          <w:sz w:val="20"/>
        </w:rPr>
      </w:pPr>
    </w:p>
    <w:p>
      <w:pPr>
        <w:pStyle w:val="BodyText"/>
        <w:rPr>
          <w:sz w:val="20"/>
        </w:rPr>
      </w:pPr>
    </w:p>
    <w:p>
      <w:pPr>
        <w:pStyle w:val="BodyText"/>
        <w:spacing w:before="1"/>
        <w:rPr>
          <w:sz w:val="21"/>
        </w:rPr>
      </w:pPr>
    </w:p>
    <w:p>
      <w:pPr>
        <w:tabs>
          <w:tab w:pos="683" w:val="left" w:leader="none"/>
        </w:tabs>
        <w:spacing w:line="74" w:lineRule="exact" w:before="75"/>
        <w:ind w:left="0" w:right="1127" w:firstLine="0"/>
        <w:jc w:val="center"/>
        <w:rPr>
          <w:rFonts w:ascii="Cambria Math" w:eastAsia="Cambria Math"/>
          <w:sz w:val="14"/>
        </w:rPr>
      </w:pPr>
      <w:r>
        <w:rPr>
          <w:rFonts w:ascii="Cambria Math" w:eastAsia="Cambria Math"/>
          <w:sz w:val="17"/>
        </w:rPr>
        <w:t>�</w:t>
        <w:tab/>
      </w:r>
      <w:r>
        <w:rPr>
          <w:position w:val="5"/>
          <w:sz w:val="17"/>
          <w:u w:val="single"/>
        </w:rPr>
        <w:t> </w:t>
      </w:r>
      <w:r>
        <w:rPr>
          <w:rFonts w:ascii="Cambria Math" w:eastAsia="Cambria Math"/>
          <w:position w:val="5"/>
          <w:sz w:val="17"/>
          <w:u w:val="single"/>
        </w:rPr>
        <w:t>�</w:t>
      </w:r>
      <w:r>
        <w:rPr>
          <w:rFonts w:ascii="Cambria Math" w:eastAsia="Cambria Math"/>
          <w:position w:val="1"/>
          <w:sz w:val="14"/>
          <w:u w:val="single"/>
        </w:rPr>
        <w:t>𝑖𝑡</w:t>
      </w:r>
      <w:r>
        <w:rPr>
          <w:rFonts w:ascii="Cambria Math" w:eastAsia="Cambria Math"/>
          <w:spacing w:val="-18"/>
          <w:position w:val="1"/>
          <w:sz w:val="14"/>
          <w:u w:val="single"/>
        </w:rPr>
        <w:t> </w:t>
      </w:r>
    </w:p>
    <w:p>
      <w:pPr>
        <w:spacing w:after="0" w:line="74" w:lineRule="exact"/>
        <w:jc w:val="center"/>
        <w:rPr>
          <w:rFonts w:ascii="Cambria Math" w:eastAsia="Cambria Math"/>
          <w:sz w:val="14"/>
        </w:rPr>
        <w:sectPr>
          <w:pgSz w:w="12240" w:h="15840"/>
          <w:pgMar w:header="0" w:footer="657" w:top="1360" w:bottom="840" w:left="1600" w:right="1580"/>
        </w:sectPr>
      </w:pPr>
    </w:p>
    <w:p>
      <w:pPr>
        <w:pStyle w:val="BodyText"/>
        <w:spacing w:line="389" w:lineRule="exact"/>
        <w:jc w:val="right"/>
        <w:rPr>
          <w:rFonts w:ascii="Cambria Math" w:eastAsia="Cambria Math"/>
          <w:sz w:val="17"/>
        </w:rPr>
      </w:pPr>
      <w:r>
        <w:rPr>
          <w:rFonts w:ascii="Cambria Math" w:eastAsia="Cambria Math"/>
          <w:w w:val="90"/>
        </w:rPr>
        <w:t>�</w:t>
      </w:r>
      <w:r>
        <w:rPr>
          <w:rFonts w:ascii="Cambria Math" w:eastAsia="Cambria Math"/>
          <w:w w:val="90"/>
          <w:position w:val="-4"/>
          <w:sz w:val="17"/>
        </w:rPr>
        <w:t>0</w:t>
      </w:r>
      <w:r>
        <w:rPr>
          <w:rFonts w:ascii="Cambria Math" w:eastAsia="Cambria Math"/>
          <w:w w:val="90"/>
          <w:position w:val="1"/>
        </w:rPr>
        <w:t>(</w:t>
      </w:r>
      <w:r>
        <w:rPr>
          <w:rFonts w:ascii="Cambria Math" w:eastAsia="Cambria Math"/>
          <w:w w:val="90"/>
        </w:rPr>
        <w:t>𝑖</w:t>
      </w:r>
      <w:r>
        <w:rPr>
          <w:rFonts w:ascii="Cambria Math" w:eastAsia="Cambria Math"/>
          <w:w w:val="90"/>
          <w:position w:val="1"/>
        </w:rPr>
        <w:t>)  </w:t>
      </w:r>
      <w:r>
        <w:rPr>
          <w:rFonts w:ascii="Cambria Math" w:eastAsia="Cambria Math"/>
          <w:w w:val="90"/>
        </w:rPr>
        <w:t>=  </w:t>
      </w:r>
      <w:r>
        <w:rPr>
          <w:rFonts w:ascii="Cambria Math" w:eastAsia="Cambria Math"/>
          <w:w w:val="90"/>
          <w:position w:val="-11"/>
          <w:sz w:val="17"/>
        </w:rPr>
        <w:t>�</w:t>
      </w:r>
    </w:p>
    <w:p>
      <w:pPr>
        <w:pStyle w:val="BodyText"/>
        <w:rPr>
          <w:rFonts w:ascii="Cambria Math"/>
          <w:sz w:val="14"/>
        </w:rPr>
      </w:pPr>
      <w:r>
        <w:rPr/>
        <w:br w:type="column"/>
      </w:r>
      <w:r>
        <w:rPr>
          <w:rFonts w:ascii="Cambria Math"/>
          <w:sz w:val="14"/>
        </w:rPr>
      </w:r>
    </w:p>
    <w:p>
      <w:pPr>
        <w:spacing w:before="92"/>
        <w:ind w:left="-40" w:right="-132" w:firstLine="0"/>
        <w:jc w:val="left"/>
        <w:rPr>
          <w:rFonts w:ascii="Cambria Math" w:eastAsia="Cambria Math"/>
          <w:sz w:val="14"/>
        </w:rPr>
      </w:pPr>
      <w:r>
        <w:rPr>
          <w:rFonts w:ascii="Cambria Math" w:eastAsia="Cambria Math"/>
          <w:w w:val="117"/>
          <w:sz w:val="14"/>
        </w:rPr>
        <w:t>𝑖</w:t>
      </w:r>
      <w:r>
        <w:rPr>
          <w:rFonts w:ascii="Cambria Math" w:eastAsia="Cambria Math"/>
          <w:w w:val="106"/>
          <w:sz w:val="14"/>
        </w:rPr>
        <w:t>0</w:t>
      </w:r>
    </w:p>
    <w:p>
      <w:pPr>
        <w:pStyle w:val="BodyText"/>
        <w:tabs>
          <w:tab w:pos="4284" w:val="left" w:leader="none"/>
        </w:tabs>
        <w:spacing w:line="285" w:lineRule="exact"/>
        <w:ind w:left="73"/>
      </w:pPr>
      <w:r>
        <w:rPr/>
        <w:br w:type="column"/>
      </w:r>
      <w:r>
        <w:rPr>
          <w:rFonts w:ascii="Cambria Math" w:hAnsi="Cambria Math"/>
        </w:rPr>
        <w:t>× 100</w:t>
        <w:tab/>
      </w:r>
      <w:r>
        <w:rPr>
          <w:position w:val="4"/>
        </w:rPr>
        <w:t>4)</w:t>
      </w:r>
    </w:p>
    <w:p>
      <w:pPr>
        <w:spacing w:after="0" w:line="285" w:lineRule="exact"/>
        <w:sectPr>
          <w:type w:val="continuous"/>
          <w:pgSz w:w="12240" w:h="15840"/>
          <w:pgMar w:top="1360" w:bottom="280" w:left="1600" w:right="1580"/>
          <w:cols w:num="3" w:equalWidth="0">
            <w:col w:w="4291" w:space="40"/>
            <w:col w:w="96" w:space="40"/>
            <w:col w:w="4593"/>
          </w:cols>
        </w:sectPr>
      </w:pPr>
    </w:p>
    <w:p>
      <w:pPr>
        <w:pStyle w:val="BodyText"/>
        <w:rPr>
          <w:sz w:val="20"/>
        </w:rPr>
      </w:pPr>
    </w:p>
    <w:p>
      <w:pPr>
        <w:pStyle w:val="BodyText"/>
        <w:rPr>
          <w:sz w:val="20"/>
        </w:rPr>
      </w:pPr>
    </w:p>
    <w:p>
      <w:pPr>
        <w:pStyle w:val="BodyText"/>
        <w:spacing w:before="9"/>
        <w:rPr>
          <w:sz w:val="16"/>
        </w:rPr>
      </w:pPr>
    </w:p>
    <w:p>
      <w:pPr>
        <w:pStyle w:val="BodyText"/>
        <w:spacing w:line="360" w:lineRule="auto" w:before="68"/>
        <w:ind w:left="102" w:right="119"/>
        <w:jc w:val="both"/>
      </w:pPr>
      <w:r>
        <w:rPr>
          <w:position w:val="2"/>
        </w:rPr>
        <w:t>Donde; </w:t>
      </w:r>
      <w:r>
        <w:rPr>
          <w:i/>
          <w:position w:val="2"/>
        </w:rPr>
        <w:t>y</w:t>
      </w:r>
      <w:r>
        <w:rPr>
          <w:i/>
          <w:sz w:val="16"/>
        </w:rPr>
        <w:t>it </w:t>
      </w:r>
      <w:r>
        <w:rPr>
          <w:position w:val="2"/>
        </w:rPr>
        <w:t>y </w:t>
      </w:r>
      <w:r>
        <w:rPr>
          <w:i/>
          <w:position w:val="2"/>
        </w:rPr>
        <w:t>y</w:t>
      </w:r>
      <w:r>
        <w:rPr>
          <w:i/>
          <w:sz w:val="16"/>
        </w:rPr>
        <w:t>i0, </w:t>
      </w:r>
      <w:r>
        <w:rPr>
          <w:position w:val="2"/>
        </w:rPr>
        <w:t>son dos valores concretos de una magnitud o variable </w:t>
      </w:r>
      <w:r>
        <w:rPr>
          <w:i/>
          <w:position w:val="2"/>
        </w:rPr>
        <w:t>y</w:t>
      </w:r>
      <w:r>
        <w:rPr>
          <w:i/>
          <w:sz w:val="16"/>
        </w:rPr>
        <w:t>i</w:t>
      </w:r>
      <w:r>
        <w:rPr>
          <w:i/>
          <w:position w:val="2"/>
        </w:rPr>
        <w:t>, </w:t>
      </w:r>
      <w:r>
        <w:rPr>
          <w:position w:val="2"/>
        </w:rPr>
        <w:t>el primero de los </w:t>
      </w:r>
      <w:r>
        <w:rPr/>
        <w:t>valores corresponde al momento actual (</w:t>
      </w:r>
      <w:r>
        <w:rPr>
          <w:i/>
        </w:rPr>
        <w:t>t</w:t>
      </w:r>
      <w:r>
        <w:rPr/>
        <w:t>) y el segundo al momento base o de referencia (</w:t>
      </w:r>
      <w:r>
        <w:rPr>
          <w:i/>
        </w:rPr>
        <w:t>t=0</w:t>
      </w:r>
      <w:r>
        <w:rPr/>
        <w:t>).</w:t>
      </w:r>
    </w:p>
    <w:p>
      <w:pPr>
        <w:spacing w:after="0" w:line="360" w:lineRule="auto"/>
        <w:jc w:val="both"/>
        <w:sectPr>
          <w:type w:val="continuous"/>
          <w:pgSz w:w="12240" w:h="15840"/>
          <w:pgMar w:top="1360" w:bottom="280" w:left="1600" w:right="1580"/>
        </w:sectPr>
      </w:pPr>
    </w:p>
    <w:p>
      <w:pPr>
        <w:pStyle w:val="BodyText"/>
        <w:spacing w:line="360" w:lineRule="auto" w:before="50"/>
        <w:ind w:left="102" w:right="118"/>
        <w:jc w:val="both"/>
      </w:pPr>
      <w:r>
        <w:rPr/>
        <w:t>La comparación en las estructuras de costos de producción se pudo realizar mediante la aplicación de la técnica financiera de reajustabilidad de valores mediante la construcción de deflactores, la cual permitió llevar a valor presente los costos de producción de un litro de leche</w:t>
      </w:r>
      <w:r>
        <w:rPr>
          <w:spacing w:val="-7"/>
        </w:rPr>
        <w:t> </w:t>
      </w:r>
      <w:r>
        <w:rPr/>
        <w:t>y</w:t>
      </w:r>
      <w:r>
        <w:rPr>
          <w:spacing w:val="-16"/>
        </w:rPr>
        <w:t> </w:t>
      </w:r>
      <w:r>
        <w:rPr/>
        <w:t>poder</w:t>
      </w:r>
      <w:r>
        <w:rPr>
          <w:spacing w:val="-12"/>
        </w:rPr>
        <w:t> </w:t>
      </w:r>
      <w:r>
        <w:rPr/>
        <w:t>así</w:t>
      </w:r>
      <w:r>
        <w:rPr>
          <w:spacing w:val="-10"/>
        </w:rPr>
        <w:t> </w:t>
      </w:r>
      <w:r>
        <w:rPr/>
        <w:t>determinar</w:t>
      </w:r>
      <w:r>
        <w:rPr>
          <w:spacing w:val="-12"/>
        </w:rPr>
        <w:t> </w:t>
      </w:r>
      <w:r>
        <w:rPr/>
        <w:t>cuál</w:t>
      </w:r>
      <w:r>
        <w:rPr>
          <w:spacing w:val="-11"/>
        </w:rPr>
        <w:t> </w:t>
      </w:r>
      <w:r>
        <w:rPr/>
        <w:t>ha</w:t>
      </w:r>
      <w:r>
        <w:rPr>
          <w:spacing w:val="-12"/>
        </w:rPr>
        <w:t> </w:t>
      </w:r>
      <w:r>
        <w:rPr/>
        <w:t>sido</w:t>
      </w:r>
      <w:r>
        <w:rPr>
          <w:spacing w:val="-10"/>
        </w:rPr>
        <w:t> </w:t>
      </w:r>
      <w:r>
        <w:rPr/>
        <w:t>su</w:t>
      </w:r>
      <w:r>
        <w:rPr>
          <w:spacing w:val="-11"/>
        </w:rPr>
        <w:t> </w:t>
      </w:r>
      <w:r>
        <w:rPr/>
        <w:t>comportamiento</w:t>
      </w:r>
      <w:r>
        <w:rPr>
          <w:spacing w:val="-11"/>
        </w:rPr>
        <w:t> </w:t>
      </w:r>
      <w:r>
        <w:rPr/>
        <w:t>a</w:t>
      </w:r>
      <w:r>
        <w:rPr>
          <w:spacing w:val="-12"/>
        </w:rPr>
        <w:t> </w:t>
      </w:r>
      <w:r>
        <w:rPr/>
        <w:t>través</w:t>
      </w:r>
      <w:r>
        <w:rPr>
          <w:spacing w:val="-11"/>
        </w:rPr>
        <w:t> </w:t>
      </w:r>
      <w:r>
        <w:rPr/>
        <w:t>del</w:t>
      </w:r>
      <w:r>
        <w:rPr>
          <w:spacing w:val="-11"/>
        </w:rPr>
        <w:t> </w:t>
      </w:r>
      <w:r>
        <w:rPr/>
        <w:t>tiempo.</w:t>
      </w:r>
      <w:r>
        <w:rPr>
          <w:spacing w:val="-11"/>
        </w:rPr>
        <w:t> </w:t>
      </w:r>
      <w:r>
        <w:rPr/>
        <w:t>Esta</w:t>
      </w:r>
      <w:r>
        <w:rPr>
          <w:spacing w:val="-12"/>
        </w:rPr>
        <w:t> </w:t>
      </w:r>
      <w:r>
        <w:rPr/>
        <w:t>técnica financiera incluye el comportamiento macroeconómico del país mediante la variación del INPC</w:t>
      </w:r>
      <w:r>
        <w:rPr>
          <w:spacing w:val="-11"/>
        </w:rPr>
        <w:t> </w:t>
      </w:r>
      <w:r>
        <w:rPr/>
        <w:t>en</w:t>
      </w:r>
      <w:r>
        <w:rPr>
          <w:spacing w:val="-12"/>
        </w:rPr>
        <w:t> </w:t>
      </w:r>
      <w:r>
        <w:rPr/>
        <w:t>los</w:t>
      </w:r>
      <w:r>
        <w:rPr>
          <w:spacing w:val="-11"/>
        </w:rPr>
        <w:t> </w:t>
      </w:r>
      <w:r>
        <w:rPr/>
        <w:t>dos</w:t>
      </w:r>
      <w:r>
        <w:rPr>
          <w:spacing w:val="-12"/>
        </w:rPr>
        <w:t> </w:t>
      </w:r>
      <w:r>
        <w:rPr/>
        <w:t>periodos</w:t>
      </w:r>
      <w:r>
        <w:rPr>
          <w:spacing w:val="-12"/>
        </w:rPr>
        <w:t> </w:t>
      </w:r>
      <w:r>
        <w:rPr/>
        <w:t>de</w:t>
      </w:r>
      <w:r>
        <w:rPr>
          <w:spacing w:val="-13"/>
        </w:rPr>
        <w:t> </w:t>
      </w:r>
      <w:r>
        <w:rPr/>
        <w:t>análisis.</w:t>
      </w:r>
      <w:r>
        <w:rPr>
          <w:spacing w:val="-10"/>
        </w:rPr>
        <w:t> </w:t>
      </w:r>
      <w:r>
        <w:rPr>
          <w:spacing w:val="-3"/>
        </w:rPr>
        <w:t>La</w:t>
      </w:r>
      <w:r>
        <w:rPr>
          <w:spacing w:val="-13"/>
        </w:rPr>
        <w:t> </w:t>
      </w:r>
      <w:r>
        <w:rPr/>
        <w:t>ecuación</w:t>
      </w:r>
      <w:r>
        <w:rPr>
          <w:spacing w:val="-9"/>
        </w:rPr>
        <w:t> </w:t>
      </w:r>
      <w:r>
        <w:rPr/>
        <w:t>utilizada</w:t>
      </w:r>
      <w:r>
        <w:rPr>
          <w:spacing w:val="-13"/>
        </w:rPr>
        <w:t> </w:t>
      </w:r>
      <w:r>
        <w:rPr/>
        <w:t>para</w:t>
      </w:r>
      <w:r>
        <w:rPr>
          <w:spacing w:val="-14"/>
        </w:rPr>
        <w:t> </w:t>
      </w:r>
      <w:r>
        <w:rPr/>
        <w:t>determinar</w:t>
      </w:r>
      <w:r>
        <w:rPr>
          <w:spacing w:val="-10"/>
        </w:rPr>
        <w:t> </w:t>
      </w:r>
      <w:r>
        <w:rPr/>
        <w:t>la</w:t>
      </w:r>
      <w:r>
        <w:rPr>
          <w:spacing w:val="-13"/>
        </w:rPr>
        <w:t> </w:t>
      </w:r>
      <w:r>
        <w:rPr/>
        <w:t>reajustabilidad de valores fue la</w:t>
      </w:r>
      <w:r>
        <w:rPr>
          <w:spacing w:val="-5"/>
        </w:rPr>
        <w:t> </w:t>
      </w:r>
      <w:r>
        <w:rPr/>
        <w:t>siguiente:</w:t>
      </w:r>
    </w:p>
    <w:p>
      <w:pPr>
        <w:pStyle w:val="BodyText"/>
        <w:rPr>
          <w:sz w:val="20"/>
        </w:rPr>
      </w:pPr>
    </w:p>
    <w:p>
      <w:pPr>
        <w:pStyle w:val="BodyText"/>
        <w:rPr>
          <w:sz w:val="20"/>
        </w:rPr>
      </w:pPr>
    </w:p>
    <w:p>
      <w:pPr>
        <w:pStyle w:val="BodyText"/>
        <w:spacing w:before="10"/>
        <w:rPr>
          <w:sz w:val="23"/>
        </w:rPr>
      </w:pPr>
    </w:p>
    <w:p>
      <w:pPr>
        <w:tabs>
          <w:tab w:pos="8750" w:val="left" w:leader="none"/>
        </w:tabs>
        <w:spacing w:line="273" w:lineRule="exact" w:before="76"/>
        <w:ind w:left="3227" w:right="0" w:firstLine="0"/>
        <w:jc w:val="left"/>
        <w:rPr>
          <w:sz w:val="24"/>
        </w:rPr>
      </w:pPr>
      <w:r>
        <w:rPr>
          <w:spacing w:val="-43"/>
          <w:w w:val="100"/>
          <w:sz w:val="17"/>
          <w:u w:val="single"/>
        </w:rPr>
        <w:t> </w:t>
      </w:r>
      <w:r>
        <w:rPr>
          <w:rFonts w:ascii="Cambria Math" w:hAnsi="Cambria Math" w:eastAsia="Cambria Math"/>
          <w:spacing w:val="-35"/>
          <w:w w:val="95"/>
          <w:sz w:val="17"/>
          <w:u w:val="single"/>
        </w:rPr>
        <w:t>�𝑎���                                                                               𝑎                                                                      ��𝑎����𝑎�∗𝐼�𝑃�</w:t>
      </w:r>
      <w:r>
        <w:rPr>
          <w:rFonts w:ascii="Cambria Math" w:hAnsi="Cambria Math" w:eastAsia="Cambria Math"/>
          <w:spacing w:val="-35"/>
          <w:w w:val="95"/>
          <w:position w:val="-3"/>
          <w:sz w:val="14"/>
          <w:u w:val="single"/>
        </w:rPr>
        <w:t>𝑖𝑡</w:t>
      </w:r>
      <w:r>
        <w:rPr>
          <w:rFonts w:ascii="Cambria Math" w:hAnsi="Cambria Math" w:eastAsia="Cambria Math"/>
          <w:spacing w:val="-35"/>
          <w:w w:val="95"/>
          <w:position w:val="-3"/>
          <w:sz w:val="14"/>
        </w:rPr>
        <w:tab/>
      </w:r>
      <w:r>
        <w:rPr>
          <w:position w:val="-6"/>
          <w:sz w:val="24"/>
        </w:rPr>
        <w:t>5)</w:t>
      </w:r>
    </w:p>
    <w:p>
      <w:pPr>
        <w:spacing w:line="222" w:lineRule="exact" w:before="0"/>
        <w:ind w:left="630" w:right="1127" w:firstLine="0"/>
        <w:jc w:val="center"/>
        <w:rPr>
          <w:rFonts w:ascii="Cambria Math" w:eastAsia="Cambria Math"/>
          <w:sz w:val="14"/>
        </w:rPr>
      </w:pPr>
      <w:r>
        <w:rPr>
          <w:rFonts w:ascii="Cambria Math" w:eastAsia="Cambria Math"/>
          <w:w w:val="105"/>
          <w:sz w:val="17"/>
        </w:rPr>
        <w:t>𝐼�𝑃�</w:t>
      </w:r>
      <w:r>
        <w:rPr>
          <w:rFonts w:ascii="Cambria Math" w:eastAsia="Cambria Math"/>
          <w:w w:val="105"/>
          <w:position w:val="-3"/>
          <w:sz w:val="14"/>
        </w:rPr>
        <w:t>𝑖0</w:t>
      </w:r>
    </w:p>
    <w:p>
      <w:pPr>
        <w:pStyle w:val="BodyText"/>
        <w:rPr>
          <w:rFonts w:ascii="Cambria Math"/>
          <w:sz w:val="20"/>
        </w:rPr>
      </w:pPr>
    </w:p>
    <w:p>
      <w:pPr>
        <w:pStyle w:val="BodyText"/>
        <w:rPr>
          <w:rFonts w:ascii="Cambria Math"/>
          <w:sz w:val="20"/>
        </w:rPr>
      </w:pPr>
    </w:p>
    <w:p>
      <w:pPr>
        <w:pStyle w:val="BodyText"/>
        <w:spacing w:before="8"/>
        <w:rPr>
          <w:rFonts w:ascii="Cambria Math"/>
          <w:sz w:val="15"/>
        </w:rPr>
      </w:pPr>
    </w:p>
    <w:p>
      <w:pPr>
        <w:pStyle w:val="BodyText"/>
        <w:spacing w:line="360" w:lineRule="auto" w:before="69"/>
        <w:ind w:left="102" w:right="116"/>
        <w:jc w:val="both"/>
      </w:pPr>
      <w:r>
        <w:rPr/>
        <w:t>Donde; </w:t>
      </w:r>
      <w:r>
        <w:rPr>
          <w:i/>
        </w:rPr>
        <w:t>it </w:t>
      </w:r>
      <w:r>
        <w:rPr/>
        <w:t>y </w:t>
      </w:r>
      <w:r>
        <w:rPr>
          <w:i/>
        </w:rPr>
        <w:t>io, </w:t>
      </w:r>
      <w:r>
        <w:rPr/>
        <w:t>son dos valores concretos de una magnitud o variable, donde el primero de los valores corresponde al Índice nacional de precios al consumidor correspondiente al año final evaluado (</w:t>
      </w:r>
      <w:r>
        <w:rPr>
          <w:i/>
        </w:rPr>
        <w:t>t</w:t>
      </w:r>
      <w:r>
        <w:rPr/>
        <w:t>) y el segundo al Índice nacional de precios al consumidor del año inicial evaluado (</w:t>
      </w:r>
      <w:r>
        <w:rPr>
          <w:i/>
        </w:rPr>
        <w:t>t=0</w:t>
      </w:r>
      <w:r>
        <w:rPr/>
        <w:t>).</w:t>
      </w:r>
    </w:p>
    <w:p>
      <w:pPr>
        <w:pStyle w:val="BodyText"/>
      </w:pPr>
    </w:p>
    <w:p>
      <w:pPr>
        <w:pStyle w:val="BodyText"/>
        <w:spacing w:before="7"/>
        <w:rPr>
          <w:sz w:val="35"/>
        </w:rPr>
      </w:pPr>
    </w:p>
    <w:p>
      <w:pPr>
        <w:pStyle w:val="Heading1"/>
        <w:spacing w:before="0"/>
      </w:pPr>
      <w:r>
        <w:rPr/>
        <w:t>Resultados</w:t>
      </w:r>
    </w:p>
    <w:p>
      <w:pPr>
        <w:pStyle w:val="BodyText"/>
        <w:rPr>
          <w:b/>
        </w:rPr>
      </w:pPr>
    </w:p>
    <w:p>
      <w:pPr>
        <w:pStyle w:val="BodyText"/>
        <w:spacing w:before="6"/>
        <w:rPr>
          <w:b/>
          <w:sz w:val="23"/>
        </w:rPr>
      </w:pPr>
    </w:p>
    <w:p>
      <w:pPr>
        <w:spacing w:before="0"/>
        <w:ind w:left="102" w:right="0" w:firstLine="0"/>
        <w:jc w:val="both"/>
        <w:rPr>
          <w:i/>
          <w:sz w:val="24"/>
        </w:rPr>
      </w:pPr>
      <w:r>
        <w:rPr>
          <w:i/>
          <w:sz w:val="24"/>
        </w:rPr>
        <w:t>Producción</w:t>
      </w:r>
    </w:p>
    <w:p>
      <w:pPr>
        <w:pStyle w:val="BodyText"/>
        <w:rPr>
          <w:i/>
        </w:rPr>
      </w:pPr>
    </w:p>
    <w:p>
      <w:pPr>
        <w:pStyle w:val="BodyText"/>
        <w:spacing w:before="7"/>
        <w:rPr>
          <w:i/>
          <w:sz w:val="22"/>
        </w:rPr>
      </w:pPr>
    </w:p>
    <w:p>
      <w:pPr>
        <w:pStyle w:val="BodyText"/>
        <w:spacing w:line="360" w:lineRule="auto"/>
        <w:ind w:left="102" w:right="117"/>
        <w:jc w:val="both"/>
      </w:pPr>
      <w:r>
        <w:rPr/>
        <w:t>El promedio de producción presentó incrementos de 5.95 litros</w:t>
      </w:r>
      <w:r>
        <w:rPr>
          <w:position w:val="9"/>
          <w:sz w:val="16"/>
        </w:rPr>
        <w:t>-1 </w:t>
      </w:r>
      <w:r>
        <w:rPr/>
        <w:t>por vaca al día y 22.70 mil litros por hato al año entre el periodo productivo 2000-2012, en tanto que el inventario promedio se mantuvo prácticamente igual entre periodos, por su parte la productividad por vaca al día entre estratos mantuvo un comportamiento creciente al ostentar incrementos en el orden de 41.93%% para el grupo de productores del estrato I, 40.07% para el estrato II, y 49.55% para el estrato III (Tabla 3). Los resultados en la evolución de los parámetros productivos develan que el grupo de productores ubicados en el estrato III, fue el más eficiente al lograr el mayor incremento tanto en productividad promedio por vaca como en el aumento de vacas en producción (6.46%).</w:t>
      </w:r>
    </w:p>
    <w:p>
      <w:pPr>
        <w:spacing w:after="0" w:line="360" w:lineRule="auto"/>
        <w:jc w:val="both"/>
        <w:sectPr>
          <w:footerReference w:type="default" r:id="rId107"/>
          <w:pgSz w:w="12240" w:h="15840"/>
          <w:pgMar w:footer="657" w:header="0" w:top="1360" w:bottom="840" w:left="1600" w:right="1580"/>
          <w:pgNumType w:start="90"/>
        </w:sectPr>
      </w:pPr>
    </w:p>
    <w:p>
      <w:pPr>
        <w:pStyle w:val="BodyText"/>
        <w:spacing w:before="50"/>
        <w:ind w:left="191"/>
      </w:pPr>
      <w:r>
        <w:rPr/>
        <w:pict>
          <v:line style="position:absolute;mso-position-horizontal-relative:page;mso-position-vertical-relative:paragraph;z-index:-459280" from="474.339996pt,28.483154pt" to="520.299996pt,28.483154pt" stroked="true" strokeweight=".72pt" strokecolor="#000000">
            <w10:wrap type="none"/>
          </v:line>
        </w:pict>
      </w:r>
      <w:r>
        <w:rPr>
          <w:b/>
        </w:rPr>
        <w:t>Tabla 3</w:t>
      </w:r>
      <w:r>
        <w:rPr/>
        <w:t>. Evolución de algunos parámetros productivos en el periodo 2000-2012</w:t>
      </w:r>
    </w:p>
    <w:p>
      <w:pPr>
        <w:pStyle w:val="BodyText"/>
        <w:spacing w:before="7"/>
        <w:rPr>
          <w:sz w:val="12"/>
        </w:rPr>
      </w:pPr>
    </w:p>
    <w:tbl>
      <w:tblPr>
        <w:tblW w:w="0" w:type="auto"/>
        <w:jc w:val="left"/>
        <w:tblInd w:w="10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285"/>
        <w:gridCol w:w="1382"/>
        <w:gridCol w:w="1380"/>
        <w:gridCol w:w="817"/>
        <w:gridCol w:w="824"/>
        <w:gridCol w:w="1076"/>
        <w:gridCol w:w="1075"/>
      </w:tblGrid>
      <w:tr>
        <w:trPr>
          <w:trHeight w:val="514" w:hRule="exact"/>
        </w:trPr>
        <w:tc>
          <w:tcPr>
            <w:tcW w:w="2285" w:type="dxa"/>
            <w:vMerge w:val="restart"/>
            <w:tcBorders>
              <w:left w:val="nil"/>
              <w:right w:val="nil"/>
            </w:tcBorders>
          </w:tcPr>
          <w:p>
            <w:pPr>
              <w:pStyle w:val="TableParagraph"/>
              <w:jc w:val="left"/>
              <w:rPr>
                <w:sz w:val="22"/>
              </w:rPr>
            </w:pPr>
          </w:p>
          <w:p>
            <w:pPr>
              <w:pStyle w:val="TableParagraph"/>
              <w:spacing w:before="4"/>
              <w:jc w:val="left"/>
              <w:rPr>
                <w:sz w:val="22"/>
              </w:rPr>
            </w:pPr>
          </w:p>
          <w:p>
            <w:pPr>
              <w:pStyle w:val="TableParagraph"/>
              <w:ind w:left="69"/>
              <w:jc w:val="left"/>
              <w:rPr>
                <w:sz w:val="23"/>
              </w:rPr>
            </w:pPr>
            <w:r>
              <w:rPr>
                <w:sz w:val="23"/>
              </w:rPr>
              <w:t>Rubro</w:t>
            </w:r>
          </w:p>
        </w:tc>
        <w:tc>
          <w:tcPr>
            <w:tcW w:w="1382" w:type="dxa"/>
            <w:tcBorders>
              <w:left w:val="nil"/>
              <w:right w:val="single" w:sz="8" w:space="0" w:color="000000"/>
            </w:tcBorders>
          </w:tcPr>
          <w:p>
            <w:pPr>
              <w:pStyle w:val="TableParagraph"/>
              <w:spacing w:before="68"/>
              <w:ind w:left="297"/>
              <w:jc w:val="left"/>
              <w:rPr>
                <w:sz w:val="23"/>
              </w:rPr>
            </w:pPr>
            <w:r>
              <w:rPr>
                <w:sz w:val="23"/>
              </w:rPr>
              <w:t>Estrato I</w:t>
            </w:r>
          </w:p>
        </w:tc>
        <w:tc>
          <w:tcPr>
            <w:tcW w:w="1380" w:type="dxa"/>
            <w:tcBorders>
              <w:left w:val="single" w:sz="8" w:space="0" w:color="000000"/>
              <w:right w:val="single" w:sz="8" w:space="0" w:color="000000"/>
            </w:tcBorders>
          </w:tcPr>
          <w:p>
            <w:pPr>
              <w:pStyle w:val="TableParagraph"/>
              <w:spacing w:before="68"/>
              <w:ind w:left="247"/>
              <w:jc w:val="left"/>
              <w:rPr>
                <w:sz w:val="23"/>
              </w:rPr>
            </w:pPr>
            <w:r>
              <w:rPr>
                <w:sz w:val="23"/>
              </w:rPr>
              <w:t>Estrato II</w:t>
            </w:r>
          </w:p>
        </w:tc>
        <w:tc>
          <w:tcPr>
            <w:tcW w:w="1642" w:type="dxa"/>
            <w:gridSpan w:val="2"/>
            <w:tcBorders>
              <w:left w:val="single" w:sz="8" w:space="0" w:color="000000"/>
              <w:right w:val="single" w:sz="8" w:space="0" w:color="000000"/>
            </w:tcBorders>
          </w:tcPr>
          <w:p>
            <w:pPr>
              <w:pStyle w:val="TableParagraph"/>
              <w:spacing w:before="68"/>
              <w:ind w:left="338"/>
              <w:jc w:val="left"/>
              <w:rPr>
                <w:sz w:val="23"/>
              </w:rPr>
            </w:pPr>
            <w:r>
              <w:rPr>
                <w:sz w:val="23"/>
              </w:rPr>
              <w:t>Estrato III</w:t>
            </w:r>
          </w:p>
        </w:tc>
        <w:tc>
          <w:tcPr>
            <w:tcW w:w="2151" w:type="dxa"/>
            <w:gridSpan w:val="2"/>
            <w:tcBorders>
              <w:left w:val="single" w:sz="8" w:space="0" w:color="000000"/>
              <w:right w:val="nil"/>
            </w:tcBorders>
          </w:tcPr>
          <w:p>
            <w:pPr>
              <w:pStyle w:val="TableParagraph"/>
              <w:spacing w:before="40"/>
              <w:ind w:left="184"/>
              <w:jc w:val="left"/>
              <w:rPr>
                <w:rFonts w:ascii="Cambria Math" w:hAnsi="Cambria Math" w:eastAsia="Cambria Math"/>
                <w:sz w:val="23"/>
              </w:rPr>
            </w:pPr>
            <w:r>
              <w:rPr>
                <w:rFonts w:ascii="Cambria Math" w:hAnsi="Cambria Math" w:eastAsia="Cambria Math"/>
                <w:position w:val="1"/>
                <w:sz w:val="23"/>
              </w:rPr>
              <w:t>𝑌��� ± </w:t>
            </w:r>
            <w:r>
              <w:rPr>
                <w:rFonts w:ascii="Cambria Math" w:hAnsi="Cambria Math" w:eastAsia="Cambria Math"/>
                <w:w w:val="95"/>
                <w:sz w:val="23"/>
              </w:rPr>
              <w:t>√</w:t>
            </w:r>
            <w:r>
              <w:rPr>
                <w:rFonts w:ascii="Cambria Math" w:hAnsi="Cambria Math" w:eastAsia="Cambria Math"/>
                <w:w w:val="95"/>
                <w:position w:val="1"/>
                <w:sz w:val="23"/>
              </w:rPr>
              <w:t>���(𝑌��)</w:t>
            </w:r>
          </w:p>
        </w:tc>
      </w:tr>
      <w:tr>
        <w:trPr>
          <w:trHeight w:val="442" w:hRule="exact"/>
        </w:trPr>
        <w:tc>
          <w:tcPr>
            <w:tcW w:w="2285" w:type="dxa"/>
            <w:vMerge/>
            <w:tcBorders>
              <w:left w:val="nil"/>
              <w:right w:val="nil"/>
            </w:tcBorders>
          </w:tcPr>
          <w:p>
            <w:pPr/>
          </w:p>
        </w:tc>
        <w:tc>
          <w:tcPr>
            <w:tcW w:w="1382" w:type="dxa"/>
            <w:tcBorders>
              <w:left w:val="nil"/>
              <w:right w:val="single" w:sz="8" w:space="0" w:color="000000"/>
            </w:tcBorders>
          </w:tcPr>
          <w:p>
            <w:pPr>
              <w:pStyle w:val="TableParagraph"/>
              <w:tabs>
                <w:tab w:pos="691" w:val="left" w:leader="none"/>
              </w:tabs>
              <w:spacing w:line="261" w:lineRule="exact"/>
              <w:ind w:right="107"/>
              <w:rPr>
                <w:sz w:val="23"/>
              </w:rPr>
            </w:pPr>
            <w:r>
              <w:rPr>
                <w:sz w:val="23"/>
              </w:rPr>
              <w:t>2000</w:t>
              <w:tab/>
              <w:t>2012</w:t>
            </w:r>
          </w:p>
        </w:tc>
        <w:tc>
          <w:tcPr>
            <w:tcW w:w="1380" w:type="dxa"/>
            <w:tcBorders>
              <w:left w:val="single" w:sz="8" w:space="0" w:color="000000"/>
              <w:right w:val="single" w:sz="8" w:space="0" w:color="000000"/>
            </w:tcBorders>
          </w:tcPr>
          <w:p>
            <w:pPr>
              <w:pStyle w:val="TableParagraph"/>
              <w:tabs>
                <w:tab w:pos="791" w:val="left" w:leader="none"/>
              </w:tabs>
              <w:spacing w:line="261" w:lineRule="exact"/>
              <w:ind w:left="100"/>
              <w:jc w:val="left"/>
              <w:rPr>
                <w:sz w:val="23"/>
              </w:rPr>
            </w:pPr>
            <w:r>
              <w:rPr>
                <w:sz w:val="23"/>
              </w:rPr>
              <w:t>2000</w:t>
              <w:tab/>
              <w:t>2012</w:t>
            </w:r>
          </w:p>
        </w:tc>
        <w:tc>
          <w:tcPr>
            <w:tcW w:w="817" w:type="dxa"/>
            <w:tcBorders>
              <w:left w:val="single" w:sz="8" w:space="0" w:color="000000"/>
              <w:right w:val="nil"/>
            </w:tcBorders>
          </w:tcPr>
          <w:p>
            <w:pPr>
              <w:pStyle w:val="TableParagraph"/>
              <w:spacing w:line="261" w:lineRule="exact"/>
              <w:ind w:left="165"/>
              <w:jc w:val="left"/>
              <w:rPr>
                <w:sz w:val="23"/>
              </w:rPr>
            </w:pPr>
            <w:r>
              <w:rPr>
                <w:sz w:val="23"/>
              </w:rPr>
              <w:t>2000</w:t>
            </w:r>
          </w:p>
        </w:tc>
        <w:tc>
          <w:tcPr>
            <w:tcW w:w="824" w:type="dxa"/>
            <w:tcBorders>
              <w:left w:val="nil"/>
              <w:right w:val="single" w:sz="8" w:space="0" w:color="000000"/>
            </w:tcBorders>
          </w:tcPr>
          <w:p>
            <w:pPr>
              <w:pStyle w:val="TableParagraph"/>
              <w:spacing w:line="261" w:lineRule="exact"/>
              <w:ind w:left="75" w:right="67"/>
              <w:jc w:val="center"/>
              <w:rPr>
                <w:sz w:val="23"/>
              </w:rPr>
            </w:pPr>
            <w:r>
              <w:rPr>
                <w:sz w:val="23"/>
              </w:rPr>
              <w:t>2012</w:t>
            </w:r>
          </w:p>
        </w:tc>
        <w:tc>
          <w:tcPr>
            <w:tcW w:w="1076" w:type="dxa"/>
            <w:tcBorders>
              <w:left w:val="single" w:sz="8" w:space="0" w:color="000000"/>
              <w:right w:val="single" w:sz="8" w:space="0" w:color="000000"/>
            </w:tcBorders>
          </w:tcPr>
          <w:p>
            <w:pPr>
              <w:pStyle w:val="TableParagraph"/>
              <w:spacing w:line="261" w:lineRule="exact"/>
              <w:ind w:left="42" w:right="42"/>
              <w:jc w:val="center"/>
              <w:rPr>
                <w:sz w:val="23"/>
              </w:rPr>
            </w:pPr>
            <w:r>
              <w:rPr>
                <w:sz w:val="23"/>
              </w:rPr>
              <w:t>2000</w:t>
            </w:r>
          </w:p>
        </w:tc>
        <w:tc>
          <w:tcPr>
            <w:tcW w:w="1075" w:type="dxa"/>
            <w:tcBorders>
              <w:left w:val="single" w:sz="8" w:space="0" w:color="000000"/>
              <w:right w:val="nil"/>
            </w:tcBorders>
          </w:tcPr>
          <w:p>
            <w:pPr>
              <w:pStyle w:val="TableParagraph"/>
              <w:spacing w:line="261" w:lineRule="exact"/>
              <w:ind w:left="40" w:right="52"/>
              <w:jc w:val="center"/>
              <w:rPr>
                <w:sz w:val="23"/>
              </w:rPr>
            </w:pPr>
            <w:r>
              <w:rPr>
                <w:sz w:val="23"/>
              </w:rPr>
              <w:t>2012</w:t>
            </w:r>
          </w:p>
        </w:tc>
      </w:tr>
      <w:tr>
        <w:trPr>
          <w:trHeight w:val="361" w:hRule="exact"/>
        </w:trPr>
        <w:tc>
          <w:tcPr>
            <w:tcW w:w="2285" w:type="dxa"/>
            <w:tcBorders>
              <w:left w:val="nil"/>
              <w:bottom w:val="nil"/>
              <w:right w:val="nil"/>
            </w:tcBorders>
          </w:tcPr>
          <w:p>
            <w:pPr>
              <w:pStyle w:val="TableParagraph"/>
              <w:spacing w:line="261" w:lineRule="exact"/>
              <w:ind w:left="69"/>
              <w:jc w:val="left"/>
              <w:rPr>
                <w:sz w:val="15"/>
              </w:rPr>
            </w:pPr>
            <w:r>
              <w:rPr>
                <w:sz w:val="23"/>
              </w:rPr>
              <w:t>Promedio de P/E</w:t>
            </w:r>
            <w:r>
              <w:rPr>
                <w:position w:val="9"/>
                <w:sz w:val="15"/>
              </w:rPr>
              <w:t>¥</w:t>
            </w:r>
          </w:p>
        </w:tc>
        <w:tc>
          <w:tcPr>
            <w:tcW w:w="1382" w:type="dxa"/>
            <w:tcBorders>
              <w:left w:val="nil"/>
              <w:bottom w:val="nil"/>
              <w:right w:val="single" w:sz="8" w:space="0" w:color="000000"/>
            </w:tcBorders>
          </w:tcPr>
          <w:p>
            <w:pPr/>
          </w:p>
        </w:tc>
        <w:tc>
          <w:tcPr>
            <w:tcW w:w="1380" w:type="dxa"/>
            <w:tcBorders>
              <w:left w:val="single" w:sz="8" w:space="0" w:color="000000"/>
              <w:bottom w:val="nil"/>
              <w:right w:val="single" w:sz="8" w:space="0" w:color="000000"/>
            </w:tcBorders>
          </w:tcPr>
          <w:p>
            <w:pPr/>
          </w:p>
        </w:tc>
        <w:tc>
          <w:tcPr>
            <w:tcW w:w="817" w:type="dxa"/>
            <w:tcBorders>
              <w:left w:val="single" w:sz="8" w:space="0" w:color="000000"/>
              <w:bottom w:val="nil"/>
              <w:right w:val="nil"/>
            </w:tcBorders>
          </w:tcPr>
          <w:p>
            <w:pPr/>
          </w:p>
        </w:tc>
        <w:tc>
          <w:tcPr>
            <w:tcW w:w="824" w:type="dxa"/>
            <w:tcBorders>
              <w:left w:val="nil"/>
              <w:bottom w:val="nil"/>
              <w:right w:val="single" w:sz="8" w:space="0" w:color="000000"/>
            </w:tcBorders>
          </w:tcPr>
          <w:p>
            <w:pPr/>
          </w:p>
        </w:tc>
        <w:tc>
          <w:tcPr>
            <w:tcW w:w="1076" w:type="dxa"/>
            <w:tcBorders>
              <w:left w:val="single" w:sz="8" w:space="0" w:color="000000"/>
              <w:bottom w:val="nil"/>
              <w:right w:val="single" w:sz="8" w:space="0" w:color="000000"/>
            </w:tcBorders>
          </w:tcPr>
          <w:p>
            <w:pPr/>
          </w:p>
        </w:tc>
        <w:tc>
          <w:tcPr>
            <w:tcW w:w="1075" w:type="dxa"/>
            <w:tcBorders>
              <w:left w:val="single" w:sz="8" w:space="0" w:color="000000"/>
              <w:bottom w:val="nil"/>
              <w:right w:val="nil"/>
            </w:tcBorders>
          </w:tcPr>
          <w:p>
            <w:pPr/>
          </w:p>
        </w:tc>
      </w:tr>
      <w:tr>
        <w:trPr>
          <w:trHeight w:val="396" w:hRule="exact"/>
        </w:trPr>
        <w:tc>
          <w:tcPr>
            <w:tcW w:w="2285" w:type="dxa"/>
            <w:tcBorders>
              <w:top w:val="nil"/>
              <w:left w:val="nil"/>
              <w:bottom w:val="nil"/>
              <w:right w:val="nil"/>
            </w:tcBorders>
          </w:tcPr>
          <w:p>
            <w:pPr>
              <w:pStyle w:val="TableParagraph"/>
              <w:spacing w:before="53"/>
              <w:ind w:left="69"/>
              <w:jc w:val="left"/>
              <w:rPr>
                <w:sz w:val="23"/>
              </w:rPr>
            </w:pPr>
            <w:r>
              <w:rPr>
                <w:sz w:val="23"/>
              </w:rPr>
              <w:t>(miles de L/año)</w:t>
            </w:r>
          </w:p>
        </w:tc>
        <w:tc>
          <w:tcPr>
            <w:tcW w:w="1382" w:type="dxa"/>
            <w:tcBorders>
              <w:top w:val="nil"/>
              <w:left w:val="nil"/>
              <w:bottom w:val="nil"/>
              <w:right w:val="single" w:sz="8" w:space="0" w:color="000000"/>
            </w:tcBorders>
          </w:tcPr>
          <w:p>
            <w:pPr>
              <w:pStyle w:val="TableParagraph"/>
              <w:spacing w:before="53"/>
              <w:ind w:right="77"/>
              <w:rPr>
                <w:sz w:val="23"/>
              </w:rPr>
            </w:pPr>
            <w:r>
              <w:rPr>
                <w:sz w:val="23"/>
              </w:rPr>
              <w:t>28.20   35.31</w:t>
            </w:r>
          </w:p>
        </w:tc>
        <w:tc>
          <w:tcPr>
            <w:tcW w:w="1380" w:type="dxa"/>
            <w:tcBorders>
              <w:top w:val="nil"/>
              <w:left w:val="single" w:sz="8" w:space="0" w:color="000000"/>
              <w:bottom w:val="nil"/>
              <w:right w:val="single" w:sz="8" w:space="0" w:color="000000"/>
            </w:tcBorders>
          </w:tcPr>
          <w:p>
            <w:pPr>
              <w:pStyle w:val="TableParagraph"/>
              <w:spacing w:before="53"/>
              <w:ind w:left="71"/>
              <w:jc w:val="left"/>
              <w:rPr>
                <w:sz w:val="23"/>
              </w:rPr>
            </w:pPr>
            <w:r>
              <w:rPr>
                <w:sz w:val="23"/>
              </w:rPr>
              <w:t>63.03   84.27</w:t>
            </w:r>
          </w:p>
        </w:tc>
        <w:tc>
          <w:tcPr>
            <w:tcW w:w="817" w:type="dxa"/>
            <w:tcBorders>
              <w:top w:val="nil"/>
              <w:left w:val="single" w:sz="8" w:space="0" w:color="000000"/>
              <w:bottom w:val="nil"/>
              <w:right w:val="nil"/>
            </w:tcBorders>
          </w:tcPr>
          <w:p>
            <w:pPr>
              <w:pStyle w:val="TableParagraph"/>
              <w:spacing w:before="53"/>
              <w:ind w:right="92"/>
              <w:rPr>
                <w:sz w:val="23"/>
              </w:rPr>
            </w:pPr>
            <w:r>
              <w:rPr>
                <w:sz w:val="23"/>
              </w:rPr>
              <w:t>136.65</w:t>
            </w:r>
          </w:p>
        </w:tc>
        <w:tc>
          <w:tcPr>
            <w:tcW w:w="824" w:type="dxa"/>
            <w:tcBorders>
              <w:top w:val="nil"/>
              <w:left w:val="nil"/>
              <w:bottom w:val="nil"/>
              <w:right w:val="single" w:sz="8" w:space="0" w:color="000000"/>
            </w:tcBorders>
          </w:tcPr>
          <w:p>
            <w:pPr>
              <w:pStyle w:val="TableParagraph"/>
              <w:spacing w:before="53"/>
              <w:ind w:left="75" w:right="67"/>
              <w:jc w:val="center"/>
              <w:rPr>
                <w:sz w:val="23"/>
              </w:rPr>
            </w:pPr>
            <w:r>
              <w:rPr>
                <w:sz w:val="23"/>
              </w:rPr>
              <w:t>217.60</w:t>
            </w:r>
          </w:p>
        </w:tc>
        <w:tc>
          <w:tcPr>
            <w:tcW w:w="1076" w:type="dxa"/>
            <w:tcBorders>
              <w:top w:val="nil"/>
              <w:left w:val="single" w:sz="8" w:space="0" w:color="000000"/>
              <w:bottom w:val="nil"/>
              <w:right w:val="single" w:sz="8" w:space="0" w:color="000000"/>
            </w:tcBorders>
          </w:tcPr>
          <w:p>
            <w:pPr>
              <w:pStyle w:val="TableParagraph"/>
              <w:spacing w:before="53"/>
              <w:ind w:left="43" w:right="42"/>
              <w:jc w:val="center"/>
              <w:rPr>
                <w:sz w:val="23"/>
              </w:rPr>
            </w:pPr>
            <w:r>
              <w:rPr>
                <w:sz w:val="23"/>
              </w:rPr>
              <w:t>44.30±0.5</w:t>
            </w:r>
          </w:p>
        </w:tc>
        <w:tc>
          <w:tcPr>
            <w:tcW w:w="1075" w:type="dxa"/>
            <w:tcBorders>
              <w:top w:val="nil"/>
              <w:left w:val="single" w:sz="8" w:space="0" w:color="000000"/>
              <w:bottom w:val="nil"/>
              <w:right w:val="nil"/>
            </w:tcBorders>
          </w:tcPr>
          <w:p>
            <w:pPr>
              <w:pStyle w:val="TableParagraph"/>
              <w:spacing w:before="53"/>
              <w:ind w:left="42" w:right="52"/>
              <w:jc w:val="center"/>
              <w:rPr>
                <w:sz w:val="23"/>
              </w:rPr>
            </w:pPr>
            <w:r>
              <w:rPr>
                <w:sz w:val="23"/>
              </w:rPr>
              <w:t>67.00±0.4</w:t>
            </w:r>
          </w:p>
        </w:tc>
      </w:tr>
      <w:tr>
        <w:trPr>
          <w:trHeight w:val="397" w:hRule="exact"/>
        </w:trPr>
        <w:tc>
          <w:tcPr>
            <w:tcW w:w="2285" w:type="dxa"/>
            <w:tcBorders>
              <w:top w:val="nil"/>
              <w:left w:val="nil"/>
              <w:bottom w:val="nil"/>
              <w:right w:val="nil"/>
            </w:tcBorders>
          </w:tcPr>
          <w:p>
            <w:pPr>
              <w:pStyle w:val="TableParagraph"/>
              <w:spacing w:before="53"/>
              <w:ind w:left="69"/>
              <w:jc w:val="left"/>
              <w:rPr>
                <w:sz w:val="23"/>
              </w:rPr>
            </w:pPr>
            <w:r>
              <w:rPr>
                <w:sz w:val="23"/>
              </w:rPr>
              <w:t>Promedio de P/día</w:t>
            </w:r>
          </w:p>
        </w:tc>
        <w:tc>
          <w:tcPr>
            <w:tcW w:w="1382" w:type="dxa"/>
            <w:tcBorders>
              <w:top w:val="nil"/>
              <w:left w:val="nil"/>
              <w:bottom w:val="nil"/>
              <w:right w:val="single" w:sz="8" w:space="0" w:color="000000"/>
            </w:tcBorders>
          </w:tcPr>
          <w:p>
            <w:pPr>
              <w:pStyle w:val="TableParagraph"/>
              <w:spacing w:before="53"/>
              <w:ind w:right="77"/>
              <w:rPr>
                <w:sz w:val="23"/>
              </w:rPr>
            </w:pPr>
            <w:r>
              <w:rPr>
                <w:sz w:val="23"/>
              </w:rPr>
              <w:t>12.45   17.67</w:t>
            </w:r>
          </w:p>
        </w:tc>
        <w:tc>
          <w:tcPr>
            <w:tcW w:w="1380" w:type="dxa"/>
            <w:tcBorders>
              <w:top w:val="nil"/>
              <w:left w:val="single" w:sz="8" w:space="0" w:color="000000"/>
              <w:bottom w:val="nil"/>
              <w:right w:val="single" w:sz="8" w:space="0" w:color="000000"/>
            </w:tcBorders>
          </w:tcPr>
          <w:p>
            <w:pPr>
              <w:pStyle w:val="TableParagraph"/>
              <w:spacing w:before="53"/>
              <w:ind w:left="71"/>
              <w:jc w:val="left"/>
              <w:rPr>
                <w:sz w:val="23"/>
              </w:rPr>
            </w:pPr>
            <w:r>
              <w:rPr>
                <w:sz w:val="23"/>
              </w:rPr>
              <w:t>14.90   20.87</w:t>
            </w:r>
          </w:p>
        </w:tc>
        <w:tc>
          <w:tcPr>
            <w:tcW w:w="817" w:type="dxa"/>
            <w:tcBorders>
              <w:top w:val="nil"/>
              <w:left w:val="single" w:sz="8" w:space="0" w:color="000000"/>
              <w:bottom w:val="nil"/>
              <w:right w:val="nil"/>
            </w:tcBorders>
          </w:tcPr>
          <w:p>
            <w:pPr>
              <w:pStyle w:val="TableParagraph"/>
              <w:spacing w:before="53"/>
              <w:ind w:right="150"/>
              <w:rPr>
                <w:sz w:val="23"/>
              </w:rPr>
            </w:pPr>
            <w:r>
              <w:rPr>
                <w:sz w:val="23"/>
              </w:rPr>
              <w:t>15.60</w:t>
            </w:r>
          </w:p>
        </w:tc>
        <w:tc>
          <w:tcPr>
            <w:tcW w:w="824" w:type="dxa"/>
            <w:tcBorders>
              <w:top w:val="nil"/>
              <w:left w:val="nil"/>
              <w:bottom w:val="nil"/>
              <w:right w:val="single" w:sz="8" w:space="0" w:color="000000"/>
            </w:tcBorders>
          </w:tcPr>
          <w:p>
            <w:pPr>
              <w:pStyle w:val="TableParagraph"/>
              <w:spacing w:before="53"/>
              <w:ind w:left="75" w:right="67"/>
              <w:jc w:val="center"/>
              <w:rPr>
                <w:sz w:val="23"/>
              </w:rPr>
            </w:pPr>
            <w:r>
              <w:rPr>
                <w:sz w:val="23"/>
              </w:rPr>
              <w:t>23.32</w:t>
            </w:r>
          </w:p>
        </w:tc>
        <w:tc>
          <w:tcPr>
            <w:tcW w:w="1076" w:type="dxa"/>
            <w:tcBorders>
              <w:top w:val="nil"/>
              <w:left w:val="single" w:sz="8" w:space="0" w:color="000000"/>
              <w:bottom w:val="nil"/>
              <w:right w:val="single" w:sz="8" w:space="0" w:color="000000"/>
            </w:tcBorders>
          </w:tcPr>
          <w:p>
            <w:pPr>
              <w:pStyle w:val="TableParagraph"/>
              <w:spacing w:before="53"/>
              <w:ind w:left="43" w:right="42"/>
              <w:jc w:val="center"/>
              <w:rPr>
                <w:sz w:val="23"/>
              </w:rPr>
            </w:pPr>
            <w:r>
              <w:rPr>
                <w:sz w:val="23"/>
              </w:rPr>
              <w:t>13.38±0.6</w:t>
            </w:r>
          </w:p>
        </w:tc>
        <w:tc>
          <w:tcPr>
            <w:tcW w:w="1075" w:type="dxa"/>
            <w:tcBorders>
              <w:top w:val="nil"/>
              <w:left w:val="single" w:sz="8" w:space="0" w:color="000000"/>
              <w:bottom w:val="nil"/>
              <w:right w:val="nil"/>
            </w:tcBorders>
          </w:tcPr>
          <w:p>
            <w:pPr>
              <w:pStyle w:val="TableParagraph"/>
              <w:spacing w:before="53"/>
              <w:ind w:left="42" w:right="52"/>
              <w:jc w:val="center"/>
              <w:rPr>
                <w:sz w:val="23"/>
              </w:rPr>
            </w:pPr>
            <w:r>
              <w:rPr>
                <w:sz w:val="23"/>
              </w:rPr>
              <w:t>19.33±0.5</w:t>
            </w:r>
          </w:p>
        </w:tc>
      </w:tr>
      <w:tr>
        <w:trPr>
          <w:trHeight w:val="478" w:hRule="exact"/>
        </w:trPr>
        <w:tc>
          <w:tcPr>
            <w:tcW w:w="2285" w:type="dxa"/>
            <w:tcBorders>
              <w:top w:val="nil"/>
              <w:left w:val="nil"/>
              <w:bottom w:val="nil"/>
              <w:right w:val="nil"/>
            </w:tcBorders>
          </w:tcPr>
          <w:p>
            <w:pPr>
              <w:pStyle w:val="TableParagraph"/>
              <w:spacing w:before="54"/>
              <w:ind w:left="69"/>
              <w:jc w:val="left"/>
              <w:rPr>
                <w:sz w:val="23"/>
              </w:rPr>
            </w:pPr>
            <w:r>
              <w:rPr>
                <w:sz w:val="23"/>
              </w:rPr>
              <w:t>Vacas en producción</w:t>
            </w:r>
          </w:p>
        </w:tc>
        <w:tc>
          <w:tcPr>
            <w:tcW w:w="1382" w:type="dxa"/>
            <w:tcBorders>
              <w:top w:val="nil"/>
              <w:left w:val="nil"/>
              <w:right w:val="single" w:sz="8" w:space="0" w:color="000000"/>
            </w:tcBorders>
          </w:tcPr>
          <w:p>
            <w:pPr>
              <w:pStyle w:val="TableParagraph"/>
              <w:tabs>
                <w:tab w:pos="832" w:val="left" w:leader="none"/>
              </w:tabs>
              <w:spacing w:before="54"/>
              <w:ind w:left="141"/>
              <w:jc w:val="left"/>
              <w:rPr>
                <w:sz w:val="23"/>
              </w:rPr>
            </w:pPr>
            <w:r>
              <w:rPr>
                <w:sz w:val="23"/>
              </w:rPr>
              <w:t>6.80</w:t>
              <w:tab/>
              <w:t>6.00</w:t>
            </w:r>
          </w:p>
        </w:tc>
        <w:tc>
          <w:tcPr>
            <w:tcW w:w="1380" w:type="dxa"/>
            <w:tcBorders>
              <w:top w:val="nil"/>
              <w:left w:val="single" w:sz="8" w:space="0" w:color="000000"/>
              <w:right w:val="single" w:sz="8" w:space="0" w:color="000000"/>
            </w:tcBorders>
          </w:tcPr>
          <w:p>
            <w:pPr>
              <w:pStyle w:val="TableParagraph"/>
              <w:spacing w:before="54"/>
              <w:ind w:left="71"/>
              <w:jc w:val="left"/>
              <w:rPr>
                <w:sz w:val="23"/>
              </w:rPr>
            </w:pPr>
            <w:r>
              <w:rPr>
                <w:sz w:val="23"/>
              </w:rPr>
              <w:t>12.70   12.12</w:t>
            </w:r>
          </w:p>
        </w:tc>
        <w:tc>
          <w:tcPr>
            <w:tcW w:w="817" w:type="dxa"/>
            <w:tcBorders>
              <w:top w:val="nil"/>
              <w:left w:val="single" w:sz="8" w:space="0" w:color="000000"/>
              <w:right w:val="nil"/>
            </w:tcBorders>
          </w:tcPr>
          <w:p>
            <w:pPr>
              <w:pStyle w:val="TableParagraph"/>
              <w:spacing w:before="54"/>
              <w:ind w:right="150"/>
              <w:rPr>
                <w:sz w:val="23"/>
              </w:rPr>
            </w:pPr>
            <w:r>
              <w:rPr>
                <w:sz w:val="23"/>
              </w:rPr>
              <w:t>26.30</w:t>
            </w:r>
          </w:p>
        </w:tc>
        <w:tc>
          <w:tcPr>
            <w:tcW w:w="824" w:type="dxa"/>
            <w:tcBorders>
              <w:top w:val="nil"/>
              <w:left w:val="nil"/>
              <w:right w:val="single" w:sz="8" w:space="0" w:color="000000"/>
            </w:tcBorders>
          </w:tcPr>
          <w:p>
            <w:pPr>
              <w:pStyle w:val="TableParagraph"/>
              <w:spacing w:before="54"/>
              <w:ind w:left="75" w:right="67"/>
              <w:jc w:val="center"/>
              <w:rPr>
                <w:sz w:val="23"/>
              </w:rPr>
            </w:pPr>
            <w:r>
              <w:rPr>
                <w:sz w:val="23"/>
              </w:rPr>
              <w:t>28.00</w:t>
            </w:r>
          </w:p>
        </w:tc>
        <w:tc>
          <w:tcPr>
            <w:tcW w:w="1076" w:type="dxa"/>
            <w:tcBorders>
              <w:top w:val="nil"/>
              <w:left w:val="single" w:sz="8" w:space="0" w:color="000000"/>
              <w:right w:val="single" w:sz="8" w:space="0" w:color="000000"/>
            </w:tcBorders>
          </w:tcPr>
          <w:p>
            <w:pPr>
              <w:pStyle w:val="TableParagraph"/>
              <w:spacing w:before="54"/>
              <w:ind w:left="43" w:right="42"/>
              <w:jc w:val="center"/>
              <w:rPr>
                <w:sz w:val="23"/>
              </w:rPr>
            </w:pPr>
            <w:r>
              <w:rPr>
                <w:sz w:val="23"/>
              </w:rPr>
              <w:t>9.58±0.6</w:t>
            </w:r>
          </w:p>
        </w:tc>
        <w:tc>
          <w:tcPr>
            <w:tcW w:w="1075" w:type="dxa"/>
            <w:tcBorders>
              <w:top w:val="nil"/>
              <w:left w:val="single" w:sz="8" w:space="0" w:color="000000"/>
              <w:right w:val="nil"/>
            </w:tcBorders>
          </w:tcPr>
          <w:p>
            <w:pPr>
              <w:pStyle w:val="TableParagraph"/>
              <w:spacing w:before="54"/>
              <w:ind w:left="42" w:right="52"/>
              <w:jc w:val="center"/>
              <w:rPr>
                <w:sz w:val="23"/>
              </w:rPr>
            </w:pPr>
            <w:r>
              <w:rPr>
                <w:sz w:val="23"/>
              </w:rPr>
              <w:t>9.91±0.5</w:t>
            </w:r>
          </w:p>
        </w:tc>
      </w:tr>
      <w:tr>
        <w:trPr>
          <w:trHeight w:val="347" w:hRule="exact"/>
        </w:trPr>
        <w:tc>
          <w:tcPr>
            <w:tcW w:w="2285" w:type="dxa"/>
            <w:tcBorders>
              <w:top w:val="nil"/>
              <w:left w:val="nil"/>
              <w:bottom w:val="nil"/>
              <w:right w:val="nil"/>
            </w:tcBorders>
          </w:tcPr>
          <w:p>
            <w:pPr>
              <w:pStyle w:val="TableParagraph"/>
              <w:spacing w:before="2"/>
              <w:ind w:left="69"/>
              <w:jc w:val="left"/>
              <w:rPr>
                <w:sz w:val="23"/>
              </w:rPr>
            </w:pPr>
            <w:r>
              <w:rPr>
                <w:sz w:val="23"/>
              </w:rPr>
              <w:t>Variación PPE</w:t>
            </w:r>
            <w:r>
              <w:rPr>
                <w:position w:val="9"/>
                <w:sz w:val="15"/>
              </w:rPr>
              <w:t>γ </w:t>
            </w:r>
            <w:r>
              <w:rPr>
                <w:sz w:val="23"/>
              </w:rPr>
              <w:t>(%)</w:t>
            </w:r>
          </w:p>
        </w:tc>
        <w:tc>
          <w:tcPr>
            <w:tcW w:w="1382" w:type="dxa"/>
            <w:tcBorders>
              <w:left w:val="nil"/>
              <w:bottom w:val="nil"/>
              <w:right w:val="single" w:sz="8" w:space="0" w:color="000000"/>
            </w:tcBorders>
          </w:tcPr>
          <w:p>
            <w:pPr>
              <w:pStyle w:val="TableParagraph"/>
              <w:spacing w:line="261" w:lineRule="exact"/>
              <w:ind w:left="69"/>
              <w:jc w:val="left"/>
              <w:rPr>
                <w:sz w:val="23"/>
              </w:rPr>
            </w:pPr>
            <w:r>
              <w:rPr>
                <w:sz w:val="23"/>
              </w:rPr>
              <w:t>25.23</w:t>
            </w:r>
          </w:p>
        </w:tc>
        <w:tc>
          <w:tcPr>
            <w:tcW w:w="1380" w:type="dxa"/>
            <w:tcBorders>
              <w:left w:val="single" w:sz="8" w:space="0" w:color="000000"/>
              <w:bottom w:val="nil"/>
              <w:right w:val="single" w:sz="8" w:space="0" w:color="000000"/>
            </w:tcBorders>
          </w:tcPr>
          <w:p>
            <w:pPr>
              <w:pStyle w:val="TableParagraph"/>
              <w:spacing w:line="261" w:lineRule="exact"/>
              <w:ind w:left="71"/>
              <w:jc w:val="left"/>
              <w:rPr>
                <w:sz w:val="23"/>
              </w:rPr>
            </w:pPr>
            <w:r>
              <w:rPr>
                <w:sz w:val="23"/>
              </w:rPr>
              <w:t>33.70</w:t>
            </w:r>
          </w:p>
        </w:tc>
        <w:tc>
          <w:tcPr>
            <w:tcW w:w="1642" w:type="dxa"/>
            <w:gridSpan w:val="2"/>
            <w:tcBorders>
              <w:left w:val="single" w:sz="8" w:space="0" w:color="000000"/>
              <w:bottom w:val="nil"/>
              <w:right w:val="single" w:sz="8" w:space="0" w:color="000000"/>
            </w:tcBorders>
          </w:tcPr>
          <w:p>
            <w:pPr>
              <w:pStyle w:val="TableParagraph"/>
              <w:spacing w:line="261" w:lineRule="exact"/>
              <w:ind w:left="136"/>
              <w:jc w:val="left"/>
              <w:rPr>
                <w:sz w:val="23"/>
              </w:rPr>
            </w:pPr>
            <w:r>
              <w:rPr>
                <w:sz w:val="23"/>
              </w:rPr>
              <w:t>32.96</w:t>
            </w:r>
          </w:p>
        </w:tc>
        <w:tc>
          <w:tcPr>
            <w:tcW w:w="1076" w:type="dxa"/>
            <w:vMerge w:val="restart"/>
            <w:tcBorders>
              <w:left w:val="single" w:sz="8" w:space="0" w:color="000000"/>
              <w:right w:val="single" w:sz="8" w:space="0" w:color="000000"/>
            </w:tcBorders>
          </w:tcPr>
          <w:p>
            <w:pPr/>
          </w:p>
        </w:tc>
        <w:tc>
          <w:tcPr>
            <w:tcW w:w="1075" w:type="dxa"/>
            <w:vMerge w:val="restart"/>
            <w:tcBorders>
              <w:left w:val="single" w:sz="8" w:space="0" w:color="000000"/>
              <w:right w:val="nil"/>
            </w:tcBorders>
          </w:tcPr>
          <w:p>
            <w:pPr/>
          </w:p>
        </w:tc>
      </w:tr>
      <w:tr>
        <w:trPr>
          <w:trHeight w:val="397" w:hRule="exact"/>
        </w:trPr>
        <w:tc>
          <w:tcPr>
            <w:tcW w:w="2285" w:type="dxa"/>
            <w:tcBorders>
              <w:top w:val="nil"/>
              <w:left w:val="nil"/>
              <w:bottom w:val="nil"/>
              <w:right w:val="nil"/>
            </w:tcBorders>
          </w:tcPr>
          <w:p>
            <w:pPr>
              <w:pStyle w:val="TableParagraph"/>
              <w:spacing w:before="52"/>
              <w:ind w:left="69"/>
              <w:jc w:val="left"/>
              <w:rPr>
                <w:sz w:val="23"/>
              </w:rPr>
            </w:pPr>
            <w:r>
              <w:rPr>
                <w:sz w:val="23"/>
              </w:rPr>
              <w:t>Variación en PD</w:t>
            </w:r>
            <w:r>
              <w:rPr>
                <w:position w:val="9"/>
                <w:sz w:val="15"/>
              </w:rPr>
              <w:t>λ </w:t>
            </w:r>
            <w:r>
              <w:rPr>
                <w:sz w:val="23"/>
              </w:rPr>
              <w:t>(%)</w:t>
            </w:r>
          </w:p>
        </w:tc>
        <w:tc>
          <w:tcPr>
            <w:tcW w:w="1382" w:type="dxa"/>
            <w:tcBorders>
              <w:top w:val="nil"/>
              <w:left w:val="nil"/>
              <w:bottom w:val="nil"/>
              <w:right w:val="single" w:sz="8" w:space="0" w:color="000000"/>
            </w:tcBorders>
          </w:tcPr>
          <w:p>
            <w:pPr>
              <w:pStyle w:val="TableParagraph"/>
              <w:spacing w:before="68"/>
              <w:ind w:left="83"/>
              <w:jc w:val="left"/>
              <w:rPr>
                <w:sz w:val="23"/>
              </w:rPr>
            </w:pPr>
            <w:r>
              <w:rPr>
                <w:sz w:val="23"/>
              </w:rPr>
              <w:t>41.93</w:t>
            </w:r>
          </w:p>
        </w:tc>
        <w:tc>
          <w:tcPr>
            <w:tcW w:w="1380" w:type="dxa"/>
            <w:tcBorders>
              <w:top w:val="nil"/>
              <w:left w:val="single" w:sz="8" w:space="0" w:color="000000"/>
              <w:bottom w:val="nil"/>
              <w:right w:val="single" w:sz="8" w:space="0" w:color="000000"/>
            </w:tcBorders>
          </w:tcPr>
          <w:p>
            <w:pPr>
              <w:pStyle w:val="TableParagraph"/>
              <w:spacing w:before="68"/>
              <w:ind w:left="71"/>
              <w:jc w:val="left"/>
              <w:rPr>
                <w:sz w:val="23"/>
              </w:rPr>
            </w:pPr>
            <w:r>
              <w:rPr>
                <w:sz w:val="23"/>
              </w:rPr>
              <w:t>40.07</w:t>
            </w:r>
          </w:p>
        </w:tc>
        <w:tc>
          <w:tcPr>
            <w:tcW w:w="1642" w:type="dxa"/>
            <w:gridSpan w:val="2"/>
            <w:tcBorders>
              <w:top w:val="nil"/>
              <w:left w:val="single" w:sz="8" w:space="0" w:color="000000"/>
              <w:bottom w:val="nil"/>
              <w:right w:val="single" w:sz="8" w:space="0" w:color="000000"/>
            </w:tcBorders>
          </w:tcPr>
          <w:p>
            <w:pPr>
              <w:pStyle w:val="TableParagraph"/>
              <w:spacing w:before="68"/>
              <w:ind w:left="136"/>
              <w:jc w:val="left"/>
              <w:rPr>
                <w:sz w:val="23"/>
              </w:rPr>
            </w:pPr>
            <w:r>
              <w:rPr>
                <w:sz w:val="23"/>
              </w:rPr>
              <w:t>49.55</w:t>
            </w:r>
          </w:p>
        </w:tc>
        <w:tc>
          <w:tcPr>
            <w:tcW w:w="1076" w:type="dxa"/>
            <w:vMerge/>
            <w:tcBorders>
              <w:left w:val="single" w:sz="8" w:space="0" w:color="000000"/>
              <w:right w:val="single" w:sz="8" w:space="0" w:color="000000"/>
            </w:tcBorders>
          </w:tcPr>
          <w:p>
            <w:pPr/>
          </w:p>
        </w:tc>
        <w:tc>
          <w:tcPr>
            <w:tcW w:w="1075" w:type="dxa"/>
            <w:vMerge/>
            <w:tcBorders>
              <w:left w:val="single" w:sz="8" w:space="0" w:color="000000"/>
              <w:right w:val="nil"/>
            </w:tcBorders>
          </w:tcPr>
          <w:p>
            <w:pPr/>
          </w:p>
        </w:tc>
      </w:tr>
      <w:tr>
        <w:trPr>
          <w:trHeight w:val="493" w:hRule="exact"/>
        </w:trPr>
        <w:tc>
          <w:tcPr>
            <w:tcW w:w="2285" w:type="dxa"/>
            <w:tcBorders>
              <w:top w:val="nil"/>
              <w:left w:val="nil"/>
              <w:right w:val="nil"/>
            </w:tcBorders>
          </w:tcPr>
          <w:p>
            <w:pPr>
              <w:pStyle w:val="TableParagraph"/>
              <w:spacing w:before="52"/>
              <w:ind w:left="69"/>
              <w:jc w:val="left"/>
              <w:rPr>
                <w:sz w:val="15"/>
              </w:rPr>
            </w:pPr>
            <w:r>
              <w:rPr>
                <w:sz w:val="23"/>
              </w:rPr>
              <w:t>Variación VP (%)</w:t>
            </w:r>
            <w:r>
              <w:rPr>
                <w:position w:val="9"/>
                <w:sz w:val="15"/>
              </w:rPr>
              <w:t>ρ</w:t>
            </w:r>
          </w:p>
        </w:tc>
        <w:tc>
          <w:tcPr>
            <w:tcW w:w="1382" w:type="dxa"/>
            <w:tcBorders>
              <w:top w:val="nil"/>
              <w:left w:val="nil"/>
              <w:right w:val="single" w:sz="8" w:space="0" w:color="000000"/>
            </w:tcBorders>
          </w:tcPr>
          <w:p>
            <w:pPr>
              <w:pStyle w:val="TableParagraph"/>
              <w:spacing w:before="67"/>
              <w:ind w:left="2"/>
              <w:jc w:val="left"/>
              <w:rPr>
                <w:sz w:val="23"/>
              </w:rPr>
            </w:pPr>
            <w:r>
              <w:rPr>
                <w:sz w:val="23"/>
              </w:rPr>
              <w:t>-11.76</w:t>
            </w:r>
          </w:p>
        </w:tc>
        <w:tc>
          <w:tcPr>
            <w:tcW w:w="1380" w:type="dxa"/>
            <w:tcBorders>
              <w:top w:val="nil"/>
              <w:left w:val="single" w:sz="8" w:space="0" w:color="000000"/>
              <w:right w:val="single" w:sz="8" w:space="0" w:color="000000"/>
            </w:tcBorders>
          </w:tcPr>
          <w:p>
            <w:pPr>
              <w:pStyle w:val="TableParagraph"/>
              <w:spacing w:before="67"/>
              <w:ind w:left="91"/>
              <w:jc w:val="left"/>
              <w:rPr>
                <w:sz w:val="23"/>
              </w:rPr>
            </w:pPr>
            <w:r>
              <w:rPr>
                <w:sz w:val="23"/>
              </w:rPr>
              <w:t>-4.57</w:t>
            </w:r>
          </w:p>
        </w:tc>
        <w:tc>
          <w:tcPr>
            <w:tcW w:w="1642" w:type="dxa"/>
            <w:gridSpan w:val="2"/>
            <w:tcBorders>
              <w:top w:val="nil"/>
              <w:left w:val="single" w:sz="8" w:space="0" w:color="000000"/>
              <w:right w:val="single" w:sz="8" w:space="0" w:color="000000"/>
            </w:tcBorders>
          </w:tcPr>
          <w:p>
            <w:pPr>
              <w:pStyle w:val="TableParagraph"/>
              <w:spacing w:before="67"/>
              <w:ind w:left="194"/>
              <w:jc w:val="left"/>
              <w:rPr>
                <w:sz w:val="23"/>
              </w:rPr>
            </w:pPr>
            <w:r>
              <w:rPr>
                <w:sz w:val="23"/>
              </w:rPr>
              <w:t>6.46</w:t>
            </w:r>
          </w:p>
        </w:tc>
        <w:tc>
          <w:tcPr>
            <w:tcW w:w="1076" w:type="dxa"/>
            <w:vMerge/>
            <w:tcBorders>
              <w:left w:val="single" w:sz="8" w:space="0" w:color="000000"/>
              <w:right w:val="single" w:sz="8" w:space="0" w:color="000000"/>
            </w:tcBorders>
          </w:tcPr>
          <w:p>
            <w:pPr/>
          </w:p>
        </w:tc>
        <w:tc>
          <w:tcPr>
            <w:tcW w:w="1075" w:type="dxa"/>
            <w:vMerge/>
            <w:tcBorders>
              <w:left w:val="single" w:sz="8" w:space="0" w:color="000000"/>
              <w:right w:val="nil"/>
            </w:tcBorders>
          </w:tcPr>
          <w:p>
            <w:pPr/>
          </w:p>
        </w:tc>
      </w:tr>
    </w:tbl>
    <w:p>
      <w:pPr>
        <w:spacing w:line="221" w:lineRule="exact" w:before="0"/>
        <w:ind w:left="191" w:right="0" w:firstLine="0"/>
        <w:jc w:val="left"/>
        <w:rPr>
          <w:sz w:val="20"/>
        </w:rPr>
      </w:pPr>
      <w:r>
        <w:rPr>
          <w:sz w:val="20"/>
        </w:rPr>
        <w:t>Fuente: elaboración propia con información de campo</w:t>
      </w:r>
    </w:p>
    <w:p>
      <w:pPr>
        <w:spacing w:line="280" w:lineRule="auto" w:before="0"/>
        <w:ind w:left="191" w:right="274" w:firstLine="0"/>
        <w:jc w:val="left"/>
        <w:rPr>
          <w:sz w:val="20"/>
        </w:rPr>
      </w:pPr>
      <w:r>
        <w:rPr/>
        <w:pict>
          <v:line style="position:absolute;mso-position-horizontal-relative:page;mso-position-vertical-relative:paragraph;z-index:-459256" from="180.5pt,14.428342pt" to="220.484pt,14.428342pt" stroked="true" strokeweight=".600010pt" strokecolor="#000000">
            <w10:wrap type="none"/>
          </v:line>
        </w:pict>
      </w:r>
      <w:r>
        <w:rPr>
          <w:position w:val="7"/>
          <w:sz w:val="13"/>
        </w:rPr>
        <w:t>¥</w:t>
      </w:r>
      <w:r>
        <w:rPr>
          <w:sz w:val="20"/>
        </w:rPr>
        <w:t>=Producción por estrato; </w:t>
      </w:r>
      <w:r>
        <w:rPr>
          <w:position w:val="7"/>
          <w:sz w:val="13"/>
        </w:rPr>
        <w:t>γ</w:t>
      </w:r>
      <w:r>
        <w:rPr>
          <w:sz w:val="20"/>
        </w:rPr>
        <w:t>=Promedio de producción por estrato; </w:t>
      </w:r>
      <w:r>
        <w:rPr>
          <w:position w:val="7"/>
          <w:sz w:val="13"/>
        </w:rPr>
        <w:t>λ</w:t>
      </w:r>
      <w:r>
        <w:rPr>
          <w:sz w:val="20"/>
        </w:rPr>
        <w:t>=Producción diaria; </w:t>
      </w:r>
      <w:r>
        <w:rPr>
          <w:position w:val="7"/>
          <w:sz w:val="13"/>
        </w:rPr>
        <w:t>ρ</w:t>
      </w:r>
      <w:r>
        <w:rPr>
          <w:sz w:val="20"/>
        </w:rPr>
        <w:t>=Vacas en  </w:t>
      </w:r>
      <w:r>
        <w:rPr>
          <w:spacing w:val="-4"/>
          <w:w w:val="90"/>
          <w:position w:val="1"/>
          <w:sz w:val="20"/>
        </w:rPr>
        <w:t>producción;</w:t>
      </w:r>
      <w:r>
        <w:rPr>
          <w:spacing w:val="9"/>
          <w:w w:val="90"/>
          <w:position w:val="1"/>
          <w:sz w:val="20"/>
        </w:rPr>
        <w:t> </w:t>
      </w:r>
      <w:r>
        <w:rPr>
          <w:rFonts w:ascii="Cambria Math" w:hAnsi="Cambria Math" w:eastAsia="Cambria Math"/>
          <w:spacing w:val="-3"/>
          <w:w w:val="90"/>
          <w:position w:val="1"/>
          <w:sz w:val="20"/>
        </w:rPr>
        <w:t>𝑌���</w:t>
      </w:r>
      <w:r>
        <w:rPr>
          <w:rFonts w:ascii="Cambria Math" w:hAnsi="Cambria Math" w:eastAsia="Cambria Math"/>
          <w:spacing w:val="-13"/>
          <w:w w:val="90"/>
          <w:position w:val="1"/>
          <w:sz w:val="20"/>
        </w:rPr>
        <w:t> </w:t>
      </w:r>
      <w:r>
        <w:rPr>
          <w:rFonts w:ascii="Cambria Math" w:hAnsi="Cambria Math" w:eastAsia="Cambria Math"/>
          <w:spacing w:val="-3"/>
          <w:w w:val="90"/>
          <w:position w:val="1"/>
          <w:sz w:val="20"/>
        </w:rPr>
        <w:t>±</w:t>
      </w:r>
      <w:r>
        <w:rPr>
          <w:rFonts w:ascii="Cambria Math" w:hAnsi="Cambria Math" w:eastAsia="Cambria Math"/>
          <w:spacing w:val="-16"/>
          <w:w w:val="90"/>
          <w:position w:val="1"/>
          <w:sz w:val="20"/>
        </w:rPr>
        <w:t> </w:t>
      </w:r>
      <w:r>
        <w:rPr>
          <w:rFonts w:ascii="Cambria Math" w:hAnsi="Cambria Math" w:eastAsia="Cambria Math"/>
          <w:spacing w:val="-3"/>
          <w:w w:val="90"/>
          <w:sz w:val="20"/>
        </w:rPr>
        <w:t>√</w:t>
      </w:r>
      <w:r>
        <w:rPr>
          <w:rFonts w:ascii="Cambria Math" w:hAnsi="Cambria Math" w:eastAsia="Cambria Math"/>
          <w:spacing w:val="-3"/>
          <w:w w:val="90"/>
          <w:position w:val="1"/>
          <w:sz w:val="20"/>
        </w:rPr>
        <w:t>���(𝑌��)</w:t>
      </w:r>
      <w:r>
        <w:rPr>
          <w:rFonts w:ascii="Cambria Math" w:hAnsi="Cambria Math" w:eastAsia="Cambria Math"/>
          <w:spacing w:val="-13"/>
          <w:w w:val="90"/>
          <w:position w:val="1"/>
          <w:sz w:val="20"/>
        </w:rPr>
        <w:t> </w:t>
      </w:r>
      <w:r>
        <w:rPr>
          <w:spacing w:val="-3"/>
          <w:w w:val="90"/>
          <w:position w:val="1"/>
          <w:sz w:val="20"/>
        </w:rPr>
        <w:t>=</w:t>
      </w:r>
      <w:r>
        <w:rPr>
          <w:spacing w:val="-19"/>
          <w:w w:val="90"/>
          <w:position w:val="1"/>
          <w:sz w:val="20"/>
        </w:rPr>
        <w:t> </w:t>
      </w:r>
      <w:r>
        <w:rPr>
          <w:spacing w:val="-3"/>
          <w:w w:val="90"/>
          <w:position w:val="1"/>
          <w:sz w:val="20"/>
        </w:rPr>
        <w:t>Media</w:t>
      </w:r>
      <w:r>
        <w:rPr>
          <w:spacing w:val="-19"/>
          <w:w w:val="90"/>
          <w:position w:val="1"/>
          <w:sz w:val="20"/>
        </w:rPr>
        <w:t> </w:t>
      </w:r>
      <w:r>
        <w:rPr>
          <w:spacing w:val="-3"/>
          <w:w w:val="90"/>
          <w:position w:val="1"/>
          <w:sz w:val="20"/>
        </w:rPr>
        <w:t>ponderada</w:t>
      </w:r>
    </w:p>
    <w:p>
      <w:pPr>
        <w:pStyle w:val="BodyText"/>
        <w:rPr>
          <w:sz w:val="20"/>
        </w:rPr>
      </w:pPr>
    </w:p>
    <w:p>
      <w:pPr>
        <w:pStyle w:val="BodyText"/>
        <w:spacing w:before="2"/>
        <w:rPr>
          <w:sz w:val="19"/>
        </w:rPr>
      </w:pPr>
    </w:p>
    <w:p>
      <w:pPr>
        <w:spacing w:before="69"/>
        <w:ind w:left="122" w:right="0" w:firstLine="0"/>
        <w:jc w:val="both"/>
        <w:rPr>
          <w:i/>
          <w:sz w:val="24"/>
        </w:rPr>
      </w:pPr>
      <w:r>
        <w:rPr>
          <w:i/>
          <w:sz w:val="24"/>
        </w:rPr>
        <w:t>Reajustabilidad de valores en la estructura de costos de producción</w:t>
      </w:r>
    </w:p>
    <w:p>
      <w:pPr>
        <w:pStyle w:val="BodyText"/>
        <w:rPr>
          <w:i/>
        </w:rPr>
      </w:pPr>
    </w:p>
    <w:p>
      <w:pPr>
        <w:pStyle w:val="BodyText"/>
        <w:rPr>
          <w:i/>
        </w:rPr>
      </w:pPr>
    </w:p>
    <w:p>
      <w:pPr>
        <w:pStyle w:val="BodyText"/>
        <w:spacing w:line="360" w:lineRule="auto"/>
        <w:ind w:left="122" w:right="155"/>
        <w:jc w:val="both"/>
      </w:pPr>
      <w:r>
        <w:rPr/>
        <w:t>Con</w:t>
      </w:r>
      <w:r>
        <w:rPr>
          <w:spacing w:val="-9"/>
        </w:rPr>
        <w:t> </w:t>
      </w:r>
      <w:r>
        <w:rPr/>
        <w:t>el</w:t>
      </w:r>
      <w:r>
        <w:rPr>
          <w:spacing w:val="-8"/>
        </w:rPr>
        <w:t> </w:t>
      </w:r>
      <w:r>
        <w:rPr/>
        <w:t>objeto</w:t>
      </w:r>
      <w:r>
        <w:rPr>
          <w:spacing w:val="-9"/>
        </w:rPr>
        <w:t> </w:t>
      </w:r>
      <w:r>
        <w:rPr/>
        <w:t>de</w:t>
      </w:r>
      <w:r>
        <w:rPr>
          <w:spacing w:val="-10"/>
        </w:rPr>
        <w:t> </w:t>
      </w:r>
      <w:r>
        <w:rPr/>
        <w:t>poder</w:t>
      </w:r>
      <w:r>
        <w:rPr>
          <w:spacing w:val="-9"/>
        </w:rPr>
        <w:t> </w:t>
      </w:r>
      <w:r>
        <w:rPr/>
        <w:t>hacer</w:t>
      </w:r>
      <w:r>
        <w:rPr>
          <w:spacing w:val="-9"/>
        </w:rPr>
        <w:t> </w:t>
      </w:r>
      <w:r>
        <w:rPr/>
        <w:t>una</w:t>
      </w:r>
      <w:r>
        <w:rPr>
          <w:spacing w:val="-10"/>
        </w:rPr>
        <w:t> </w:t>
      </w:r>
      <w:r>
        <w:rPr/>
        <w:t>comparación</w:t>
      </w:r>
      <w:r>
        <w:rPr>
          <w:spacing w:val="-8"/>
        </w:rPr>
        <w:t> </w:t>
      </w:r>
      <w:r>
        <w:rPr/>
        <w:t>en</w:t>
      </w:r>
      <w:r>
        <w:rPr>
          <w:spacing w:val="-9"/>
        </w:rPr>
        <w:t> </w:t>
      </w:r>
      <w:r>
        <w:rPr/>
        <w:t>términos</w:t>
      </w:r>
      <w:r>
        <w:rPr>
          <w:spacing w:val="-8"/>
        </w:rPr>
        <w:t> </w:t>
      </w:r>
      <w:r>
        <w:rPr/>
        <w:t>de</w:t>
      </w:r>
      <w:r>
        <w:rPr>
          <w:spacing w:val="-10"/>
        </w:rPr>
        <w:t> </w:t>
      </w:r>
      <w:r>
        <w:rPr/>
        <w:t>equilibrio</w:t>
      </w:r>
      <w:r>
        <w:rPr>
          <w:spacing w:val="-6"/>
        </w:rPr>
        <w:t> </w:t>
      </w:r>
      <w:r>
        <w:rPr/>
        <w:t>económico</w:t>
      </w:r>
      <w:r>
        <w:rPr>
          <w:spacing w:val="-9"/>
        </w:rPr>
        <w:t> </w:t>
      </w:r>
      <w:r>
        <w:rPr/>
        <w:t>entre</w:t>
      </w:r>
      <w:r>
        <w:rPr>
          <w:spacing w:val="-10"/>
        </w:rPr>
        <w:t> </w:t>
      </w:r>
      <w:r>
        <w:rPr/>
        <w:t>los periodos productivos 2000 y 2012, se llevó el valor de los costos del periodo 2000 a valor del</w:t>
      </w:r>
      <w:r>
        <w:rPr>
          <w:spacing w:val="-13"/>
        </w:rPr>
        <w:t> </w:t>
      </w:r>
      <w:r>
        <w:rPr/>
        <w:t>periodo</w:t>
      </w:r>
      <w:r>
        <w:rPr>
          <w:spacing w:val="-14"/>
        </w:rPr>
        <w:t> </w:t>
      </w:r>
      <w:r>
        <w:rPr/>
        <w:t>2012,</w:t>
      </w:r>
      <w:r>
        <w:rPr>
          <w:spacing w:val="-11"/>
        </w:rPr>
        <w:t> </w:t>
      </w:r>
      <w:r>
        <w:rPr/>
        <w:t>este</w:t>
      </w:r>
      <w:r>
        <w:rPr>
          <w:spacing w:val="-14"/>
        </w:rPr>
        <w:t> </w:t>
      </w:r>
      <w:r>
        <w:rPr/>
        <w:t>procedimiento</w:t>
      </w:r>
      <w:r>
        <w:rPr>
          <w:spacing w:val="-14"/>
        </w:rPr>
        <w:t> </w:t>
      </w:r>
      <w:r>
        <w:rPr/>
        <w:t>permitió</w:t>
      </w:r>
      <w:r>
        <w:rPr>
          <w:spacing w:val="-13"/>
        </w:rPr>
        <w:t> </w:t>
      </w:r>
      <w:r>
        <w:rPr/>
        <w:t>homogenizar</w:t>
      </w:r>
      <w:r>
        <w:rPr>
          <w:spacing w:val="-12"/>
        </w:rPr>
        <w:t> </w:t>
      </w:r>
      <w:r>
        <w:rPr/>
        <w:t>los</w:t>
      </w:r>
      <w:r>
        <w:rPr>
          <w:spacing w:val="-13"/>
        </w:rPr>
        <w:t> </w:t>
      </w:r>
      <w:r>
        <w:rPr/>
        <w:t>costos</w:t>
      </w:r>
      <w:r>
        <w:rPr>
          <w:spacing w:val="-13"/>
        </w:rPr>
        <w:t> </w:t>
      </w:r>
      <w:r>
        <w:rPr/>
        <w:t>por</w:t>
      </w:r>
      <w:r>
        <w:rPr>
          <w:spacing w:val="-12"/>
        </w:rPr>
        <w:t> </w:t>
      </w:r>
      <w:r>
        <w:rPr/>
        <w:t>litro</w:t>
      </w:r>
      <w:r>
        <w:rPr>
          <w:spacing w:val="-14"/>
        </w:rPr>
        <w:t> </w:t>
      </w:r>
      <w:r>
        <w:rPr/>
        <w:t>de</w:t>
      </w:r>
      <w:r>
        <w:rPr>
          <w:spacing w:val="-14"/>
        </w:rPr>
        <w:t> </w:t>
      </w:r>
      <w:r>
        <w:rPr/>
        <w:t>leche</w:t>
      </w:r>
      <w:r>
        <w:rPr>
          <w:spacing w:val="-12"/>
        </w:rPr>
        <w:t> </w:t>
      </w:r>
      <w:r>
        <w:rPr/>
        <w:t>entre periodos pudiendo realizarse así, la comparación entre estructuras económicas. Los resultados indican que las tres escalas de productores analizados presentaron una estructura porcentual</w:t>
      </w:r>
      <w:r>
        <w:rPr>
          <w:spacing w:val="-9"/>
        </w:rPr>
        <w:t> </w:t>
      </w:r>
      <w:r>
        <w:rPr/>
        <w:t>en</w:t>
      </w:r>
      <w:r>
        <w:rPr>
          <w:spacing w:val="-11"/>
        </w:rPr>
        <w:t> </w:t>
      </w:r>
      <w:r>
        <w:rPr/>
        <w:t>costo</w:t>
      </w:r>
      <w:r>
        <w:rPr>
          <w:spacing w:val="-10"/>
        </w:rPr>
        <w:t> </w:t>
      </w:r>
      <w:r>
        <w:rPr/>
        <w:t>por</w:t>
      </w:r>
      <w:r>
        <w:rPr>
          <w:spacing w:val="-10"/>
        </w:rPr>
        <w:t> </w:t>
      </w:r>
      <w:r>
        <w:rPr/>
        <w:t>litro</w:t>
      </w:r>
      <w:r>
        <w:rPr>
          <w:spacing w:val="-11"/>
        </w:rPr>
        <w:t> </w:t>
      </w:r>
      <w:r>
        <w:rPr/>
        <w:t>de</w:t>
      </w:r>
      <w:r>
        <w:rPr>
          <w:spacing w:val="-12"/>
        </w:rPr>
        <w:t> </w:t>
      </w:r>
      <w:r>
        <w:rPr/>
        <w:t>leche</w:t>
      </w:r>
      <w:r>
        <w:rPr>
          <w:spacing w:val="-12"/>
        </w:rPr>
        <w:t> </w:t>
      </w:r>
      <w:r>
        <w:rPr/>
        <w:t>superior</w:t>
      </w:r>
      <w:r>
        <w:rPr>
          <w:spacing w:val="-12"/>
        </w:rPr>
        <w:t> </w:t>
      </w:r>
      <w:r>
        <w:rPr/>
        <w:t>en</w:t>
      </w:r>
      <w:r>
        <w:rPr>
          <w:spacing w:val="-9"/>
        </w:rPr>
        <w:t> </w:t>
      </w:r>
      <w:r>
        <w:rPr/>
        <w:t>el</w:t>
      </w:r>
      <w:r>
        <w:rPr>
          <w:spacing w:val="-8"/>
        </w:rPr>
        <w:t> </w:t>
      </w:r>
      <w:r>
        <w:rPr/>
        <w:t>rubro</w:t>
      </w:r>
      <w:r>
        <w:rPr>
          <w:spacing w:val="-9"/>
        </w:rPr>
        <w:t> </w:t>
      </w:r>
      <w:r>
        <w:rPr/>
        <w:t>general</w:t>
      </w:r>
      <w:r>
        <w:rPr>
          <w:spacing w:val="-11"/>
        </w:rPr>
        <w:t> </w:t>
      </w:r>
      <w:r>
        <w:rPr/>
        <w:t>de</w:t>
      </w:r>
      <w:r>
        <w:rPr>
          <w:spacing w:val="-12"/>
        </w:rPr>
        <w:t> </w:t>
      </w:r>
      <w:r>
        <w:rPr/>
        <w:t>costos</w:t>
      </w:r>
      <w:r>
        <w:rPr>
          <w:spacing w:val="-10"/>
        </w:rPr>
        <w:t> </w:t>
      </w:r>
      <w:r>
        <w:rPr/>
        <w:t>variables</w:t>
      </w:r>
      <w:r>
        <w:rPr>
          <w:spacing w:val="-6"/>
        </w:rPr>
        <w:t> </w:t>
      </w:r>
      <w:r>
        <w:rPr/>
        <w:t>y</w:t>
      </w:r>
      <w:r>
        <w:rPr>
          <w:spacing w:val="-13"/>
        </w:rPr>
        <w:t> </w:t>
      </w:r>
      <w:r>
        <w:rPr/>
        <w:t>costos fijos en el periodo 2000 actualizado, lo cual bajo los términos de eficiencia económica representa que entre los años 2000 y 2012 las tres escalas de productores analizadas disminuyeron el costo para producir un litro de leche en 2.88, 14.06 y 22.54% (Tabla 4). Esta eficiencia se sustenta en las diferentes estrategias productivas que cada escala aplica y en los aumentos de productividad obtenidos en 12</w:t>
      </w:r>
      <w:r>
        <w:rPr>
          <w:spacing w:val="-6"/>
        </w:rPr>
        <w:t> </w:t>
      </w:r>
      <w:r>
        <w:rPr/>
        <w:t>años.</w:t>
      </w:r>
    </w:p>
    <w:p>
      <w:pPr>
        <w:spacing w:after="0" w:line="360" w:lineRule="auto"/>
        <w:jc w:val="both"/>
        <w:sectPr>
          <w:pgSz w:w="12240" w:h="15840"/>
          <w:pgMar w:header="0" w:footer="657" w:top="1360" w:bottom="840" w:left="1580" w:right="1540"/>
        </w:sectPr>
      </w:pPr>
    </w:p>
    <w:p>
      <w:pPr>
        <w:pStyle w:val="BodyText"/>
        <w:spacing w:line="362" w:lineRule="auto" w:before="50" w:after="7"/>
        <w:ind w:left="202" w:right="847"/>
      </w:pPr>
      <w:r>
        <w:rPr>
          <w:b/>
        </w:rPr>
        <w:t>Tabla 4. </w:t>
      </w:r>
      <w:r>
        <w:rPr/>
        <w:t>Reajustabilidad de valores en la estructura de costos totales para el periodo 2000-2012 (pesos/litro)</w:t>
      </w:r>
    </w:p>
    <w:tbl>
      <w:tblPr>
        <w:tblW w:w="0" w:type="auto"/>
        <w:jc w:val="left"/>
        <w:tblInd w:w="11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821"/>
        <w:gridCol w:w="2227"/>
        <w:gridCol w:w="868"/>
        <w:gridCol w:w="1057"/>
        <w:gridCol w:w="869"/>
        <w:gridCol w:w="1051"/>
      </w:tblGrid>
      <w:tr>
        <w:trPr>
          <w:trHeight w:val="874" w:hRule="exact"/>
        </w:trPr>
        <w:tc>
          <w:tcPr>
            <w:tcW w:w="2821" w:type="dxa"/>
            <w:tcBorders>
              <w:left w:val="nil"/>
              <w:right w:val="nil"/>
            </w:tcBorders>
          </w:tcPr>
          <w:p>
            <w:pPr>
              <w:pStyle w:val="TableParagraph"/>
              <w:spacing w:before="9"/>
              <w:jc w:val="left"/>
              <w:rPr>
                <w:sz w:val="35"/>
              </w:rPr>
            </w:pPr>
          </w:p>
          <w:p>
            <w:pPr>
              <w:pStyle w:val="TableParagraph"/>
              <w:ind w:left="69" w:right="1152"/>
              <w:jc w:val="left"/>
              <w:rPr>
                <w:sz w:val="24"/>
              </w:rPr>
            </w:pPr>
            <w:r>
              <w:rPr>
                <w:sz w:val="24"/>
              </w:rPr>
              <w:t>Rubro</w:t>
            </w:r>
          </w:p>
        </w:tc>
        <w:tc>
          <w:tcPr>
            <w:tcW w:w="2227" w:type="dxa"/>
            <w:tcBorders>
              <w:left w:val="nil"/>
              <w:right w:val="single" w:sz="8" w:space="0" w:color="000000"/>
            </w:tcBorders>
          </w:tcPr>
          <w:p>
            <w:pPr>
              <w:pStyle w:val="TableParagraph"/>
              <w:spacing w:line="273" w:lineRule="exact"/>
              <w:ind w:left="867"/>
              <w:jc w:val="left"/>
              <w:rPr>
                <w:sz w:val="24"/>
              </w:rPr>
            </w:pPr>
            <w:r>
              <w:rPr>
                <w:sz w:val="24"/>
              </w:rPr>
              <w:t>Estrato I</w:t>
            </w:r>
          </w:p>
          <w:p>
            <w:pPr>
              <w:pStyle w:val="TableParagraph"/>
              <w:tabs>
                <w:tab w:pos="1342" w:val="left" w:leader="none"/>
              </w:tabs>
              <w:spacing w:before="139"/>
              <w:ind w:left="402"/>
              <w:jc w:val="left"/>
              <w:rPr>
                <w:sz w:val="24"/>
              </w:rPr>
            </w:pPr>
            <w:r>
              <w:rPr>
                <w:sz w:val="24"/>
              </w:rPr>
              <w:t>2000</w:t>
              <w:tab/>
              <w:t>2012</w:t>
            </w:r>
          </w:p>
        </w:tc>
        <w:tc>
          <w:tcPr>
            <w:tcW w:w="1925" w:type="dxa"/>
            <w:gridSpan w:val="2"/>
            <w:tcBorders>
              <w:left w:val="single" w:sz="8" w:space="0" w:color="000000"/>
              <w:right w:val="single" w:sz="8" w:space="0" w:color="000000"/>
            </w:tcBorders>
          </w:tcPr>
          <w:p>
            <w:pPr>
              <w:pStyle w:val="TableParagraph"/>
              <w:spacing w:line="273" w:lineRule="exact"/>
              <w:ind w:left="501"/>
              <w:jc w:val="left"/>
              <w:rPr>
                <w:sz w:val="24"/>
              </w:rPr>
            </w:pPr>
            <w:r>
              <w:rPr>
                <w:sz w:val="24"/>
              </w:rPr>
              <w:t>Estrato II</w:t>
            </w:r>
          </w:p>
          <w:p>
            <w:pPr>
              <w:pStyle w:val="TableParagraph"/>
              <w:tabs>
                <w:tab w:pos="1036" w:val="left" w:leader="none"/>
              </w:tabs>
              <w:spacing w:before="139"/>
              <w:ind w:left="60"/>
              <w:jc w:val="left"/>
              <w:rPr>
                <w:sz w:val="24"/>
              </w:rPr>
            </w:pPr>
            <w:r>
              <w:rPr>
                <w:sz w:val="24"/>
              </w:rPr>
              <w:t>2000</w:t>
              <w:tab/>
              <w:t>2012</w:t>
            </w:r>
          </w:p>
        </w:tc>
        <w:tc>
          <w:tcPr>
            <w:tcW w:w="1921" w:type="dxa"/>
            <w:gridSpan w:val="2"/>
            <w:tcBorders>
              <w:left w:val="single" w:sz="8" w:space="0" w:color="000000"/>
              <w:right w:val="nil"/>
            </w:tcBorders>
          </w:tcPr>
          <w:p>
            <w:pPr>
              <w:pStyle w:val="TableParagraph"/>
              <w:spacing w:line="273" w:lineRule="exact"/>
              <w:ind w:left="461"/>
              <w:jc w:val="left"/>
              <w:rPr>
                <w:sz w:val="24"/>
              </w:rPr>
            </w:pPr>
            <w:r>
              <w:rPr>
                <w:sz w:val="24"/>
              </w:rPr>
              <w:t>Estrato III</w:t>
            </w:r>
          </w:p>
          <w:p>
            <w:pPr>
              <w:pStyle w:val="TableParagraph"/>
              <w:tabs>
                <w:tab w:pos="1039" w:val="left" w:leader="none"/>
              </w:tabs>
              <w:spacing w:before="139"/>
              <w:ind w:left="60"/>
              <w:jc w:val="left"/>
              <w:rPr>
                <w:sz w:val="24"/>
              </w:rPr>
            </w:pPr>
            <w:r>
              <w:rPr>
                <w:sz w:val="24"/>
              </w:rPr>
              <w:t>2000</w:t>
              <w:tab/>
              <w:t>2012</w:t>
            </w:r>
          </w:p>
        </w:tc>
      </w:tr>
      <w:tr>
        <w:trPr>
          <w:trHeight w:val="1274" w:hRule="exact"/>
        </w:trPr>
        <w:tc>
          <w:tcPr>
            <w:tcW w:w="2821" w:type="dxa"/>
            <w:tcBorders>
              <w:left w:val="nil"/>
              <w:bottom w:val="single" w:sz="8" w:space="0" w:color="000000"/>
              <w:right w:val="nil"/>
            </w:tcBorders>
          </w:tcPr>
          <w:p>
            <w:pPr>
              <w:pStyle w:val="TableParagraph"/>
              <w:spacing w:line="360" w:lineRule="auto"/>
              <w:ind w:left="69" w:right="1152"/>
              <w:jc w:val="left"/>
              <w:rPr>
                <w:sz w:val="24"/>
              </w:rPr>
            </w:pPr>
            <w:r>
              <w:rPr>
                <w:sz w:val="24"/>
              </w:rPr>
              <w:t>Costos variables Costos fijos Costos totales</w:t>
            </w:r>
          </w:p>
        </w:tc>
        <w:tc>
          <w:tcPr>
            <w:tcW w:w="2227" w:type="dxa"/>
            <w:tcBorders>
              <w:left w:val="nil"/>
              <w:bottom w:val="single" w:sz="8" w:space="0" w:color="000000"/>
              <w:right w:val="single" w:sz="8" w:space="0" w:color="000000"/>
            </w:tcBorders>
          </w:tcPr>
          <w:p>
            <w:pPr>
              <w:pStyle w:val="TableParagraph"/>
              <w:tabs>
                <w:tab w:pos="1462" w:val="left" w:leader="none"/>
              </w:tabs>
              <w:spacing w:line="273" w:lineRule="exact"/>
              <w:ind w:left="402"/>
              <w:jc w:val="left"/>
              <w:rPr>
                <w:sz w:val="24"/>
              </w:rPr>
            </w:pPr>
            <w:r>
              <w:rPr>
                <w:sz w:val="24"/>
              </w:rPr>
              <w:t>3.48</w:t>
              <w:tab/>
              <w:t>3.70</w:t>
            </w:r>
          </w:p>
          <w:p>
            <w:pPr>
              <w:pStyle w:val="TableParagraph"/>
              <w:tabs>
                <w:tab w:pos="1462" w:val="left" w:leader="none"/>
              </w:tabs>
              <w:spacing w:before="137"/>
              <w:ind w:left="402"/>
              <w:jc w:val="left"/>
              <w:rPr>
                <w:sz w:val="24"/>
              </w:rPr>
            </w:pPr>
            <w:r>
              <w:rPr>
                <w:sz w:val="24"/>
              </w:rPr>
              <w:t>0.69</w:t>
              <w:tab/>
              <w:t>0.35</w:t>
            </w:r>
          </w:p>
          <w:p>
            <w:pPr>
              <w:pStyle w:val="TableParagraph"/>
              <w:tabs>
                <w:tab w:pos="1462" w:val="left" w:leader="none"/>
              </w:tabs>
              <w:spacing w:before="139"/>
              <w:ind w:left="402"/>
              <w:jc w:val="left"/>
              <w:rPr>
                <w:sz w:val="24"/>
              </w:rPr>
            </w:pPr>
            <w:r>
              <w:rPr>
                <w:sz w:val="24"/>
              </w:rPr>
              <w:t>4.17</w:t>
              <w:tab/>
              <w:t>4.05</w:t>
            </w:r>
          </w:p>
        </w:tc>
        <w:tc>
          <w:tcPr>
            <w:tcW w:w="868" w:type="dxa"/>
            <w:tcBorders>
              <w:left w:val="single" w:sz="8" w:space="0" w:color="000000"/>
              <w:bottom w:val="single" w:sz="8" w:space="0" w:color="000000"/>
              <w:right w:val="nil"/>
            </w:tcBorders>
          </w:tcPr>
          <w:p>
            <w:pPr>
              <w:pStyle w:val="TableParagraph"/>
              <w:spacing w:line="273" w:lineRule="exact"/>
              <w:ind w:left="120"/>
              <w:jc w:val="left"/>
              <w:rPr>
                <w:sz w:val="24"/>
              </w:rPr>
            </w:pPr>
            <w:r>
              <w:rPr>
                <w:sz w:val="24"/>
              </w:rPr>
              <w:t>3.74</w:t>
            </w:r>
          </w:p>
          <w:p>
            <w:pPr>
              <w:pStyle w:val="TableParagraph"/>
              <w:spacing w:before="137"/>
              <w:ind w:left="120"/>
              <w:jc w:val="left"/>
              <w:rPr>
                <w:sz w:val="24"/>
              </w:rPr>
            </w:pPr>
            <w:r>
              <w:rPr>
                <w:sz w:val="24"/>
              </w:rPr>
              <w:t>0.60</w:t>
            </w:r>
          </w:p>
          <w:p>
            <w:pPr>
              <w:pStyle w:val="TableParagraph"/>
              <w:spacing w:before="139"/>
              <w:ind w:left="120"/>
              <w:jc w:val="left"/>
              <w:rPr>
                <w:sz w:val="24"/>
              </w:rPr>
            </w:pPr>
            <w:r>
              <w:rPr>
                <w:sz w:val="24"/>
              </w:rPr>
              <w:t>4.34</w:t>
            </w:r>
          </w:p>
        </w:tc>
        <w:tc>
          <w:tcPr>
            <w:tcW w:w="1057" w:type="dxa"/>
            <w:tcBorders>
              <w:left w:val="nil"/>
              <w:bottom w:val="single" w:sz="8" w:space="0" w:color="000000"/>
              <w:right w:val="single" w:sz="8" w:space="0" w:color="000000"/>
            </w:tcBorders>
          </w:tcPr>
          <w:p>
            <w:pPr>
              <w:pStyle w:val="TableParagraph"/>
              <w:spacing w:line="273" w:lineRule="exact"/>
              <w:ind w:left="298"/>
              <w:jc w:val="left"/>
              <w:rPr>
                <w:sz w:val="24"/>
              </w:rPr>
            </w:pPr>
            <w:r>
              <w:rPr>
                <w:sz w:val="24"/>
              </w:rPr>
              <w:t>3.38</w:t>
            </w:r>
          </w:p>
          <w:p>
            <w:pPr>
              <w:pStyle w:val="TableParagraph"/>
              <w:spacing w:before="137"/>
              <w:ind w:left="298"/>
              <w:jc w:val="left"/>
              <w:rPr>
                <w:sz w:val="24"/>
              </w:rPr>
            </w:pPr>
            <w:r>
              <w:rPr>
                <w:sz w:val="24"/>
              </w:rPr>
              <w:t>0.35</w:t>
            </w:r>
          </w:p>
          <w:p>
            <w:pPr>
              <w:pStyle w:val="TableParagraph"/>
              <w:spacing w:before="139"/>
              <w:ind w:left="298"/>
              <w:jc w:val="left"/>
              <w:rPr>
                <w:sz w:val="24"/>
              </w:rPr>
            </w:pPr>
            <w:r>
              <w:rPr>
                <w:sz w:val="24"/>
              </w:rPr>
              <w:t>3.73</w:t>
            </w:r>
          </w:p>
        </w:tc>
        <w:tc>
          <w:tcPr>
            <w:tcW w:w="869" w:type="dxa"/>
            <w:tcBorders>
              <w:left w:val="single" w:sz="8" w:space="0" w:color="000000"/>
              <w:bottom w:val="single" w:sz="8" w:space="0" w:color="000000"/>
              <w:right w:val="nil"/>
            </w:tcBorders>
          </w:tcPr>
          <w:p>
            <w:pPr>
              <w:pStyle w:val="TableParagraph"/>
              <w:spacing w:line="273" w:lineRule="exact"/>
              <w:ind w:left="120"/>
              <w:jc w:val="left"/>
              <w:rPr>
                <w:sz w:val="24"/>
              </w:rPr>
            </w:pPr>
            <w:r>
              <w:rPr>
                <w:sz w:val="24"/>
              </w:rPr>
              <w:t>3.68</w:t>
            </w:r>
          </w:p>
          <w:p>
            <w:pPr>
              <w:pStyle w:val="TableParagraph"/>
              <w:spacing w:before="137"/>
              <w:ind w:left="120"/>
              <w:jc w:val="left"/>
              <w:rPr>
                <w:sz w:val="24"/>
              </w:rPr>
            </w:pPr>
            <w:r>
              <w:rPr>
                <w:sz w:val="24"/>
              </w:rPr>
              <w:t>0.58</w:t>
            </w:r>
          </w:p>
          <w:p>
            <w:pPr>
              <w:pStyle w:val="TableParagraph"/>
              <w:spacing w:before="139"/>
              <w:ind w:left="120"/>
              <w:jc w:val="left"/>
              <w:rPr>
                <w:sz w:val="24"/>
              </w:rPr>
            </w:pPr>
            <w:r>
              <w:rPr>
                <w:sz w:val="24"/>
              </w:rPr>
              <w:t>4.26</w:t>
            </w:r>
          </w:p>
        </w:tc>
        <w:tc>
          <w:tcPr>
            <w:tcW w:w="1051" w:type="dxa"/>
            <w:tcBorders>
              <w:left w:val="nil"/>
              <w:bottom w:val="single" w:sz="8" w:space="0" w:color="000000"/>
              <w:right w:val="nil"/>
            </w:tcBorders>
          </w:tcPr>
          <w:p>
            <w:pPr>
              <w:pStyle w:val="TableParagraph"/>
              <w:spacing w:line="273" w:lineRule="exact"/>
              <w:ind w:left="300"/>
              <w:jc w:val="left"/>
              <w:rPr>
                <w:sz w:val="24"/>
              </w:rPr>
            </w:pPr>
            <w:r>
              <w:rPr>
                <w:sz w:val="24"/>
              </w:rPr>
              <w:t>3.01</w:t>
            </w:r>
          </w:p>
          <w:p>
            <w:pPr>
              <w:pStyle w:val="TableParagraph"/>
              <w:spacing w:before="137"/>
              <w:ind w:left="300"/>
              <w:jc w:val="left"/>
              <w:rPr>
                <w:sz w:val="24"/>
              </w:rPr>
            </w:pPr>
            <w:r>
              <w:rPr>
                <w:sz w:val="24"/>
              </w:rPr>
              <w:t>0.29</w:t>
            </w:r>
          </w:p>
          <w:p>
            <w:pPr>
              <w:pStyle w:val="TableParagraph"/>
              <w:spacing w:before="139"/>
              <w:ind w:left="300"/>
              <w:jc w:val="left"/>
              <w:rPr>
                <w:sz w:val="24"/>
              </w:rPr>
            </w:pPr>
            <w:r>
              <w:rPr>
                <w:sz w:val="24"/>
              </w:rPr>
              <w:t>3.30</w:t>
            </w:r>
          </w:p>
        </w:tc>
      </w:tr>
      <w:tr>
        <w:trPr>
          <w:trHeight w:val="1275" w:hRule="exact"/>
        </w:trPr>
        <w:tc>
          <w:tcPr>
            <w:tcW w:w="2821" w:type="dxa"/>
            <w:tcBorders>
              <w:top w:val="single" w:sz="8" w:space="0" w:color="000000"/>
              <w:left w:val="nil"/>
              <w:right w:val="nil"/>
            </w:tcBorders>
          </w:tcPr>
          <w:p>
            <w:pPr>
              <w:pStyle w:val="TableParagraph"/>
              <w:spacing w:line="360" w:lineRule="auto"/>
              <w:ind w:left="69"/>
              <w:jc w:val="left"/>
              <w:rPr>
                <w:sz w:val="24"/>
              </w:rPr>
            </w:pPr>
            <w:r>
              <w:rPr>
                <w:sz w:val="24"/>
              </w:rPr>
              <w:t>Crecimiento en CT (%) Margen relativo CV (%) Margen relativo CF (%)</w:t>
            </w:r>
          </w:p>
        </w:tc>
        <w:tc>
          <w:tcPr>
            <w:tcW w:w="2227" w:type="dxa"/>
            <w:tcBorders>
              <w:top w:val="single" w:sz="8" w:space="0" w:color="000000"/>
              <w:left w:val="nil"/>
              <w:right w:val="single" w:sz="8" w:space="0" w:color="000000"/>
            </w:tcBorders>
          </w:tcPr>
          <w:p>
            <w:pPr>
              <w:pStyle w:val="TableParagraph"/>
              <w:spacing w:line="273" w:lineRule="exact"/>
              <w:ind w:left="402"/>
              <w:jc w:val="left"/>
              <w:rPr>
                <w:sz w:val="24"/>
              </w:rPr>
            </w:pPr>
            <w:r>
              <w:rPr>
                <w:sz w:val="24"/>
              </w:rPr>
              <w:t>-2.88</w:t>
            </w:r>
          </w:p>
          <w:p>
            <w:pPr>
              <w:pStyle w:val="TableParagraph"/>
              <w:tabs>
                <w:tab w:pos="1342" w:val="left" w:leader="none"/>
              </w:tabs>
              <w:spacing w:before="137"/>
              <w:ind w:left="462"/>
              <w:jc w:val="left"/>
              <w:rPr>
                <w:sz w:val="24"/>
              </w:rPr>
            </w:pPr>
            <w:r>
              <w:rPr>
                <w:sz w:val="24"/>
              </w:rPr>
              <w:t>83.45</w:t>
              <w:tab/>
              <w:t>91.36</w:t>
            </w:r>
          </w:p>
          <w:p>
            <w:pPr>
              <w:pStyle w:val="TableParagraph"/>
              <w:tabs>
                <w:tab w:pos="1462" w:val="left" w:leader="none"/>
              </w:tabs>
              <w:spacing w:before="139"/>
              <w:ind w:left="462"/>
              <w:jc w:val="left"/>
              <w:rPr>
                <w:sz w:val="24"/>
              </w:rPr>
            </w:pPr>
            <w:r>
              <w:rPr>
                <w:sz w:val="24"/>
              </w:rPr>
              <w:t>16.55</w:t>
              <w:tab/>
              <w:t>8.64</w:t>
            </w:r>
          </w:p>
        </w:tc>
        <w:tc>
          <w:tcPr>
            <w:tcW w:w="868" w:type="dxa"/>
            <w:tcBorders>
              <w:top w:val="single" w:sz="8" w:space="0" w:color="000000"/>
              <w:left w:val="single" w:sz="8" w:space="0" w:color="000000"/>
              <w:right w:val="nil"/>
            </w:tcBorders>
          </w:tcPr>
          <w:p>
            <w:pPr>
              <w:pStyle w:val="TableParagraph"/>
              <w:spacing w:line="273" w:lineRule="exact"/>
              <w:ind w:left="60"/>
              <w:jc w:val="left"/>
              <w:rPr>
                <w:sz w:val="24"/>
              </w:rPr>
            </w:pPr>
            <w:r>
              <w:rPr>
                <w:sz w:val="24"/>
              </w:rPr>
              <w:t>-14.06</w:t>
            </w:r>
          </w:p>
          <w:p>
            <w:pPr>
              <w:pStyle w:val="TableParagraph"/>
              <w:spacing w:before="137"/>
              <w:ind w:left="120"/>
              <w:jc w:val="left"/>
              <w:rPr>
                <w:sz w:val="24"/>
              </w:rPr>
            </w:pPr>
            <w:r>
              <w:rPr>
                <w:sz w:val="24"/>
              </w:rPr>
              <w:t>86.18</w:t>
            </w:r>
          </w:p>
          <w:p>
            <w:pPr>
              <w:pStyle w:val="TableParagraph"/>
              <w:spacing w:before="139"/>
              <w:ind w:left="120"/>
              <w:jc w:val="left"/>
              <w:rPr>
                <w:sz w:val="24"/>
              </w:rPr>
            </w:pPr>
            <w:r>
              <w:rPr>
                <w:sz w:val="24"/>
              </w:rPr>
              <w:t>13.82</w:t>
            </w:r>
          </w:p>
        </w:tc>
        <w:tc>
          <w:tcPr>
            <w:tcW w:w="1057" w:type="dxa"/>
            <w:tcBorders>
              <w:top w:val="single" w:sz="8" w:space="0" w:color="000000"/>
              <w:left w:val="nil"/>
              <w:right w:val="single" w:sz="8" w:space="0" w:color="000000"/>
            </w:tcBorders>
          </w:tcPr>
          <w:p>
            <w:pPr>
              <w:pStyle w:val="TableParagraph"/>
              <w:spacing w:before="7"/>
              <w:jc w:val="left"/>
              <w:rPr>
                <w:sz w:val="35"/>
              </w:rPr>
            </w:pPr>
          </w:p>
          <w:p>
            <w:pPr>
              <w:pStyle w:val="TableParagraph"/>
              <w:ind w:left="159" w:right="308"/>
              <w:jc w:val="center"/>
              <w:rPr>
                <w:sz w:val="24"/>
              </w:rPr>
            </w:pPr>
            <w:r>
              <w:rPr>
                <w:sz w:val="24"/>
              </w:rPr>
              <w:t>90.62</w:t>
            </w:r>
          </w:p>
          <w:p>
            <w:pPr>
              <w:pStyle w:val="TableParagraph"/>
              <w:spacing w:before="139"/>
              <w:ind w:left="159" w:right="188"/>
              <w:jc w:val="center"/>
              <w:rPr>
                <w:sz w:val="24"/>
              </w:rPr>
            </w:pPr>
            <w:r>
              <w:rPr>
                <w:sz w:val="24"/>
              </w:rPr>
              <w:t>9.38</w:t>
            </w:r>
          </w:p>
        </w:tc>
        <w:tc>
          <w:tcPr>
            <w:tcW w:w="869" w:type="dxa"/>
            <w:tcBorders>
              <w:top w:val="single" w:sz="8" w:space="0" w:color="000000"/>
              <w:left w:val="single" w:sz="8" w:space="0" w:color="000000"/>
              <w:right w:val="nil"/>
            </w:tcBorders>
          </w:tcPr>
          <w:p>
            <w:pPr>
              <w:pStyle w:val="TableParagraph"/>
              <w:spacing w:line="273" w:lineRule="exact"/>
              <w:ind w:left="60"/>
              <w:jc w:val="left"/>
              <w:rPr>
                <w:sz w:val="24"/>
              </w:rPr>
            </w:pPr>
            <w:r>
              <w:rPr>
                <w:sz w:val="24"/>
              </w:rPr>
              <w:t>-22.54</w:t>
            </w:r>
          </w:p>
          <w:p>
            <w:pPr>
              <w:pStyle w:val="TableParagraph"/>
              <w:spacing w:before="137"/>
              <w:ind w:left="120"/>
              <w:jc w:val="left"/>
              <w:rPr>
                <w:sz w:val="24"/>
              </w:rPr>
            </w:pPr>
            <w:r>
              <w:rPr>
                <w:sz w:val="24"/>
              </w:rPr>
              <w:t>86.38</w:t>
            </w:r>
          </w:p>
          <w:p>
            <w:pPr>
              <w:pStyle w:val="TableParagraph"/>
              <w:spacing w:before="139"/>
              <w:ind w:left="120"/>
              <w:jc w:val="left"/>
              <w:rPr>
                <w:sz w:val="24"/>
              </w:rPr>
            </w:pPr>
            <w:r>
              <w:rPr>
                <w:sz w:val="24"/>
              </w:rPr>
              <w:t>13.62</w:t>
            </w:r>
          </w:p>
        </w:tc>
        <w:tc>
          <w:tcPr>
            <w:tcW w:w="1051" w:type="dxa"/>
            <w:tcBorders>
              <w:top w:val="single" w:sz="8" w:space="0" w:color="000000"/>
              <w:left w:val="nil"/>
              <w:right w:val="nil"/>
            </w:tcBorders>
          </w:tcPr>
          <w:p>
            <w:pPr>
              <w:pStyle w:val="TableParagraph"/>
              <w:spacing w:before="7"/>
              <w:jc w:val="left"/>
              <w:rPr>
                <w:sz w:val="35"/>
              </w:rPr>
            </w:pPr>
          </w:p>
          <w:p>
            <w:pPr>
              <w:pStyle w:val="TableParagraph"/>
              <w:ind w:left="161" w:right="309"/>
              <w:jc w:val="center"/>
              <w:rPr>
                <w:sz w:val="24"/>
              </w:rPr>
            </w:pPr>
            <w:r>
              <w:rPr>
                <w:sz w:val="24"/>
              </w:rPr>
              <w:t>91.21</w:t>
            </w:r>
          </w:p>
          <w:p>
            <w:pPr>
              <w:pStyle w:val="TableParagraph"/>
              <w:spacing w:before="139"/>
              <w:ind w:left="161" w:right="189"/>
              <w:jc w:val="center"/>
              <w:rPr>
                <w:sz w:val="24"/>
              </w:rPr>
            </w:pPr>
            <w:r>
              <w:rPr>
                <w:sz w:val="24"/>
              </w:rPr>
              <w:t>8.79</w:t>
            </w:r>
          </w:p>
        </w:tc>
      </w:tr>
    </w:tbl>
    <w:p>
      <w:pPr>
        <w:spacing w:line="226" w:lineRule="exact" w:before="0"/>
        <w:ind w:left="202" w:right="847" w:firstLine="0"/>
        <w:jc w:val="left"/>
        <w:rPr>
          <w:sz w:val="20"/>
        </w:rPr>
      </w:pPr>
      <w:r>
        <w:rPr>
          <w:sz w:val="20"/>
        </w:rPr>
        <w:t>Fuente: Elaboración propia con información de campo.</w:t>
      </w:r>
    </w:p>
    <w:p>
      <w:pPr>
        <w:pStyle w:val="BodyText"/>
        <w:rPr>
          <w:sz w:val="20"/>
        </w:rPr>
      </w:pPr>
    </w:p>
    <w:p>
      <w:pPr>
        <w:pStyle w:val="BodyText"/>
        <w:rPr>
          <w:sz w:val="20"/>
        </w:rPr>
      </w:pPr>
    </w:p>
    <w:p>
      <w:pPr>
        <w:spacing w:before="69"/>
        <w:ind w:left="162" w:right="0" w:firstLine="0"/>
        <w:jc w:val="both"/>
        <w:rPr>
          <w:i/>
          <w:sz w:val="24"/>
        </w:rPr>
      </w:pPr>
      <w:r>
        <w:rPr>
          <w:i/>
          <w:sz w:val="24"/>
        </w:rPr>
        <w:t>Comportamiento microeconómico por rubro de costo</w:t>
      </w:r>
    </w:p>
    <w:p>
      <w:pPr>
        <w:pStyle w:val="BodyText"/>
        <w:rPr>
          <w:i/>
        </w:rPr>
      </w:pPr>
    </w:p>
    <w:p>
      <w:pPr>
        <w:pStyle w:val="BodyText"/>
        <w:rPr>
          <w:i/>
        </w:rPr>
      </w:pPr>
    </w:p>
    <w:p>
      <w:pPr>
        <w:pStyle w:val="BodyText"/>
        <w:spacing w:line="360" w:lineRule="auto"/>
        <w:ind w:left="162" w:right="173"/>
        <w:jc w:val="both"/>
      </w:pPr>
      <w:r>
        <w:rPr/>
        <w:t>En la tabla 5, se muestran los rubros que conforman las estructuras de costos de producción para</w:t>
      </w:r>
      <w:r>
        <w:rPr>
          <w:spacing w:val="-8"/>
        </w:rPr>
        <w:t> </w:t>
      </w:r>
      <w:r>
        <w:rPr/>
        <w:t>los</w:t>
      </w:r>
      <w:r>
        <w:rPr>
          <w:spacing w:val="-3"/>
        </w:rPr>
        <w:t> </w:t>
      </w:r>
      <w:r>
        <w:rPr/>
        <w:t>periodos</w:t>
      </w:r>
      <w:r>
        <w:rPr>
          <w:spacing w:val="-6"/>
        </w:rPr>
        <w:t> </w:t>
      </w:r>
      <w:r>
        <w:rPr/>
        <w:t>2000</w:t>
      </w:r>
      <w:r>
        <w:rPr>
          <w:spacing w:val="1"/>
        </w:rPr>
        <w:t> </w:t>
      </w:r>
      <w:r>
        <w:rPr/>
        <w:t>y</w:t>
      </w:r>
      <w:r>
        <w:rPr>
          <w:spacing w:val="-9"/>
        </w:rPr>
        <w:t> </w:t>
      </w:r>
      <w:r>
        <w:rPr/>
        <w:t>2012,</w:t>
      </w:r>
      <w:r>
        <w:rPr>
          <w:spacing w:val="-6"/>
        </w:rPr>
        <w:t> </w:t>
      </w:r>
      <w:r>
        <w:rPr/>
        <w:t>así</w:t>
      </w:r>
      <w:r>
        <w:rPr>
          <w:spacing w:val="-6"/>
        </w:rPr>
        <w:t> </w:t>
      </w:r>
      <w:r>
        <w:rPr/>
        <w:t>como</w:t>
      </w:r>
      <w:r>
        <w:rPr>
          <w:spacing w:val="-4"/>
        </w:rPr>
        <w:t> </w:t>
      </w:r>
      <w:r>
        <w:rPr/>
        <w:t>el</w:t>
      </w:r>
      <w:r>
        <w:rPr>
          <w:spacing w:val="-6"/>
        </w:rPr>
        <w:t> </w:t>
      </w:r>
      <w:r>
        <w:rPr/>
        <w:t>deflactor</w:t>
      </w:r>
      <w:r>
        <w:rPr>
          <w:spacing w:val="-7"/>
        </w:rPr>
        <w:t> </w:t>
      </w:r>
      <w:r>
        <w:rPr/>
        <w:t>específico</w:t>
      </w:r>
      <w:r>
        <w:rPr>
          <w:spacing w:val="-6"/>
        </w:rPr>
        <w:t> </w:t>
      </w:r>
      <w:r>
        <w:rPr/>
        <w:t>para</w:t>
      </w:r>
      <w:r>
        <w:rPr>
          <w:spacing w:val="-7"/>
        </w:rPr>
        <w:t> </w:t>
      </w:r>
      <w:r>
        <w:rPr/>
        <w:t>el</w:t>
      </w:r>
      <w:r>
        <w:rPr>
          <w:spacing w:val="-4"/>
        </w:rPr>
        <w:t> </w:t>
      </w:r>
      <w:r>
        <w:rPr/>
        <w:t>caso</w:t>
      </w:r>
      <w:r>
        <w:rPr>
          <w:spacing w:val="-4"/>
        </w:rPr>
        <w:t> </w:t>
      </w:r>
      <w:r>
        <w:rPr/>
        <w:t>de</w:t>
      </w:r>
      <w:r>
        <w:rPr>
          <w:spacing w:val="-5"/>
        </w:rPr>
        <w:t> </w:t>
      </w:r>
      <w:r>
        <w:rPr/>
        <w:t>cada</w:t>
      </w:r>
      <w:r>
        <w:rPr>
          <w:spacing w:val="-5"/>
        </w:rPr>
        <w:t> </w:t>
      </w:r>
      <w:r>
        <w:rPr/>
        <w:t>rubro</w:t>
      </w:r>
      <w:r>
        <w:rPr>
          <w:spacing w:val="-4"/>
        </w:rPr>
        <w:t> </w:t>
      </w:r>
      <w:r>
        <w:rPr/>
        <w:t>de costo. En la parte inferior de la tabla se presenta el INPC, que es el índice utilizado por el INEGI para deflactar el ingreso en los hogares y la variable utilizada como medida de bienestar</w:t>
      </w:r>
      <w:r>
        <w:rPr>
          <w:spacing w:val="-5"/>
        </w:rPr>
        <w:t> </w:t>
      </w:r>
      <w:r>
        <w:rPr/>
        <w:t>(Székely</w:t>
      </w:r>
      <w:r>
        <w:rPr>
          <w:spacing w:val="-4"/>
        </w:rPr>
        <w:t> </w:t>
      </w:r>
      <w:r>
        <w:rPr/>
        <w:t>y</w:t>
      </w:r>
      <w:r>
        <w:rPr>
          <w:spacing w:val="-9"/>
        </w:rPr>
        <w:t> </w:t>
      </w:r>
      <w:r>
        <w:rPr/>
        <w:t>Rascón,</w:t>
      </w:r>
      <w:r>
        <w:rPr>
          <w:spacing w:val="-4"/>
        </w:rPr>
        <w:t> </w:t>
      </w:r>
      <w:r>
        <w:rPr/>
        <w:t>2005).</w:t>
      </w:r>
      <w:r>
        <w:rPr>
          <w:spacing w:val="-1"/>
        </w:rPr>
        <w:t> </w:t>
      </w:r>
      <w:r>
        <w:rPr/>
        <w:t>La</w:t>
      </w:r>
      <w:r>
        <w:rPr>
          <w:spacing w:val="-5"/>
        </w:rPr>
        <w:t> </w:t>
      </w:r>
      <w:r>
        <w:rPr/>
        <w:t>comparación</w:t>
      </w:r>
      <w:r>
        <w:rPr>
          <w:spacing w:val="-4"/>
        </w:rPr>
        <w:t> </w:t>
      </w:r>
      <w:r>
        <w:rPr/>
        <w:t>entre</w:t>
      </w:r>
      <w:r>
        <w:rPr>
          <w:spacing w:val="-5"/>
        </w:rPr>
        <w:t> </w:t>
      </w:r>
      <w:r>
        <w:rPr/>
        <w:t>los</w:t>
      </w:r>
      <w:r>
        <w:rPr>
          <w:spacing w:val="-3"/>
        </w:rPr>
        <w:t> </w:t>
      </w:r>
      <w:r>
        <w:rPr/>
        <w:t>deflactores</w:t>
      </w:r>
      <w:r>
        <w:rPr>
          <w:spacing w:val="-4"/>
        </w:rPr>
        <w:t> </w:t>
      </w:r>
      <w:r>
        <w:rPr/>
        <w:t>por</w:t>
      </w:r>
      <w:r>
        <w:rPr>
          <w:spacing w:val="-5"/>
        </w:rPr>
        <w:t> </w:t>
      </w:r>
      <w:r>
        <w:rPr/>
        <w:t>rubro</w:t>
      </w:r>
      <w:r>
        <w:rPr>
          <w:spacing w:val="-4"/>
        </w:rPr>
        <w:t> </w:t>
      </w:r>
      <w:r>
        <w:rPr/>
        <w:t>de</w:t>
      </w:r>
      <w:r>
        <w:rPr>
          <w:spacing w:val="-2"/>
        </w:rPr>
        <w:t> </w:t>
      </w:r>
      <w:r>
        <w:rPr/>
        <w:t>gasto y el INPC general es relevante, </w:t>
      </w:r>
      <w:r>
        <w:rPr>
          <w:spacing w:val="-3"/>
        </w:rPr>
        <w:t>ya </w:t>
      </w:r>
      <w:r>
        <w:rPr/>
        <w:t>que si el INPC el cual mide el crecimiento en la subida generalizada en los precios de los insumos para la producción de leche crece a una tasa más rápida que el precio individual de los deflactores de la estructura de costos de producción entre los periodos analizados, entonces el costo de producir leche será menor en términos reales</w:t>
      </w:r>
      <w:r>
        <w:rPr>
          <w:spacing w:val="-4"/>
        </w:rPr>
        <w:t> </w:t>
      </w:r>
      <w:r>
        <w:rPr/>
        <w:t>(relativo</w:t>
      </w:r>
      <w:r>
        <w:rPr>
          <w:spacing w:val="-6"/>
        </w:rPr>
        <w:t> </w:t>
      </w:r>
      <w:r>
        <w:rPr/>
        <w:t>al</w:t>
      </w:r>
      <w:r>
        <w:rPr>
          <w:spacing w:val="-1"/>
        </w:rPr>
        <w:t> </w:t>
      </w:r>
      <w:r>
        <w:rPr/>
        <w:t>INPC</w:t>
      </w:r>
      <w:r>
        <w:rPr>
          <w:spacing w:val="-5"/>
        </w:rPr>
        <w:t> </w:t>
      </w:r>
      <w:r>
        <w:rPr/>
        <w:t>total)</w:t>
      </w:r>
      <w:r>
        <w:rPr>
          <w:spacing w:val="-2"/>
        </w:rPr>
        <w:t> </w:t>
      </w:r>
      <w:r>
        <w:rPr/>
        <w:t>y</w:t>
      </w:r>
      <w:r>
        <w:rPr>
          <w:spacing w:val="-11"/>
        </w:rPr>
        <w:t> </w:t>
      </w:r>
      <w:r>
        <w:rPr/>
        <w:t>si</w:t>
      </w:r>
      <w:r>
        <w:rPr>
          <w:spacing w:val="-6"/>
        </w:rPr>
        <w:t> </w:t>
      </w:r>
      <w:r>
        <w:rPr/>
        <w:t>se</w:t>
      </w:r>
      <w:r>
        <w:rPr>
          <w:spacing w:val="-7"/>
        </w:rPr>
        <w:t> </w:t>
      </w:r>
      <w:r>
        <w:rPr/>
        <w:t>utiliza</w:t>
      </w:r>
      <w:r>
        <w:rPr>
          <w:spacing w:val="-7"/>
        </w:rPr>
        <w:t> </w:t>
      </w:r>
      <w:r>
        <w:rPr/>
        <w:t>el</w:t>
      </w:r>
      <w:r>
        <w:rPr>
          <w:spacing w:val="-6"/>
        </w:rPr>
        <w:t> </w:t>
      </w:r>
      <w:r>
        <w:rPr/>
        <w:t>ingreso</w:t>
      </w:r>
      <w:r>
        <w:rPr>
          <w:spacing w:val="-6"/>
        </w:rPr>
        <w:t> </w:t>
      </w:r>
      <w:r>
        <w:rPr/>
        <w:t>promedio</w:t>
      </w:r>
      <w:r>
        <w:rPr>
          <w:spacing w:val="-4"/>
        </w:rPr>
        <w:t> </w:t>
      </w:r>
      <w:r>
        <w:rPr/>
        <w:t>de</w:t>
      </w:r>
      <w:r>
        <w:rPr>
          <w:spacing w:val="-7"/>
        </w:rPr>
        <w:t> </w:t>
      </w:r>
      <w:r>
        <w:rPr/>
        <w:t>venta</w:t>
      </w:r>
      <w:r>
        <w:rPr>
          <w:spacing w:val="-7"/>
        </w:rPr>
        <w:t> </w:t>
      </w:r>
      <w:r>
        <w:rPr/>
        <w:t>de</w:t>
      </w:r>
      <w:r>
        <w:rPr>
          <w:spacing w:val="-5"/>
        </w:rPr>
        <w:t> </w:t>
      </w:r>
      <w:r>
        <w:rPr/>
        <w:t>un</w:t>
      </w:r>
      <w:r>
        <w:rPr>
          <w:spacing w:val="-1"/>
        </w:rPr>
        <w:t> </w:t>
      </w:r>
      <w:r>
        <w:rPr/>
        <w:t>litro</w:t>
      </w:r>
      <w:r>
        <w:rPr>
          <w:spacing w:val="-7"/>
        </w:rPr>
        <w:t> </w:t>
      </w:r>
      <w:r>
        <w:rPr/>
        <w:t>de</w:t>
      </w:r>
      <w:r>
        <w:rPr>
          <w:spacing w:val="-5"/>
        </w:rPr>
        <w:t> </w:t>
      </w:r>
      <w:r>
        <w:rPr/>
        <w:t>leche como un indicador de flujo de capital entrante a las unidades de producción evaluadas deflactando su valor de este utilizando el INPC, se podrán tener elementos que indiquen el grado</w:t>
      </w:r>
      <w:r>
        <w:rPr>
          <w:spacing w:val="-4"/>
        </w:rPr>
        <w:t> </w:t>
      </w:r>
      <w:r>
        <w:rPr/>
        <w:t>de</w:t>
      </w:r>
      <w:r>
        <w:rPr>
          <w:spacing w:val="-5"/>
        </w:rPr>
        <w:t> </w:t>
      </w:r>
      <w:r>
        <w:rPr/>
        <w:t>rentabilidad</w:t>
      </w:r>
      <w:r>
        <w:rPr>
          <w:spacing w:val="-4"/>
        </w:rPr>
        <w:t> </w:t>
      </w:r>
      <w:r>
        <w:rPr/>
        <w:t>real</w:t>
      </w:r>
      <w:r>
        <w:rPr>
          <w:spacing w:val="-2"/>
        </w:rPr>
        <w:t> </w:t>
      </w:r>
      <w:r>
        <w:rPr/>
        <w:t>de</w:t>
      </w:r>
      <w:r>
        <w:rPr>
          <w:spacing w:val="-5"/>
        </w:rPr>
        <w:t> </w:t>
      </w:r>
      <w:r>
        <w:rPr/>
        <w:t>las</w:t>
      </w:r>
      <w:r>
        <w:rPr>
          <w:spacing w:val="-4"/>
        </w:rPr>
        <w:t> </w:t>
      </w:r>
      <w:r>
        <w:rPr/>
        <w:t>tres</w:t>
      </w:r>
      <w:r>
        <w:rPr>
          <w:spacing w:val="-4"/>
        </w:rPr>
        <w:t> </w:t>
      </w:r>
      <w:r>
        <w:rPr/>
        <w:t>escalas</w:t>
      </w:r>
      <w:r>
        <w:rPr>
          <w:spacing w:val="-4"/>
        </w:rPr>
        <w:t> </w:t>
      </w:r>
      <w:r>
        <w:rPr/>
        <w:t>de</w:t>
      </w:r>
      <w:r>
        <w:rPr>
          <w:spacing w:val="-5"/>
        </w:rPr>
        <w:t> </w:t>
      </w:r>
      <w:r>
        <w:rPr/>
        <w:t>producción</w:t>
      </w:r>
      <w:r>
        <w:rPr>
          <w:spacing w:val="-3"/>
        </w:rPr>
        <w:t> </w:t>
      </w:r>
      <w:r>
        <w:rPr/>
        <w:t>evaluadas</w:t>
      </w:r>
      <w:r>
        <w:rPr>
          <w:spacing w:val="-4"/>
        </w:rPr>
        <w:t> </w:t>
      </w:r>
      <w:r>
        <w:rPr/>
        <w:t>en</w:t>
      </w:r>
      <w:r>
        <w:rPr>
          <w:spacing w:val="-4"/>
        </w:rPr>
        <w:t> </w:t>
      </w:r>
      <w:r>
        <w:rPr/>
        <w:t>los</w:t>
      </w:r>
      <w:r>
        <w:rPr>
          <w:spacing w:val="-3"/>
        </w:rPr>
        <w:t> </w:t>
      </w:r>
      <w:r>
        <w:rPr/>
        <w:t>periodos</w:t>
      </w:r>
      <w:r>
        <w:rPr>
          <w:spacing w:val="-4"/>
        </w:rPr>
        <w:t> </w:t>
      </w:r>
      <w:r>
        <w:rPr/>
        <w:t>2000</w:t>
      </w:r>
      <w:r>
        <w:rPr>
          <w:spacing w:val="-2"/>
        </w:rPr>
        <w:t> </w:t>
      </w:r>
      <w:r>
        <w:rPr/>
        <w:t>y 2012.</w:t>
      </w:r>
    </w:p>
    <w:p>
      <w:pPr>
        <w:pStyle w:val="BodyText"/>
      </w:pPr>
    </w:p>
    <w:p>
      <w:pPr>
        <w:pStyle w:val="BodyText"/>
        <w:spacing w:line="360" w:lineRule="auto" w:before="143"/>
        <w:ind w:left="162" w:right="184"/>
        <w:jc w:val="both"/>
      </w:pPr>
      <w:r>
        <w:rPr/>
        <w:t>Los resultados en el estrato I, indican que entre el periodo 2000 y 2012 los productores lograron disminuir el costo del principal insumo para la producción de un litro de leche</w:t>
      </w:r>
    </w:p>
    <w:p>
      <w:pPr>
        <w:spacing w:after="0" w:line="360" w:lineRule="auto"/>
        <w:jc w:val="both"/>
        <w:sectPr>
          <w:pgSz w:w="12240" w:h="15840"/>
          <w:pgMar w:header="0" w:footer="657" w:top="1360" w:bottom="840" w:left="1540" w:right="1520"/>
        </w:sectPr>
      </w:pPr>
    </w:p>
    <w:p>
      <w:pPr>
        <w:pStyle w:val="BodyText"/>
        <w:spacing w:line="360" w:lineRule="auto" w:before="50"/>
        <w:ind w:left="122" w:right="140"/>
        <w:jc w:val="both"/>
      </w:pPr>
      <w:r>
        <w:rPr/>
        <w:t>(alimento) en 9.34% (Tabla5) equivalente a $0.23 en el costo de producción, logrado en 12 años de evolución y aprovechamiento eficiente de los recursos internos. Así mismo, se observa que el INPC creció a un mayor ritmo (70.03%) que el deflactor de los insumos, alimento, servicio reproductivo y depreciación de animales, lo cual en términos de comparación</w:t>
      </w:r>
      <w:r>
        <w:rPr>
          <w:spacing w:val="-17"/>
        </w:rPr>
        <w:t> </w:t>
      </w:r>
      <w:r>
        <w:rPr/>
        <w:t>muestra</w:t>
      </w:r>
      <w:r>
        <w:rPr>
          <w:spacing w:val="-18"/>
        </w:rPr>
        <w:t> </w:t>
      </w:r>
      <w:r>
        <w:rPr/>
        <w:t>un</w:t>
      </w:r>
      <w:r>
        <w:rPr>
          <w:spacing w:val="-17"/>
        </w:rPr>
        <w:t> </w:t>
      </w:r>
      <w:r>
        <w:rPr/>
        <w:t>comportamiento</w:t>
      </w:r>
      <w:r>
        <w:rPr>
          <w:spacing w:val="-17"/>
        </w:rPr>
        <w:t> </w:t>
      </w:r>
      <w:r>
        <w:rPr/>
        <w:t>decreciente</w:t>
      </w:r>
      <w:r>
        <w:rPr>
          <w:spacing w:val="-17"/>
        </w:rPr>
        <w:t> </w:t>
      </w:r>
      <w:r>
        <w:rPr/>
        <w:t>en</w:t>
      </w:r>
      <w:r>
        <w:rPr>
          <w:spacing w:val="-17"/>
        </w:rPr>
        <w:t> </w:t>
      </w:r>
      <w:r>
        <w:rPr/>
        <w:t>costo</w:t>
      </w:r>
      <w:r>
        <w:rPr>
          <w:spacing w:val="-17"/>
        </w:rPr>
        <w:t> </w:t>
      </w:r>
      <w:r>
        <w:rPr/>
        <w:t>respecto</w:t>
      </w:r>
      <w:r>
        <w:rPr>
          <w:spacing w:val="-17"/>
        </w:rPr>
        <w:t> </w:t>
      </w:r>
      <w:r>
        <w:rPr/>
        <w:t>al</w:t>
      </w:r>
      <w:r>
        <w:rPr>
          <w:spacing w:val="-15"/>
        </w:rPr>
        <w:t> </w:t>
      </w:r>
      <w:r>
        <w:rPr/>
        <w:t>INPC</w:t>
      </w:r>
      <w:r>
        <w:rPr>
          <w:spacing w:val="-17"/>
        </w:rPr>
        <w:t> </w:t>
      </w:r>
      <w:r>
        <w:rPr/>
        <w:t>general</w:t>
      </w:r>
      <w:r>
        <w:rPr>
          <w:spacing w:val="-17"/>
        </w:rPr>
        <w:t> </w:t>
      </w:r>
      <w:r>
        <w:rPr/>
        <w:t>entre los años 2000 y 2012, este comportamiento devela que los productores del estrato I, implementaron estrategias para disminuir el costo del principal insumo en la dieta y de su principal</w:t>
      </w:r>
      <w:r>
        <w:rPr>
          <w:spacing w:val="-12"/>
        </w:rPr>
        <w:t> </w:t>
      </w:r>
      <w:r>
        <w:rPr/>
        <w:t>activo</w:t>
      </w:r>
      <w:r>
        <w:rPr>
          <w:spacing w:val="-12"/>
        </w:rPr>
        <w:t> </w:t>
      </w:r>
      <w:r>
        <w:rPr/>
        <w:t>productivo</w:t>
      </w:r>
      <w:r>
        <w:rPr>
          <w:spacing w:val="-12"/>
        </w:rPr>
        <w:t> </w:t>
      </w:r>
      <w:r>
        <w:rPr/>
        <w:t>(vacas</w:t>
      </w:r>
      <w:r>
        <w:rPr>
          <w:spacing w:val="-9"/>
        </w:rPr>
        <w:t> </w:t>
      </w:r>
      <w:r>
        <w:rPr/>
        <w:t>en</w:t>
      </w:r>
      <w:r>
        <w:rPr>
          <w:spacing w:val="-12"/>
        </w:rPr>
        <w:t> </w:t>
      </w:r>
      <w:r>
        <w:rPr/>
        <w:t>producción)</w:t>
      </w:r>
      <w:r>
        <w:rPr>
          <w:spacing w:val="-10"/>
        </w:rPr>
        <w:t> </w:t>
      </w:r>
      <w:r>
        <w:rPr/>
        <w:t>aumentando</w:t>
      </w:r>
      <w:r>
        <w:rPr>
          <w:spacing w:val="-12"/>
        </w:rPr>
        <w:t> </w:t>
      </w:r>
      <w:r>
        <w:rPr/>
        <w:t>con</w:t>
      </w:r>
      <w:r>
        <w:rPr>
          <w:spacing w:val="-12"/>
        </w:rPr>
        <w:t> </w:t>
      </w:r>
      <w:r>
        <w:rPr/>
        <w:t>ello</w:t>
      </w:r>
      <w:r>
        <w:rPr>
          <w:spacing w:val="-12"/>
        </w:rPr>
        <w:t> </w:t>
      </w:r>
      <w:r>
        <w:rPr/>
        <w:t>el</w:t>
      </w:r>
      <w:r>
        <w:rPr>
          <w:spacing w:val="-9"/>
        </w:rPr>
        <w:t> </w:t>
      </w:r>
      <w:r>
        <w:rPr/>
        <w:t>grado</w:t>
      </w:r>
      <w:r>
        <w:rPr>
          <w:spacing w:val="-12"/>
        </w:rPr>
        <w:t> </w:t>
      </w:r>
      <w:r>
        <w:rPr/>
        <w:t>de</w:t>
      </w:r>
      <w:r>
        <w:rPr>
          <w:spacing w:val="-13"/>
        </w:rPr>
        <w:t> </w:t>
      </w:r>
      <w:r>
        <w:rPr/>
        <w:t>eficiencia económica para el periodo</w:t>
      </w:r>
      <w:r>
        <w:rPr>
          <w:spacing w:val="-4"/>
        </w:rPr>
        <w:t> </w:t>
      </w:r>
      <w:r>
        <w:rPr/>
        <w:t>2012.</w:t>
      </w:r>
    </w:p>
    <w:p>
      <w:pPr>
        <w:pStyle w:val="BodyText"/>
      </w:pPr>
    </w:p>
    <w:p>
      <w:pPr>
        <w:pStyle w:val="BodyText"/>
        <w:spacing w:line="360" w:lineRule="auto" w:before="143"/>
        <w:ind w:left="191" w:right="207"/>
        <w:jc w:val="both"/>
      </w:pPr>
      <w:r>
        <w:rPr/>
        <w:pict>
          <v:group style="position:absolute;margin-left:84.003998pt;margin-top:48.813137pt;width:444.25pt;height:2.2pt;mso-position-horizontal-relative:page;mso-position-vertical-relative:paragraph;z-index:-459232" coordorigin="1680,976" coordsize="8885,44">
            <v:line style="position:absolute" from="1702,998" to="4522,998" stroked="true" strokeweight="2.16pt" strokecolor="#000000"/>
            <v:line style="position:absolute" from="4523,998" to="4566,998" stroked="true" strokeweight="2.16pt" strokecolor="#000000"/>
            <v:line style="position:absolute" from="4566,998" to="5775,998" stroked="true" strokeweight="2.16pt" strokecolor="#000000"/>
            <v:line style="position:absolute" from="5775,998" to="5819,998" stroked="true" strokeweight="2.16pt" strokecolor="#000000"/>
            <v:line style="position:absolute" from="5819,998" to="7026,998" stroked="true" strokeweight="2.16pt" strokecolor="#000000"/>
            <v:line style="position:absolute" from="7026,998" to="7069,998" stroked="true" strokeweight="2.16pt" strokecolor="#000000"/>
            <v:line style="position:absolute" from="7069,998" to="8353,998" stroked="true" strokeweight="2.16pt" strokecolor="#000000"/>
            <v:line style="position:absolute" from="8353,998" to="8397,998" stroked="true" strokeweight="2.16pt" strokecolor="#000000"/>
            <v:line style="position:absolute" from="8397,998" to="10543,998" stroked="true" strokeweight="2.16pt" strokecolor="#000000"/>
            <w10:wrap type="none"/>
          </v:group>
        </w:pict>
      </w:r>
      <w:r>
        <w:rPr>
          <w:b/>
        </w:rPr>
        <w:t>Tabla 5. </w:t>
      </w:r>
      <w:r>
        <w:rPr/>
        <w:t>Comparación del INPC y los deflactores por rubro de gasto para el estrato I ($/litro)</w:t>
      </w:r>
    </w:p>
    <w:p>
      <w:pPr>
        <w:spacing w:after="0" w:line="360" w:lineRule="auto"/>
        <w:jc w:val="both"/>
        <w:sectPr>
          <w:pgSz w:w="12240" w:h="15840"/>
          <w:pgMar w:header="0" w:footer="657" w:top="1360" w:bottom="840" w:left="1580" w:right="1560"/>
        </w:sectPr>
      </w:pPr>
    </w:p>
    <w:p>
      <w:pPr>
        <w:pStyle w:val="BodyText"/>
        <w:spacing w:before="196"/>
        <w:ind w:left="191" w:right="-17"/>
      </w:pPr>
      <w:r>
        <w:rPr/>
        <w:pict>
          <v:shape style="position:absolute;margin-left:85.103996pt;margin-top:17.707052pt;width:442.05pt;height:241.55pt;mso-position-horizontal-relative:page;mso-position-vertical-relative:paragraph;z-index:45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5"/>
                    <w:gridCol w:w="1206"/>
                    <w:gridCol w:w="1260"/>
                    <w:gridCol w:w="1380"/>
                    <w:gridCol w:w="2129"/>
                  </w:tblGrid>
                  <w:tr>
                    <w:trPr>
                      <w:trHeight w:val="528" w:hRule="exact"/>
                    </w:trPr>
                    <w:tc>
                      <w:tcPr>
                        <w:tcW w:w="4071" w:type="dxa"/>
                        <w:gridSpan w:val="2"/>
                      </w:tcPr>
                      <w:p>
                        <w:pPr>
                          <w:pStyle w:val="TableParagraph"/>
                          <w:tabs>
                            <w:tab w:pos="2899" w:val="left" w:leader="none"/>
                          </w:tabs>
                          <w:spacing w:line="108" w:lineRule="auto" w:before="91"/>
                          <w:ind w:left="3166" w:right="79" w:hanging="3097"/>
                          <w:jc w:val="left"/>
                          <w:rPr>
                            <w:sz w:val="16"/>
                          </w:rPr>
                        </w:pPr>
                        <w:r>
                          <w:rPr>
                            <w:sz w:val="24"/>
                          </w:rPr>
                          <w:t>costo</w:t>
                        </w:r>
                        <w:r>
                          <w:rPr>
                            <w:spacing w:val="-1"/>
                            <w:sz w:val="24"/>
                          </w:rPr>
                          <w:t> </w:t>
                        </w:r>
                        <w:r>
                          <w:rPr>
                            <w:sz w:val="24"/>
                          </w:rPr>
                          <w:t>de</w:t>
                        </w:r>
                        <w:r>
                          <w:rPr>
                            <w:spacing w:val="-2"/>
                            <w:sz w:val="24"/>
                          </w:rPr>
                          <w:t> </w:t>
                        </w:r>
                        <w:r>
                          <w:rPr>
                            <w:sz w:val="24"/>
                          </w:rPr>
                          <w:t>producción</w:t>
                          <w:tab/>
                        </w:r>
                        <w:r>
                          <w:rPr>
                            <w:spacing w:val="-1"/>
                            <w:position w:val="15"/>
                            <w:sz w:val="24"/>
                          </w:rPr>
                          <w:t>deflactados </w:t>
                        </w:r>
                        <w:r>
                          <w:rPr>
                            <w:sz w:val="24"/>
                          </w:rPr>
                          <w:t>2000</w:t>
                        </w:r>
                        <w:r>
                          <w:rPr>
                            <w:position w:val="9"/>
                            <w:sz w:val="16"/>
                          </w:rPr>
                          <w:t>£</w:t>
                        </w:r>
                      </w:p>
                    </w:tc>
                    <w:tc>
                      <w:tcPr>
                        <w:tcW w:w="1260" w:type="dxa"/>
                      </w:tcPr>
                      <w:p>
                        <w:pPr>
                          <w:pStyle w:val="TableParagraph"/>
                          <w:spacing w:line="245" w:lineRule="exact"/>
                          <w:ind w:left="61" w:right="66"/>
                          <w:jc w:val="center"/>
                          <w:rPr>
                            <w:sz w:val="24"/>
                          </w:rPr>
                        </w:pPr>
                        <w:r>
                          <w:rPr>
                            <w:sz w:val="24"/>
                          </w:rPr>
                          <w:t>deflactados</w:t>
                        </w:r>
                      </w:p>
                      <w:p>
                        <w:pPr>
                          <w:pStyle w:val="TableParagraph"/>
                          <w:spacing w:before="12"/>
                          <w:ind w:left="61" w:right="66"/>
                          <w:jc w:val="center"/>
                          <w:rPr>
                            <w:sz w:val="24"/>
                          </w:rPr>
                        </w:pPr>
                        <w:r>
                          <w:rPr>
                            <w:sz w:val="24"/>
                          </w:rPr>
                          <w:t>2012</w:t>
                        </w:r>
                      </w:p>
                    </w:tc>
                    <w:tc>
                      <w:tcPr>
                        <w:tcW w:w="1380" w:type="dxa"/>
                      </w:tcPr>
                      <w:p>
                        <w:pPr>
                          <w:pStyle w:val="TableParagraph"/>
                          <w:spacing w:line="245" w:lineRule="exact"/>
                          <w:ind w:left="136" w:hanging="48"/>
                          <w:jc w:val="left"/>
                          <w:rPr>
                            <w:sz w:val="24"/>
                          </w:rPr>
                        </w:pPr>
                        <w:r>
                          <w:rPr>
                            <w:sz w:val="24"/>
                          </w:rPr>
                          <w:t>crecimiento</w:t>
                        </w:r>
                      </w:p>
                      <w:p>
                        <w:pPr>
                          <w:pStyle w:val="TableParagraph"/>
                          <w:spacing w:before="12"/>
                          <w:ind w:left="136"/>
                          <w:jc w:val="left"/>
                          <w:rPr>
                            <w:sz w:val="24"/>
                          </w:rPr>
                        </w:pPr>
                        <w:r>
                          <w:rPr>
                            <w:sz w:val="24"/>
                          </w:rPr>
                          <w:t>2000-2012</w:t>
                        </w:r>
                      </w:p>
                    </w:tc>
                    <w:tc>
                      <w:tcPr>
                        <w:tcW w:w="2129" w:type="dxa"/>
                      </w:tcPr>
                      <w:p>
                        <w:pPr>
                          <w:pStyle w:val="TableParagraph"/>
                          <w:spacing w:line="245" w:lineRule="exact"/>
                          <w:ind w:left="144" w:right="205"/>
                          <w:jc w:val="center"/>
                          <w:rPr>
                            <w:sz w:val="24"/>
                          </w:rPr>
                        </w:pPr>
                        <w:r>
                          <w:rPr>
                            <w:sz w:val="24"/>
                          </w:rPr>
                          <w:t>Inflación</w:t>
                        </w:r>
                        <w:r>
                          <w:rPr>
                            <w:spacing w:val="53"/>
                            <w:sz w:val="24"/>
                          </w:rPr>
                          <w:t> </w:t>
                        </w:r>
                        <w:r>
                          <w:rPr>
                            <w:sz w:val="24"/>
                          </w:rPr>
                          <w:t>General</w:t>
                        </w:r>
                      </w:p>
                      <w:p>
                        <w:pPr>
                          <w:pStyle w:val="TableParagraph"/>
                          <w:spacing w:before="12"/>
                          <w:ind w:left="140" w:right="205"/>
                          <w:jc w:val="center"/>
                          <w:rPr>
                            <w:sz w:val="24"/>
                          </w:rPr>
                        </w:pPr>
                        <w:r>
                          <w:rPr>
                            <w:sz w:val="24"/>
                          </w:rPr>
                          <w:t>y por rubro</w:t>
                        </w:r>
                      </w:p>
                    </w:tc>
                  </w:tr>
                  <w:tr>
                    <w:trPr>
                      <w:trHeight w:val="374" w:hRule="exact"/>
                    </w:trPr>
                    <w:tc>
                      <w:tcPr>
                        <w:tcW w:w="8841" w:type="dxa"/>
                        <w:gridSpan w:val="5"/>
                      </w:tcPr>
                      <w:p>
                        <w:pPr>
                          <w:pStyle w:val="TableParagraph"/>
                          <w:tabs>
                            <w:tab w:pos="4538" w:val="left" w:leader="none"/>
                            <w:tab w:pos="5650" w:val="left" w:leader="none"/>
                            <w:tab w:pos="7227" w:val="left" w:leader="none"/>
                          </w:tabs>
                          <w:spacing w:line="401" w:lineRule="exact" w:before="14"/>
                          <w:ind w:left="3278"/>
                          <w:jc w:val="left"/>
                          <w:rPr>
                            <w:sz w:val="24"/>
                          </w:rPr>
                        </w:pPr>
                        <w:r>
                          <w:rPr>
                            <w:sz w:val="24"/>
                          </w:rPr>
                          <w:t>(A)</w:t>
                          <w:tab/>
                          <w:t>(B)</w:t>
                          <w:tab/>
                        </w:r>
                        <w:r>
                          <w:rPr>
                            <w:position w:val="14"/>
                            <w:sz w:val="24"/>
                          </w:rPr>
                          <w:t>C=</w:t>
                        </w:r>
                        <w:r>
                          <w:rPr>
                            <w:spacing w:val="-2"/>
                            <w:position w:val="14"/>
                            <w:sz w:val="24"/>
                          </w:rPr>
                          <w:t> </w:t>
                        </w:r>
                        <w:r>
                          <w:rPr>
                            <w:position w:val="14"/>
                            <w:sz w:val="24"/>
                          </w:rPr>
                          <w:t>(B-</w:t>
                          <w:tab/>
                        </w:r>
                        <w:r>
                          <w:rPr>
                            <w:sz w:val="24"/>
                          </w:rPr>
                          <w:t>E=</w:t>
                        </w:r>
                        <w:r>
                          <w:rPr>
                            <w:spacing w:val="-4"/>
                            <w:sz w:val="24"/>
                          </w:rPr>
                          <w:t> </w:t>
                        </w:r>
                        <w:r>
                          <w:rPr>
                            <w:sz w:val="24"/>
                          </w:rPr>
                          <w:t>(C-D</w:t>
                        </w:r>
                        <w:r>
                          <w:rPr>
                            <w:position w:val="9"/>
                            <w:sz w:val="16"/>
                          </w:rPr>
                          <w:t>ῼ</w:t>
                        </w:r>
                        <w:r>
                          <w:rPr>
                            <w:sz w:val="24"/>
                          </w:rPr>
                          <w:t>)</w:t>
                        </w:r>
                      </w:p>
                    </w:tc>
                  </w:tr>
                  <w:tr>
                    <w:trPr>
                      <w:trHeight w:val="224" w:hRule="exact"/>
                    </w:trPr>
                    <w:tc>
                      <w:tcPr>
                        <w:tcW w:w="2865" w:type="dxa"/>
                        <w:tcBorders>
                          <w:bottom w:val="single" w:sz="17" w:space="0" w:color="000000"/>
                        </w:tcBorders>
                      </w:tcPr>
                      <w:p>
                        <w:pPr/>
                      </w:p>
                    </w:tc>
                    <w:tc>
                      <w:tcPr>
                        <w:tcW w:w="1206" w:type="dxa"/>
                        <w:tcBorders>
                          <w:bottom w:val="single" w:sz="17" w:space="0" w:color="000000"/>
                        </w:tcBorders>
                      </w:tcPr>
                      <w:p>
                        <w:pPr/>
                      </w:p>
                    </w:tc>
                    <w:tc>
                      <w:tcPr>
                        <w:tcW w:w="1260" w:type="dxa"/>
                        <w:tcBorders>
                          <w:bottom w:val="single" w:sz="17" w:space="0" w:color="000000"/>
                        </w:tcBorders>
                      </w:tcPr>
                      <w:p>
                        <w:pPr/>
                      </w:p>
                    </w:tc>
                    <w:tc>
                      <w:tcPr>
                        <w:tcW w:w="1380" w:type="dxa"/>
                        <w:tcBorders>
                          <w:bottom w:val="single" w:sz="17" w:space="0" w:color="000000"/>
                        </w:tcBorders>
                      </w:tcPr>
                      <w:p>
                        <w:pPr>
                          <w:pStyle w:val="TableParagraph"/>
                          <w:spacing w:line="195" w:lineRule="exact"/>
                          <w:ind w:left="369"/>
                          <w:jc w:val="left"/>
                          <w:rPr>
                            <w:sz w:val="24"/>
                          </w:rPr>
                        </w:pPr>
                        <w:r>
                          <w:rPr>
                            <w:sz w:val="24"/>
                          </w:rPr>
                          <w:t>A)/A)</w:t>
                        </w:r>
                      </w:p>
                    </w:tc>
                    <w:tc>
                      <w:tcPr>
                        <w:tcW w:w="2129" w:type="dxa"/>
                        <w:tcBorders>
                          <w:bottom w:val="single" w:sz="17" w:space="0" w:color="000000"/>
                        </w:tcBorders>
                      </w:tcPr>
                      <w:p>
                        <w:pPr/>
                      </w:p>
                    </w:tc>
                  </w:tr>
                  <w:tr>
                    <w:trPr>
                      <w:trHeight w:val="331" w:hRule="exact"/>
                    </w:trPr>
                    <w:tc>
                      <w:tcPr>
                        <w:tcW w:w="2865" w:type="dxa"/>
                        <w:tcBorders>
                          <w:top w:val="single" w:sz="17" w:space="0" w:color="000000"/>
                        </w:tcBorders>
                      </w:tcPr>
                      <w:p>
                        <w:pPr>
                          <w:pStyle w:val="TableParagraph"/>
                          <w:spacing w:before="11"/>
                          <w:ind w:left="69"/>
                          <w:jc w:val="left"/>
                          <w:rPr>
                            <w:b/>
                            <w:sz w:val="24"/>
                          </w:rPr>
                        </w:pPr>
                        <w:r>
                          <w:rPr>
                            <w:b/>
                            <w:sz w:val="24"/>
                          </w:rPr>
                          <w:t>Costos variables</w:t>
                        </w:r>
                      </w:p>
                    </w:tc>
                    <w:tc>
                      <w:tcPr>
                        <w:tcW w:w="1206" w:type="dxa"/>
                        <w:tcBorders>
                          <w:top w:val="single" w:sz="17" w:space="0" w:color="000000"/>
                        </w:tcBorders>
                      </w:tcPr>
                      <w:p>
                        <w:pPr/>
                      </w:p>
                    </w:tc>
                    <w:tc>
                      <w:tcPr>
                        <w:tcW w:w="1260" w:type="dxa"/>
                        <w:tcBorders>
                          <w:top w:val="single" w:sz="17" w:space="0" w:color="000000"/>
                        </w:tcBorders>
                      </w:tcPr>
                      <w:p>
                        <w:pPr/>
                      </w:p>
                    </w:tc>
                    <w:tc>
                      <w:tcPr>
                        <w:tcW w:w="1380" w:type="dxa"/>
                        <w:tcBorders>
                          <w:top w:val="single" w:sz="17" w:space="0" w:color="000000"/>
                        </w:tcBorders>
                      </w:tcPr>
                      <w:p>
                        <w:pPr/>
                      </w:p>
                    </w:tc>
                    <w:tc>
                      <w:tcPr>
                        <w:tcW w:w="2129" w:type="dxa"/>
                        <w:tcBorders>
                          <w:top w:val="single" w:sz="17" w:space="0" w:color="000000"/>
                        </w:tcBorders>
                      </w:tcPr>
                      <w:p>
                        <w:pPr/>
                      </w:p>
                    </w:tc>
                  </w:tr>
                  <w:tr>
                    <w:trPr>
                      <w:trHeight w:val="298" w:hRule="exact"/>
                    </w:trPr>
                    <w:tc>
                      <w:tcPr>
                        <w:tcW w:w="2865" w:type="dxa"/>
                      </w:tcPr>
                      <w:p>
                        <w:pPr>
                          <w:pStyle w:val="TableParagraph"/>
                          <w:spacing w:line="273" w:lineRule="exact"/>
                          <w:ind w:left="69"/>
                          <w:jc w:val="left"/>
                          <w:rPr>
                            <w:sz w:val="24"/>
                          </w:rPr>
                        </w:pPr>
                        <w:r>
                          <w:rPr>
                            <w:sz w:val="24"/>
                          </w:rPr>
                          <w:t>Alimentación</w:t>
                        </w:r>
                      </w:p>
                    </w:tc>
                    <w:tc>
                      <w:tcPr>
                        <w:tcW w:w="1206" w:type="dxa"/>
                      </w:tcPr>
                      <w:p>
                        <w:pPr>
                          <w:pStyle w:val="TableParagraph"/>
                          <w:spacing w:line="273" w:lineRule="exact"/>
                          <w:ind w:left="352" w:right="394"/>
                          <w:jc w:val="center"/>
                          <w:rPr>
                            <w:sz w:val="24"/>
                          </w:rPr>
                        </w:pPr>
                        <w:r>
                          <w:rPr>
                            <w:sz w:val="24"/>
                          </w:rPr>
                          <w:t>2.45</w:t>
                        </w:r>
                      </w:p>
                    </w:tc>
                    <w:tc>
                      <w:tcPr>
                        <w:tcW w:w="1260" w:type="dxa"/>
                      </w:tcPr>
                      <w:p>
                        <w:pPr>
                          <w:pStyle w:val="TableParagraph"/>
                          <w:spacing w:line="273" w:lineRule="exact"/>
                          <w:ind w:left="61" w:right="64"/>
                          <w:jc w:val="center"/>
                          <w:rPr>
                            <w:sz w:val="24"/>
                          </w:rPr>
                        </w:pPr>
                        <w:r>
                          <w:rPr>
                            <w:sz w:val="24"/>
                          </w:rPr>
                          <w:t>2.23</w:t>
                        </w:r>
                      </w:p>
                    </w:tc>
                    <w:tc>
                      <w:tcPr>
                        <w:tcW w:w="1380" w:type="dxa"/>
                      </w:tcPr>
                      <w:p>
                        <w:pPr>
                          <w:pStyle w:val="TableParagraph"/>
                          <w:spacing w:line="273" w:lineRule="exact"/>
                          <w:ind w:left="304"/>
                          <w:jc w:val="left"/>
                          <w:rPr>
                            <w:sz w:val="24"/>
                          </w:rPr>
                        </w:pPr>
                        <w:r>
                          <w:rPr>
                            <w:sz w:val="24"/>
                          </w:rPr>
                          <w:t>-9.34%</w:t>
                        </w:r>
                      </w:p>
                    </w:tc>
                    <w:tc>
                      <w:tcPr>
                        <w:tcW w:w="2129" w:type="dxa"/>
                      </w:tcPr>
                      <w:p>
                        <w:pPr>
                          <w:pStyle w:val="TableParagraph"/>
                          <w:spacing w:line="273" w:lineRule="exact"/>
                          <w:ind w:right="685"/>
                          <w:rPr>
                            <w:sz w:val="24"/>
                          </w:rPr>
                        </w:pPr>
                        <w:r>
                          <w:rPr>
                            <w:sz w:val="24"/>
                          </w:rPr>
                          <w:t>-79.37%</w:t>
                        </w:r>
                      </w:p>
                    </w:tc>
                  </w:tr>
                  <w:tr>
                    <w:trPr>
                      <w:trHeight w:val="300" w:hRule="exact"/>
                    </w:trPr>
                    <w:tc>
                      <w:tcPr>
                        <w:tcW w:w="2865" w:type="dxa"/>
                      </w:tcPr>
                      <w:p>
                        <w:pPr>
                          <w:pStyle w:val="TableParagraph"/>
                          <w:spacing w:line="275" w:lineRule="exact"/>
                          <w:ind w:left="69"/>
                          <w:jc w:val="left"/>
                          <w:rPr>
                            <w:sz w:val="24"/>
                          </w:rPr>
                        </w:pPr>
                        <w:r>
                          <w:rPr>
                            <w:sz w:val="24"/>
                          </w:rPr>
                          <w:t>Mano de obra</w:t>
                        </w:r>
                      </w:p>
                    </w:tc>
                    <w:tc>
                      <w:tcPr>
                        <w:tcW w:w="1206" w:type="dxa"/>
                      </w:tcPr>
                      <w:p>
                        <w:pPr>
                          <w:pStyle w:val="TableParagraph"/>
                          <w:spacing w:line="275" w:lineRule="exact"/>
                          <w:ind w:left="352" w:right="394"/>
                          <w:jc w:val="center"/>
                          <w:rPr>
                            <w:sz w:val="24"/>
                          </w:rPr>
                        </w:pPr>
                        <w:r>
                          <w:rPr>
                            <w:sz w:val="24"/>
                          </w:rPr>
                          <w:t>0.88</w:t>
                        </w:r>
                      </w:p>
                    </w:tc>
                    <w:tc>
                      <w:tcPr>
                        <w:tcW w:w="1260" w:type="dxa"/>
                      </w:tcPr>
                      <w:p>
                        <w:pPr>
                          <w:pStyle w:val="TableParagraph"/>
                          <w:spacing w:line="275" w:lineRule="exact"/>
                          <w:ind w:left="61" w:right="64"/>
                          <w:jc w:val="center"/>
                          <w:rPr>
                            <w:sz w:val="24"/>
                          </w:rPr>
                        </w:pPr>
                        <w:r>
                          <w:rPr>
                            <w:sz w:val="24"/>
                          </w:rPr>
                          <w:t>1.21</w:t>
                        </w:r>
                      </w:p>
                    </w:tc>
                    <w:tc>
                      <w:tcPr>
                        <w:tcW w:w="1380" w:type="dxa"/>
                      </w:tcPr>
                      <w:p>
                        <w:pPr>
                          <w:pStyle w:val="TableParagraph"/>
                          <w:spacing w:line="275" w:lineRule="exact"/>
                          <w:ind w:left="285"/>
                          <w:jc w:val="left"/>
                          <w:rPr>
                            <w:sz w:val="24"/>
                          </w:rPr>
                        </w:pPr>
                        <w:r>
                          <w:rPr>
                            <w:sz w:val="24"/>
                          </w:rPr>
                          <w:t>37.46%</w:t>
                        </w:r>
                      </w:p>
                    </w:tc>
                    <w:tc>
                      <w:tcPr>
                        <w:tcW w:w="2129" w:type="dxa"/>
                      </w:tcPr>
                      <w:p>
                        <w:pPr>
                          <w:pStyle w:val="TableParagraph"/>
                          <w:spacing w:line="275" w:lineRule="exact"/>
                          <w:ind w:right="685"/>
                          <w:rPr>
                            <w:sz w:val="24"/>
                          </w:rPr>
                        </w:pPr>
                        <w:r>
                          <w:rPr>
                            <w:sz w:val="24"/>
                          </w:rPr>
                          <w:t>-32.57%</w:t>
                        </w:r>
                      </w:p>
                    </w:tc>
                  </w:tr>
                  <w:tr>
                    <w:trPr>
                      <w:trHeight w:val="300" w:hRule="exact"/>
                    </w:trPr>
                    <w:tc>
                      <w:tcPr>
                        <w:tcW w:w="2865" w:type="dxa"/>
                      </w:tcPr>
                      <w:p>
                        <w:pPr>
                          <w:pStyle w:val="TableParagraph"/>
                          <w:spacing w:line="275" w:lineRule="exact"/>
                          <w:ind w:left="69"/>
                          <w:jc w:val="left"/>
                          <w:rPr>
                            <w:sz w:val="24"/>
                          </w:rPr>
                        </w:pPr>
                        <w:r>
                          <w:rPr>
                            <w:sz w:val="24"/>
                          </w:rPr>
                          <w:t>Medicamentos</w:t>
                        </w:r>
                      </w:p>
                    </w:tc>
                    <w:tc>
                      <w:tcPr>
                        <w:tcW w:w="1206" w:type="dxa"/>
                      </w:tcPr>
                      <w:p>
                        <w:pPr>
                          <w:pStyle w:val="TableParagraph"/>
                          <w:spacing w:line="275" w:lineRule="exact"/>
                          <w:ind w:left="352" w:right="394"/>
                          <w:jc w:val="center"/>
                          <w:rPr>
                            <w:sz w:val="24"/>
                          </w:rPr>
                        </w:pPr>
                        <w:r>
                          <w:rPr>
                            <w:sz w:val="24"/>
                          </w:rPr>
                          <w:t>0.05</w:t>
                        </w:r>
                      </w:p>
                    </w:tc>
                    <w:tc>
                      <w:tcPr>
                        <w:tcW w:w="1260" w:type="dxa"/>
                      </w:tcPr>
                      <w:p>
                        <w:pPr>
                          <w:pStyle w:val="TableParagraph"/>
                          <w:spacing w:line="275" w:lineRule="exact"/>
                          <w:ind w:left="61" w:right="64"/>
                          <w:jc w:val="center"/>
                          <w:rPr>
                            <w:sz w:val="24"/>
                          </w:rPr>
                        </w:pPr>
                        <w:r>
                          <w:rPr>
                            <w:sz w:val="24"/>
                          </w:rPr>
                          <w:t>0.07</w:t>
                        </w:r>
                      </w:p>
                    </w:tc>
                    <w:tc>
                      <w:tcPr>
                        <w:tcW w:w="1380" w:type="dxa"/>
                      </w:tcPr>
                      <w:p>
                        <w:pPr>
                          <w:pStyle w:val="TableParagraph"/>
                          <w:spacing w:line="275" w:lineRule="exact"/>
                          <w:ind w:left="285"/>
                          <w:jc w:val="left"/>
                          <w:rPr>
                            <w:sz w:val="24"/>
                          </w:rPr>
                        </w:pPr>
                        <w:r>
                          <w:rPr>
                            <w:sz w:val="24"/>
                          </w:rPr>
                          <w:t>28.92%</w:t>
                        </w:r>
                      </w:p>
                    </w:tc>
                    <w:tc>
                      <w:tcPr>
                        <w:tcW w:w="2129" w:type="dxa"/>
                      </w:tcPr>
                      <w:p>
                        <w:pPr>
                          <w:pStyle w:val="TableParagraph"/>
                          <w:spacing w:line="275" w:lineRule="exact"/>
                          <w:ind w:right="685"/>
                          <w:rPr>
                            <w:sz w:val="24"/>
                          </w:rPr>
                        </w:pPr>
                        <w:r>
                          <w:rPr>
                            <w:sz w:val="24"/>
                          </w:rPr>
                          <w:t>-41.11%</w:t>
                        </w:r>
                      </w:p>
                    </w:tc>
                  </w:tr>
                  <w:tr>
                    <w:trPr>
                      <w:trHeight w:val="300" w:hRule="exact"/>
                    </w:trPr>
                    <w:tc>
                      <w:tcPr>
                        <w:tcW w:w="2865" w:type="dxa"/>
                      </w:tcPr>
                      <w:p>
                        <w:pPr>
                          <w:pStyle w:val="TableParagraph"/>
                          <w:spacing w:line="275" w:lineRule="exact"/>
                          <w:ind w:left="69"/>
                          <w:jc w:val="left"/>
                          <w:rPr>
                            <w:sz w:val="24"/>
                          </w:rPr>
                        </w:pPr>
                        <w:r>
                          <w:rPr>
                            <w:sz w:val="24"/>
                          </w:rPr>
                          <w:t>Servicio reproductivo</w:t>
                        </w:r>
                      </w:p>
                    </w:tc>
                    <w:tc>
                      <w:tcPr>
                        <w:tcW w:w="1206" w:type="dxa"/>
                      </w:tcPr>
                      <w:p>
                        <w:pPr>
                          <w:pStyle w:val="TableParagraph"/>
                          <w:spacing w:line="275" w:lineRule="exact"/>
                          <w:ind w:left="352" w:right="394"/>
                          <w:jc w:val="center"/>
                          <w:rPr>
                            <w:sz w:val="24"/>
                          </w:rPr>
                        </w:pPr>
                        <w:r>
                          <w:rPr>
                            <w:sz w:val="24"/>
                          </w:rPr>
                          <w:t>0.05</w:t>
                        </w:r>
                      </w:p>
                    </w:tc>
                    <w:tc>
                      <w:tcPr>
                        <w:tcW w:w="1260" w:type="dxa"/>
                      </w:tcPr>
                      <w:p>
                        <w:pPr>
                          <w:pStyle w:val="TableParagraph"/>
                          <w:spacing w:line="275" w:lineRule="exact"/>
                          <w:ind w:left="61" w:right="64"/>
                          <w:jc w:val="center"/>
                          <w:rPr>
                            <w:sz w:val="24"/>
                          </w:rPr>
                        </w:pPr>
                        <w:r>
                          <w:rPr>
                            <w:sz w:val="24"/>
                          </w:rPr>
                          <w:t>0.04</w:t>
                        </w:r>
                      </w:p>
                    </w:tc>
                    <w:tc>
                      <w:tcPr>
                        <w:tcW w:w="1380" w:type="dxa"/>
                      </w:tcPr>
                      <w:p>
                        <w:pPr>
                          <w:pStyle w:val="TableParagraph"/>
                          <w:spacing w:line="275" w:lineRule="exact"/>
                          <w:ind w:left="244"/>
                          <w:jc w:val="left"/>
                          <w:rPr>
                            <w:sz w:val="24"/>
                          </w:rPr>
                        </w:pPr>
                        <w:r>
                          <w:rPr>
                            <w:sz w:val="24"/>
                          </w:rPr>
                          <w:t>-26.33%</w:t>
                        </w:r>
                      </w:p>
                    </w:tc>
                    <w:tc>
                      <w:tcPr>
                        <w:tcW w:w="2129" w:type="dxa"/>
                      </w:tcPr>
                      <w:p>
                        <w:pPr>
                          <w:pStyle w:val="TableParagraph"/>
                          <w:spacing w:line="275" w:lineRule="exact"/>
                          <w:ind w:right="685"/>
                          <w:rPr>
                            <w:sz w:val="24"/>
                          </w:rPr>
                        </w:pPr>
                        <w:r>
                          <w:rPr>
                            <w:sz w:val="24"/>
                          </w:rPr>
                          <w:t>-96.36%</w:t>
                        </w:r>
                      </w:p>
                    </w:tc>
                  </w:tr>
                  <w:tr>
                    <w:trPr>
                      <w:trHeight w:val="300" w:hRule="exact"/>
                    </w:trPr>
                    <w:tc>
                      <w:tcPr>
                        <w:tcW w:w="2865" w:type="dxa"/>
                      </w:tcPr>
                      <w:p>
                        <w:pPr>
                          <w:pStyle w:val="TableParagraph"/>
                          <w:spacing w:line="275" w:lineRule="exact"/>
                          <w:ind w:left="69"/>
                          <w:jc w:val="left"/>
                          <w:rPr>
                            <w:sz w:val="24"/>
                          </w:rPr>
                        </w:pPr>
                        <w:r>
                          <w:rPr>
                            <w:sz w:val="24"/>
                          </w:rPr>
                          <w:t>Agua</w:t>
                        </w:r>
                      </w:p>
                    </w:tc>
                    <w:tc>
                      <w:tcPr>
                        <w:tcW w:w="1206" w:type="dxa"/>
                      </w:tcPr>
                      <w:p>
                        <w:pPr>
                          <w:pStyle w:val="TableParagraph"/>
                          <w:spacing w:line="275" w:lineRule="exact"/>
                          <w:ind w:left="352" w:right="394"/>
                          <w:jc w:val="center"/>
                          <w:rPr>
                            <w:sz w:val="24"/>
                          </w:rPr>
                        </w:pPr>
                        <w:r>
                          <w:rPr>
                            <w:sz w:val="24"/>
                          </w:rPr>
                          <w:t>0.01</w:t>
                        </w:r>
                      </w:p>
                    </w:tc>
                    <w:tc>
                      <w:tcPr>
                        <w:tcW w:w="1260" w:type="dxa"/>
                      </w:tcPr>
                      <w:p>
                        <w:pPr>
                          <w:pStyle w:val="TableParagraph"/>
                          <w:spacing w:line="275" w:lineRule="exact"/>
                          <w:ind w:left="61" w:right="64"/>
                          <w:jc w:val="center"/>
                          <w:rPr>
                            <w:sz w:val="24"/>
                          </w:rPr>
                        </w:pPr>
                        <w:r>
                          <w:rPr>
                            <w:sz w:val="24"/>
                          </w:rPr>
                          <w:t>0.04</w:t>
                        </w:r>
                      </w:p>
                    </w:tc>
                    <w:tc>
                      <w:tcPr>
                        <w:tcW w:w="1380" w:type="dxa"/>
                      </w:tcPr>
                      <w:p>
                        <w:pPr>
                          <w:pStyle w:val="TableParagraph"/>
                          <w:spacing w:line="275" w:lineRule="exact"/>
                          <w:ind w:left="225"/>
                          <w:jc w:val="left"/>
                          <w:rPr>
                            <w:sz w:val="24"/>
                          </w:rPr>
                        </w:pPr>
                        <w:r>
                          <w:rPr>
                            <w:sz w:val="24"/>
                          </w:rPr>
                          <w:t>342.03%</w:t>
                        </w:r>
                      </w:p>
                    </w:tc>
                    <w:tc>
                      <w:tcPr>
                        <w:tcW w:w="2129" w:type="dxa"/>
                      </w:tcPr>
                      <w:p>
                        <w:pPr>
                          <w:pStyle w:val="TableParagraph"/>
                          <w:spacing w:line="275" w:lineRule="exact"/>
                          <w:ind w:right="664"/>
                          <w:rPr>
                            <w:sz w:val="24"/>
                          </w:rPr>
                        </w:pPr>
                        <w:r>
                          <w:rPr>
                            <w:sz w:val="24"/>
                          </w:rPr>
                          <w:t>272.00%</w:t>
                        </w:r>
                      </w:p>
                    </w:tc>
                  </w:tr>
                  <w:tr>
                    <w:trPr>
                      <w:trHeight w:val="300" w:hRule="exact"/>
                    </w:trPr>
                    <w:tc>
                      <w:tcPr>
                        <w:tcW w:w="2865" w:type="dxa"/>
                      </w:tcPr>
                      <w:p>
                        <w:pPr>
                          <w:pStyle w:val="TableParagraph"/>
                          <w:spacing w:line="275" w:lineRule="exact"/>
                          <w:ind w:left="69"/>
                          <w:jc w:val="left"/>
                          <w:rPr>
                            <w:sz w:val="24"/>
                          </w:rPr>
                        </w:pPr>
                        <w:r>
                          <w:rPr>
                            <w:sz w:val="24"/>
                          </w:rPr>
                          <w:t>Combustible</w:t>
                        </w:r>
                      </w:p>
                    </w:tc>
                    <w:tc>
                      <w:tcPr>
                        <w:tcW w:w="1206" w:type="dxa"/>
                      </w:tcPr>
                      <w:p>
                        <w:pPr>
                          <w:pStyle w:val="TableParagraph"/>
                          <w:spacing w:line="275" w:lineRule="exact"/>
                          <w:ind w:left="352" w:right="394"/>
                          <w:jc w:val="center"/>
                          <w:rPr>
                            <w:sz w:val="24"/>
                          </w:rPr>
                        </w:pPr>
                        <w:r>
                          <w:rPr>
                            <w:sz w:val="24"/>
                          </w:rPr>
                          <w:t>0.02</w:t>
                        </w:r>
                      </w:p>
                    </w:tc>
                    <w:tc>
                      <w:tcPr>
                        <w:tcW w:w="1260" w:type="dxa"/>
                      </w:tcPr>
                      <w:p>
                        <w:pPr>
                          <w:pStyle w:val="TableParagraph"/>
                          <w:spacing w:line="275" w:lineRule="exact"/>
                          <w:ind w:left="61" w:right="64"/>
                          <w:jc w:val="center"/>
                          <w:rPr>
                            <w:sz w:val="24"/>
                          </w:rPr>
                        </w:pPr>
                        <w:r>
                          <w:rPr>
                            <w:sz w:val="24"/>
                          </w:rPr>
                          <w:t>0.08</w:t>
                        </w:r>
                      </w:p>
                    </w:tc>
                    <w:tc>
                      <w:tcPr>
                        <w:tcW w:w="1380" w:type="dxa"/>
                      </w:tcPr>
                      <w:p>
                        <w:pPr>
                          <w:pStyle w:val="TableParagraph"/>
                          <w:spacing w:line="275" w:lineRule="exact"/>
                          <w:ind w:left="225"/>
                          <w:jc w:val="left"/>
                          <w:rPr>
                            <w:sz w:val="24"/>
                          </w:rPr>
                        </w:pPr>
                        <w:r>
                          <w:rPr>
                            <w:sz w:val="24"/>
                          </w:rPr>
                          <w:t>342.03%</w:t>
                        </w:r>
                      </w:p>
                    </w:tc>
                    <w:tc>
                      <w:tcPr>
                        <w:tcW w:w="2129" w:type="dxa"/>
                      </w:tcPr>
                      <w:p>
                        <w:pPr>
                          <w:pStyle w:val="TableParagraph"/>
                          <w:spacing w:line="275" w:lineRule="exact"/>
                          <w:ind w:right="664"/>
                          <w:rPr>
                            <w:sz w:val="24"/>
                          </w:rPr>
                        </w:pPr>
                        <w:r>
                          <w:rPr>
                            <w:sz w:val="24"/>
                          </w:rPr>
                          <w:t>272.00%</w:t>
                        </w:r>
                      </w:p>
                    </w:tc>
                  </w:tr>
                  <w:tr>
                    <w:trPr>
                      <w:trHeight w:val="302" w:hRule="exact"/>
                    </w:trPr>
                    <w:tc>
                      <w:tcPr>
                        <w:tcW w:w="2865" w:type="dxa"/>
                      </w:tcPr>
                      <w:p>
                        <w:pPr>
                          <w:pStyle w:val="TableParagraph"/>
                          <w:spacing w:line="275" w:lineRule="exact"/>
                          <w:ind w:left="69"/>
                          <w:jc w:val="left"/>
                          <w:rPr>
                            <w:sz w:val="24"/>
                          </w:rPr>
                        </w:pPr>
                        <w:r>
                          <w:rPr>
                            <w:sz w:val="24"/>
                          </w:rPr>
                          <w:t>Luz</w:t>
                        </w:r>
                      </w:p>
                    </w:tc>
                    <w:tc>
                      <w:tcPr>
                        <w:tcW w:w="1206" w:type="dxa"/>
                      </w:tcPr>
                      <w:p>
                        <w:pPr>
                          <w:pStyle w:val="TableParagraph"/>
                          <w:spacing w:line="275" w:lineRule="exact"/>
                          <w:ind w:left="352" w:right="394"/>
                          <w:jc w:val="center"/>
                          <w:rPr>
                            <w:sz w:val="24"/>
                          </w:rPr>
                        </w:pPr>
                        <w:r>
                          <w:rPr>
                            <w:sz w:val="24"/>
                          </w:rPr>
                          <w:t>0.02</w:t>
                        </w:r>
                      </w:p>
                    </w:tc>
                    <w:tc>
                      <w:tcPr>
                        <w:tcW w:w="1260" w:type="dxa"/>
                      </w:tcPr>
                      <w:p>
                        <w:pPr>
                          <w:pStyle w:val="TableParagraph"/>
                          <w:spacing w:line="275" w:lineRule="exact"/>
                          <w:ind w:left="61" w:right="64"/>
                          <w:jc w:val="center"/>
                          <w:rPr>
                            <w:sz w:val="24"/>
                          </w:rPr>
                        </w:pPr>
                        <w:r>
                          <w:rPr>
                            <w:sz w:val="24"/>
                          </w:rPr>
                          <w:t>0.05</w:t>
                        </w:r>
                      </w:p>
                    </w:tc>
                    <w:tc>
                      <w:tcPr>
                        <w:tcW w:w="1380" w:type="dxa"/>
                      </w:tcPr>
                      <w:p>
                        <w:pPr>
                          <w:pStyle w:val="TableParagraph"/>
                          <w:spacing w:line="275" w:lineRule="exact"/>
                          <w:ind w:left="225"/>
                          <w:jc w:val="left"/>
                          <w:rPr>
                            <w:sz w:val="24"/>
                          </w:rPr>
                        </w:pPr>
                        <w:r>
                          <w:rPr>
                            <w:sz w:val="24"/>
                          </w:rPr>
                          <w:t>121.01%</w:t>
                        </w:r>
                      </w:p>
                    </w:tc>
                    <w:tc>
                      <w:tcPr>
                        <w:tcW w:w="2129" w:type="dxa"/>
                      </w:tcPr>
                      <w:p>
                        <w:pPr>
                          <w:pStyle w:val="TableParagraph"/>
                          <w:spacing w:line="275" w:lineRule="exact"/>
                          <w:ind w:right="724"/>
                          <w:rPr>
                            <w:sz w:val="24"/>
                          </w:rPr>
                        </w:pPr>
                        <w:r>
                          <w:rPr>
                            <w:sz w:val="24"/>
                          </w:rPr>
                          <w:t>50.98%</w:t>
                        </w:r>
                      </w:p>
                    </w:tc>
                  </w:tr>
                  <w:tr>
                    <w:trPr>
                      <w:trHeight w:val="300" w:hRule="exact"/>
                    </w:trPr>
                    <w:tc>
                      <w:tcPr>
                        <w:tcW w:w="2865" w:type="dxa"/>
                      </w:tcPr>
                      <w:p>
                        <w:pPr>
                          <w:pStyle w:val="TableParagraph"/>
                          <w:spacing w:before="1"/>
                          <w:ind w:left="69"/>
                          <w:jc w:val="left"/>
                          <w:rPr>
                            <w:b/>
                            <w:sz w:val="24"/>
                          </w:rPr>
                        </w:pPr>
                        <w:r>
                          <w:rPr>
                            <w:b/>
                            <w:sz w:val="24"/>
                          </w:rPr>
                          <w:t>Costos fijos</w:t>
                        </w:r>
                      </w:p>
                    </w:tc>
                    <w:tc>
                      <w:tcPr>
                        <w:tcW w:w="1206" w:type="dxa"/>
                      </w:tcPr>
                      <w:p>
                        <w:pPr/>
                      </w:p>
                    </w:tc>
                    <w:tc>
                      <w:tcPr>
                        <w:tcW w:w="1260" w:type="dxa"/>
                      </w:tcPr>
                      <w:p>
                        <w:pPr/>
                      </w:p>
                    </w:tc>
                    <w:tc>
                      <w:tcPr>
                        <w:tcW w:w="1380" w:type="dxa"/>
                      </w:tcPr>
                      <w:p>
                        <w:pPr/>
                      </w:p>
                    </w:tc>
                    <w:tc>
                      <w:tcPr>
                        <w:tcW w:w="2129" w:type="dxa"/>
                      </w:tcPr>
                      <w:p>
                        <w:pPr/>
                      </w:p>
                    </w:tc>
                  </w:tr>
                  <w:tr>
                    <w:trPr>
                      <w:trHeight w:val="298" w:hRule="exact"/>
                    </w:trPr>
                    <w:tc>
                      <w:tcPr>
                        <w:tcW w:w="2865" w:type="dxa"/>
                      </w:tcPr>
                      <w:p>
                        <w:pPr>
                          <w:pStyle w:val="TableParagraph"/>
                          <w:spacing w:line="273" w:lineRule="exact"/>
                          <w:ind w:left="69"/>
                          <w:jc w:val="left"/>
                          <w:rPr>
                            <w:sz w:val="24"/>
                          </w:rPr>
                        </w:pPr>
                        <w:r>
                          <w:rPr>
                            <w:sz w:val="24"/>
                          </w:rPr>
                          <w:t>Dep. de construcciones</w:t>
                        </w:r>
                      </w:p>
                    </w:tc>
                    <w:tc>
                      <w:tcPr>
                        <w:tcW w:w="1206" w:type="dxa"/>
                      </w:tcPr>
                      <w:p>
                        <w:pPr>
                          <w:pStyle w:val="TableParagraph"/>
                          <w:spacing w:line="273" w:lineRule="exact"/>
                          <w:ind w:left="352" w:right="394"/>
                          <w:jc w:val="center"/>
                          <w:rPr>
                            <w:sz w:val="24"/>
                          </w:rPr>
                        </w:pPr>
                        <w:r>
                          <w:rPr>
                            <w:sz w:val="24"/>
                          </w:rPr>
                          <w:t>0.03</w:t>
                        </w:r>
                      </w:p>
                    </w:tc>
                    <w:tc>
                      <w:tcPr>
                        <w:tcW w:w="1260" w:type="dxa"/>
                      </w:tcPr>
                      <w:p>
                        <w:pPr>
                          <w:pStyle w:val="TableParagraph"/>
                          <w:spacing w:line="273" w:lineRule="exact"/>
                          <w:ind w:left="61" w:right="64"/>
                          <w:jc w:val="center"/>
                          <w:rPr>
                            <w:sz w:val="24"/>
                          </w:rPr>
                        </w:pPr>
                        <w:r>
                          <w:rPr>
                            <w:sz w:val="24"/>
                          </w:rPr>
                          <w:t>0.04</w:t>
                        </w:r>
                      </w:p>
                    </w:tc>
                    <w:tc>
                      <w:tcPr>
                        <w:tcW w:w="1380" w:type="dxa"/>
                      </w:tcPr>
                      <w:p>
                        <w:pPr>
                          <w:pStyle w:val="TableParagraph"/>
                          <w:spacing w:line="273" w:lineRule="exact"/>
                          <w:ind w:left="285"/>
                          <w:jc w:val="left"/>
                          <w:rPr>
                            <w:sz w:val="24"/>
                          </w:rPr>
                        </w:pPr>
                        <w:r>
                          <w:rPr>
                            <w:sz w:val="24"/>
                          </w:rPr>
                          <w:t>26.29%</w:t>
                        </w:r>
                      </w:p>
                    </w:tc>
                    <w:tc>
                      <w:tcPr>
                        <w:tcW w:w="2129" w:type="dxa"/>
                      </w:tcPr>
                      <w:p>
                        <w:pPr>
                          <w:pStyle w:val="TableParagraph"/>
                          <w:spacing w:line="273" w:lineRule="exact"/>
                          <w:ind w:right="685"/>
                          <w:rPr>
                            <w:sz w:val="24"/>
                          </w:rPr>
                        </w:pPr>
                        <w:r>
                          <w:rPr>
                            <w:sz w:val="24"/>
                          </w:rPr>
                          <w:t>-43.74%</w:t>
                        </w:r>
                      </w:p>
                    </w:tc>
                  </w:tr>
                  <w:tr>
                    <w:trPr>
                      <w:trHeight w:val="304" w:hRule="exact"/>
                    </w:trPr>
                    <w:tc>
                      <w:tcPr>
                        <w:tcW w:w="2865" w:type="dxa"/>
                      </w:tcPr>
                      <w:p>
                        <w:pPr>
                          <w:pStyle w:val="TableParagraph"/>
                          <w:spacing w:line="275" w:lineRule="exact"/>
                          <w:ind w:left="69"/>
                          <w:jc w:val="left"/>
                          <w:rPr>
                            <w:sz w:val="24"/>
                          </w:rPr>
                        </w:pPr>
                        <w:r>
                          <w:rPr>
                            <w:sz w:val="24"/>
                          </w:rPr>
                          <w:t>Otros gastos</w:t>
                        </w:r>
                      </w:p>
                    </w:tc>
                    <w:tc>
                      <w:tcPr>
                        <w:tcW w:w="1206" w:type="dxa"/>
                      </w:tcPr>
                      <w:p>
                        <w:pPr>
                          <w:pStyle w:val="TableParagraph"/>
                          <w:spacing w:line="275" w:lineRule="exact"/>
                          <w:ind w:left="352" w:right="394"/>
                          <w:jc w:val="center"/>
                          <w:rPr>
                            <w:sz w:val="24"/>
                          </w:rPr>
                        </w:pPr>
                        <w:r>
                          <w:rPr>
                            <w:sz w:val="24"/>
                          </w:rPr>
                          <w:t>0.11</w:t>
                        </w:r>
                      </w:p>
                    </w:tc>
                    <w:tc>
                      <w:tcPr>
                        <w:tcW w:w="1260" w:type="dxa"/>
                      </w:tcPr>
                      <w:p>
                        <w:pPr>
                          <w:pStyle w:val="TableParagraph"/>
                          <w:spacing w:line="275" w:lineRule="exact"/>
                          <w:ind w:left="61" w:right="64"/>
                          <w:jc w:val="center"/>
                          <w:rPr>
                            <w:sz w:val="24"/>
                          </w:rPr>
                        </w:pPr>
                        <w:r>
                          <w:rPr>
                            <w:sz w:val="24"/>
                          </w:rPr>
                          <w:t>0.27</w:t>
                        </w:r>
                      </w:p>
                    </w:tc>
                    <w:tc>
                      <w:tcPr>
                        <w:tcW w:w="1380" w:type="dxa"/>
                      </w:tcPr>
                      <w:p>
                        <w:pPr>
                          <w:pStyle w:val="TableParagraph"/>
                          <w:spacing w:line="275" w:lineRule="exact"/>
                          <w:ind w:left="225"/>
                          <w:jc w:val="left"/>
                          <w:rPr>
                            <w:sz w:val="24"/>
                          </w:rPr>
                        </w:pPr>
                        <w:r>
                          <w:rPr>
                            <w:sz w:val="24"/>
                          </w:rPr>
                          <w:t>147.22%</w:t>
                        </w:r>
                      </w:p>
                    </w:tc>
                    <w:tc>
                      <w:tcPr>
                        <w:tcW w:w="2129" w:type="dxa"/>
                      </w:tcPr>
                      <w:p>
                        <w:pPr>
                          <w:pStyle w:val="TableParagraph"/>
                          <w:spacing w:line="275" w:lineRule="exact"/>
                          <w:ind w:right="724"/>
                          <w:rPr>
                            <w:sz w:val="24"/>
                          </w:rPr>
                        </w:pPr>
                        <w:r>
                          <w:rPr>
                            <w:sz w:val="24"/>
                          </w:rPr>
                          <w:t>77.19%</w:t>
                        </w:r>
                      </w:p>
                    </w:tc>
                  </w:tr>
                  <w:tr>
                    <w:trPr>
                      <w:trHeight w:val="328" w:hRule="exact"/>
                    </w:trPr>
                    <w:tc>
                      <w:tcPr>
                        <w:tcW w:w="2865" w:type="dxa"/>
                        <w:tcBorders>
                          <w:bottom w:val="single" w:sz="17" w:space="0" w:color="000000"/>
                        </w:tcBorders>
                      </w:tcPr>
                      <w:p>
                        <w:pPr>
                          <w:pStyle w:val="TableParagraph"/>
                          <w:spacing w:before="2"/>
                          <w:ind w:left="69"/>
                          <w:jc w:val="left"/>
                          <w:rPr>
                            <w:sz w:val="24"/>
                          </w:rPr>
                        </w:pPr>
                        <w:r>
                          <w:rPr>
                            <w:sz w:val="24"/>
                          </w:rPr>
                          <w:t>Dep. de animales</w:t>
                        </w:r>
                      </w:p>
                    </w:tc>
                    <w:tc>
                      <w:tcPr>
                        <w:tcW w:w="1206" w:type="dxa"/>
                        <w:tcBorders>
                          <w:bottom w:val="single" w:sz="17" w:space="0" w:color="000000"/>
                        </w:tcBorders>
                      </w:tcPr>
                      <w:p>
                        <w:pPr>
                          <w:pStyle w:val="TableParagraph"/>
                          <w:spacing w:before="2"/>
                          <w:ind w:left="352" w:right="394"/>
                          <w:jc w:val="center"/>
                          <w:rPr>
                            <w:sz w:val="24"/>
                          </w:rPr>
                        </w:pPr>
                        <w:r>
                          <w:rPr>
                            <w:sz w:val="24"/>
                          </w:rPr>
                          <w:t>0.55</w:t>
                        </w:r>
                      </w:p>
                    </w:tc>
                    <w:tc>
                      <w:tcPr>
                        <w:tcW w:w="1260" w:type="dxa"/>
                        <w:tcBorders>
                          <w:bottom w:val="single" w:sz="17" w:space="0" w:color="000000"/>
                        </w:tcBorders>
                      </w:tcPr>
                      <w:p>
                        <w:pPr>
                          <w:pStyle w:val="TableParagraph"/>
                          <w:spacing w:before="2"/>
                          <w:ind w:left="61" w:right="64"/>
                          <w:jc w:val="center"/>
                          <w:rPr>
                            <w:sz w:val="24"/>
                          </w:rPr>
                        </w:pPr>
                        <w:r>
                          <w:rPr>
                            <w:sz w:val="24"/>
                          </w:rPr>
                          <w:t>0.04</w:t>
                        </w:r>
                      </w:p>
                    </w:tc>
                    <w:tc>
                      <w:tcPr>
                        <w:tcW w:w="1380" w:type="dxa"/>
                        <w:tcBorders>
                          <w:bottom w:val="single" w:sz="17" w:space="0" w:color="000000"/>
                        </w:tcBorders>
                      </w:tcPr>
                      <w:p>
                        <w:pPr>
                          <w:pStyle w:val="TableParagraph"/>
                          <w:spacing w:before="2"/>
                          <w:ind w:left="244"/>
                          <w:jc w:val="left"/>
                          <w:rPr>
                            <w:sz w:val="24"/>
                          </w:rPr>
                        </w:pPr>
                        <w:r>
                          <w:rPr>
                            <w:sz w:val="24"/>
                          </w:rPr>
                          <w:t>-93.18%</w:t>
                        </w:r>
                      </w:p>
                    </w:tc>
                    <w:tc>
                      <w:tcPr>
                        <w:tcW w:w="2129" w:type="dxa"/>
                        <w:tcBorders>
                          <w:bottom w:val="single" w:sz="17" w:space="0" w:color="000000"/>
                        </w:tcBorders>
                      </w:tcPr>
                      <w:p>
                        <w:pPr>
                          <w:pStyle w:val="TableParagraph"/>
                          <w:spacing w:before="2"/>
                          <w:ind w:right="625"/>
                          <w:rPr>
                            <w:sz w:val="24"/>
                          </w:rPr>
                        </w:pPr>
                        <w:r>
                          <w:rPr>
                            <w:sz w:val="24"/>
                          </w:rPr>
                          <w:t>-163.21%</w:t>
                        </w:r>
                      </w:p>
                    </w:tc>
                  </w:tr>
                </w:tbl>
                <w:p>
                  <w:pPr>
                    <w:pStyle w:val="BodyText"/>
                  </w:pPr>
                </w:p>
              </w:txbxContent>
            </v:textbox>
            <w10:wrap type="none"/>
          </v:shape>
        </w:pict>
      </w:r>
      <w:r>
        <w:rPr/>
        <w:t>Rubro de la estructura</w:t>
      </w:r>
      <w:r>
        <w:rPr>
          <w:spacing w:val="-5"/>
        </w:rPr>
        <w:t> </w:t>
      </w:r>
      <w:r>
        <w:rPr/>
        <w:t>de</w:t>
      </w:r>
    </w:p>
    <w:p>
      <w:pPr>
        <w:pStyle w:val="BodyText"/>
        <w:spacing w:before="47"/>
        <w:ind w:left="191" w:right="-19"/>
      </w:pPr>
      <w:r>
        <w:rPr/>
        <w:br w:type="column"/>
      </w:r>
      <w:r>
        <w:rPr/>
        <w:t>Costos</w:t>
      </w:r>
    </w:p>
    <w:p>
      <w:pPr>
        <w:pStyle w:val="BodyText"/>
        <w:spacing w:before="47"/>
        <w:ind w:left="191" w:right="-19"/>
      </w:pPr>
      <w:r>
        <w:rPr/>
        <w:br w:type="column"/>
      </w:r>
      <w:r>
        <w:rPr/>
        <w:t>Costos</w:t>
      </w:r>
    </w:p>
    <w:p>
      <w:pPr>
        <w:pStyle w:val="BodyText"/>
        <w:spacing w:before="47"/>
        <w:ind w:left="191" w:right="-17"/>
      </w:pPr>
      <w:r>
        <w:rPr/>
        <w:br w:type="column"/>
      </w:r>
      <w:r>
        <w:rPr/>
        <w:t>Tasa</w:t>
      </w:r>
      <w:r>
        <w:rPr>
          <w:spacing w:val="-4"/>
        </w:rPr>
        <w:t> </w:t>
      </w:r>
      <w:r>
        <w:rPr/>
        <w:t>de</w:t>
      </w:r>
    </w:p>
    <w:p>
      <w:pPr>
        <w:pStyle w:val="BodyText"/>
        <w:spacing w:before="47"/>
        <w:ind w:left="191"/>
      </w:pPr>
      <w:r>
        <w:rPr/>
        <w:br w:type="column"/>
      </w:r>
      <w:r>
        <w:rPr/>
        <w:t>Diferencia entre</w:t>
      </w:r>
    </w:p>
    <w:p>
      <w:pPr>
        <w:spacing w:after="0"/>
        <w:sectPr>
          <w:type w:val="continuous"/>
          <w:pgSz w:w="12240" w:h="15840"/>
          <w:pgMar w:top="1360" w:bottom="280" w:left="1580" w:right="1560"/>
          <w:cols w:num="5" w:equalWidth="0">
            <w:col w:w="2602" w:space="446"/>
            <w:col w:w="846" w:space="407"/>
            <w:col w:w="846" w:space="402"/>
            <w:col w:w="930" w:space="419"/>
            <w:col w:w="220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before="74"/>
        <w:ind w:left="191" w:right="0" w:firstLine="0"/>
        <w:jc w:val="both"/>
        <w:rPr>
          <w:sz w:val="20"/>
        </w:rPr>
      </w:pPr>
      <w:r>
        <w:rPr>
          <w:sz w:val="20"/>
        </w:rPr>
        <w:t>Fuente: Elaboración propia con información de campo.</w:t>
      </w:r>
    </w:p>
    <w:p>
      <w:pPr>
        <w:spacing w:before="31"/>
        <w:ind w:left="191" w:right="211" w:firstLine="33"/>
        <w:jc w:val="both"/>
        <w:rPr>
          <w:sz w:val="20"/>
        </w:rPr>
      </w:pPr>
      <w:r>
        <w:rPr>
          <w:position w:val="7"/>
          <w:sz w:val="13"/>
        </w:rPr>
        <w:t>£</w:t>
      </w:r>
      <w:r>
        <w:rPr>
          <w:sz w:val="20"/>
        </w:rPr>
        <w:t>Costos</w:t>
      </w:r>
      <w:r>
        <w:rPr>
          <w:spacing w:val="-15"/>
          <w:sz w:val="20"/>
        </w:rPr>
        <w:t> </w:t>
      </w:r>
      <w:r>
        <w:rPr>
          <w:sz w:val="20"/>
        </w:rPr>
        <w:t>deflactados</w:t>
      </w:r>
      <w:r>
        <w:rPr>
          <w:spacing w:val="-15"/>
          <w:sz w:val="20"/>
        </w:rPr>
        <w:t> </w:t>
      </w:r>
      <w:r>
        <w:rPr>
          <w:sz w:val="20"/>
        </w:rPr>
        <w:t>del</w:t>
      </w:r>
      <w:r>
        <w:rPr>
          <w:spacing w:val="-14"/>
          <w:sz w:val="20"/>
        </w:rPr>
        <w:t> </w:t>
      </w:r>
      <w:r>
        <w:rPr>
          <w:sz w:val="20"/>
        </w:rPr>
        <w:t>periodo</w:t>
      </w:r>
      <w:r>
        <w:rPr>
          <w:spacing w:val="-13"/>
          <w:sz w:val="20"/>
        </w:rPr>
        <w:t> </w:t>
      </w:r>
      <w:r>
        <w:rPr>
          <w:sz w:val="20"/>
        </w:rPr>
        <w:t>2000,</w:t>
      </w:r>
      <w:r>
        <w:rPr>
          <w:spacing w:val="-14"/>
          <w:sz w:val="20"/>
        </w:rPr>
        <w:t> </w:t>
      </w:r>
      <w:r>
        <w:rPr>
          <w:sz w:val="20"/>
        </w:rPr>
        <w:t>llevados</w:t>
      </w:r>
      <w:r>
        <w:rPr>
          <w:spacing w:val="-15"/>
          <w:sz w:val="20"/>
        </w:rPr>
        <w:t> </w:t>
      </w:r>
      <w:r>
        <w:rPr>
          <w:sz w:val="20"/>
        </w:rPr>
        <w:t>a</w:t>
      </w:r>
      <w:r>
        <w:rPr>
          <w:spacing w:val="-14"/>
          <w:sz w:val="20"/>
        </w:rPr>
        <w:t> </w:t>
      </w:r>
      <w:r>
        <w:rPr>
          <w:sz w:val="20"/>
        </w:rPr>
        <w:t>valor</w:t>
      </w:r>
      <w:r>
        <w:rPr>
          <w:spacing w:val="-13"/>
          <w:sz w:val="20"/>
        </w:rPr>
        <w:t> </w:t>
      </w:r>
      <w:r>
        <w:rPr>
          <w:sz w:val="20"/>
        </w:rPr>
        <w:t>de</w:t>
      </w:r>
      <w:r>
        <w:rPr>
          <w:spacing w:val="-16"/>
          <w:sz w:val="20"/>
        </w:rPr>
        <w:t> </w:t>
      </w:r>
      <w:r>
        <w:rPr>
          <w:sz w:val="20"/>
        </w:rPr>
        <w:t>los</w:t>
      </w:r>
      <w:r>
        <w:rPr>
          <w:spacing w:val="-17"/>
          <w:sz w:val="20"/>
        </w:rPr>
        <w:t> </w:t>
      </w:r>
      <w:r>
        <w:rPr>
          <w:sz w:val="20"/>
        </w:rPr>
        <w:t>costos</w:t>
      </w:r>
      <w:r>
        <w:rPr>
          <w:spacing w:val="-15"/>
          <w:sz w:val="20"/>
        </w:rPr>
        <w:t> </w:t>
      </w:r>
      <w:r>
        <w:rPr>
          <w:sz w:val="20"/>
        </w:rPr>
        <w:t>del</w:t>
      </w:r>
      <w:r>
        <w:rPr>
          <w:spacing w:val="-14"/>
          <w:sz w:val="20"/>
        </w:rPr>
        <w:t> </w:t>
      </w:r>
      <w:r>
        <w:rPr>
          <w:sz w:val="20"/>
        </w:rPr>
        <w:t>periodo</w:t>
      </w:r>
      <w:r>
        <w:rPr>
          <w:spacing w:val="-13"/>
          <w:sz w:val="20"/>
        </w:rPr>
        <w:t> </w:t>
      </w:r>
      <w:r>
        <w:rPr>
          <w:sz w:val="20"/>
        </w:rPr>
        <w:t>2012;</w:t>
      </w:r>
      <w:r>
        <w:rPr>
          <w:spacing w:val="-10"/>
          <w:sz w:val="20"/>
        </w:rPr>
        <w:t> </w:t>
      </w:r>
      <w:r>
        <w:rPr>
          <w:position w:val="7"/>
          <w:sz w:val="13"/>
        </w:rPr>
        <w:t>ῼ</w:t>
      </w:r>
      <w:r>
        <w:rPr>
          <w:spacing w:val="1"/>
          <w:position w:val="7"/>
          <w:sz w:val="13"/>
        </w:rPr>
        <w:t> </w:t>
      </w:r>
      <w:r>
        <w:rPr>
          <w:sz w:val="20"/>
        </w:rPr>
        <w:t>(D)=</w:t>
      </w:r>
      <w:r>
        <w:rPr>
          <w:spacing w:val="-14"/>
          <w:sz w:val="20"/>
        </w:rPr>
        <w:t> </w:t>
      </w:r>
      <w:r>
        <w:rPr>
          <w:sz w:val="20"/>
        </w:rPr>
        <w:t>Inflación</w:t>
      </w:r>
      <w:r>
        <w:rPr>
          <w:spacing w:val="-15"/>
          <w:sz w:val="20"/>
        </w:rPr>
        <w:t> </w:t>
      </w:r>
      <w:r>
        <w:rPr>
          <w:sz w:val="20"/>
        </w:rPr>
        <w:t>general 2000-2012= 70.03%. Fuente: BANXICO, 2012 (Estimada con base en la segunda quincena de Diciembre de 2010).</w:t>
      </w:r>
    </w:p>
    <w:p>
      <w:pPr>
        <w:spacing w:before="0"/>
        <w:ind w:left="191" w:right="218" w:firstLine="0"/>
        <w:jc w:val="both"/>
        <w:rPr>
          <w:sz w:val="20"/>
        </w:rPr>
      </w:pPr>
      <w:r>
        <w:rPr>
          <w:sz w:val="20"/>
        </w:rPr>
        <w:t>El deflactor general y por rubro de gasto se estimó tomando el INPC del mes de Septiembre de cada periodo analizado.</w:t>
      </w:r>
    </w:p>
    <w:p>
      <w:pPr>
        <w:spacing w:after="0"/>
        <w:jc w:val="both"/>
        <w:rPr>
          <w:sz w:val="20"/>
        </w:rPr>
        <w:sectPr>
          <w:type w:val="continuous"/>
          <w:pgSz w:w="12240" w:h="15840"/>
          <w:pgMar w:top="1360" w:bottom="280" w:left="1580" w:right="1560"/>
        </w:sectPr>
      </w:pPr>
    </w:p>
    <w:p>
      <w:pPr>
        <w:pStyle w:val="BodyText"/>
        <w:spacing w:line="360" w:lineRule="auto" w:before="50"/>
        <w:ind w:left="122" w:right="278"/>
        <w:jc w:val="both"/>
      </w:pPr>
      <w:r>
        <w:rPr/>
        <w:t>Los resultados obtenidos en el estrato II, resaltan que tres de los cuatro principales rubros que conforman los costos variables: alimentación, medicamentos y servicio reproductivo, disminuyeron su costo entre los años productivos 2000 y 2012 (16.60, 60.07 y 40.11%)   en</w:t>
      </w:r>
    </w:p>
    <w:p>
      <w:pPr>
        <w:pStyle w:val="BodyText"/>
        <w:spacing w:line="360" w:lineRule="auto" w:before="6"/>
        <w:ind w:left="122" w:right="277"/>
        <w:jc w:val="both"/>
      </w:pPr>
      <w:r>
        <w:rPr/>
        <w:t>$0.49</w:t>
      </w:r>
      <w:r>
        <w:rPr>
          <w:spacing w:val="-6"/>
        </w:rPr>
        <w:t> </w:t>
      </w:r>
      <w:r>
        <w:rPr/>
        <w:t>por</w:t>
      </w:r>
      <w:r>
        <w:rPr>
          <w:spacing w:val="-7"/>
        </w:rPr>
        <w:t> </w:t>
      </w:r>
      <w:r>
        <w:rPr/>
        <w:t>litro</w:t>
      </w:r>
      <w:r>
        <w:rPr>
          <w:spacing w:val="-7"/>
        </w:rPr>
        <w:t> </w:t>
      </w:r>
      <w:r>
        <w:rPr/>
        <w:t>de</w:t>
      </w:r>
      <w:r>
        <w:rPr>
          <w:spacing w:val="-7"/>
        </w:rPr>
        <w:t> </w:t>
      </w:r>
      <w:r>
        <w:rPr/>
        <w:t>leche</w:t>
      </w:r>
      <w:r>
        <w:rPr>
          <w:spacing w:val="-7"/>
        </w:rPr>
        <w:t> </w:t>
      </w:r>
      <w:r>
        <w:rPr/>
        <w:t>producido,</w:t>
      </w:r>
      <w:r>
        <w:rPr>
          <w:spacing w:val="-6"/>
        </w:rPr>
        <w:t> </w:t>
      </w:r>
      <w:r>
        <w:rPr/>
        <w:t>en</w:t>
      </w:r>
      <w:r>
        <w:rPr>
          <w:spacing w:val="-6"/>
        </w:rPr>
        <w:t> </w:t>
      </w:r>
      <w:r>
        <w:rPr/>
        <w:t>tanto</w:t>
      </w:r>
      <w:r>
        <w:rPr>
          <w:spacing w:val="-6"/>
        </w:rPr>
        <w:t> </w:t>
      </w:r>
      <w:r>
        <w:rPr/>
        <w:t>que</w:t>
      </w:r>
      <w:r>
        <w:rPr>
          <w:spacing w:val="-7"/>
        </w:rPr>
        <w:t> </w:t>
      </w:r>
      <w:r>
        <w:rPr/>
        <w:t>los</w:t>
      </w:r>
      <w:r>
        <w:rPr>
          <w:spacing w:val="-6"/>
        </w:rPr>
        <w:t> </w:t>
      </w:r>
      <w:r>
        <w:rPr/>
        <w:t>costos</w:t>
      </w:r>
      <w:r>
        <w:rPr>
          <w:spacing w:val="-6"/>
        </w:rPr>
        <w:t> </w:t>
      </w:r>
      <w:r>
        <w:rPr/>
        <w:t>fijos</w:t>
      </w:r>
      <w:r>
        <w:rPr>
          <w:spacing w:val="-6"/>
        </w:rPr>
        <w:t> </w:t>
      </w:r>
      <w:r>
        <w:rPr/>
        <w:t>siguieron</w:t>
      </w:r>
      <w:r>
        <w:rPr>
          <w:spacing w:val="-6"/>
        </w:rPr>
        <w:t> </w:t>
      </w:r>
      <w:r>
        <w:rPr/>
        <w:t>la</w:t>
      </w:r>
      <w:r>
        <w:rPr>
          <w:spacing w:val="-5"/>
        </w:rPr>
        <w:t> </w:t>
      </w:r>
      <w:r>
        <w:rPr/>
        <w:t>misma</w:t>
      </w:r>
      <w:r>
        <w:rPr>
          <w:spacing w:val="-6"/>
        </w:rPr>
        <w:t> </w:t>
      </w:r>
      <w:r>
        <w:rPr/>
        <w:t>tendencia al disminuir su costo principalmente en el rubro de depreciación de animales en 91.94% equivalente</w:t>
      </w:r>
      <w:r>
        <w:rPr>
          <w:spacing w:val="-7"/>
        </w:rPr>
        <w:t> </w:t>
      </w:r>
      <w:r>
        <w:rPr/>
        <w:t>a</w:t>
      </w:r>
      <w:r>
        <w:rPr>
          <w:spacing w:val="-10"/>
        </w:rPr>
        <w:t> </w:t>
      </w:r>
      <w:r>
        <w:rPr/>
        <w:t>$0.42</w:t>
      </w:r>
      <w:r>
        <w:rPr>
          <w:spacing w:val="-9"/>
        </w:rPr>
        <w:t> </w:t>
      </w:r>
      <w:r>
        <w:rPr/>
        <w:t>por</w:t>
      </w:r>
      <w:r>
        <w:rPr>
          <w:spacing w:val="-7"/>
        </w:rPr>
        <w:t> </w:t>
      </w:r>
      <w:r>
        <w:rPr/>
        <w:t>litro</w:t>
      </w:r>
      <w:r>
        <w:rPr>
          <w:spacing w:val="-9"/>
        </w:rPr>
        <w:t> </w:t>
      </w:r>
      <w:r>
        <w:rPr/>
        <w:t>de</w:t>
      </w:r>
      <w:r>
        <w:rPr>
          <w:spacing w:val="-10"/>
        </w:rPr>
        <w:t> </w:t>
      </w:r>
      <w:r>
        <w:rPr/>
        <w:t>leche,</w:t>
      </w:r>
      <w:r>
        <w:rPr>
          <w:spacing w:val="-6"/>
        </w:rPr>
        <w:t> </w:t>
      </w:r>
      <w:r>
        <w:rPr/>
        <w:t>este</w:t>
      </w:r>
      <w:r>
        <w:rPr>
          <w:spacing w:val="-9"/>
        </w:rPr>
        <w:t> </w:t>
      </w:r>
      <w:r>
        <w:rPr/>
        <w:t>último</w:t>
      </w:r>
      <w:r>
        <w:rPr>
          <w:spacing w:val="-9"/>
        </w:rPr>
        <w:t> </w:t>
      </w:r>
      <w:r>
        <w:rPr/>
        <w:t>comportamiento</w:t>
      </w:r>
      <w:r>
        <w:rPr>
          <w:spacing w:val="-8"/>
        </w:rPr>
        <w:t> </w:t>
      </w:r>
      <w:r>
        <w:rPr/>
        <w:t>económico</w:t>
      </w:r>
      <w:r>
        <w:rPr>
          <w:spacing w:val="-9"/>
        </w:rPr>
        <w:t> </w:t>
      </w:r>
      <w:r>
        <w:rPr/>
        <w:t>esta</w:t>
      </w:r>
      <w:r>
        <w:rPr>
          <w:spacing w:val="-9"/>
        </w:rPr>
        <w:t> </w:t>
      </w:r>
      <w:r>
        <w:rPr/>
        <w:t>explicado por la nula inversión que los productores destinan para la compra de pie de cría, </w:t>
      </w:r>
      <w:r>
        <w:rPr>
          <w:spacing w:val="-3"/>
        </w:rPr>
        <w:t>ya </w:t>
      </w:r>
      <w:r>
        <w:rPr/>
        <w:t>que los reemplazos</w:t>
      </w:r>
      <w:r>
        <w:rPr>
          <w:spacing w:val="-9"/>
        </w:rPr>
        <w:t> </w:t>
      </w:r>
      <w:r>
        <w:rPr/>
        <w:t>para</w:t>
      </w:r>
      <w:r>
        <w:rPr>
          <w:spacing w:val="-11"/>
        </w:rPr>
        <w:t> </w:t>
      </w:r>
      <w:r>
        <w:rPr/>
        <w:t>la</w:t>
      </w:r>
      <w:r>
        <w:rPr>
          <w:spacing w:val="-10"/>
        </w:rPr>
        <w:t> </w:t>
      </w:r>
      <w:r>
        <w:rPr/>
        <w:t>producción</w:t>
      </w:r>
      <w:r>
        <w:rPr>
          <w:spacing w:val="-9"/>
        </w:rPr>
        <w:t> </w:t>
      </w:r>
      <w:r>
        <w:rPr/>
        <w:t>son</w:t>
      </w:r>
      <w:r>
        <w:rPr>
          <w:spacing w:val="-9"/>
        </w:rPr>
        <w:t> </w:t>
      </w:r>
      <w:r>
        <w:rPr/>
        <w:t>seleccionados</w:t>
      </w:r>
      <w:r>
        <w:rPr>
          <w:spacing w:val="-8"/>
        </w:rPr>
        <w:t> </w:t>
      </w:r>
      <w:r>
        <w:rPr/>
        <w:t>de</w:t>
      </w:r>
      <w:r>
        <w:rPr>
          <w:spacing w:val="-11"/>
        </w:rPr>
        <w:t> </w:t>
      </w:r>
      <w:r>
        <w:rPr/>
        <w:t>las</w:t>
      </w:r>
      <w:r>
        <w:rPr>
          <w:spacing w:val="-10"/>
        </w:rPr>
        <w:t> </w:t>
      </w:r>
      <w:r>
        <w:rPr/>
        <w:t>crías</w:t>
      </w:r>
      <w:r>
        <w:rPr>
          <w:spacing w:val="-9"/>
        </w:rPr>
        <w:t> </w:t>
      </w:r>
      <w:r>
        <w:rPr/>
        <w:t>de</w:t>
      </w:r>
      <w:r>
        <w:rPr>
          <w:spacing w:val="-11"/>
        </w:rPr>
        <w:t> </w:t>
      </w:r>
      <w:r>
        <w:rPr/>
        <w:t>su</w:t>
      </w:r>
      <w:r>
        <w:rPr>
          <w:spacing w:val="-9"/>
        </w:rPr>
        <w:t> </w:t>
      </w:r>
      <w:r>
        <w:rPr/>
        <w:t>hato,</w:t>
      </w:r>
      <w:r>
        <w:rPr>
          <w:spacing w:val="-9"/>
        </w:rPr>
        <w:t> </w:t>
      </w:r>
      <w:r>
        <w:rPr/>
        <w:t>situación</w:t>
      </w:r>
      <w:r>
        <w:rPr>
          <w:spacing w:val="-9"/>
        </w:rPr>
        <w:t> </w:t>
      </w:r>
      <w:r>
        <w:rPr/>
        <w:t>por</w:t>
      </w:r>
      <w:r>
        <w:rPr>
          <w:spacing w:val="-10"/>
        </w:rPr>
        <w:t> </w:t>
      </w:r>
      <w:r>
        <w:rPr/>
        <w:t>lo</w:t>
      </w:r>
      <w:r>
        <w:rPr>
          <w:spacing w:val="-9"/>
        </w:rPr>
        <w:t> </w:t>
      </w:r>
      <w:r>
        <w:rPr/>
        <w:t>cual han</w:t>
      </w:r>
      <w:r>
        <w:rPr>
          <w:spacing w:val="-10"/>
        </w:rPr>
        <w:t> </w:t>
      </w:r>
      <w:r>
        <w:rPr/>
        <w:t>disminuido</w:t>
      </w:r>
      <w:r>
        <w:rPr>
          <w:spacing w:val="-10"/>
        </w:rPr>
        <w:t> </w:t>
      </w:r>
      <w:r>
        <w:rPr/>
        <w:t>el</w:t>
      </w:r>
      <w:r>
        <w:rPr>
          <w:spacing w:val="-9"/>
        </w:rPr>
        <w:t> </w:t>
      </w:r>
      <w:r>
        <w:rPr/>
        <w:t>costo</w:t>
      </w:r>
      <w:r>
        <w:rPr>
          <w:spacing w:val="-11"/>
        </w:rPr>
        <w:t> </w:t>
      </w:r>
      <w:r>
        <w:rPr/>
        <w:t>en</w:t>
      </w:r>
      <w:r>
        <w:rPr>
          <w:spacing w:val="-10"/>
        </w:rPr>
        <w:t> </w:t>
      </w:r>
      <w:r>
        <w:rPr/>
        <w:t>este</w:t>
      </w:r>
      <w:r>
        <w:rPr>
          <w:spacing w:val="-10"/>
        </w:rPr>
        <w:t> </w:t>
      </w:r>
      <w:r>
        <w:rPr/>
        <w:t>rubro</w:t>
      </w:r>
      <w:r>
        <w:rPr>
          <w:spacing w:val="-9"/>
        </w:rPr>
        <w:t> </w:t>
      </w:r>
      <w:r>
        <w:rPr/>
        <w:t>(Tabla</w:t>
      </w:r>
      <w:r>
        <w:rPr>
          <w:spacing w:val="-10"/>
        </w:rPr>
        <w:t> </w:t>
      </w:r>
      <w:r>
        <w:rPr/>
        <w:t>6).</w:t>
      </w:r>
      <w:r>
        <w:rPr>
          <w:spacing w:val="-10"/>
        </w:rPr>
        <w:t> </w:t>
      </w:r>
      <w:r>
        <w:rPr/>
        <w:t>El</w:t>
      </w:r>
      <w:r>
        <w:rPr>
          <w:spacing w:val="-9"/>
        </w:rPr>
        <w:t> </w:t>
      </w:r>
      <w:r>
        <w:rPr/>
        <w:t>comparativo</w:t>
      </w:r>
      <w:r>
        <w:rPr>
          <w:spacing w:val="-10"/>
        </w:rPr>
        <w:t> </w:t>
      </w:r>
      <w:r>
        <w:rPr/>
        <w:t>del</w:t>
      </w:r>
      <w:r>
        <w:rPr>
          <w:spacing w:val="-9"/>
        </w:rPr>
        <w:t> </w:t>
      </w:r>
      <w:r>
        <w:rPr/>
        <w:t>crecimiento</w:t>
      </w:r>
      <w:r>
        <w:rPr>
          <w:spacing w:val="-9"/>
        </w:rPr>
        <w:t> </w:t>
      </w:r>
      <w:r>
        <w:rPr/>
        <w:t>de</w:t>
      </w:r>
      <w:r>
        <w:rPr>
          <w:spacing w:val="-11"/>
        </w:rPr>
        <w:t> </w:t>
      </w:r>
      <w:r>
        <w:rPr/>
        <w:t>los</w:t>
      </w:r>
      <w:r>
        <w:rPr>
          <w:spacing w:val="-9"/>
        </w:rPr>
        <w:t> </w:t>
      </w:r>
      <w:r>
        <w:rPr/>
        <w:t>costos por rubro individual con el deflactor del INPC ratifica que los productores ubicados en el estrato II, implementaron estrategias para disminuir costos en términos reales en los rubros de alimentación, medicamentos, servicio reproductivo y depreciación de animales que en conjunto representan 58.07% de los costos para producir un litro de leche, esto ratifica la capacidad</w:t>
      </w:r>
      <w:r>
        <w:rPr>
          <w:spacing w:val="-5"/>
        </w:rPr>
        <w:t> </w:t>
      </w:r>
      <w:r>
        <w:rPr/>
        <w:t>que</w:t>
      </w:r>
      <w:r>
        <w:rPr>
          <w:spacing w:val="-6"/>
        </w:rPr>
        <w:t> </w:t>
      </w:r>
      <w:r>
        <w:rPr/>
        <w:t>tienen</w:t>
      </w:r>
      <w:r>
        <w:rPr>
          <w:spacing w:val="-5"/>
        </w:rPr>
        <w:t> </w:t>
      </w:r>
      <w:r>
        <w:rPr/>
        <w:t>los</w:t>
      </w:r>
      <w:r>
        <w:rPr>
          <w:spacing w:val="-7"/>
        </w:rPr>
        <w:t> </w:t>
      </w:r>
      <w:r>
        <w:rPr/>
        <w:t>sistemas</w:t>
      </w:r>
      <w:r>
        <w:rPr>
          <w:spacing w:val="-5"/>
        </w:rPr>
        <w:t> </w:t>
      </w:r>
      <w:r>
        <w:rPr/>
        <w:t>lecheros</w:t>
      </w:r>
      <w:r>
        <w:rPr>
          <w:spacing w:val="-5"/>
        </w:rPr>
        <w:t> </w:t>
      </w:r>
      <w:r>
        <w:rPr/>
        <w:t>de</w:t>
      </w:r>
      <w:r>
        <w:rPr>
          <w:spacing w:val="-6"/>
        </w:rPr>
        <w:t> </w:t>
      </w:r>
      <w:r>
        <w:rPr/>
        <w:t>pequeña</w:t>
      </w:r>
      <w:r>
        <w:rPr>
          <w:spacing w:val="-6"/>
        </w:rPr>
        <w:t> </w:t>
      </w:r>
      <w:r>
        <w:rPr/>
        <w:t>escala</w:t>
      </w:r>
      <w:r>
        <w:rPr>
          <w:spacing w:val="-6"/>
        </w:rPr>
        <w:t> </w:t>
      </w:r>
      <w:r>
        <w:rPr/>
        <w:t>para</w:t>
      </w:r>
      <w:r>
        <w:rPr>
          <w:spacing w:val="-7"/>
        </w:rPr>
        <w:t> </w:t>
      </w:r>
      <w:r>
        <w:rPr/>
        <w:t>adaptarse</w:t>
      </w:r>
      <w:r>
        <w:rPr>
          <w:spacing w:val="-6"/>
        </w:rPr>
        <w:t> </w:t>
      </w:r>
      <w:r>
        <w:rPr/>
        <w:t>a</w:t>
      </w:r>
      <w:r>
        <w:rPr>
          <w:spacing w:val="-6"/>
        </w:rPr>
        <w:t> </w:t>
      </w:r>
      <w:r>
        <w:rPr/>
        <w:t>los</w:t>
      </w:r>
      <w:r>
        <w:rPr>
          <w:spacing w:val="-4"/>
        </w:rPr>
        <w:t> </w:t>
      </w:r>
      <w:r>
        <w:rPr/>
        <w:t>escenarios cambiantes y aprovechar de manera eficiente sus recursos internos para disminuir</w:t>
      </w:r>
      <w:r>
        <w:rPr>
          <w:spacing w:val="-14"/>
        </w:rPr>
        <w:t> </w:t>
      </w:r>
      <w:r>
        <w:rPr/>
        <w:t>costos.</w:t>
      </w:r>
    </w:p>
    <w:p>
      <w:pPr>
        <w:pStyle w:val="BodyText"/>
        <w:spacing w:before="3"/>
      </w:pPr>
    </w:p>
    <w:p>
      <w:pPr>
        <w:pStyle w:val="BodyText"/>
        <w:spacing w:before="1" w:after="35"/>
        <w:ind w:left="208" w:right="258"/>
        <w:jc w:val="both"/>
      </w:pPr>
      <w:r>
        <w:rPr/>
        <w:pict>
          <v:group style="position:absolute;margin-left:84.003998pt;margin-top:28.053116pt;width:448.8pt;height:2.2pt;mso-position-horizontal-relative:page;mso-position-vertical-relative:paragraph;z-index:-459184" coordorigin="1680,561" coordsize="8976,44">
            <v:line style="position:absolute" from="1702,583" to="1719,583" stroked="true" strokeweight="2.16pt" strokecolor="#000000"/>
            <v:line style="position:absolute" from="1719,583" to="1762,583" stroked="true" strokeweight="2.16pt" strokecolor="#000000"/>
            <v:line style="position:absolute" from="1762,583" to="4549,583" stroked="true" strokeweight="2.16pt" strokecolor="#000000"/>
            <v:line style="position:absolute" from="4549,583" to="4592,583" stroked="true" strokeweight="2.16pt" strokecolor="#000000"/>
            <v:line style="position:absolute" from="4592,583" to="5804,583" stroked="true" strokeweight="2.16pt" strokecolor="#000000"/>
            <v:line style="position:absolute" from="5804,583" to="5847,583" stroked="true" strokeweight="2.16pt" strokecolor="#000000"/>
            <v:line style="position:absolute" from="5847,583" to="7057,583" stroked="true" strokeweight="2.16pt" strokecolor="#000000"/>
            <v:line style="position:absolute" from="7057,583" to="7101,583" stroked="true" strokeweight="2.16pt" strokecolor="#000000"/>
            <v:line style="position:absolute" from="7101,583" to="8507,583" stroked="true" strokeweight="2.16pt" strokecolor="#000000"/>
            <v:line style="position:absolute" from="8507,583" to="8550,583" stroked="true" strokeweight="2.16pt" strokecolor="#000000"/>
            <v:line style="position:absolute" from="8550,583" to="10634,583" stroked="true" strokeweight="2.16pt" strokecolor="#000000"/>
            <w10:wrap type="none"/>
          </v:group>
        </w:pict>
      </w:r>
      <w:r>
        <w:rPr>
          <w:b/>
        </w:rPr>
        <w:t>Tabla 6. </w:t>
      </w:r>
      <w:r>
        <w:rPr/>
        <w:t>Comparación del INPC y los deflactores por rubro de gasto para el estrato II ($/litro)</w:t>
      </w: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1287"/>
        <w:gridCol w:w="1193"/>
        <w:gridCol w:w="1694"/>
        <w:gridCol w:w="2028"/>
      </w:tblGrid>
      <w:tr>
        <w:trPr>
          <w:trHeight w:val="847" w:hRule="exact"/>
        </w:trPr>
        <w:tc>
          <w:tcPr>
            <w:tcW w:w="2795" w:type="dxa"/>
            <w:tcBorders>
              <w:bottom w:val="single" w:sz="17" w:space="0" w:color="000000"/>
            </w:tcBorders>
          </w:tcPr>
          <w:p>
            <w:pPr>
              <w:pStyle w:val="TableParagraph"/>
              <w:spacing w:before="8"/>
              <w:ind w:left="52" w:right="310"/>
              <w:jc w:val="left"/>
              <w:rPr>
                <w:sz w:val="24"/>
              </w:rPr>
            </w:pPr>
            <w:r>
              <w:rPr>
                <w:sz w:val="24"/>
              </w:rPr>
              <w:t>Rubro de la estructura de costo de producción</w:t>
            </w:r>
          </w:p>
        </w:tc>
        <w:tc>
          <w:tcPr>
            <w:tcW w:w="1287" w:type="dxa"/>
            <w:tcBorders>
              <w:bottom w:val="single" w:sz="17" w:space="0" w:color="000000"/>
            </w:tcBorders>
          </w:tcPr>
          <w:p>
            <w:pPr>
              <w:pStyle w:val="TableParagraph"/>
              <w:spacing w:line="223" w:lineRule="auto" w:before="24"/>
              <w:ind w:left="380" w:right="298" w:hanging="48"/>
              <w:jc w:val="both"/>
              <w:rPr>
                <w:sz w:val="24"/>
              </w:rPr>
            </w:pPr>
            <w:r>
              <w:rPr>
                <w:sz w:val="24"/>
              </w:rPr>
              <w:t>Costos 2000</w:t>
            </w:r>
            <w:r>
              <w:rPr>
                <w:position w:val="9"/>
                <w:sz w:val="16"/>
              </w:rPr>
              <w:t>£ </w:t>
            </w:r>
            <w:r>
              <w:rPr>
                <w:sz w:val="24"/>
              </w:rPr>
              <w:t>(A)</w:t>
            </w:r>
          </w:p>
        </w:tc>
        <w:tc>
          <w:tcPr>
            <w:tcW w:w="1193" w:type="dxa"/>
            <w:tcBorders>
              <w:bottom w:val="single" w:sz="17" w:space="0" w:color="000000"/>
            </w:tcBorders>
          </w:tcPr>
          <w:p>
            <w:pPr>
              <w:pStyle w:val="TableParagraph"/>
              <w:spacing w:line="230" w:lineRule="auto" w:before="17"/>
              <w:ind w:left="300" w:right="235"/>
              <w:jc w:val="center"/>
              <w:rPr>
                <w:sz w:val="24"/>
              </w:rPr>
            </w:pPr>
            <w:r>
              <w:rPr>
                <w:sz w:val="24"/>
              </w:rPr>
              <w:t>Costos</w:t>
            </w:r>
            <w:r>
              <w:rPr>
                <w:w w:val="99"/>
                <w:sz w:val="24"/>
              </w:rPr>
              <w:t> </w:t>
            </w:r>
            <w:r>
              <w:rPr>
                <w:sz w:val="24"/>
              </w:rPr>
              <w:t>2012 (B)</w:t>
            </w:r>
          </w:p>
        </w:tc>
        <w:tc>
          <w:tcPr>
            <w:tcW w:w="1694" w:type="dxa"/>
            <w:tcBorders>
              <w:bottom w:val="single" w:sz="17" w:space="0" w:color="000000"/>
            </w:tcBorders>
          </w:tcPr>
          <w:p>
            <w:pPr>
              <w:pStyle w:val="TableParagraph"/>
              <w:spacing w:line="230" w:lineRule="auto" w:before="17"/>
              <w:ind w:left="161" w:right="283" w:firstLine="5"/>
              <w:jc w:val="center"/>
              <w:rPr>
                <w:sz w:val="24"/>
              </w:rPr>
            </w:pPr>
            <w:r>
              <w:rPr>
                <w:sz w:val="24"/>
              </w:rPr>
              <w:t>Tasa de 2000-2012 C= (B-A)/A)</w:t>
            </w:r>
          </w:p>
        </w:tc>
        <w:tc>
          <w:tcPr>
            <w:tcW w:w="2028" w:type="dxa"/>
            <w:tcBorders>
              <w:bottom w:val="single" w:sz="17" w:space="0" w:color="000000"/>
            </w:tcBorders>
          </w:tcPr>
          <w:p>
            <w:pPr>
              <w:pStyle w:val="TableParagraph"/>
              <w:spacing w:line="223" w:lineRule="auto" w:before="24"/>
              <w:ind w:left="381" w:right="310" w:hanging="236"/>
              <w:jc w:val="left"/>
              <w:rPr>
                <w:sz w:val="24"/>
              </w:rPr>
            </w:pPr>
            <w:r>
              <w:rPr>
                <w:sz w:val="24"/>
              </w:rPr>
              <w:t>Diferencia entre y por rubro E= (C-D</w:t>
            </w:r>
            <w:r>
              <w:rPr>
                <w:position w:val="9"/>
                <w:sz w:val="16"/>
              </w:rPr>
              <w:t>ῼ</w:t>
            </w:r>
            <w:r>
              <w:rPr>
                <w:sz w:val="24"/>
              </w:rPr>
              <w:t>)</w:t>
            </w:r>
          </w:p>
        </w:tc>
      </w:tr>
      <w:tr>
        <w:trPr>
          <w:trHeight w:val="554" w:hRule="exact"/>
        </w:trPr>
        <w:tc>
          <w:tcPr>
            <w:tcW w:w="2795" w:type="dxa"/>
            <w:tcBorders>
              <w:top w:val="single" w:sz="17" w:space="0" w:color="000000"/>
            </w:tcBorders>
          </w:tcPr>
          <w:p>
            <w:pPr>
              <w:pStyle w:val="TableParagraph"/>
              <w:spacing w:line="256" w:lineRule="exact"/>
              <w:ind w:left="69" w:right="310"/>
              <w:jc w:val="left"/>
              <w:rPr>
                <w:b/>
                <w:sz w:val="24"/>
              </w:rPr>
            </w:pPr>
            <w:r>
              <w:rPr>
                <w:b/>
                <w:sz w:val="24"/>
              </w:rPr>
              <w:t>Costos variables</w:t>
            </w:r>
          </w:p>
          <w:p>
            <w:pPr>
              <w:pStyle w:val="TableParagraph"/>
              <w:spacing w:line="259" w:lineRule="exact"/>
              <w:ind w:left="69" w:right="310"/>
              <w:jc w:val="left"/>
              <w:rPr>
                <w:sz w:val="24"/>
              </w:rPr>
            </w:pPr>
            <w:r>
              <w:rPr>
                <w:sz w:val="24"/>
              </w:rPr>
              <w:t>Alimentación</w:t>
            </w:r>
          </w:p>
        </w:tc>
        <w:tc>
          <w:tcPr>
            <w:tcW w:w="1287" w:type="dxa"/>
            <w:tcBorders>
              <w:top w:val="single" w:sz="17" w:space="0" w:color="000000"/>
            </w:tcBorders>
          </w:tcPr>
          <w:p>
            <w:pPr>
              <w:pStyle w:val="TableParagraph"/>
              <w:spacing w:before="9"/>
              <w:jc w:val="left"/>
              <w:rPr>
                <w:sz w:val="20"/>
              </w:rPr>
            </w:pPr>
          </w:p>
          <w:p>
            <w:pPr>
              <w:pStyle w:val="TableParagraph"/>
              <w:ind w:left="434" w:right="392"/>
              <w:jc w:val="center"/>
              <w:rPr>
                <w:sz w:val="24"/>
              </w:rPr>
            </w:pPr>
            <w:r>
              <w:rPr>
                <w:sz w:val="24"/>
              </w:rPr>
              <w:t>2.49</w:t>
            </w:r>
          </w:p>
        </w:tc>
        <w:tc>
          <w:tcPr>
            <w:tcW w:w="1193" w:type="dxa"/>
            <w:tcBorders>
              <w:top w:val="single" w:sz="17" w:space="0" w:color="000000"/>
            </w:tcBorders>
          </w:tcPr>
          <w:p>
            <w:pPr>
              <w:pStyle w:val="TableParagraph"/>
              <w:spacing w:before="9"/>
              <w:jc w:val="left"/>
              <w:rPr>
                <w:sz w:val="20"/>
              </w:rPr>
            </w:pPr>
          </w:p>
          <w:p>
            <w:pPr>
              <w:pStyle w:val="TableParagraph"/>
              <w:ind w:right="161"/>
              <w:rPr>
                <w:sz w:val="24"/>
              </w:rPr>
            </w:pPr>
            <w:r>
              <w:rPr>
                <w:sz w:val="24"/>
              </w:rPr>
              <w:t>2.07</w:t>
            </w:r>
          </w:p>
        </w:tc>
        <w:tc>
          <w:tcPr>
            <w:tcW w:w="1694" w:type="dxa"/>
            <w:tcBorders>
              <w:top w:val="single" w:sz="17" w:space="0" w:color="000000"/>
            </w:tcBorders>
          </w:tcPr>
          <w:p>
            <w:pPr>
              <w:pStyle w:val="TableParagraph"/>
              <w:spacing w:before="9"/>
              <w:jc w:val="left"/>
              <w:rPr>
                <w:sz w:val="20"/>
              </w:rPr>
            </w:pPr>
          </w:p>
          <w:p>
            <w:pPr>
              <w:pStyle w:val="TableParagraph"/>
              <w:ind w:right="165"/>
              <w:rPr>
                <w:sz w:val="24"/>
              </w:rPr>
            </w:pPr>
            <w:r>
              <w:rPr>
                <w:sz w:val="24"/>
              </w:rPr>
              <w:t>-16.60%</w:t>
            </w:r>
          </w:p>
        </w:tc>
        <w:tc>
          <w:tcPr>
            <w:tcW w:w="2028" w:type="dxa"/>
            <w:tcBorders>
              <w:top w:val="single" w:sz="17" w:space="0" w:color="000000"/>
            </w:tcBorders>
          </w:tcPr>
          <w:p>
            <w:pPr>
              <w:pStyle w:val="TableParagraph"/>
              <w:spacing w:before="9"/>
              <w:jc w:val="left"/>
              <w:rPr>
                <w:sz w:val="20"/>
              </w:rPr>
            </w:pPr>
          </w:p>
          <w:p>
            <w:pPr>
              <w:pStyle w:val="TableParagraph"/>
              <w:ind w:left="579" w:right="468"/>
              <w:jc w:val="center"/>
              <w:rPr>
                <w:sz w:val="24"/>
              </w:rPr>
            </w:pPr>
            <w:r>
              <w:rPr>
                <w:sz w:val="24"/>
              </w:rPr>
              <w:t>-86.63%</w:t>
            </w:r>
          </w:p>
        </w:tc>
      </w:tr>
      <w:tr>
        <w:trPr>
          <w:trHeight w:val="284" w:hRule="exact"/>
        </w:trPr>
        <w:tc>
          <w:tcPr>
            <w:tcW w:w="2795" w:type="dxa"/>
          </w:tcPr>
          <w:p>
            <w:pPr>
              <w:pStyle w:val="TableParagraph"/>
              <w:spacing w:line="268" w:lineRule="exact"/>
              <w:ind w:left="69" w:right="310"/>
              <w:jc w:val="left"/>
              <w:rPr>
                <w:sz w:val="24"/>
              </w:rPr>
            </w:pPr>
            <w:r>
              <w:rPr>
                <w:sz w:val="24"/>
              </w:rPr>
              <w:t>Mano de obra</w:t>
            </w:r>
          </w:p>
        </w:tc>
        <w:tc>
          <w:tcPr>
            <w:tcW w:w="1287" w:type="dxa"/>
          </w:tcPr>
          <w:p>
            <w:pPr>
              <w:pStyle w:val="TableParagraph"/>
              <w:spacing w:line="268" w:lineRule="exact"/>
              <w:ind w:left="434" w:right="392"/>
              <w:jc w:val="center"/>
              <w:rPr>
                <w:sz w:val="24"/>
              </w:rPr>
            </w:pPr>
            <w:r>
              <w:rPr>
                <w:sz w:val="24"/>
              </w:rPr>
              <w:t>0.93</w:t>
            </w:r>
          </w:p>
        </w:tc>
        <w:tc>
          <w:tcPr>
            <w:tcW w:w="1193" w:type="dxa"/>
          </w:tcPr>
          <w:p>
            <w:pPr>
              <w:pStyle w:val="TableParagraph"/>
              <w:spacing w:line="268" w:lineRule="exact"/>
              <w:ind w:right="161"/>
              <w:rPr>
                <w:sz w:val="24"/>
              </w:rPr>
            </w:pPr>
            <w:r>
              <w:rPr>
                <w:sz w:val="24"/>
              </w:rPr>
              <w:t>1.14</w:t>
            </w:r>
          </w:p>
        </w:tc>
        <w:tc>
          <w:tcPr>
            <w:tcW w:w="1694" w:type="dxa"/>
          </w:tcPr>
          <w:p>
            <w:pPr>
              <w:pStyle w:val="TableParagraph"/>
              <w:spacing w:line="268" w:lineRule="exact"/>
              <w:ind w:right="204"/>
              <w:rPr>
                <w:sz w:val="24"/>
              </w:rPr>
            </w:pPr>
            <w:r>
              <w:rPr>
                <w:sz w:val="24"/>
              </w:rPr>
              <w:t>22.83%</w:t>
            </w:r>
          </w:p>
        </w:tc>
        <w:tc>
          <w:tcPr>
            <w:tcW w:w="2028" w:type="dxa"/>
          </w:tcPr>
          <w:p>
            <w:pPr>
              <w:pStyle w:val="TableParagraph"/>
              <w:spacing w:line="268" w:lineRule="exact"/>
              <w:ind w:left="579" w:right="468"/>
              <w:jc w:val="center"/>
              <w:rPr>
                <w:sz w:val="24"/>
              </w:rPr>
            </w:pPr>
            <w:r>
              <w:rPr>
                <w:sz w:val="24"/>
              </w:rPr>
              <w:t>-47.20%</w:t>
            </w:r>
          </w:p>
        </w:tc>
      </w:tr>
      <w:tr>
        <w:trPr>
          <w:trHeight w:val="283" w:hRule="exact"/>
        </w:trPr>
        <w:tc>
          <w:tcPr>
            <w:tcW w:w="2795" w:type="dxa"/>
          </w:tcPr>
          <w:p>
            <w:pPr>
              <w:pStyle w:val="TableParagraph"/>
              <w:spacing w:line="267" w:lineRule="exact"/>
              <w:ind w:left="69" w:right="310"/>
              <w:jc w:val="left"/>
              <w:rPr>
                <w:sz w:val="24"/>
              </w:rPr>
            </w:pPr>
            <w:r>
              <w:rPr>
                <w:sz w:val="24"/>
              </w:rPr>
              <w:t>Medicamentos</w:t>
            </w:r>
          </w:p>
        </w:tc>
        <w:tc>
          <w:tcPr>
            <w:tcW w:w="1287" w:type="dxa"/>
          </w:tcPr>
          <w:p>
            <w:pPr>
              <w:pStyle w:val="TableParagraph"/>
              <w:spacing w:line="267" w:lineRule="exact"/>
              <w:ind w:left="434" w:right="392"/>
              <w:jc w:val="center"/>
              <w:rPr>
                <w:sz w:val="24"/>
              </w:rPr>
            </w:pPr>
            <w:r>
              <w:rPr>
                <w:sz w:val="24"/>
              </w:rPr>
              <w:t>0.09</w:t>
            </w:r>
          </w:p>
        </w:tc>
        <w:tc>
          <w:tcPr>
            <w:tcW w:w="1193" w:type="dxa"/>
          </w:tcPr>
          <w:p>
            <w:pPr>
              <w:pStyle w:val="TableParagraph"/>
              <w:spacing w:line="267" w:lineRule="exact"/>
              <w:ind w:right="161"/>
              <w:rPr>
                <w:sz w:val="24"/>
              </w:rPr>
            </w:pPr>
            <w:r>
              <w:rPr>
                <w:sz w:val="24"/>
              </w:rPr>
              <w:t>0.04</w:t>
            </w:r>
          </w:p>
        </w:tc>
        <w:tc>
          <w:tcPr>
            <w:tcW w:w="1694" w:type="dxa"/>
          </w:tcPr>
          <w:p>
            <w:pPr>
              <w:pStyle w:val="TableParagraph"/>
              <w:spacing w:line="267" w:lineRule="exact"/>
              <w:ind w:right="165"/>
              <w:rPr>
                <w:sz w:val="24"/>
              </w:rPr>
            </w:pPr>
            <w:r>
              <w:rPr>
                <w:sz w:val="24"/>
              </w:rPr>
              <w:t>-60.07%</w:t>
            </w:r>
          </w:p>
        </w:tc>
        <w:tc>
          <w:tcPr>
            <w:tcW w:w="2028" w:type="dxa"/>
          </w:tcPr>
          <w:p>
            <w:pPr>
              <w:pStyle w:val="TableParagraph"/>
              <w:spacing w:line="267" w:lineRule="exact"/>
              <w:ind w:left="579" w:right="468"/>
              <w:jc w:val="center"/>
              <w:rPr>
                <w:sz w:val="24"/>
              </w:rPr>
            </w:pPr>
            <w:r>
              <w:rPr>
                <w:sz w:val="24"/>
              </w:rPr>
              <w:t>-130.10%</w:t>
            </w:r>
          </w:p>
        </w:tc>
      </w:tr>
      <w:tr>
        <w:trPr>
          <w:trHeight w:val="284" w:hRule="exact"/>
        </w:trPr>
        <w:tc>
          <w:tcPr>
            <w:tcW w:w="2795" w:type="dxa"/>
          </w:tcPr>
          <w:p>
            <w:pPr>
              <w:pStyle w:val="TableParagraph"/>
              <w:spacing w:line="267" w:lineRule="exact"/>
              <w:ind w:left="69" w:right="310"/>
              <w:jc w:val="left"/>
              <w:rPr>
                <w:sz w:val="24"/>
              </w:rPr>
            </w:pPr>
            <w:r>
              <w:rPr>
                <w:sz w:val="24"/>
              </w:rPr>
              <w:t>Servicio reproductivo</w:t>
            </w:r>
          </w:p>
        </w:tc>
        <w:tc>
          <w:tcPr>
            <w:tcW w:w="1287" w:type="dxa"/>
          </w:tcPr>
          <w:p>
            <w:pPr>
              <w:pStyle w:val="TableParagraph"/>
              <w:spacing w:line="267" w:lineRule="exact"/>
              <w:ind w:left="434" w:right="392"/>
              <w:jc w:val="center"/>
              <w:rPr>
                <w:sz w:val="24"/>
              </w:rPr>
            </w:pPr>
            <w:r>
              <w:rPr>
                <w:sz w:val="24"/>
              </w:rPr>
              <w:t>0.06</w:t>
            </w:r>
          </w:p>
        </w:tc>
        <w:tc>
          <w:tcPr>
            <w:tcW w:w="1193" w:type="dxa"/>
          </w:tcPr>
          <w:p>
            <w:pPr>
              <w:pStyle w:val="TableParagraph"/>
              <w:spacing w:line="267" w:lineRule="exact"/>
              <w:ind w:right="161"/>
              <w:rPr>
                <w:sz w:val="24"/>
              </w:rPr>
            </w:pPr>
            <w:r>
              <w:rPr>
                <w:sz w:val="24"/>
              </w:rPr>
              <w:t>0.04</w:t>
            </w:r>
          </w:p>
        </w:tc>
        <w:tc>
          <w:tcPr>
            <w:tcW w:w="1694" w:type="dxa"/>
          </w:tcPr>
          <w:p>
            <w:pPr>
              <w:pStyle w:val="TableParagraph"/>
              <w:spacing w:line="267" w:lineRule="exact"/>
              <w:ind w:right="165"/>
              <w:rPr>
                <w:sz w:val="24"/>
              </w:rPr>
            </w:pPr>
            <w:r>
              <w:rPr>
                <w:sz w:val="24"/>
              </w:rPr>
              <w:t>-40.11%</w:t>
            </w:r>
          </w:p>
        </w:tc>
        <w:tc>
          <w:tcPr>
            <w:tcW w:w="2028" w:type="dxa"/>
          </w:tcPr>
          <w:p>
            <w:pPr>
              <w:pStyle w:val="TableParagraph"/>
              <w:spacing w:line="267" w:lineRule="exact"/>
              <w:ind w:left="579" w:right="468"/>
              <w:jc w:val="center"/>
              <w:rPr>
                <w:sz w:val="24"/>
              </w:rPr>
            </w:pPr>
            <w:r>
              <w:rPr>
                <w:sz w:val="24"/>
              </w:rPr>
              <w:t>-110.14%</w:t>
            </w:r>
          </w:p>
        </w:tc>
      </w:tr>
      <w:tr>
        <w:trPr>
          <w:trHeight w:val="284" w:hRule="exact"/>
        </w:trPr>
        <w:tc>
          <w:tcPr>
            <w:tcW w:w="2795" w:type="dxa"/>
          </w:tcPr>
          <w:p>
            <w:pPr>
              <w:pStyle w:val="TableParagraph"/>
              <w:spacing w:line="268" w:lineRule="exact"/>
              <w:ind w:left="69" w:right="310"/>
              <w:jc w:val="left"/>
              <w:rPr>
                <w:sz w:val="24"/>
              </w:rPr>
            </w:pPr>
            <w:r>
              <w:rPr>
                <w:sz w:val="24"/>
              </w:rPr>
              <w:t>Agua</w:t>
            </w:r>
          </w:p>
        </w:tc>
        <w:tc>
          <w:tcPr>
            <w:tcW w:w="1287" w:type="dxa"/>
          </w:tcPr>
          <w:p>
            <w:pPr>
              <w:pStyle w:val="TableParagraph"/>
              <w:spacing w:line="268" w:lineRule="exact"/>
              <w:ind w:left="434" w:right="392"/>
              <w:jc w:val="center"/>
              <w:rPr>
                <w:sz w:val="24"/>
              </w:rPr>
            </w:pPr>
            <w:r>
              <w:rPr>
                <w:sz w:val="24"/>
              </w:rPr>
              <w:t>0.05</w:t>
            </w:r>
          </w:p>
        </w:tc>
        <w:tc>
          <w:tcPr>
            <w:tcW w:w="1193" w:type="dxa"/>
          </w:tcPr>
          <w:p>
            <w:pPr>
              <w:pStyle w:val="TableParagraph"/>
              <w:spacing w:line="268" w:lineRule="exact"/>
              <w:ind w:right="161"/>
              <w:rPr>
                <w:sz w:val="24"/>
              </w:rPr>
            </w:pPr>
            <w:r>
              <w:rPr>
                <w:sz w:val="24"/>
              </w:rPr>
              <w:t>0.02</w:t>
            </w:r>
          </w:p>
        </w:tc>
        <w:tc>
          <w:tcPr>
            <w:tcW w:w="1694" w:type="dxa"/>
          </w:tcPr>
          <w:p>
            <w:pPr>
              <w:pStyle w:val="TableParagraph"/>
              <w:spacing w:line="268" w:lineRule="exact"/>
              <w:ind w:right="165"/>
              <w:rPr>
                <w:sz w:val="24"/>
              </w:rPr>
            </w:pPr>
            <w:r>
              <w:rPr>
                <w:sz w:val="24"/>
              </w:rPr>
              <w:t>-60.07%</w:t>
            </w:r>
          </w:p>
        </w:tc>
        <w:tc>
          <w:tcPr>
            <w:tcW w:w="2028" w:type="dxa"/>
          </w:tcPr>
          <w:p>
            <w:pPr>
              <w:pStyle w:val="TableParagraph"/>
              <w:spacing w:line="268" w:lineRule="exact"/>
              <w:ind w:left="579" w:right="468"/>
              <w:jc w:val="center"/>
              <w:rPr>
                <w:sz w:val="24"/>
              </w:rPr>
            </w:pPr>
            <w:r>
              <w:rPr>
                <w:sz w:val="24"/>
              </w:rPr>
              <w:t>-130.10%</w:t>
            </w:r>
          </w:p>
        </w:tc>
      </w:tr>
      <w:tr>
        <w:trPr>
          <w:trHeight w:val="283" w:hRule="exact"/>
        </w:trPr>
        <w:tc>
          <w:tcPr>
            <w:tcW w:w="2795" w:type="dxa"/>
          </w:tcPr>
          <w:p>
            <w:pPr>
              <w:pStyle w:val="TableParagraph"/>
              <w:spacing w:line="267" w:lineRule="exact"/>
              <w:ind w:left="69" w:right="310"/>
              <w:jc w:val="left"/>
              <w:rPr>
                <w:sz w:val="24"/>
              </w:rPr>
            </w:pPr>
            <w:r>
              <w:rPr>
                <w:sz w:val="24"/>
              </w:rPr>
              <w:t>Combustible</w:t>
            </w:r>
          </w:p>
        </w:tc>
        <w:tc>
          <w:tcPr>
            <w:tcW w:w="1287" w:type="dxa"/>
          </w:tcPr>
          <w:p>
            <w:pPr>
              <w:pStyle w:val="TableParagraph"/>
              <w:spacing w:line="267" w:lineRule="exact"/>
              <w:ind w:left="434" w:right="392"/>
              <w:jc w:val="center"/>
              <w:rPr>
                <w:sz w:val="24"/>
              </w:rPr>
            </w:pPr>
            <w:r>
              <w:rPr>
                <w:sz w:val="24"/>
              </w:rPr>
              <w:t>0.11</w:t>
            </w:r>
          </w:p>
        </w:tc>
        <w:tc>
          <w:tcPr>
            <w:tcW w:w="1193" w:type="dxa"/>
          </w:tcPr>
          <w:p>
            <w:pPr>
              <w:pStyle w:val="TableParagraph"/>
              <w:spacing w:line="267" w:lineRule="exact"/>
              <w:ind w:right="161"/>
              <w:rPr>
                <w:sz w:val="24"/>
              </w:rPr>
            </w:pPr>
            <w:r>
              <w:rPr>
                <w:sz w:val="24"/>
              </w:rPr>
              <w:t>0.05</w:t>
            </w:r>
          </w:p>
        </w:tc>
        <w:tc>
          <w:tcPr>
            <w:tcW w:w="1694" w:type="dxa"/>
          </w:tcPr>
          <w:p>
            <w:pPr>
              <w:pStyle w:val="TableParagraph"/>
              <w:spacing w:line="267" w:lineRule="exact"/>
              <w:ind w:right="165"/>
              <w:rPr>
                <w:sz w:val="24"/>
              </w:rPr>
            </w:pPr>
            <w:r>
              <w:rPr>
                <w:sz w:val="24"/>
              </w:rPr>
              <w:t>-57.22%</w:t>
            </w:r>
          </w:p>
        </w:tc>
        <w:tc>
          <w:tcPr>
            <w:tcW w:w="2028" w:type="dxa"/>
          </w:tcPr>
          <w:p>
            <w:pPr>
              <w:pStyle w:val="TableParagraph"/>
              <w:spacing w:line="267" w:lineRule="exact"/>
              <w:ind w:left="579" w:right="468"/>
              <w:jc w:val="center"/>
              <w:rPr>
                <w:sz w:val="24"/>
              </w:rPr>
            </w:pPr>
            <w:r>
              <w:rPr>
                <w:sz w:val="24"/>
              </w:rPr>
              <w:t>-127.25%</w:t>
            </w:r>
          </w:p>
        </w:tc>
      </w:tr>
      <w:tr>
        <w:trPr>
          <w:trHeight w:val="287" w:hRule="exact"/>
        </w:trPr>
        <w:tc>
          <w:tcPr>
            <w:tcW w:w="2795" w:type="dxa"/>
          </w:tcPr>
          <w:p>
            <w:pPr>
              <w:pStyle w:val="TableParagraph"/>
              <w:spacing w:line="267" w:lineRule="exact"/>
              <w:ind w:left="69" w:right="310"/>
              <w:jc w:val="left"/>
              <w:rPr>
                <w:sz w:val="24"/>
              </w:rPr>
            </w:pPr>
            <w:r>
              <w:rPr>
                <w:sz w:val="24"/>
              </w:rPr>
              <w:t>Luz</w:t>
            </w:r>
          </w:p>
        </w:tc>
        <w:tc>
          <w:tcPr>
            <w:tcW w:w="1287" w:type="dxa"/>
          </w:tcPr>
          <w:p>
            <w:pPr>
              <w:pStyle w:val="TableParagraph"/>
              <w:spacing w:line="267" w:lineRule="exact"/>
              <w:ind w:left="434" w:right="392"/>
              <w:jc w:val="center"/>
              <w:rPr>
                <w:sz w:val="24"/>
              </w:rPr>
            </w:pPr>
            <w:r>
              <w:rPr>
                <w:sz w:val="24"/>
              </w:rPr>
              <w:t>0.02</w:t>
            </w:r>
          </w:p>
        </w:tc>
        <w:tc>
          <w:tcPr>
            <w:tcW w:w="1193" w:type="dxa"/>
          </w:tcPr>
          <w:p>
            <w:pPr>
              <w:pStyle w:val="TableParagraph"/>
              <w:spacing w:line="267" w:lineRule="exact"/>
              <w:ind w:right="161"/>
              <w:rPr>
                <w:sz w:val="24"/>
              </w:rPr>
            </w:pPr>
            <w:r>
              <w:rPr>
                <w:sz w:val="24"/>
              </w:rPr>
              <w:t>0.03</w:t>
            </w:r>
          </w:p>
        </w:tc>
        <w:tc>
          <w:tcPr>
            <w:tcW w:w="1694" w:type="dxa"/>
          </w:tcPr>
          <w:p>
            <w:pPr>
              <w:pStyle w:val="TableParagraph"/>
              <w:spacing w:line="267" w:lineRule="exact"/>
              <w:ind w:right="204"/>
              <w:rPr>
                <w:sz w:val="24"/>
              </w:rPr>
            </w:pPr>
            <w:r>
              <w:rPr>
                <w:sz w:val="24"/>
              </w:rPr>
              <w:t>79.68%</w:t>
            </w:r>
          </w:p>
        </w:tc>
        <w:tc>
          <w:tcPr>
            <w:tcW w:w="2028" w:type="dxa"/>
          </w:tcPr>
          <w:p>
            <w:pPr>
              <w:pStyle w:val="TableParagraph"/>
              <w:spacing w:line="267" w:lineRule="exact"/>
              <w:ind w:left="579" w:right="466"/>
              <w:jc w:val="center"/>
              <w:rPr>
                <w:sz w:val="24"/>
              </w:rPr>
            </w:pPr>
            <w:r>
              <w:rPr>
                <w:sz w:val="24"/>
              </w:rPr>
              <w:t>9.65%</w:t>
            </w:r>
          </w:p>
        </w:tc>
      </w:tr>
      <w:tr>
        <w:trPr>
          <w:trHeight w:val="285" w:hRule="exact"/>
        </w:trPr>
        <w:tc>
          <w:tcPr>
            <w:tcW w:w="2795" w:type="dxa"/>
          </w:tcPr>
          <w:p>
            <w:pPr>
              <w:pStyle w:val="TableParagraph"/>
              <w:spacing w:line="271" w:lineRule="exact"/>
              <w:ind w:left="69" w:right="310"/>
              <w:jc w:val="left"/>
              <w:rPr>
                <w:b/>
                <w:sz w:val="24"/>
              </w:rPr>
            </w:pPr>
            <w:r>
              <w:rPr>
                <w:b/>
                <w:sz w:val="24"/>
              </w:rPr>
              <w:t>Costos fijos</w:t>
            </w:r>
          </w:p>
        </w:tc>
        <w:tc>
          <w:tcPr>
            <w:tcW w:w="1287" w:type="dxa"/>
          </w:tcPr>
          <w:p>
            <w:pPr/>
          </w:p>
        </w:tc>
        <w:tc>
          <w:tcPr>
            <w:tcW w:w="1193" w:type="dxa"/>
          </w:tcPr>
          <w:p>
            <w:pPr/>
          </w:p>
        </w:tc>
        <w:tc>
          <w:tcPr>
            <w:tcW w:w="1694" w:type="dxa"/>
          </w:tcPr>
          <w:p>
            <w:pPr/>
          </w:p>
        </w:tc>
        <w:tc>
          <w:tcPr>
            <w:tcW w:w="2028" w:type="dxa"/>
          </w:tcPr>
          <w:p>
            <w:pPr/>
          </w:p>
        </w:tc>
      </w:tr>
      <w:tr>
        <w:trPr>
          <w:trHeight w:val="281" w:hRule="exact"/>
        </w:trPr>
        <w:tc>
          <w:tcPr>
            <w:tcW w:w="2795" w:type="dxa"/>
          </w:tcPr>
          <w:p>
            <w:pPr>
              <w:pStyle w:val="TableParagraph"/>
              <w:spacing w:line="264" w:lineRule="exact"/>
              <w:ind w:left="69" w:right="310"/>
              <w:jc w:val="left"/>
              <w:rPr>
                <w:sz w:val="24"/>
              </w:rPr>
            </w:pPr>
            <w:r>
              <w:rPr>
                <w:sz w:val="24"/>
              </w:rPr>
              <w:t>Dep. de construcciones</w:t>
            </w:r>
          </w:p>
        </w:tc>
        <w:tc>
          <w:tcPr>
            <w:tcW w:w="1287" w:type="dxa"/>
          </w:tcPr>
          <w:p>
            <w:pPr>
              <w:pStyle w:val="TableParagraph"/>
              <w:spacing w:line="264" w:lineRule="exact"/>
              <w:ind w:left="434" w:right="392"/>
              <w:jc w:val="center"/>
              <w:rPr>
                <w:sz w:val="24"/>
              </w:rPr>
            </w:pPr>
            <w:r>
              <w:rPr>
                <w:sz w:val="24"/>
              </w:rPr>
              <w:t>0.03</w:t>
            </w:r>
          </w:p>
        </w:tc>
        <w:tc>
          <w:tcPr>
            <w:tcW w:w="1193" w:type="dxa"/>
          </w:tcPr>
          <w:p>
            <w:pPr>
              <w:pStyle w:val="TableParagraph"/>
              <w:spacing w:line="264" w:lineRule="exact"/>
              <w:ind w:right="161"/>
              <w:rPr>
                <w:sz w:val="24"/>
              </w:rPr>
            </w:pPr>
            <w:r>
              <w:rPr>
                <w:sz w:val="24"/>
              </w:rPr>
              <w:t>0.04</w:t>
            </w:r>
          </w:p>
        </w:tc>
        <w:tc>
          <w:tcPr>
            <w:tcW w:w="1694" w:type="dxa"/>
          </w:tcPr>
          <w:p>
            <w:pPr>
              <w:pStyle w:val="TableParagraph"/>
              <w:spacing w:line="264" w:lineRule="exact"/>
              <w:ind w:right="204"/>
              <w:rPr>
                <w:sz w:val="24"/>
              </w:rPr>
            </w:pPr>
            <w:r>
              <w:rPr>
                <w:sz w:val="24"/>
              </w:rPr>
              <w:t>19.79%</w:t>
            </w:r>
          </w:p>
        </w:tc>
        <w:tc>
          <w:tcPr>
            <w:tcW w:w="2028" w:type="dxa"/>
          </w:tcPr>
          <w:p>
            <w:pPr>
              <w:pStyle w:val="TableParagraph"/>
              <w:spacing w:line="264" w:lineRule="exact"/>
              <w:ind w:left="579" w:right="468"/>
              <w:jc w:val="center"/>
              <w:rPr>
                <w:sz w:val="24"/>
              </w:rPr>
            </w:pPr>
            <w:r>
              <w:rPr>
                <w:sz w:val="24"/>
              </w:rPr>
              <w:t>-50.24%</w:t>
            </w:r>
          </w:p>
        </w:tc>
      </w:tr>
      <w:tr>
        <w:trPr>
          <w:trHeight w:val="284" w:hRule="exact"/>
        </w:trPr>
        <w:tc>
          <w:tcPr>
            <w:tcW w:w="2795" w:type="dxa"/>
          </w:tcPr>
          <w:p>
            <w:pPr>
              <w:pStyle w:val="TableParagraph"/>
              <w:spacing w:line="267" w:lineRule="exact"/>
              <w:ind w:left="69" w:right="310"/>
              <w:jc w:val="left"/>
              <w:rPr>
                <w:sz w:val="24"/>
              </w:rPr>
            </w:pPr>
            <w:r>
              <w:rPr>
                <w:sz w:val="24"/>
              </w:rPr>
              <w:t>Otros gastos</w:t>
            </w:r>
          </w:p>
        </w:tc>
        <w:tc>
          <w:tcPr>
            <w:tcW w:w="1287" w:type="dxa"/>
          </w:tcPr>
          <w:p>
            <w:pPr>
              <w:pStyle w:val="TableParagraph"/>
              <w:spacing w:line="267" w:lineRule="exact"/>
              <w:ind w:left="434" w:right="392"/>
              <w:jc w:val="center"/>
              <w:rPr>
                <w:sz w:val="24"/>
              </w:rPr>
            </w:pPr>
            <w:r>
              <w:rPr>
                <w:sz w:val="24"/>
              </w:rPr>
              <w:t>0.11</w:t>
            </w:r>
          </w:p>
        </w:tc>
        <w:tc>
          <w:tcPr>
            <w:tcW w:w="1193" w:type="dxa"/>
          </w:tcPr>
          <w:p>
            <w:pPr>
              <w:pStyle w:val="TableParagraph"/>
              <w:spacing w:line="267" w:lineRule="exact"/>
              <w:ind w:right="161"/>
              <w:rPr>
                <w:sz w:val="24"/>
              </w:rPr>
            </w:pPr>
            <w:r>
              <w:rPr>
                <w:sz w:val="24"/>
              </w:rPr>
              <w:t>0.27</w:t>
            </w:r>
          </w:p>
        </w:tc>
        <w:tc>
          <w:tcPr>
            <w:tcW w:w="1694" w:type="dxa"/>
          </w:tcPr>
          <w:p>
            <w:pPr>
              <w:pStyle w:val="TableParagraph"/>
              <w:spacing w:line="267" w:lineRule="exact"/>
              <w:ind w:right="144"/>
              <w:rPr>
                <w:sz w:val="24"/>
              </w:rPr>
            </w:pPr>
            <w:r>
              <w:rPr>
                <w:sz w:val="24"/>
              </w:rPr>
              <w:t>148.13%</w:t>
            </w:r>
          </w:p>
        </w:tc>
        <w:tc>
          <w:tcPr>
            <w:tcW w:w="2028" w:type="dxa"/>
          </w:tcPr>
          <w:p>
            <w:pPr>
              <w:pStyle w:val="TableParagraph"/>
              <w:spacing w:line="267" w:lineRule="exact"/>
              <w:ind w:left="579" w:right="466"/>
              <w:jc w:val="center"/>
              <w:rPr>
                <w:sz w:val="24"/>
              </w:rPr>
            </w:pPr>
            <w:r>
              <w:rPr>
                <w:sz w:val="24"/>
              </w:rPr>
              <w:t>78.10%</w:t>
            </w:r>
          </w:p>
        </w:tc>
      </w:tr>
      <w:tr>
        <w:trPr>
          <w:trHeight w:val="298" w:hRule="exact"/>
        </w:trPr>
        <w:tc>
          <w:tcPr>
            <w:tcW w:w="2795" w:type="dxa"/>
            <w:tcBorders>
              <w:bottom w:val="single" w:sz="17" w:space="0" w:color="000000"/>
            </w:tcBorders>
          </w:tcPr>
          <w:p>
            <w:pPr>
              <w:pStyle w:val="TableParagraph"/>
              <w:spacing w:line="268" w:lineRule="exact"/>
              <w:ind w:left="69" w:right="310"/>
              <w:jc w:val="left"/>
              <w:rPr>
                <w:sz w:val="24"/>
              </w:rPr>
            </w:pPr>
            <w:r>
              <w:rPr>
                <w:sz w:val="24"/>
              </w:rPr>
              <w:t>Dep. de animales</w:t>
            </w:r>
          </w:p>
        </w:tc>
        <w:tc>
          <w:tcPr>
            <w:tcW w:w="1287" w:type="dxa"/>
            <w:tcBorders>
              <w:bottom w:val="single" w:sz="17" w:space="0" w:color="000000"/>
            </w:tcBorders>
          </w:tcPr>
          <w:p>
            <w:pPr>
              <w:pStyle w:val="TableParagraph"/>
              <w:spacing w:line="268" w:lineRule="exact"/>
              <w:ind w:left="434" w:right="392"/>
              <w:jc w:val="center"/>
              <w:rPr>
                <w:sz w:val="24"/>
              </w:rPr>
            </w:pPr>
            <w:r>
              <w:rPr>
                <w:sz w:val="24"/>
              </w:rPr>
              <w:t>0.46</w:t>
            </w:r>
          </w:p>
        </w:tc>
        <w:tc>
          <w:tcPr>
            <w:tcW w:w="1193" w:type="dxa"/>
            <w:tcBorders>
              <w:bottom w:val="single" w:sz="17" w:space="0" w:color="000000"/>
            </w:tcBorders>
          </w:tcPr>
          <w:p>
            <w:pPr>
              <w:pStyle w:val="TableParagraph"/>
              <w:spacing w:line="268" w:lineRule="exact"/>
              <w:ind w:right="161"/>
              <w:rPr>
                <w:sz w:val="24"/>
              </w:rPr>
            </w:pPr>
            <w:r>
              <w:rPr>
                <w:sz w:val="24"/>
              </w:rPr>
              <w:t>0.04</w:t>
            </w:r>
          </w:p>
        </w:tc>
        <w:tc>
          <w:tcPr>
            <w:tcW w:w="1694" w:type="dxa"/>
            <w:tcBorders>
              <w:bottom w:val="single" w:sz="17" w:space="0" w:color="000000"/>
            </w:tcBorders>
          </w:tcPr>
          <w:p>
            <w:pPr>
              <w:pStyle w:val="TableParagraph"/>
              <w:spacing w:line="268" w:lineRule="exact"/>
              <w:ind w:right="165"/>
              <w:rPr>
                <w:sz w:val="24"/>
              </w:rPr>
            </w:pPr>
            <w:r>
              <w:rPr>
                <w:sz w:val="24"/>
              </w:rPr>
              <w:t>-91.74%</w:t>
            </w:r>
          </w:p>
        </w:tc>
        <w:tc>
          <w:tcPr>
            <w:tcW w:w="2028" w:type="dxa"/>
            <w:tcBorders>
              <w:bottom w:val="single" w:sz="17" w:space="0" w:color="000000"/>
            </w:tcBorders>
          </w:tcPr>
          <w:p>
            <w:pPr>
              <w:pStyle w:val="TableParagraph"/>
              <w:spacing w:line="268" w:lineRule="exact"/>
              <w:ind w:left="579" w:right="468"/>
              <w:jc w:val="center"/>
              <w:rPr>
                <w:sz w:val="24"/>
              </w:rPr>
            </w:pPr>
            <w:r>
              <w:rPr>
                <w:sz w:val="24"/>
              </w:rPr>
              <w:t>-161.77%</w:t>
            </w:r>
          </w:p>
        </w:tc>
      </w:tr>
    </w:tbl>
    <w:p>
      <w:pPr>
        <w:spacing w:line="200" w:lineRule="exact" w:before="0"/>
        <w:ind w:left="208" w:right="0" w:firstLine="0"/>
        <w:jc w:val="both"/>
        <w:rPr>
          <w:sz w:val="20"/>
        </w:rPr>
      </w:pPr>
      <w:r>
        <w:rPr>
          <w:sz w:val="20"/>
        </w:rPr>
        <w:t>Fuente: Elaboración propia con información de campo.</w:t>
      </w:r>
    </w:p>
    <w:p>
      <w:pPr>
        <w:spacing w:line="240" w:lineRule="auto" w:before="0"/>
        <w:ind w:left="208" w:right="255" w:firstLine="33"/>
        <w:jc w:val="both"/>
        <w:rPr>
          <w:sz w:val="20"/>
        </w:rPr>
      </w:pPr>
      <w:r>
        <w:rPr>
          <w:position w:val="7"/>
          <w:sz w:val="13"/>
        </w:rPr>
        <w:t>£</w:t>
      </w:r>
      <w:r>
        <w:rPr>
          <w:sz w:val="20"/>
        </w:rPr>
        <w:t>Costos</w:t>
      </w:r>
      <w:r>
        <w:rPr>
          <w:spacing w:val="-10"/>
          <w:sz w:val="20"/>
        </w:rPr>
        <w:t> </w:t>
      </w:r>
      <w:r>
        <w:rPr>
          <w:sz w:val="20"/>
        </w:rPr>
        <w:t>deflactados</w:t>
      </w:r>
      <w:r>
        <w:rPr>
          <w:spacing w:val="-10"/>
          <w:sz w:val="20"/>
        </w:rPr>
        <w:t> </w:t>
      </w:r>
      <w:r>
        <w:rPr>
          <w:sz w:val="20"/>
        </w:rPr>
        <w:t>del</w:t>
      </w:r>
      <w:r>
        <w:rPr>
          <w:spacing w:val="-9"/>
          <w:sz w:val="20"/>
        </w:rPr>
        <w:t> </w:t>
      </w:r>
      <w:r>
        <w:rPr>
          <w:sz w:val="20"/>
        </w:rPr>
        <w:t>periodo</w:t>
      </w:r>
      <w:r>
        <w:rPr>
          <w:spacing w:val="-8"/>
          <w:sz w:val="20"/>
        </w:rPr>
        <w:t> </w:t>
      </w:r>
      <w:r>
        <w:rPr>
          <w:sz w:val="20"/>
        </w:rPr>
        <w:t>2000,</w:t>
      </w:r>
      <w:r>
        <w:rPr>
          <w:spacing w:val="-11"/>
          <w:sz w:val="20"/>
        </w:rPr>
        <w:t> </w:t>
      </w:r>
      <w:r>
        <w:rPr>
          <w:sz w:val="20"/>
        </w:rPr>
        <w:t>llevados</w:t>
      </w:r>
      <w:r>
        <w:rPr>
          <w:spacing w:val="-10"/>
          <w:sz w:val="20"/>
        </w:rPr>
        <w:t> </w:t>
      </w:r>
      <w:r>
        <w:rPr>
          <w:sz w:val="20"/>
        </w:rPr>
        <w:t>a</w:t>
      </w:r>
      <w:r>
        <w:rPr>
          <w:spacing w:val="-9"/>
          <w:sz w:val="20"/>
        </w:rPr>
        <w:t> </w:t>
      </w:r>
      <w:r>
        <w:rPr>
          <w:sz w:val="20"/>
        </w:rPr>
        <w:t>valor</w:t>
      </w:r>
      <w:r>
        <w:rPr>
          <w:spacing w:val="-9"/>
          <w:sz w:val="20"/>
        </w:rPr>
        <w:t> </w:t>
      </w:r>
      <w:r>
        <w:rPr>
          <w:sz w:val="20"/>
        </w:rPr>
        <w:t>de</w:t>
      </w:r>
      <w:r>
        <w:rPr>
          <w:spacing w:val="-9"/>
          <w:sz w:val="20"/>
        </w:rPr>
        <w:t> </w:t>
      </w:r>
      <w:r>
        <w:rPr>
          <w:sz w:val="20"/>
        </w:rPr>
        <w:t>los</w:t>
      </w:r>
      <w:r>
        <w:rPr>
          <w:spacing w:val="-12"/>
          <w:sz w:val="20"/>
        </w:rPr>
        <w:t> </w:t>
      </w:r>
      <w:r>
        <w:rPr>
          <w:sz w:val="20"/>
        </w:rPr>
        <w:t>costos</w:t>
      </w:r>
      <w:r>
        <w:rPr>
          <w:spacing w:val="-10"/>
          <w:sz w:val="20"/>
        </w:rPr>
        <w:t> </w:t>
      </w:r>
      <w:r>
        <w:rPr>
          <w:sz w:val="20"/>
        </w:rPr>
        <w:t>del</w:t>
      </w:r>
      <w:r>
        <w:rPr>
          <w:spacing w:val="-9"/>
          <w:sz w:val="20"/>
        </w:rPr>
        <w:t> </w:t>
      </w:r>
      <w:r>
        <w:rPr>
          <w:sz w:val="20"/>
        </w:rPr>
        <w:t>periodo</w:t>
      </w:r>
      <w:r>
        <w:rPr>
          <w:spacing w:val="-11"/>
          <w:sz w:val="20"/>
        </w:rPr>
        <w:t> </w:t>
      </w:r>
      <w:r>
        <w:rPr>
          <w:sz w:val="20"/>
        </w:rPr>
        <w:t>2012;</w:t>
      </w:r>
      <w:r>
        <w:rPr>
          <w:spacing w:val="-5"/>
          <w:sz w:val="20"/>
        </w:rPr>
        <w:t> </w:t>
      </w:r>
      <w:r>
        <w:rPr>
          <w:position w:val="7"/>
          <w:sz w:val="13"/>
        </w:rPr>
        <w:t>ῼ</w:t>
      </w:r>
      <w:r>
        <w:rPr>
          <w:spacing w:val="8"/>
          <w:position w:val="7"/>
          <w:sz w:val="13"/>
        </w:rPr>
        <w:t> </w:t>
      </w:r>
      <w:r>
        <w:rPr>
          <w:sz w:val="20"/>
        </w:rPr>
        <w:t>(D)=</w:t>
      </w:r>
      <w:r>
        <w:rPr>
          <w:spacing w:val="-9"/>
          <w:sz w:val="20"/>
        </w:rPr>
        <w:t> </w:t>
      </w:r>
      <w:r>
        <w:rPr>
          <w:sz w:val="20"/>
        </w:rPr>
        <w:t>Inflación</w:t>
      </w:r>
      <w:r>
        <w:rPr>
          <w:spacing w:val="-8"/>
          <w:sz w:val="20"/>
        </w:rPr>
        <w:t> </w:t>
      </w:r>
      <w:r>
        <w:rPr>
          <w:sz w:val="20"/>
        </w:rPr>
        <w:t>general 2000-2012= 70.03%. Fuente: BANXICO, 2012 (Estimada con base en la segunda quincena de Diciembre de 2010).</w:t>
      </w:r>
    </w:p>
    <w:p>
      <w:pPr>
        <w:spacing w:before="0"/>
        <w:ind w:left="208" w:right="264" w:firstLine="0"/>
        <w:jc w:val="both"/>
        <w:rPr>
          <w:sz w:val="20"/>
        </w:rPr>
      </w:pPr>
      <w:r>
        <w:rPr>
          <w:sz w:val="20"/>
        </w:rPr>
        <w:t>El deflactor general y por rubro de gasto se estimó tomando los INPC del mes de Septiembre de cada periodo analizado.</w:t>
      </w:r>
    </w:p>
    <w:p>
      <w:pPr>
        <w:spacing w:after="0"/>
        <w:jc w:val="both"/>
        <w:rPr>
          <w:sz w:val="20"/>
        </w:rPr>
        <w:sectPr>
          <w:pgSz w:w="12240" w:h="15840"/>
          <w:pgMar w:header="0" w:footer="657" w:top="1360" w:bottom="840" w:left="1580" w:right="1420"/>
        </w:sectPr>
      </w:pPr>
    </w:p>
    <w:p>
      <w:pPr>
        <w:pStyle w:val="BodyText"/>
        <w:spacing w:line="360" w:lineRule="auto" w:before="50"/>
        <w:ind w:left="102" w:right="114"/>
        <w:jc w:val="both"/>
      </w:pPr>
      <w:r>
        <w:rPr/>
        <w:t>Uno de los principales resultados observados en las tres escalas de productores analizados fue el aumento gradual en costo del segundo rubro que ostenta la mayor participación en costo total (mano de obra), este comportamiento es importante debido a que bajo las condiciones de producción de los sistemas lecheros de pequeña escala tanto la poca dependencia</w:t>
      </w:r>
      <w:r>
        <w:rPr>
          <w:spacing w:val="-9"/>
        </w:rPr>
        <w:t> </w:t>
      </w:r>
      <w:r>
        <w:rPr/>
        <w:t>a</w:t>
      </w:r>
      <w:r>
        <w:rPr>
          <w:spacing w:val="-7"/>
        </w:rPr>
        <w:t> </w:t>
      </w:r>
      <w:r>
        <w:rPr/>
        <w:t>insumos</w:t>
      </w:r>
      <w:r>
        <w:rPr>
          <w:spacing w:val="-8"/>
        </w:rPr>
        <w:t> </w:t>
      </w:r>
      <w:r>
        <w:rPr/>
        <w:t>externos</w:t>
      </w:r>
      <w:r>
        <w:rPr>
          <w:spacing w:val="-8"/>
        </w:rPr>
        <w:t> </w:t>
      </w:r>
      <w:r>
        <w:rPr/>
        <w:t>como</w:t>
      </w:r>
      <w:r>
        <w:rPr>
          <w:spacing w:val="-8"/>
        </w:rPr>
        <w:t> </w:t>
      </w:r>
      <w:r>
        <w:rPr/>
        <w:t>el</w:t>
      </w:r>
      <w:r>
        <w:rPr>
          <w:spacing w:val="-8"/>
        </w:rPr>
        <w:t> </w:t>
      </w:r>
      <w:r>
        <w:rPr/>
        <w:t>aprovechamiento</w:t>
      </w:r>
      <w:r>
        <w:rPr>
          <w:spacing w:val="-8"/>
        </w:rPr>
        <w:t> </w:t>
      </w:r>
      <w:r>
        <w:rPr/>
        <w:t>del</w:t>
      </w:r>
      <w:r>
        <w:rPr>
          <w:spacing w:val="-8"/>
        </w:rPr>
        <w:t> </w:t>
      </w:r>
      <w:r>
        <w:rPr/>
        <w:t>capital</w:t>
      </w:r>
      <w:r>
        <w:rPr>
          <w:spacing w:val="-8"/>
        </w:rPr>
        <w:t> </w:t>
      </w:r>
      <w:r>
        <w:rPr/>
        <w:t>humano</w:t>
      </w:r>
      <w:r>
        <w:rPr>
          <w:spacing w:val="-9"/>
        </w:rPr>
        <w:t> </w:t>
      </w:r>
      <w:r>
        <w:rPr/>
        <w:t>son</w:t>
      </w:r>
      <w:r>
        <w:rPr>
          <w:spacing w:val="-8"/>
        </w:rPr>
        <w:t> </w:t>
      </w:r>
      <w:r>
        <w:rPr/>
        <w:t>dos</w:t>
      </w:r>
      <w:r>
        <w:rPr>
          <w:spacing w:val="-8"/>
        </w:rPr>
        <w:t> </w:t>
      </w:r>
      <w:r>
        <w:rPr/>
        <w:t>de</w:t>
      </w:r>
      <w:r>
        <w:rPr>
          <w:spacing w:val="-10"/>
        </w:rPr>
        <w:t> </w:t>
      </w:r>
      <w:r>
        <w:rPr/>
        <w:t>las principales</w:t>
      </w:r>
      <w:r>
        <w:rPr>
          <w:spacing w:val="-16"/>
        </w:rPr>
        <w:t> </w:t>
      </w:r>
      <w:r>
        <w:rPr/>
        <w:t>fortalezas</w:t>
      </w:r>
      <w:r>
        <w:rPr>
          <w:spacing w:val="-16"/>
        </w:rPr>
        <w:t> </w:t>
      </w:r>
      <w:r>
        <w:rPr/>
        <w:t>que</w:t>
      </w:r>
      <w:r>
        <w:rPr>
          <w:spacing w:val="-15"/>
        </w:rPr>
        <w:t> </w:t>
      </w:r>
      <w:r>
        <w:rPr/>
        <w:t>aprovechan</w:t>
      </w:r>
      <w:r>
        <w:rPr>
          <w:spacing w:val="-16"/>
        </w:rPr>
        <w:t> </w:t>
      </w:r>
      <w:r>
        <w:rPr/>
        <w:t>eficientemente</w:t>
      </w:r>
      <w:r>
        <w:rPr>
          <w:spacing w:val="-16"/>
        </w:rPr>
        <w:t> </w:t>
      </w:r>
      <w:r>
        <w:rPr/>
        <w:t>en</w:t>
      </w:r>
      <w:r>
        <w:rPr>
          <w:spacing w:val="-16"/>
        </w:rPr>
        <w:t> </w:t>
      </w:r>
      <w:r>
        <w:rPr/>
        <w:t>su</w:t>
      </w:r>
      <w:r>
        <w:rPr>
          <w:spacing w:val="-16"/>
        </w:rPr>
        <w:t> </w:t>
      </w:r>
      <w:r>
        <w:rPr/>
        <w:t>sistema</w:t>
      </w:r>
      <w:r>
        <w:rPr>
          <w:spacing w:val="-17"/>
        </w:rPr>
        <w:t> </w:t>
      </w:r>
      <w:r>
        <w:rPr/>
        <w:t>productivo</w:t>
      </w:r>
      <w:r>
        <w:rPr>
          <w:spacing w:val="-16"/>
        </w:rPr>
        <w:t> </w:t>
      </w:r>
      <w:r>
        <w:rPr/>
        <w:t>para</w:t>
      </w:r>
      <w:r>
        <w:rPr>
          <w:spacing w:val="-14"/>
        </w:rPr>
        <w:t> </w:t>
      </w:r>
      <w:r>
        <w:rPr/>
        <w:t>disminuir costos, y coincidentemente estos son dos de los rubros que generan el mayor costo de producción (entre el 84 y 86% dependiendo el estrato productivo). Los resultados obtenidos en las tres escalas de productores analizados entre los periodos 2000 y 2012 indican que los productores</w:t>
      </w:r>
      <w:r>
        <w:rPr>
          <w:spacing w:val="-4"/>
        </w:rPr>
        <w:t> </w:t>
      </w:r>
      <w:r>
        <w:rPr/>
        <w:t>de</w:t>
      </w:r>
      <w:r>
        <w:rPr>
          <w:spacing w:val="-5"/>
        </w:rPr>
        <w:t> </w:t>
      </w:r>
      <w:r>
        <w:rPr/>
        <w:t>los</w:t>
      </w:r>
      <w:r>
        <w:rPr>
          <w:spacing w:val="-3"/>
        </w:rPr>
        <w:t> </w:t>
      </w:r>
      <w:r>
        <w:rPr/>
        <w:t>tres</w:t>
      </w:r>
      <w:r>
        <w:rPr>
          <w:spacing w:val="-1"/>
        </w:rPr>
        <w:t> </w:t>
      </w:r>
      <w:r>
        <w:rPr/>
        <w:t>estratos</w:t>
      </w:r>
      <w:r>
        <w:rPr>
          <w:spacing w:val="-3"/>
        </w:rPr>
        <w:t> </w:t>
      </w:r>
      <w:r>
        <w:rPr/>
        <w:t>actuaron</w:t>
      </w:r>
      <w:r>
        <w:rPr>
          <w:spacing w:val="-5"/>
        </w:rPr>
        <w:t> </w:t>
      </w:r>
      <w:r>
        <w:rPr/>
        <w:t>con</w:t>
      </w:r>
      <w:r>
        <w:rPr>
          <w:spacing w:val="-2"/>
        </w:rPr>
        <w:t> </w:t>
      </w:r>
      <w:r>
        <w:rPr/>
        <w:t>estrategias</w:t>
      </w:r>
      <w:r>
        <w:rPr>
          <w:spacing w:val="-4"/>
        </w:rPr>
        <w:t> </w:t>
      </w:r>
      <w:r>
        <w:rPr/>
        <w:t>para</w:t>
      </w:r>
      <w:r>
        <w:rPr>
          <w:spacing w:val="-5"/>
        </w:rPr>
        <w:t> </w:t>
      </w:r>
      <w:r>
        <w:rPr/>
        <w:t>disminuir</w:t>
      </w:r>
      <w:r>
        <w:rPr>
          <w:spacing w:val="-5"/>
        </w:rPr>
        <w:t> </w:t>
      </w:r>
      <w:r>
        <w:rPr/>
        <w:t>el</w:t>
      </w:r>
      <w:r>
        <w:rPr>
          <w:spacing w:val="-3"/>
        </w:rPr>
        <w:t> </w:t>
      </w:r>
      <w:r>
        <w:rPr/>
        <w:t>costo</w:t>
      </w:r>
      <w:r>
        <w:rPr>
          <w:spacing w:val="-3"/>
        </w:rPr>
        <w:t> </w:t>
      </w:r>
      <w:r>
        <w:rPr/>
        <w:t>sobre</w:t>
      </w:r>
      <w:r>
        <w:rPr>
          <w:spacing w:val="-5"/>
        </w:rPr>
        <w:t> </w:t>
      </w:r>
      <w:r>
        <w:rPr/>
        <w:t>uno</w:t>
      </w:r>
      <w:r>
        <w:rPr>
          <w:spacing w:val="-4"/>
        </w:rPr>
        <w:t> </w:t>
      </w:r>
      <w:r>
        <w:rPr/>
        <w:t>de los insumos que generan el mayor costo por litro de leche,</w:t>
      </w:r>
      <w:r>
        <w:rPr>
          <w:spacing w:val="-14"/>
        </w:rPr>
        <w:t> </w:t>
      </w:r>
      <w:r>
        <w:rPr/>
        <w:t>alimentación.</w:t>
      </w:r>
    </w:p>
    <w:p>
      <w:pPr>
        <w:pStyle w:val="BodyText"/>
      </w:pPr>
    </w:p>
    <w:p>
      <w:pPr>
        <w:pStyle w:val="BodyText"/>
        <w:spacing w:line="360" w:lineRule="auto" w:before="143"/>
        <w:ind w:left="102" w:right="118"/>
        <w:jc w:val="both"/>
      </w:pPr>
      <w:r>
        <w:rPr/>
        <w:t>Los resultados obtenidos en el análisis del estrato III, muestran la mayor eficiencia obtenida por</w:t>
      </w:r>
      <w:r>
        <w:rPr>
          <w:spacing w:val="-7"/>
        </w:rPr>
        <w:t> </w:t>
      </w:r>
      <w:r>
        <w:rPr/>
        <w:t>este</w:t>
      </w:r>
      <w:r>
        <w:rPr>
          <w:spacing w:val="-6"/>
        </w:rPr>
        <w:t> </w:t>
      </w:r>
      <w:r>
        <w:rPr/>
        <w:t>grupo</w:t>
      </w:r>
      <w:r>
        <w:rPr>
          <w:spacing w:val="-7"/>
        </w:rPr>
        <w:t> </w:t>
      </w:r>
      <w:r>
        <w:rPr/>
        <w:t>de</w:t>
      </w:r>
      <w:r>
        <w:rPr>
          <w:spacing w:val="-7"/>
        </w:rPr>
        <w:t> </w:t>
      </w:r>
      <w:r>
        <w:rPr/>
        <w:t>productores,</w:t>
      </w:r>
      <w:r>
        <w:rPr>
          <w:spacing w:val="-6"/>
        </w:rPr>
        <w:t> </w:t>
      </w:r>
      <w:r>
        <w:rPr/>
        <w:t>sin</w:t>
      </w:r>
      <w:r>
        <w:rPr>
          <w:spacing w:val="-6"/>
        </w:rPr>
        <w:t> </w:t>
      </w:r>
      <w:r>
        <w:rPr/>
        <w:t>embargo</w:t>
      </w:r>
      <w:r>
        <w:rPr>
          <w:spacing w:val="-6"/>
        </w:rPr>
        <w:t> </w:t>
      </w:r>
      <w:r>
        <w:rPr/>
        <w:t>estos</w:t>
      </w:r>
      <w:r>
        <w:rPr>
          <w:spacing w:val="-6"/>
        </w:rPr>
        <w:t> </w:t>
      </w:r>
      <w:r>
        <w:rPr/>
        <w:t>resultados</w:t>
      </w:r>
      <w:r>
        <w:rPr>
          <w:spacing w:val="-6"/>
        </w:rPr>
        <w:t> </w:t>
      </w:r>
      <w:r>
        <w:rPr/>
        <w:t>son</w:t>
      </w:r>
      <w:r>
        <w:rPr>
          <w:spacing w:val="-6"/>
        </w:rPr>
        <w:t> </w:t>
      </w:r>
      <w:r>
        <w:rPr/>
        <w:t>referentes</w:t>
      </w:r>
      <w:r>
        <w:rPr>
          <w:spacing w:val="-6"/>
        </w:rPr>
        <w:t> </w:t>
      </w:r>
      <w:r>
        <w:rPr/>
        <w:t>solo</w:t>
      </w:r>
      <w:r>
        <w:rPr>
          <w:spacing w:val="-6"/>
        </w:rPr>
        <w:t> </w:t>
      </w:r>
      <w:r>
        <w:rPr/>
        <w:t>al</w:t>
      </w:r>
      <w:r>
        <w:rPr>
          <w:spacing w:val="-6"/>
        </w:rPr>
        <w:t> </w:t>
      </w:r>
      <w:r>
        <w:rPr/>
        <w:t>proceso</w:t>
      </w:r>
      <w:r>
        <w:rPr>
          <w:spacing w:val="-6"/>
        </w:rPr>
        <w:t> </w:t>
      </w:r>
      <w:r>
        <w:rPr/>
        <w:t>de producción, </w:t>
      </w:r>
      <w:r>
        <w:rPr>
          <w:spacing w:val="-3"/>
        </w:rPr>
        <w:t>ya </w:t>
      </w:r>
      <w:r>
        <w:rPr/>
        <w:t>que la parte de comercialización se analizó por separado. En la tabla 7, se aprecia la evolución en cada parámetro individual donde la alimentación, la cual conforma el</w:t>
      </w:r>
      <w:r>
        <w:rPr>
          <w:spacing w:val="-9"/>
        </w:rPr>
        <w:t> </w:t>
      </w:r>
      <w:r>
        <w:rPr/>
        <w:t>mayor</w:t>
      </w:r>
      <w:r>
        <w:rPr>
          <w:spacing w:val="-10"/>
        </w:rPr>
        <w:t> </w:t>
      </w:r>
      <w:r>
        <w:rPr/>
        <w:t>costo</w:t>
      </w:r>
      <w:r>
        <w:rPr>
          <w:spacing w:val="-9"/>
        </w:rPr>
        <w:t> </w:t>
      </w:r>
      <w:r>
        <w:rPr/>
        <w:t>de</w:t>
      </w:r>
      <w:r>
        <w:rPr>
          <w:spacing w:val="-11"/>
        </w:rPr>
        <w:t> </w:t>
      </w:r>
      <w:r>
        <w:rPr/>
        <w:t>producción</w:t>
      </w:r>
      <w:r>
        <w:rPr>
          <w:spacing w:val="-9"/>
        </w:rPr>
        <w:t> </w:t>
      </w:r>
      <w:r>
        <w:rPr/>
        <w:t>por</w:t>
      </w:r>
      <w:r>
        <w:rPr>
          <w:spacing w:val="-10"/>
        </w:rPr>
        <w:t> </w:t>
      </w:r>
      <w:r>
        <w:rPr/>
        <w:t>litro</w:t>
      </w:r>
      <w:r>
        <w:rPr>
          <w:spacing w:val="-10"/>
        </w:rPr>
        <w:t> </w:t>
      </w:r>
      <w:r>
        <w:rPr/>
        <w:t>de</w:t>
      </w:r>
      <w:r>
        <w:rPr>
          <w:spacing w:val="-13"/>
        </w:rPr>
        <w:t> </w:t>
      </w:r>
      <w:r>
        <w:rPr/>
        <w:t>leche,</w:t>
      </w:r>
      <w:r>
        <w:rPr>
          <w:spacing w:val="-10"/>
        </w:rPr>
        <w:t> </w:t>
      </w:r>
      <w:r>
        <w:rPr/>
        <w:t>disminuyó</w:t>
      </w:r>
      <w:r>
        <w:rPr>
          <w:spacing w:val="-10"/>
        </w:rPr>
        <w:t> </w:t>
      </w:r>
      <w:r>
        <w:rPr/>
        <w:t>su</w:t>
      </w:r>
      <w:r>
        <w:rPr>
          <w:spacing w:val="-9"/>
        </w:rPr>
        <w:t> </w:t>
      </w:r>
      <w:r>
        <w:rPr/>
        <w:t>costo</w:t>
      </w:r>
      <w:r>
        <w:rPr>
          <w:spacing w:val="-9"/>
        </w:rPr>
        <w:t> </w:t>
      </w:r>
      <w:r>
        <w:rPr/>
        <w:t>en</w:t>
      </w:r>
      <w:r>
        <w:rPr>
          <w:spacing w:val="-10"/>
        </w:rPr>
        <w:t> </w:t>
      </w:r>
      <w:r>
        <w:rPr/>
        <w:t>29.22%</w:t>
      </w:r>
      <w:r>
        <w:rPr>
          <w:spacing w:val="-10"/>
        </w:rPr>
        <w:t> </w:t>
      </w:r>
      <w:r>
        <w:rPr/>
        <w:t>entre</w:t>
      </w:r>
      <w:r>
        <w:rPr>
          <w:spacing w:val="-11"/>
        </w:rPr>
        <w:t> </w:t>
      </w:r>
      <w:r>
        <w:rPr/>
        <w:t>los</w:t>
      </w:r>
      <w:r>
        <w:rPr>
          <w:spacing w:val="-9"/>
        </w:rPr>
        <w:t> </w:t>
      </w:r>
      <w:r>
        <w:rPr/>
        <w:t>años 2000</w:t>
      </w:r>
      <w:r>
        <w:rPr>
          <w:spacing w:val="-1"/>
        </w:rPr>
        <w:t> </w:t>
      </w:r>
      <w:r>
        <w:rPr/>
        <w:t>y</w:t>
      </w:r>
      <w:r>
        <w:rPr>
          <w:spacing w:val="-9"/>
        </w:rPr>
        <w:t> </w:t>
      </w:r>
      <w:r>
        <w:rPr/>
        <w:t>2012,</w:t>
      </w:r>
      <w:r>
        <w:rPr>
          <w:spacing w:val="-4"/>
        </w:rPr>
        <w:t> </w:t>
      </w:r>
      <w:r>
        <w:rPr/>
        <w:t>equivalente</w:t>
      </w:r>
      <w:r>
        <w:rPr>
          <w:spacing w:val="-3"/>
        </w:rPr>
        <w:t> </w:t>
      </w:r>
      <w:r>
        <w:rPr/>
        <w:t>a</w:t>
      </w:r>
      <w:r>
        <w:rPr>
          <w:spacing w:val="-5"/>
        </w:rPr>
        <w:t> </w:t>
      </w:r>
      <w:r>
        <w:rPr/>
        <w:t>$0.78</w:t>
      </w:r>
      <w:r>
        <w:rPr>
          <w:spacing w:val="-4"/>
        </w:rPr>
        <w:t> </w:t>
      </w:r>
      <w:r>
        <w:rPr/>
        <w:t>por</w:t>
      </w:r>
      <w:r>
        <w:rPr>
          <w:spacing w:val="-5"/>
        </w:rPr>
        <w:t> </w:t>
      </w:r>
      <w:r>
        <w:rPr/>
        <w:t>litro</w:t>
      </w:r>
      <w:r>
        <w:rPr>
          <w:spacing w:val="-4"/>
        </w:rPr>
        <w:t> </w:t>
      </w:r>
      <w:r>
        <w:rPr/>
        <w:t>de</w:t>
      </w:r>
      <w:r>
        <w:rPr>
          <w:spacing w:val="-5"/>
        </w:rPr>
        <w:t> </w:t>
      </w:r>
      <w:r>
        <w:rPr/>
        <w:t>leche</w:t>
      </w:r>
      <w:r>
        <w:rPr>
          <w:spacing w:val="-3"/>
        </w:rPr>
        <w:t> </w:t>
      </w:r>
      <w:r>
        <w:rPr/>
        <w:t>producido,</w:t>
      </w:r>
      <w:r>
        <w:rPr>
          <w:spacing w:val="-3"/>
        </w:rPr>
        <w:t> </w:t>
      </w:r>
      <w:r>
        <w:rPr/>
        <w:t>así</w:t>
      </w:r>
      <w:r>
        <w:rPr>
          <w:spacing w:val="-3"/>
        </w:rPr>
        <w:t> </w:t>
      </w:r>
      <w:r>
        <w:rPr/>
        <w:t>mismo,</w:t>
      </w:r>
      <w:r>
        <w:rPr>
          <w:spacing w:val="-3"/>
        </w:rPr>
        <w:t> </w:t>
      </w:r>
      <w:r>
        <w:rPr/>
        <w:t>al</w:t>
      </w:r>
      <w:r>
        <w:rPr>
          <w:spacing w:val="-6"/>
        </w:rPr>
        <w:t> </w:t>
      </w:r>
      <w:r>
        <w:rPr/>
        <w:t>igual</w:t>
      </w:r>
      <w:r>
        <w:rPr>
          <w:spacing w:val="-3"/>
        </w:rPr>
        <w:t> </w:t>
      </w:r>
      <w:r>
        <w:rPr/>
        <w:t>que</w:t>
      </w:r>
      <w:r>
        <w:rPr>
          <w:spacing w:val="-5"/>
        </w:rPr>
        <w:t> </w:t>
      </w:r>
      <w:r>
        <w:rPr/>
        <w:t>en</w:t>
      </w:r>
      <w:r>
        <w:rPr>
          <w:spacing w:val="-4"/>
        </w:rPr>
        <w:t> </w:t>
      </w:r>
      <w:r>
        <w:rPr/>
        <w:t>los estratos I y II se presenta una tendencia en la disminución de costo (92%) en el refinanciamiento de vacas en</w:t>
      </w:r>
      <w:r>
        <w:rPr>
          <w:spacing w:val="-8"/>
        </w:rPr>
        <w:t> </w:t>
      </w:r>
      <w:r>
        <w:rPr/>
        <w:t>producción.</w:t>
      </w:r>
    </w:p>
    <w:p>
      <w:pPr>
        <w:spacing w:after="0" w:line="360" w:lineRule="auto"/>
        <w:jc w:val="both"/>
        <w:sectPr>
          <w:pgSz w:w="12240" w:h="15840"/>
          <w:pgMar w:header="0" w:footer="657" w:top="1360" w:bottom="840" w:left="1600" w:right="1580"/>
        </w:sectPr>
      </w:pPr>
    </w:p>
    <w:p>
      <w:pPr>
        <w:pStyle w:val="BodyText"/>
        <w:spacing w:before="48"/>
        <w:ind w:left="208" w:right="504"/>
      </w:pPr>
      <w:r>
        <w:rPr/>
        <w:pict>
          <v:group style="position:absolute;margin-left:84.003998pt;margin-top:30.403149pt;width:433.2pt;height:2.2pt;mso-position-horizontal-relative:page;mso-position-vertical-relative:paragraph;z-index:-459160" coordorigin="1680,608" coordsize="8664,44">
            <v:line style="position:absolute" from="1702,630" to="1719,630" stroked="true" strokeweight="2.16pt" strokecolor="#000000"/>
            <v:line style="position:absolute" from="1719,630" to="1762,630" stroked="true" strokeweight="2.16pt" strokecolor="#000000"/>
            <v:line style="position:absolute" from="1762,630" to="4182,630" stroked="true" strokeweight="2.16pt" strokecolor="#000000"/>
            <v:line style="position:absolute" from="4182,630" to="4225,630" stroked="true" strokeweight="2.16pt" strokecolor="#000000"/>
            <v:line style="position:absolute" from="4225,630" to="5883,630" stroked="true" strokeweight="2.16pt" strokecolor="#000000"/>
            <v:line style="position:absolute" from="5883,630" to="5927,630" stroked="true" strokeweight="2.16pt" strokecolor="#000000"/>
            <v:line style="position:absolute" from="5927,630" to="7302,630" stroked="true" strokeweight="2.16pt" strokecolor="#000000"/>
            <v:line style="position:absolute" from="7302,630" to="7345,630" stroked="true" strokeweight="2.16pt" strokecolor="#000000"/>
            <v:line style="position:absolute" from="7345,630" to="8718,630" stroked="true" strokeweight="2.16pt" strokecolor="#000000"/>
            <v:line style="position:absolute" from="8718,630" to="8761,630" stroked="true" strokeweight="2.16pt" strokecolor="#000000"/>
            <v:line style="position:absolute" from="8761,630" to="10322,630" stroked="true" strokeweight="2.16pt" strokecolor="#000000"/>
            <w10:wrap type="none"/>
          </v:group>
        </w:pict>
      </w:r>
      <w:r>
        <w:rPr>
          <w:b/>
        </w:rPr>
        <w:t>Tabla 7. </w:t>
      </w:r>
      <w:r>
        <w:rPr/>
        <w:t>Comparación del INPC y los deflactores por rubro de gasto para el estrato III ($/litro)</w:t>
      </w:r>
    </w:p>
    <w:p>
      <w:pPr>
        <w:spacing w:after="0"/>
        <w:sectPr>
          <w:pgSz w:w="12240" w:h="15840"/>
          <w:pgMar w:header="0" w:footer="657" w:top="1360" w:bottom="840" w:left="1580" w:right="1580"/>
        </w:sectPr>
      </w:pPr>
    </w:p>
    <w:p>
      <w:pPr>
        <w:pStyle w:val="BodyText"/>
        <w:spacing w:before="11"/>
        <w:rPr>
          <w:sz w:val="27"/>
        </w:rPr>
      </w:pPr>
    </w:p>
    <w:p>
      <w:pPr>
        <w:pStyle w:val="BodyText"/>
        <w:ind w:left="191" w:right="-18"/>
      </w:pPr>
      <w:r>
        <w:rPr/>
        <w:t>Rubro de la estructura de costo de</w:t>
      </w:r>
      <w:r>
        <w:rPr>
          <w:spacing w:val="-4"/>
        </w:rPr>
        <w:t> </w:t>
      </w:r>
      <w:r>
        <w:rPr/>
        <w:t>producción</w:t>
      </w:r>
    </w:p>
    <w:p>
      <w:pPr>
        <w:pStyle w:val="BodyText"/>
        <w:spacing w:before="185"/>
        <w:ind w:left="191" w:right="-11" w:firstLine="218"/>
      </w:pPr>
      <w:r>
        <w:rPr/>
        <w:br w:type="column"/>
      </w:r>
      <w:r>
        <w:rPr/>
        <w:t>Costos </w:t>
      </w:r>
      <w:r>
        <w:rPr>
          <w:spacing w:val="-1"/>
        </w:rPr>
        <w:t>deflactados</w:t>
      </w:r>
    </w:p>
    <w:p>
      <w:pPr>
        <w:pStyle w:val="BodyText"/>
        <w:spacing w:before="185"/>
        <w:ind w:left="191" w:right="-11" w:firstLine="218"/>
      </w:pPr>
      <w:r>
        <w:rPr/>
        <w:br w:type="column"/>
      </w:r>
      <w:r>
        <w:rPr/>
        <w:t>Costos </w:t>
      </w:r>
      <w:r>
        <w:rPr>
          <w:spacing w:val="-1"/>
        </w:rPr>
        <w:t>deflactados</w:t>
      </w:r>
    </w:p>
    <w:p>
      <w:pPr>
        <w:pStyle w:val="BodyText"/>
        <w:spacing w:before="185"/>
        <w:ind w:left="191" w:right="-11" w:firstLine="196"/>
      </w:pPr>
      <w:r>
        <w:rPr/>
        <w:br w:type="column"/>
      </w:r>
      <w:r>
        <w:rPr/>
        <w:t>Tasa de </w:t>
      </w:r>
      <w:r>
        <w:rPr>
          <w:spacing w:val="-1"/>
        </w:rPr>
        <w:t>crecimiento</w:t>
      </w:r>
    </w:p>
    <w:p>
      <w:pPr>
        <w:pStyle w:val="BodyText"/>
        <w:spacing w:before="45"/>
        <w:ind w:left="191" w:right="423" w:firstLine="2"/>
        <w:jc w:val="center"/>
      </w:pPr>
      <w:r>
        <w:rPr/>
        <w:br w:type="column"/>
      </w:r>
      <w:r>
        <w:rPr/>
        <w:t>Diferencia entre Inflación General</w:t>
      </w:r>
    </w:p>
    <w:p>
      <w:pPr>
        <w:spacing w:after="0"/>
        <w:jc w:val="center"/>
        <w:sectPr>
          <w:type w:val="continuous"/>
          <w:pgSz w:w="12240" w:h="15840"/>
          <w:pgMar w:top="1360" w:bottom="280" w:left="1580" w:right="1580"/>
          <w:cols w:num="5" w:equalWidth="0">
            <w:col w:w="2409" w:space="303"/>
            <w:col w:w="1282" w:space="278"/>
            <w:col w:w="1282" w:space="118"/>
            <w:col w:w="1322" w:space="65"/>
            <w:col w:w="2021"/>
          </w:cols>
        </w:sectPr>
      </w:pPr>
    </w:p>
    <w:p>
      <w:pPr>
        <w:pStyle w:val="BodyText"/>
        <w:tabs>
          <w:tab w:pos="4771" w:val="left" w:leader="none"/>
          <w:tab w:pos="5909" w:val="left" w:leader="none"/>
          <w:tab w:pos="7412" w:val="left" w:leader="none"/>
        </w:tabs>
        <w:spacing w:line="268" w:lineRule="exact"/>
        <w:ind w:left="3170" w:right="504"/>
      </w:pPr>
      <w:r>
        <w:rPr/>
        <w:t>2000</w:t>
      </w:r>
      <w:r>
        <w:rPr>
          <w:position w:val="9"/>
          <w:sz w:val="16"/>
        </w:rPr>
        <w:t>£</w:t>
        <w:tab/>
      </w:r>
      <w:r>
        <w:rPr/>
        <w:t>2012</w:t>
        <w:tab/>
        <w:t>2000-2012</w:t>
        <w:tab/>
        <w:t>y por</w:t>
      </w:r>
      <w:r>
        <w:rPr>
          <w:spacing w:val="-4"/>
        </w:rPr>
        <w:t> </w:t>
      </w:r>
      <w:r>
        <w:rPr/>
        <w:t>rubro</w:t>
      </w:r>
    </w:p>
    <w:p>
      <w:pPr>
        <w:pStyle w:val="BodyText"/>
        <w:tabs>
          <w:tab w:pos="4850" w:val="left" w:leader="none"/>
          <w:tab w:pos="5806" w:val="left" w:leader="none"/>
          <w:tab w:pos="7436" w:val="left" w:leader="none"/>
        </w:tabs>
        <w:spacing w:line="284" w:lineRule="exact" w:after="30"/>
        <w:ind w:left="3283" w:right="504"/>
      </w:pPr>
      <w:r>
        <w:rPr/>
        <w:t>(A)</w:t>
        <w:tab/>
        <w:t>(B)</w:t>
        <w:tab/>
        <w:t>C=</w:t>
      </w:r>
      <w:r>
        <w:rPr>
          <w:spacing w:val="-3"/>
        </w:rPr>
        <w:t> </w:t>
      </w:r>
      <w:r>
        <w:rPr/>
        <w:t>(B-A)/A)</w:t>
        <w:tab/>
        <w:t>E=</w:t>
      </w:r>
      <w:r>
        <w:rPr>
          <w:spacing w:val="-4"/>
        </w:rPr>
        <w:t> </w:t>
      </w:r>
      <w:r>
        <w:rPr/>
        <w:t>(C-D</w:t>
      </w:r>
      <w:r>
        <w:rPr>
          <w:position w:val="9"/>
          <w:sz w:val="16"/>
        </w:rPr>
        <w:t>ῼ</w:t>
      </w:r>
      <w:r>
        <w:rPr/>
        <w:t>)</w:t>
      </w:r>
    </w:p>
    <w:tbl>
      <w:tblPr>
        <w:tblW w:w="0" w:type="auto"/>
        <w:jc w:val="left"/>
        <w:tblInd w:w="13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760"/>
        <w:gridCol w:w="1284"/>
        <w:gridCol w:w="1213"/>
        <w:gridCol w:w="1662"/>
        <w:gridCol w:w="1712"/>
      </w:tblGrid>
      <w:tr>
        <w:trPr>
          <w:trHeight w:val="661" w:hRule="exact"/>
        </w:trPr>
        <w:tc>
          <w:tcPr>
            <w:tcW w:w="2760" w:type="dxa"/>
            <w:tcBorders>
              <w:left w:val="nil"/>
              <w:bottom w:val="nil"/>
              <w:right w:val="nil"/>
            </w:tcBorders>
          </w:tcPr>
          <w:p>
            <w:pPr>
              <w:pStyle w:val="TableParagraph"/>
              <w:spacing w:before="30"/>
              <w:ind w:left="69"/>
              <w:jc w:val="left"/>
              <w:rPr>
                <w:b/>
                <w:sz w:val="24"/>
              </w:rPr>
            </w:pPr>
            <w:r>
              <w:rPr>
                <w:b/>
                <w:sz w:val="24"/>
              </w:rPr>
              <w:t>Costos variables</w:t>
            </w:r>
          </w:p>
          <w:p>
            <w:pPr>
              <w:pStyle w:val="TableParagraph"/>
              <w:spacing w:before="29"/>
              <w:ind w:left="69"/>
              <w:jc w:val="left"/>
              <w:rPr>
                <w:sz w:val="24"/>
              </w:rPr>
            </w:pPr>
            <w:r>
              <w:rPr>
                <w:sz w:val="24"/>
              </w:rPr>
              <w:t>Alimentación</w:t>
            </w:r>
          </w:p>
        </w:tc>
        <w:tc>
          <w:tcPr>
            <w:tcW w:w="1284" w:type="dxa"/>
            <w:tcBorders>
              <w:left w:val="nil"/>
              <w:bottom w:val="nil"/>
              <w:right w:val="nil"/>
            </w:tcBorders>
          </w:tcPr>
          <w:p>
            <w:pPr>
              <w:pStyle w:val="TableParagraph"/>
              <w:spacing w:before="1"/>
              <w:jc w:val="left"/>
              <w:rPr>
                <w:sz w:val="29"/>
              </w:rPr>
            </w:pPr>
          </w:p>
          <w:p>
            <w:pPr>
              <w:pStyle w:val="TableParagraph"/>
              <w:ind w:right="401"/>
              <w:rPr>
                <w:sz w:val="24"/>
              </w:rPr>
            </w:pPr>
            <w:r>
              <w:rPr>
                <w:sz w:val="24"/>
              </w:rPr>
              <w:t>2.67</w:t>
            </w:r>
          </w:p>
        </w:tc>
        <w:tc>
          <w:tcPr>
            <w:tcW w:w="1213" w:type="dxa"/>
            <w:tcBorders>
              <w:left w:val="nil"/>
              <w:bottom w:val="nil"/>
              <w:right w:val="nil"/>
            </w:tcBorders>
          </w:tcPr>
          <w:p>
            <w:pPr>
              <w:pStyle w:val="TableParagraph"/>
              <w:spacing w:before="1"/>
              <w:jc w:val="left"/>
              <w:rPr>
                <w:sz w:val="29"/>
              </w:rPr>
            </w:pPr>
          </w:p>
          <w:p>
            <w:pPr>
              <w:pStyle w:val="TableParagraph"/>
              <w:ind w:left="382" w:right="370"/>
              <w:jc w:val="center"/>
              <w:rPr>
                <w:sz w:val="24"/>
              </w:rPr>
            </w:pPr>
            <w:r>
              <w:rPr>
                <w:sz w:val="24"/>
              </w:rPr>
              <w:t>1.89</w:t>
            </w:r>
          </w:p>
        </w:tc>
        <w:tc>
          <w:tcPr>
            <w:tcW w:w="1662" w:type="dxa"/>
            <w:tcBorders>
              <w:left w:val="nil"/>
              <w:bottom w:val="nil"/>
              <w:right w:val="nil"/>
            </w:tcBorders>
          </w:tcPr>
          <w:p>
            <w:pPr>
              <w:pStyle w:val="TableParagraph"/>
              <w:spacing w:before="1"/>
              <w:jc w:val="left"/>
              <w:rPr>
                <w:sz w:val="29"/>
              </w:rPr>
            </w:pPr>
          </w:p>
          <w:p>
            <w:pPr>
              <w:pStyle w:val="TableParagraph"/>
              <w:ind w:right="431"/>
              <w:rPr>
                <w:sz w:val="24"/>
              </w:rPr>
            </w:pPr>
            <w:r>
              <w:rPr>
                <w:sz w:val="24"/>
              </w:rPr>
              <w:t>-29.22%</w:t>
            </w:r>
          </w:p>
        </w:tc>
        <w:tc>
          <w:tcPr>
            <w:tcW w:w="1712" w:type="dxa"/>
            <w:tcBorders>
              <w:left w:val="nil"/>
              <w:bottom w:val="nil"/>
              <w:right w:val="nil"/>
            </w:tcBorders>
          </w:tcPr>
          <w:p>
            <w:pPr>
              <w:pStyle w:val="TableParagraph"/>
              <w:spacing w:before="1"/>
              <w:jc w:val="left"/>
              <w:rPr>
                <w:sz w:val="29"/>
              </w:rPr>
            </w:pPr>
          </w:p>
          <w:p>
            <w:pPr>
              <w:pStyle w:val="TableParagraph"/>
              <w:ind w:right="419"/>
              <w:rPr>
                <w:sz w:val="24"/>
              </w:rPr>
            </w:pPr>
            <w:r>
              <w:rPr>
                <w:sz w:val="24"/>
              </w:rPr>
              <w:t>-99.25%</w:t>
            </w:r>
          </w:p>
        </w:tc>
      </w:tr>
      <w:tr>
        <w:trPr>
          <w:trHeight w:val="307" w:hRule="exact"/>
        </w:trPr>
        <w:tc>
          <w:tcPr>
            <w:tcW w:w="2760" w:type="dxa"/>
            <w:tcBorders>
              <w:top w:val="nil"/>
              <w:left w:val="nil"/>
              <w:bottom w:val="nil"/>
              <w:right w:val="nil"/>
            </w:tcBorders>
          </w:tcPr>
          <w:p>
            <w:pPr>
              <w:pStyle w:val="TableParagraph"/>
              <w:spacing w:before="2"/>
              <w:ind w:left="69"/>
              <w:jc w:val="left"/>
              <w:rPr>
                <w:sz w:val="24"/>
              </w:rPr>
            </w:pPr>
            <w:r>
              <w:rPr>
                <w:sz w:val="24"/>
              </w:rPr>
              <w:t>Mano de obra</w:t>
            </w:r>
          </w:p>
        </w:tc>
        <w:tc>
          <w:tcPr>
            <w:tcW w:w="1284" w:type="dxa"/>
            <w:tcBorders>
              <w:top w:val="nil"/>
              <w:left w:val="nil"/>
              <w:bottom w:val="nil"/>
              <w:right w:val="nil"/>
            </w:tcBorders>
          </w:tcPr>
          <w:p>
            <w:pPr>
              <w:pStyle w:val="TableParagraph"/>
              <w:spacing w:before="2"/>
              <w:ind w:right="401"/>
              <w:rPr>
                <w:sz w:val="24"/>
              </w:rPr>
            </w:pPr>
            <w:r>
              <w:rPr>
                <w:sz w:val="24"/>
              </w:rPr>
              <w:t>0.68</w:t>
            </w:r>
          </w:p>
        </w:tc>
        <w:tc>
          <w:tcPr>
            <w:tcW w:w="1213" w:type="dxa"/>
            <w:tcBorders>
              <w:top w:val="nil"/>
              <w:left w:val="nil"/>
              <w:bottom w:val="nil"/>
              <w:right w:val="nil"/>
            </w:tcBorders>
          </w:tcPr>
          <w:p>
            <w:pPr>
              <w:pStyle w:val="TableParagraph"/>
              <w:spacing w:before="2"/>
              <w:ind w:left="382" w:right="370"/>
              <w:jc w:val="center"/>
              <w:rPr>
                <w:sz w:val="24"/>
              </w:rPr>
            </w:pPr>
            <w:r>
              <w:rPr>
                <w:sz w:val="24"/>
              </w:rPr>
              <w:t>0.94</w:t>
            </w:r>
          </w:p>
        </w:tc>
        <w:tc>
          <w:tcPr>
            <w:tcW w:w="1662" w:type="dxa"/>
            <w:tcBorders>
              <w:top w:val="nil"/>
              <w:left w:val="nil"/>
              <w:bottom w:val="nil"/>
              <w:right w:val="nil"/>
            </w:tcBorders>
          </w:tcPr>
          <w:p>
            <w:pPr>
              <w:pStyle w:val="TableParagraph"/>
              <w:spacing w:before="2"/>
              <w:ind w:right="469"/>
              <w:rPr>
                <w:sz w:val="24"/>
              </w:rPr>
            </w:pPr>
            <w:r>
              <w:rPr>
                <w:sz w:val="24"/>
              </w:rPr>
              <w:t>39.27%</w:t>
            </w:r>
          </w:p>
        </w:tc>
        <w:tc>
          <w:tcPr>
            <w:tcW w:w="1712" w:type="dxa"/>
            <w:tcBorders>
              <w:top w:val="nil"/>
              <w:left w:val="nil"/>
              <w:bottom w:val="nil"/>
              <w:right w:val="nil"/>
            </w:tcBorders>
          </w:tcPr>
          <w:p>
            <w:pPr>
              <w:pStyle w:val="TableParagraph"/>
              <w:spacing w:before="2"/>
              <w:ind w:right="419"/>
              <w:rPr>
                <w:sz w:val="24"/>
              </w:rPr>
            </w:pPr>
            <w:r>
              <w:rPr>
                <w:sz w:val="24"/>
              </w:rPr>
              <w:t>-30.76%</w:t>
            </w:r>
          </w:p>
        </w:tc>
      </w:tr>
      <w:tr>
        <w:trPr>
          <w:trHeight w:val="308" w:hRule="exact"/>
        </w:trPr>
        <w:tc>
          <w:tcPr>
            <w:tcW w:w="2760" w:type="dxa"/>
            <w:tcBorders>
              <w:top w:val="nil"/>
              <w:left w:val="nil"/>
              <w:bottom w:val="nil"/>
              <w:right w:val="nil"/>
            </w:tcBorders>
          </w:tcPr>
          <w:p>
            <w:pPr>
              <w:pStyle w:val="TableParagraph"/>
              <w:spacing w:before="2"/>
              <w:ind w:left="69"/>
              <w:jc w:val="left"/>
              <w:rPr>
                <w:sz w:val="24"/>
              </w:rPr>
            </w:pPr>
            <w:r>
              <w:rPr>
                <w:sz w:val="24"/>
              </w:rPr>
              <w:t>Medicamentos</w:t>
            </w:r>
          </w:p>
        </w:tc>
        <w:tc>
          <w:tcPr>
            <w:tcW w:w="1284" w:type="dxa"/>
            <w:tcBorders>
              <w:top w:val="nil"/>
              <w:left w:val="nil"/>
              <w:bottom w:val="nil"/>
              <w:right w:val="nil"/>
            </w:tcBorders>
          </w:tcPr>
          <w:p>
            <w:pPr>
              <w:pStyle w:val="TableParagraph"/>
              <w:spacing w:before="2"/>
              <w:ind w:right="401"/>
              <w:rPr>
                <w:sz w:val="24"/>
              </w:rPr>
            </w:pPr>
            <w:r>
              <w:rPr>
                <w:sz w:val="24"/>
              </w:rPr>
              <w:t>0.06</w:t>
            </w:r>
          </w:p>
        </w:tc>
        <w:tc>
          <w:tcPr>
            <w:tcW w:w="1213" w:type="dxa"/>
            <w:tcBorders>
              <w:top w:val="nil"/>
              <w:left w:val="nil"/>
              <w:bottom w:val="nil"/>
              <w:right w:val="nil"/>
            </w:tcBorders>
          </w:tcPr>
          <w:p>
            <w:pPr>
              <w:pStyle w:val="TableParagraph"/>
              <w:spacing w:before="2"/>
              <w:ind w:left="382" w:right="370"/>
              <w:jc w:val="center"/>
              <w:rPr>
                <w:sz w:val="24"/>
              </w:rPr>
            </w:pPr>
            <w:r>
              <w:rPr>
                <w:sz w:val="24"/>
              </w:rPr>
              <w:t>0.05</w:t>
            </w:r>
          </w:p>
        </w:tc>
        <w:tc>
          <w:tcPr>
            <w:tcW w:w="1662" w:type="dxa"/>
            <w:tcBorders>
              <w:top w:val="nil"/>
              <w:left w:val="nil"/>
              <w:bottom w:val="nil"/>
              <w:right w:val="nil"/>
            </w:tcBorders>
          </w:tcPr>
          <w:p>
            <w:pPr>
              <w:pStyle w:val="TableParagraph"/>
              <w:spacing w:before="2"/>
              <w:ind w:right="431"/>
              <w:rPr>
                <w:sz w:val="24"/>
              </w:rPr>
            </w:pPr>
            <w:r>
              <w:rPr>
                <w:sz w:val="24"/>
              </w:rPr>
              <w:t>-16.05%</w:t>
            </w:r>
          </w:p>
        </w:tc>
        <w:tc>
          <w:tcPr>
            <w:tcW w:w="1712" w:type="dxa"/>
            <w:tcBorders>
              <w:top w:val="nil"/>
              <w:left w:val="nil"/>
              <w:bottom w:val="nil"/>
              <w:right w:val="nil"/>
            </w:tcBorders>
          </w:tcPr>
          <w:p>
            <w:pPr>
              <w:pStyle w:val="TableParagraph"/>
              <w:spacing w:before="2"/>
              <w:ind w:right="419"/>
              <w:rPr>
                <w:sz w:val="24"/>
              </w:rPr>
            </w:pPr>
            <w:r>
              <w:rPr>
                <w:sz w:val="24"/>
              </w:rPr>
              <w:t>-86.08%</w:t>
            </w:r>
          </w:p>
        </w:tc>
      </w:tr>
      <w:tr>
        <w:trPr>
          <w:trHeight w:val="309" w:hRule="exact"/>
        </w:trPr>
        <w:tc>
          <w:tcPr>
            <w:tcW w:w="2760" w:type="dxa"/>
            <w:tcBorders>
              <w:top w:val="nil"/>
              <w:left w:val="nil"/>
              <w:bottom w:val="nil"/>
              <w:right w:val="nil"/>
            </w:tcBorders>
          </w:tcPr>
          <w:p>
            <w:pPr>
              <w:pStyle w:val="TableParagraph"/>
              <w:spacing w:before="4"/>
              <w:ind w:left="69"/>
              <w:jc w:val="left"/>
              <w:rPr>
                <w:sz w:val="24"/>
              </w:rPr>
            </w:pPr>
            <w:r>
              <w:rPr>
                <w:sz w:val="24"/>
              </w:rPr>
              <w:t>Servicio reproductivo</w:t>
            </w:r>
          </w:p>
        </w:tc>
        <w:tc>
          <w:tcPr>
            <w:tcW w:w="1284" w:type="dxa"/>
            <w:tcBorders>
              <w:top w:val="nil"/>
              <w:left w:val="nil"/>
              <w:bottom w:val="nil"/>
              <w:right w:val="nil"/>
            </w:tcBorders>
          </w:tcPr>
          <w:p>
            <w:pPr>
              <w:pStyle w:val="TableParagraph"/>
              <w:spacing w:before="4"/>
              <w:ind w:right="401"/>
              <w:rPr>
                <w:sz w:val="24"/>
              </w:rPr>
            </w:pPr>
            <w:r>
              <w:rPr>
                <w:sz w:val="24"/>
              </w:rPr>
              <w:t>0.05</w:t>
            </w:r>
          </w:p>
        </w:tc>
        <w:tc>
          <w:tcPr>
            <w:tcW w:w="1213" w:type="dxa"/>
            <w:tcBorders>
              <w:top w:val="nil"/>
              <w:left w:val="nil"/>
              <w:bottom w:val="nil"/>
              <w:right w:val="nil"/>
            </w:tcBorders>
          </w:tcPr>
          <w:p>
            <w:pPr>
              <w:pStyle w:val="TableParagraph"/>
              <w:spacing w:before="4"/>
              <w:ind w:left="382" w:right="370"/>
              <w:jc w:val="center"/>
              <w:rPr>
                <w:sz w:val="24"/>
              </w:rPr>
            </w:pPr>
            <w:r>
              <w:rPr>
                <w:sz w:val="24"/>
              </w:rPr>
              <w:t>0.04</w:t>
            </w:r>
          </w:p>
        </w:tc>
        <w:tc>
          <w:tcPr>
            <w:tcW w:w="1662" w:type="dxa"/>
            <w:tcBorders>
              <w:top w:val="nil"/>
              <w:left w:val="nil"/>
              <w:bottom w:val="nil"/>
              <w:right w:val="nil"/>
            </w:tcBorders>
          </w:tcPr>
          <w:p>
            <w:pPr>
              <w:pStyle w:val="TableParagraph"/>
              <w:spacing w:before="4"/>
              <w:ind w:right="491"/>
              <w:rPr>
                <w:sz w:val="24"/>
              </w:rPr>
            </w:pPr>
            <w:r>
              <w:rPr>
                <w:sz w:val="24"/>
              </w:rPr>
              <w:t>-6.72%</w:t>
            </w:r>
          </w:p>
        </w:tc>
        <w:tc>
          <w:tcPr>
            <w:tcW w:w="1712" w:type="dxa"/>
            <w:tcBorders>
              <w:top w:val="nil"/>
              <w:left w:val="nil"/>
              <w:bottom w:val="nil"/>
              <w:right w:val="nil"/>
            </w:tcBorders>
          </w:tcPr>
          <w:p>
            <w:pPr>
              <w:pStyle w:val="TableParagraph"/>
              <w:spacing w:before="4"/>
              <w:ind w:right="419"/>
              <w:rPr>
                <w:sz w:val="24"/>
              </w:rPr>
            </w:pPr>
            <w:r>
              <w:rPr>
                <w:sz w:val="24"/>
              </w:rPr>
              <w:t>-76.75%</w:t>
            </w:r>
          </w:p>
        </w:tc>
      </w:tr>
      <w:tr>
        <w:trPr>
          <w:trHeight w:val="308" w:hRule="exact"/>
        </w:trPr>
        <w:tc>
          <w:tcPr>
            <w:tcW w:w="2760" w:type="dxa"/>
            <w:tcBorders>
              <w:top w:val="nil"/>
              <w:left w:val="nil"/>
              <w:bottom w:val="nil"/>
              <w:right w:val="nil"/>
            </w:tcBorders>
          </w:tcPr>
          <w:p>
            <w:pPr>
              <w:pStyle w:val="TableParagraph"/>
              <w:spacing w:before="3"/>
              <w:ind w:left="69"/>
              <w:jc w:val="left"/>
              <w:rPr>
                <w:sz w:val="24"/>
              </w:rPr>
            </w:pPr>
            <w:r>
              <w:rPr>
                <w:sz w:val="24"/>
              </w:rPr>
              <w:t>Agua</w:t>
            </w:r>
          </w:p>
        </w:tc>
        <w:tc>
          <w:tcPr>
            <w:tcW w:w="1284" w:type="dxa"/>
            <w:tcBorders>
              <w:top w:val="nil"/>
              <w:left w:val="nil"/>
              <w:bottom w:val="nil"/>
              <w:right w:val="nil"/>
            </w:tcBorders>
          </w:tcPr>
          <w:p>
            <w:pPr>
              <w:pStyle w:val="TableParagraph"/>
              <w:spacing w:before="3"/>
              <w:ind w:right="401"/>
              <w:rPr>
                <w:sz w:val="24"/>
              </w:rPr>
            </w:pPr>
            <w:r>
              <w:rPr>
                <w:sz w:val="24"/>
              </w:rPr>
              <w:t>0.02</w:t>
            </w:r>
          </w:p>
        </w:tc>
        <w:tc>
          <w:tcPr>
            <w:tcW w:w="1213" w:type="dxa"/>
            <w:tcBorders>
              <w:top w:val="nil"/>
              <w:left w:val="nil"/>
              <w:bottom w:val="nil"/>
              <w:right w:val="nil"/>
            </w:tcBorders>
          </w:tcPr>
          <w:p>
            <w:pPr>
              <w:pStyle w:val="TableParagraph"/>
              <w:spacing w:before="3"/>
              <w:ind w:left="382" w:right="370"/>
              <w:jc w:val="center"/>
              <w:rPr>
                <w:sz w:val="24"/>
              </w:rPr>
            </w:pPr>
            <w:r>
              <w:rPr>
                <w:sz w:val="24"/>
              </w:rPr>
              <w:t>0.02</w:t>
            </w:r>
          </w:p>
        </w:tc>
        <w:tc>
          <w:tcPr>
            <w:tcW w:w="1662" w:type="dxa"/>
            <w:tcBorders>
              <w:top w:val="nil"/>
              <w:left w:val="nil"/>
              <w:bottom w:val="nil"/>
              <w:right w:val="nil"/>
            </w:tcBorders>
          </w:tcPr>
          <w:p>
            <w:pPr>
              <w:pStyle w:val="TableParagraph"/>
              <w:spacing w:before="3"/>
              <w:ind w:right="469"/>
              <w:rPr>
                <w:sz w:val="24"/>
              </w:rPr>
            </w:pPr>
            <w:r>
              <w:rPr>
                <w:sz w:val="24"/>
              </w:rPr>
              <w:t>11.94%</w:t>
            </w:r>
          </w:p>
        </w:tc>
        <w:tc>
          <w:tcPr>
            <w:tcW w:w="1712" w:type="dxa"/>
            <w:tcBorders>
              <w:top w:val="nil"/>
              <w:left w:val="nil"/>
              <w:bottom w:val="nil"/>
              <w:right w:val="nil"/>
            </w:tcBorders>
          </w:tcPr>
          <w:p>
            <w:pPr>
              <w:pStyle w:val="TableParagraph"/>
              <w:spacing w:before="3"/>
              <w:ind w:right="419"/>
              <w:rPr>
                <w:sz w:val="24"/>
              </w:rPr>
            </w:pPr>
            <w:r>
              <w:rPr>
                <w:sz w:val="24"/>
              </w:rPr>
              <w:t>-58.09%</w:t>
            </w:r>
          </w:p>
        </w:tc>
      </w:tr>
      <w:tr>
        <w:trPr>
          <w:trHeight w:val="308" w:hRule="exact"/>
        </w:trPr>
        <w:tc>
          <w:tcPr>
            <w:tcW w:w="2760" w:type="dxa"/>
            <w:tcBorders>
              <w:top w:val="nil"/>
              <w:left w:val="nil"/>
              <w:bottom w:val="nil"/>
              <w:right w:val="nil"/>
            </w:tcBorders>
          </w:tcPr>
          <w:p>
            <w:pPr>
              <w:pStyle w:val="TableParagraph"/>
              <w:spacing w:before="2"/>
              <w:ind w:left="69"/>
              <w:jc w:val="left"/>
              <w:rPr>
                <w:sz w:val="24"/>
              </w:rPr>
            </w:pPr>
            <w:r>
              <w:rPr>
                <w:sz w:val="24"/>
              </w:rPr>
              <w:t>Combustible</w:t>
            </w:r>
          </w:p>
        </w:tc>
        <w:tc>
          <w:tcPr>
            <w:tcW w:w="1284" w:type="dxa"/>
            <w:tcBorders>
              <w:top w:val="nil"/>
              <w:left w:val="nil"/>
              <w:bottom w:val="nil"/>
              <w:right w:val="nil"/>
            </w:tcBorders>
          </w:tcPr>
          <w:p>
            <w:pPr>
              <w:pStyle w:val="TableParagraph"/>
              <w:spacing w:before="2"/>
              <w:ind w:right="401"/>
              <w:rPr>
                <w:sz w:val="24"/>
              </w:rPr>
            </w:pPr>
            <w:r>
              <w:rPr>
                <w:sz w:val="24"/>
              </w:rPr>
              <w:t>0.19</w:t>
            </w:r>
          </w:p>
        </w:tc>
        <w:tc>
          <w:tcPr>
            <w:tcW w:w="1213" w:type="dxa"/>
            <w:tcBorders>
              <w:top w:val="nil"/>
              <w:left w:val="nil"/>
              <w:bottom w:val="nil"/>
              <w:right w:val="nil"/>
            </w:tcBorders>
          </w:tcPr>
          <w:p>
            <w:pPr>
              <w:pStyle w:val="TableParagraph"/>
              <w:spacing w:before="2"/>
              <w:ind w:left="382" w:right="370"/>
              <w:jc w:val="center"/>
              <w:rPr>
                <w:sz w:val="24"/>
              </w:rPr>
            </w:pPr>
            <w:r>
              <w:rPr>
                <w:sz w:val="24"/>
              </w:rPr>
              <w:t>0.03</w:t>
            </w:r>
          </w:p>
        </w:tc>
        <w:tc>
          <w:tcPr>
            <w:tcW w:w="1662" w:type="dxa"/>
            <w:tcBorders>
              <w:top w:val="nil"/>
              <w:left w:val="nil"/>
              <w:bottom w:val="nil"/>
              <w:right w:val="nil"/>
            </w:tcBorders>
          </w:tcPr>
          <w:p>
            <w:pPr>
              <w:pStyle w:val="TableParagraph"/>
              <w:spacing w:before="2"/>
              <w:ind w:right="431"/>
              <w:rPr>
                <w:sz w:val="24"/>
              </w:rPr>
            </w:pPr>
            <w:r>
              <w:rPr>
                <w:sz w:val="24"/>
              </w:rPr>
              <w:t>-86.01%</w:t>
            </w:r>
          </w:p>
        </w:tc>
        <w:tc>
          <w:tcPr>
            <w:tcW w:w="1712" w:type="dxa"/>
            <w:tcBorders>
              <w:top w:val="nil"/>
              <w:left w:val="nil"/>
              <w:bottom w:val="nil"/>
              <w:right w:val="nil"/>
            </w:tcBorders>
          </w:tcPr>
          <w:p>
            <w:pPr>
              <w:pStyle w:val="TableParagraph"/>
              <w:spacing w:before="2"/>
              <w:ind w:right="359"/>
              <w:rPr>
                <w:sz w:val="24"/>
              </w:rPr>
            </w:pPr>
            <w:r>
              <w:rPr>
                <w:sz w:val="24"/>
              </w:rPr>
              <w:t>-156.04%</w:t>
            </w:r>
          </w:p>
        </w:tc>
      </w:tr>
      <w:tr>
        <w:trPr>
          <w:trHeight w:val="311" w:hRule="exact"/>
        </w:trPr>
        <w:tc>
          <w:tcPr>
            <w:tcW w:w="2760" w:type="dxa"/>
            <w:tcBorders>
              <w:top w:val="nil"/>
              <w:left w:val="nil"/>
              <w:bottom w:val="nil"/>
              <w:right w:val="nil"/>
            </w:tcBorders>
          </w:tcPr>
          <w:p>
            <w:pPr>
              <w:pStyle w:val="TableParagraph"/>
              <w:spacing w:before="4"/>
              <w:ind w:left="69"/>
              <w:jc w:val="left"/>
              <w:rPr>
                <w:sz w:val="24"/>
              </w:rPr>
            </w:pPr>
            <w:r>
              <w:rPr>
                <w:sz w:val="24"/>
              </w:rPr>
              <w:t>Luz</w:t>
            </w:r>
          </w:p>
        </w:tc>
        <w:tc>
          <w:tcPr>
            <w:tcW w:w="1284" w:type="dxa"/>
            <w:tcBorders>
              <w:top w:val="nil"/>
              <w:left w:val="nil"/>
              <w:bottom w:val="nil"/>
              <w:right w:val="nil"/>
            </w:tcBorders>
          </w:tcPr>
          <w:p>
            <w:pPr>
              <w:pStyle w:val="TableParagraph"/>
              <w:spacing w:before="4"/>
              <w:ind w:right="401"/>
              <w:rPr>
                <w:sz w:val="24"/>
              </w:rPr>
            </w:pPr>
            <w:r>
              <w:rPr>
                <w:sz w:val="24"/>
              </w:rPr>
              <w:t>0.02</w:t>
            </w:r>
          </w:p>
        </w:tc>
        <w:tc>
          <w:tcPr>
            <w:tcW w:w="1213" w:type="dxa"/>
            <w:tcBorders>
              <w:top w:val="nil"/>
              <w:left w:val="nil"/>
              <w:bottom w:val="nil"/>
              <w:right w:val="nil"/>
            </w:tcBorders>
          </w:tcPr>
          <w:p>
            <w:pPr>
              <w:pStyle w:val="TableParagraph"/>
              <w:spacing w:before="4"/>
              <w:ind w:left="382" w:right="370"/>
              <w:jc w:val="center"/>
              <w:rPr>
                <w:sz w:val="24"/>
              </w:rPr>
            </w:pPr>
            <w:r>
              <w:rPr>
                <w:sz w:val="24"/>
              </w:rPr>
              <w:t>0.04</w:t>
            </w:r>
          </w:p>
        </w:tc>
        <w:tc>
          <w:tcPr>
            <w:tcW w:w="1662" w:type="dxa"/>
            <w:tcBorders>
              <w:top w:val="nil"/>
              <w:left w:val="nil"/>
              <w:bottom w:val="nil"/>
              <w:right w:val="nil"/>
            </w:tcBorders>
          </w:tcPr>
          <w:p>
            <w:pPr>
              <w:pStyle w:val="TableParagraph"/>
              <w:spacing w:before="4"/>
              <w:ind w:right="409"/>
              <w:rPr>
                <w:sz w:val="24"/>
              </w:rPr>
            </w:pPr>
            <w:r>
              <w:rPr>
                <w:sz w:val="24"/>
              </w:rPr>
              <w:t>123.87%</w:t>
            </w:r>
          </w:p>
        </w:tc>
        <w:tc>
          <w:tcPr>
            <w:tcW w:w="1712" w:type="dxa"/>
            <w:tcBorders>
              <w:top w:val="nil"/>
              <w:left w:val="nil"/>
              <w:bottom w:val="nil"/>
              <w:right w:val="nil"/>
            </w:tcBorders>
          </w:tcPr>
          <w:p>
            <w:pPr>
              <w:pStyle w:val="TableParagraph"/>
              <w:spacing w:before="4"/>
              <w:ind w:right="369"/>
              <w:rPr>
                <w:sz w:val="24"/>
              </w:rPr>
            </w:pPr>
            <w:r>
              <w:rPr>
                <w:sz w:val="24"/>
              </w:rPr>
              <w:t>53.84%</w:t>
            </w:r>
          </w:p>
        </w:tc>
      </w:tr>
      <w:tr>
        <w:trPr>
          <w:trHeight w:val="613" w:hRule="exact"/>
        </w:trPr>
        <w:tc>
          <w:tcPr>
            <w:tcW w:w="2760" w:type="dxa"/>
            <w:tcBorders>
              <w:top w:val="nil"/>
              <w:left w:val="nil"/>
              <w:bottom w:val="nil"/>
              <w:right w:val="nil"/>
            </w:tcBorders>
          </w:tcPr>
          <w:p>
            <w:pPr>
              <w:pStyle w:val="TableParagraph"/>
              <w:spacing w:before="5"/>
              <w:ind w:left="69"/>
              <w:jc w:val="left"/>
              <w:rPr>
                <w:b/>
                <w:sz w:val="24"/>
              </w:rPr>
            </w:pPr>
            <w:r>
              <w:rPr>
                <w:b/>
                <w:sz w:val="24"/>
              </w:rPr>
              <w:t>Costos fijos</w:t>
            </w:r>
          </w:p>
          <w:p>
            <w:pPr>
              <w:pStyle w:val="TableParagraph"/>
              <w:spacing w:before="26"/>
              <w:ind w:left="69"/>
              <w:jc w:val="left"/>
              <w:rPr>
                <w:sz w:val="24"/>
              </w:rPr>
            </w:pPr>
            <w:r>
              <w:rPr>
                <w:sz w:val="24"/>
              </w:rPr>
              <w:t>Dep. de construcciones</w:t>
            </w:r>
          </w:p>
        </w:tc>
        <w:tc>
          <w:tcPr>
            <w:tcW w:w="1284" w:type="dxa"/>
            <w:tcBorders>
              <w:top w:val="nil"/>
              <w:left w:val="nil"/>
              <w:bottom w:val="nil"/>
              <w:right w:val="nil"/>
            </w:tcBorders>
          </w:tcPr>
          <w:p>
            <w:pPr>
              <w:pStyle w:val="TableParagraph"/>
              <w:spacing w:before="8"/>
              <w:jc w:val="left"/>
              <w:rPr>
                <w:sz w:val="26"/>
              </w:rPr>
            </w:pPr>
          </w:p>
          <w:p>
            <w:pPr>
              <w:pStyle w:val="TableParagraph"/>
              <w:ind w:right="401"/>
              <w:rPr>
                <w:sz w:val="24"/>
              </w:rPr>
            </w:pPr>
            <w:r>
              <w:rPr>
                <w:sz w:val="24"/>
              </w:rPr>
              <w:t>0.03</w:t>
            </w:r>
          </w:p>
        </w:tc>
        <w:tc>
          <w:tcPr>
            <w:tcW w:w="1213" w:type="dxa"/>
            <w:tcBorders>
              <w:top w:val="nil"/>
              <w:left w:val="nil"/>
              <w:bottom w:val="nil"/>
              <w:right w:val="nil"/>
            </w:tcBorders>
          </w:tcPr>
          <w:p>
            <w:pPr>
              <w:pStyle w:val="TableParagraph"/>
              <w:spacing w:before="8"/>
              <w:jc w:val="left"/>
              <w:rPr>
                <w:sz w:val="26"/>
              </w:rPr>
            </w:pPr>
          </w:p>
          <w:p>
            <w:pPr>
              <w:pStyle w:val="TableParagraph"/>
              <w:ind w:left="382" w:right="370"/>
              <w:jc w:val="center"/>
              <w:rPr>
                <w:sz w:val="24"/>
              </w:rPr>
            </w:pPr>
            <w:r>
              <w:rPr>
                <w:sz w:val="24"/>
              </w:rPr>
              <w:t>0.03</w:t>
            </w:r>
          </w:p>
        </w:tc>
        <w:tc>
          <w:tcPr>
            <w:tcW w:w="1662" w:type="dxa"/>
            <w:tcBorders>
              <w:top w:val="nil"/>
              <w:left w:val="nil"/>
              <w:bottom w:val="nil"/>
              <w:right w:val="nil"/>
            </w:tcBorders>
          </w:tcPr>
          <w:p>
            <w:pPr>
              <w:pStyle w:val="TableParagraph"/>
              <w:spacing w:before="8"/>
              <w:jc w:val="left"/>
              <w:rPr>
                <w:sz w:val="26"/>
              </w:rPr>
            </w:pPr>
          </w:p>
          <w:p>
            <w:pPr>
              <w:pStyle w:val="TableParagraph"/>
              <w:ind w:right="431"/>
              <w:rPr>
                <w:sz w:val="24"/>
              </w:rPr>
            </w:pPr>
            <w:r>
              <w:rPr>
                <w:sz w:val="24"/>
              </w:rPr>
              <w:t>-16.05%</w:t>
            </w:r>
          </w:p>
        </w:tc>
        <w:tc>
          <w:tcPr>
            <w:tcW w:w="1712" w:type="dxa"/>
            <w:tcBorders>
              <w:top w:val="nil"/>
              <w:left w:val="nil"/>
              <w:bottom w:val="nil"/>
              <w:right w:val="nil"/>
            </w:tcBorders>
          </w:tcPr>
          <w:p>
            <w:pPr>
              <w:pStyle w:val="TableParagraph"/>
              <w:spacing w:before="8"/>
              <w:jc w:val="left"/>
              <w:rPr>
                <w:sz w:val="26"/>
              </w:rPr>
            </w:pPr>
          </w:p>
          <w:p>
            <w:pPr>
              <w:pStyle w:val="TableParagraph"/>
              <w:ind w:right="419"/>
              <w:rPr>
                <w:sz w:val="24"/>
              </w:rPr>
            </w:pPr>
            <w:r>
              <w:rPr>
                <w:sz w:val="24"/>
              </w:rPr>
              <w:t>-86.08%</w:t>
            </w:r>
          </w:p>
        </w:tc>
      </w:tr>
      <w:tr>
        <w:trPr>
          <w:trHeight w:val="308" w:hRule="exact"/>
        </w:trPr>
        <w:tc>
          <w:tcPr>
            <w:tcW w:w="2760" w:type="dxa"/>
            <w:tcBorders>
              <w:top w:val="nil"/>
              <w:left w:val="nil"/>
              <w:bottom w:val="nil"/>
              <w:right w:val="nil"/>
            </w:tcBorders>
          </w:tcPr>
          <w:p>
            <w:pPr>
              <w:pStyle w:val="TableParagraph"/>
              <w:spacing w:before="4"/>
              <w:ind w:left="69"/>
              <w:jc w:val="left"/>
              <w:rPr>
                <w:sz w:val="24"/>
              </w:rPr>
            </w:pPr>
            <w:r>
              <w:rPr>
                <w:sz w:val="24"/>
              </w:rPr>
              <w:t>Otros gastos</w:t>
            </w:r>
          </w:p>
        </w:tc>
        <w:tc>
          <w:tcPr>
            <w:tcW w:w="1284" w:type="dxa"/>
            <w:tcBorders>
              <w:top w:val="nil"/>
              <w:left w:val="nil"/>
              <w:bottom w:val="nil"/>
              <w:right w:val="nil"/>
            </w:tcBorders>
          </w:tcPr>
          <w:p>
            <w:pPr>
              <w:pStyle w:val="TableParagraph"/>
              <w:spacing w:before="4"/>
              <w:ind w:right="401"/>
              <w:rPr>
                <w:sz w:val="24"/>
              </w:rPr>
            </w:pPr>
            <w:r>
              <w:rPr>
                <w:sz w:val="24"/>
              </w:rPr>
              <w:t>0.11</w:t>
            </w:r>
          </w:p>
        </w:tc>
        <w:tc>
          <w:tcPr>
            <w:tcW w:w="1213" w:type="dxa"/>
            <w:tcBorders>
              <w:top w:val="nil"/>
              <w:left w:val="nil"/>
              <w:bottom w:val="nil"/>
              <w:right w:val="nil"/>
            </w:tcBorders>
          </w:tcPr>
          <w:p>
            <w:pPr>
              <w:pStyle w:val="TableParagraph"/>
              <w:spacing w:before="4"/>
              <w:ind w:left="382" w:right="370"/>
              <w:jc w:val="center"/>
              <w:rPr>
                <w:sz w:val="24"/>
              </w:rPr>
            </w:pPr>
            <w:r>
              <w:rPr>
                <w:sz w:val="24"/>
              </w:rPr>
              <w:t>0.23</w:t>
            </w:r>
          </w:p>
        </w:tc>
        <w:tc>
          <w:tcPr>
            <w:tcW w:w="1662" w:type="dxa"/>
            <w:tcBorders>
              <w:top w:val="nil"/>
              <w:left w:val="nil"/>
              <w:bottom w:val="nil"/>
              <w:right w:val="nil"/>
            </w:tcBorders>
          </w:tcPr>
          <w:p>
            <w:pPr>
              <w:pStyle w:val="TableParagraph"/>
              <w:spacing w:before="4"/>
              <w:ind w:right="409"/>
              <w:rPr>
                <w:sz w:val="24"/>
              </w:rPr>
            </w:pPr>
            <w:r>
              <w:rPr>
                <w:sz w:val="24"/>
              </w:rPr>
              <w:t>107.88%</w:t>
            </w:r>
          </w:p>
        </w:tc>
        <w:tc>
          <w:tcPr>
            <w:tcW w:w="1712" w:type="dxa"/>
            <w:tcBorders>
              <w:top w:val="nil"/>
              <w:left w:val="nil"/>
              <w:bottom w:val="nil"/>
              <w:right w:val="nil"/>
            </w:tcBorders>
          </w:tcPr>
          <w:p>
            <w:pPr>
              <w:pStyle w:val="TableParagraph"/>
              <w:spacing w:before="4"/>
              <w:ind w:right="458"/>
              <w:rPr>
                <w:sz w:val="24"/>
              </w:rPr>
            </w:pPr>
            <w:r>
              <w:rPr>
                <w:sz w:val="24"/>
              </w:rPr>
              <w:t>37.85%</w:t>
            </w:r>
          </w:p>
        </w:tc>
      </w:tr>
      <w:tr>
        <w:trPr>
          <w:trHeight w:val="308" w:hRule="exact"/>
        </w:trPr>
        <w:tc>
          <w:tcPr>
            <w:tcW w:w="2760" w:type="dxa"/>
            <w:tcBorders>
              <w:top w:val="nil"/>
              <w:left w:val="nil"/>
              <w:right w:val="nil"/>
            </w:tcBorders>
          </w:tcPr>
          <w:p>
            <w:pPr>
              <w:pStyle w:val="TableParagraph"/>
              <w:spacing w:before="2"/>
              <w:ind w:left="69"/>
              <w:jc w:val="left"/>
              <w:rPr>
                <w:sz w:val="24"/>
              </w:rPr>
            </w:pPr>
            <w:r>
              <w:rPr>
                <w:sz w:val="24"/>
              </w:rPr>
              <w:t>Dep. de animales</w:t>
            </w:r>
          </w:p>
        </w:tc>
        <w:tc>
          <w:tcPr>
            <w:tcW w:w="1284" w:type="dxa"/>
            <w:tcBorders>
              <w:top w:val="nil"/>
              <w:left w:val="nil"/>
              <w:right w:val="nil"/>
            </w:tcBorders>
          </w:tcPr>
          <w:p>
            <w:pPr>
              <w:pStyle w:val="TableParagraph"/>
              <w:spacing w:before="2"/>
              <w:ind w:right="401"/>
              <w:rPr>
                <w:sz w:val="24"/>
              </w:rPr>
            </w:pPr>
            <w:r>
              <w:rPr>
                <w:sz w:val="24"/>
              </w:rPr>
              <w:t>0.44</w:t>
            </w:r>
          </w:p>
        </w:tc>
        <w:tc>
          <w:tcPr>
            <w:tcW w:w="1213" w:type="dxa"/>
            <w:tcBorders>
              <w:top w:val="nil"/>
              <w:left w:val="nil"/>
              <w:right w:val="nil"/>
            </w:tcBorders>
          </w:tcPr>
          <w:p>
            <w:pPr>
              <w:pStyle w:val="TableParagraph"/>
              <w:spacing w:before="2"/>
              <w:ind w:left="382" w:right="370"/>
              <w:jc w:val="center"/>
              <w:rPr>
                <w:sz w:val="24"/>
              </w:rPr>
            </w:pPr>
            <w:r>
              <w:rPr>
                <w:sz w:val="24"/>
              </w:rPr>
              <w:t>0.04</w:t>
            </w:r>
          </w:p>
        </w:tc>
        <w:tc>
          <w:tcPr>
            <w:tcW w:w="1662" w:type="dxa"/>
            <w:tcBorders>
              <w:top w:val="nil"/>
              <w:left w:val="nil"/>
              <w:right w:val="nil"/>
            </w:tcBorders>
          </w:tcPr>
          <w:p>
            <w:pPr>
              <w:pStyle w:val="TableParagraph"/>
              <w:spacing w:before="2"/>
              <w:ind w:right="431"/>
              <w:rPr>
                <w:sz w:val="24"/>
              </w:rPr>
            </w:pPr>
            <w:r>
              <w:rPr>
                <w:sz w:val="24"/>
              </w:rPr>
              <w:t>-92.00%</w:t>
            </w:r>
          </w:p>
        </w:tc>
        <w:tc>
          <w:tcPr>
            <w:tcW w:w="1712" w:type="dxa"/>
            <w:tcBorders>
              <w:top w:val="nil"/>
              <w:left w:val="nil"/>
              <w:right w:val="nil"/>
            </w:tcBorders>
          </w:tcPr>
          <w:p>
            <w:pPr>
              <w:pStyle w:val="TableParagraph"/>
              <w:spacing w:before="2"/>
              <w:ind w:right="359"/>
              <w:rPr>
                <w:sz w:val="24"/>
              </w:rPr>
            </w:pPr>
            <w:r>
              <w:rPr>
                <w:sz w:val="24"/>
              </w:rPr>
              <w:t>-142.05%</w:t>
            </w:r>
          </w:p>
        </w:tc>
      </w:tr>
    </w:tbl>
    <w:p>
      <w:pPr>
        <w:spacing w:line="201" w:lineRule="exact" w:before="0"/>
        <w:ind w:left="208" w:right="0" w:firstLine="0"/>
        <w:jc w:val="both"/>
        <w:rPr>
          <w:sz w:val="20"/>
        </w:rPr>
      </w:pPr>
      <w:r>
        <w:rPr>
          <w:sz w:val="20"/>
        </w:rPr>
        <w:t>Fuente: Elaboración propia con información de campo.</w:t>
      </w:r>
    </w:p>
    <w:p>
      <w:pPr>
        <w:spacing w:line="240" w:lineRule="auto" w:before="0"/>
        <w:ind w:left="208" w:right="405" w:firstLine="33"/>
        <w:jc w:val="both"/>
        <w:rPr>
          <w:sz w:val="20"/>
        </w:rPr>
      </w:pPr>
      <w:r>
        <w:rPr>
          <w:position w:val="7"/>
          <w:sz w:val="13"/>
        </w:rPr>
        <w:t>£</w:t>
      </w:r>
      <w:r>
        <w:rPr>
          <w:sz w:val="20"/>
        </w:rPr>
        <w:t>Costos deflactados del periodo 2000, llevados a valor de los costos del periodo 2012; </w:t>
      </w:r>
      <w:r>
        <w:rPr>
          <w:position w:val="7"/>
          <w:sz w:val="13"/>
        </w:rPr>
        <w:t>ῼ </w:t>
      </w:r>
      <w:r>
        <w:rPr>
          <w:sz w:val="20"/>
        </w:rPr>
        <w:t>(D)= Inflación general 2000-2012= 70.03%. Fuente: BANXICO, 2012 (Estimada con base en la segunda quincena de Diciembre de 2010).</w:t>
      </w:r>
    </w:p>
    <w:p>
      <w:pPr>
        <w:spacing w:before="0"/>
        <w:ind w:left="208" w:right="412" w:firstLine="0"/>
        <w:jc w:val="both"/>
        <w:rPr>
          <w:sz w:val="20"/>
        </w:rPr>
      </w:pPr>
      <w:r>
        <w:rPr>
          <w:sz w:val="20"/>
        </w:rPr>
        <w:t>El</w:t>
      </w:r>
      <w:r>
        <w:rPr>
          <w:spacing w:val="-14"/>
          <w:sz w:val="20"/>
        </w:rPr>
        <w:t> </w:t>
      </w:r>
      <w:r>
        <w:rPr>
          <w:sz w:val="20"/>
        </w:rPr>
        <w:t>deflactor</w:t>
      </w:r>
      <w:r>
        <w:rPr>
          <w:spacing w:val="-13"/>
          <w:sz w:val="20"/>
        </w:rPr>
        <w:t> </w:t>
      </w:r>
      <w:r>
        <w:rPr>
          <w:sz w:val="20"/>
        </w:rPr>
        <w:t>general</w:t>
      </w:r>
      <w:r>
        <w:rPr>
          <w:spacing w:val="-11"/>
          <w:sz w:val="20"/>
        </w:rPr>
        <w:t> </w:t>
      </w:r>
      <w:r>
        <w:rPr>
          <w:sz w:val="20"/>
        </w:rPr>
        <w:t>y</w:t>
      </w:r>
      <w:r>
        <w:rPr>
          <w:spacing w:val="-15"/>
          <w:sz w:val="20"/>
        </w:rPr>
        <w:t> </w:t>
      </w:r>
      <w:r>
        <w:rPr>
          <w:sz w:val="20"/>
        </w:rPr>
        <w:t>por</w:t>
      </w:r>
      <w:r>
        <w:rPr>
          <w:spacing w:val="-13"/>
          <w:sz w:val="20"/>
        </w:rPr>
        <w:t> </w:t>
      </w:r>
      <w:r>
        <w:rPr>
          <w:sz w:val="20"/>
        </w:rPr>
        <w:t>rubro</w:t>
      </w:r>
      <w:r>
        <w:rPr>
          <w:spacing w:val="-13"/>
          <w:sz w:val="20"/>
        </w:rPr>
        <w:t> </w:t>
      </w:r>
      <w:r>
        <w:rPr>
          <w:sz w:val="20"/>
        </w:rPr>
        <w:t>de</w:t>
      </w:r>
      <w:r>
        <w:rPr>
          <w:spacing w:val="-14"/>
          <w:sz w:val="20"/>
        </w:rPr>
        <w:t> </w:t>
      </w:r>
      <w:r>
        <w:rPr>
          <w:sz w:val="20"/>
        </w:rPr>
        <w:t>gasto</w:t>
      </w:r>
      <w:r>
        <w:rPr>
          <w:spacing w:val="-11"/>
          <w:sz w:val="20"/>
        </w:rPr>
        <w:t> </w:t>
      </w:r>
      <w:r>
        <w:rPr>
          <w:sz w:val="20"/>
        </w:rPr>
        <w:t>se</w:t>
      </w:r>
      <w:r>
        <w:rPr>
          <w:spacing w:val="-14"/>
          <w:sz w:val="20"/>
        </w:rPr>
        <w:t> </w:t>
      </w:r>
      <w:r>
        <w:rPr>
          <w:sz w:val="20"/>
        </w:rPr>
        <w:t>estimó</w:t>
      </w:r>
      <w:r>
        <w:rPr>
          <w:spacing w:val="-11"/>
          <w:sz w:val="20"/>
        </w:rPr>
        <w:t> </w:t>
      </w:r>
      <w:r>
        <w:rPr>
          <w:sz w:val="20"/>
        </w:rPr>
        <w:t>tomando</w:t>
      </w:r>
      <w:r>
        <w:rPr>
          <w:spacing w:val="-13"/>
          <w:sz w:val="20"/>
        </w:rPr>
        <w:t> </w:t>
      </w:r>
      <w:r>
        <w:rPr>
          <w:sz w:val="20"/>
        </w:rPr>
        <w:t>el</w:t>
      </w:r>
      <w:r>
        <w:rPr>
          <w:spacing w:val="-14"/>
          <w:sz w:val="20"/>
        </w:rPr>
        <w:t> </w:t>
      </w:r>
      <w:r>
        <w:rPr>
          <w:sz w:val="20"/>
        </w:rPr>
        <w:t>INPC</w:t>
      </w:r>
      <w:r>
        <w:rPr>
          <w:spacing w:val="-15"/>
          <w:sz w:val="20"/>
        </w:rPr>
        <w:t> </w:t>
      </w:r>
      <w:r>
        <w:rPr>
          <w:sz w:val="20"/>
        </w:rPr>
        <w:t>del</w:t>
      </w:r>
      <w:r>
        <w:rPr>
          <w:spacing w:val="-11"/>
          <w:sz w:val="20"/>
        </w:rPr>
        <w:t> </w:t>
      </w:r>
      <w:r>
        <w:rPr>
          <w:sz w:val="20"/>
        </w:rPr>
        <w:t>mes</w:t>
      </w:r>
      <w:r>
        <w:rPr>
          <w:spacing w:val="-14"/>
          <w:sz w:val="20"/>
        </w:rPr>
        <w:t> </w:t>
      </w:r>
      <w:r>
        <w:rPr>
          <w:sz w:val="20"/>
        </w:rPr>
        <w:t>de</w:t>
      </w:r>
      <w:r>
        <w:rPr>
          <w:spacing w:val="-11"/>
          <w:sz w:val="20"/>
        </w:rPr>
        <w:t> </w:t>
      </w:r>
      <w:r>
        <w:rPr>
          <w:sz w:val="20"/>
        </w:rPr>
        <w:t>Septiembre</w:t>
      </w:r>
      <w:r>
        <w:rPr>
          <w:spacing w:val="-11"/>
          <w:sz w:val="20"/>
        </w:rPr>
        <w:t> </w:t>
      </w:r>
      <w:r>
        <w:rPr>
          <w:sz w:val="20"/>
        </w:rPr>
        <w:t>de</w:t>
      </w:r>
      <w:r>
        <w:rPr>
          <w:spacing w:val="-14"/>
          <w:sz w:val="20"/>
        </w:rPr>
        <w:t> </w:t>
      </w:r>
      <w:r>
        <w:rPr>
          <w:sz w:val="20"/>
        </w:rPr>
        <w:t>cada</w:t>
      </w:r>
      <w:r>
        <w:rPr>
          <w:spacing w:val="-14"/>
          <w:sz w:val="20"/>
        </w:rPr>
        <w:t> </w:t>
      </w:r>
      <w:r>
        <w:rPr>
          <w:sz w:val="20"/>
        </w:rPr>
        <w:t>periodo analizado.</w:t>
      </w:r>
    </w:p>
    <w:p>
      <w:pPr>
        <w:pStyle w:val="BodyText"/>
        <w:rPr>
          <w:sz w:val="20"/>
        </w:rPr>
      </w:pPr>
    </w:p>
    <w:p>
      <w:pPr>
        <w:pStyle w:val="BodyText"/>
        <w:spacing w:before="1"/>
        <w:rPr>
          <w:sz w:val="22"/>
        </w:rPr>
      </w:pPr>
    </w:p>
    <w:p>
      <w:pPr>
        <w:spacing w:before="69"/>
        <w:ind w:left="122" w:right="0" w:firstLine="0"/>
        <w:jc w:val="both"/>
        <w:rPr>
          <w:i/>
          <w:sz w:val="24"/>
        </w:rPr>
      </w:pPr>
      <w:r>
        <w:rPr>
          <w:i/>
          <w:sz w:val="24"/>
        </w:rPr>
        <w:t>Dinámica económica en ingresos por la venta de leche</w:t>
      </w:r>
    </w:p>
    <w:p>
      <w:pPr>
        <w:pStyle w:val="BodyText"/>
        <w:rPr>
          <w:i/>
        </w:rPr>
      </w:pPr>
    </w:p>
    <w:p>
      <w:pPr>
        <w:pStyle w:val="BodyText"/>
        <w:spacing w:before="9"/>
        <w:rPr>
          <w:i/>
          <w:sz w:val="23"/>
        </w:rPr>
      </w:pPr>
    </w:p>
    <w:p>
      <w:pPr>
        <w:pStyle w:val="BodyText"/>
        <w:spacing w:line="360" w:lineRule="auto"/>
        <w:ind w:left="122" w:right="116"/>
        <w:jc w:val="both"/>
      </w:pPr>
      <w:r>
        <w:rPr/>
        <w:t>El análisis en el comportamiento productivo de las tres escalas analizadas en los años 2000 y 2012, mostró las estrategias que utiliza cada estrato para disminuir costos y aumentar el margen de utilidad por litro de leche. Los resultados indicaron que entre los periodos de análisis los productores más eficientes para disminuir costo fueron los ubicados en el</w:t>
      </w:r>
      <w:r>
        <w:rPr>
          <w:spacing w:val="-35"/>
        </w:rPr>
        <w:t> </w:t>
      </w:r>
      <w:r>
        <w:rPr/>
        <w:t>estrato III,</w:t>
      </w:r>
      <w:r>
        <w:rPr>
          <w:spacing w:val="-9"/>
        </w:rPr>
        <w:t> </w:t>
      </w:r>
      <w:r>
        <w:rPr/>
        <w:t>seguidos</w:t>
      </w:r>
      <w:r>
        <w:rPr>
          <w:spacing w:val="-11"/>
        </w:rPr>
        <w:t> </w:t>
      </w:r>
      <w:r>
        <w:rPr/>
        <w:t>de</w:t>
      </w:r>
      <w:r>
        <w:rPr>
          <w:spacing w:val="-12"/>
        </w:rPr>
        <w:t> </w:t>
      </w:r>
      <w:r>
        <w:rPr/>
        <w:t>los</w:t>
      </w:r>
      <w:r>
        <w:rPr>
          <w:spacing w:val="-8"/>
        </w:rPr>
        <w:t> </w:t>
      </w:r>
      <w:r>
        <w:rPr/>
        <w:t>estratos</w:t>
      </w:r>
      <w:r>
        <w:rPr>
          <w:spacing w:val="-8"/>
        </w:rPr>
        <w:t> </w:t>
      </w:r>
      <w:r>
        <w:rPr/>
        <w:t>II</w:t>
      </w:r>
      <w:r>
        <w:rPr>
          <w:spacing w:val="-10"/>
        </w:rPr>
        <w:t> </w:t>
      </w:r>
      <w:r>
        <w:rPr/>
        <w:t>y</w:t>
      </w:r>
      <w:r>
        <w:rPr>
          <w:spacing w:val="-11"/>
        </w:rPr>
        <w:t> </w:t>
      </w:r>
      <w:r>
        <w:rPr/>
        <w:t>I.</w:t>
      </w:r>
      <w:r>
        <w:rPr>
          <w:spacing w:val="-11"/>
        </w:rPr>
        <w:t> </w:t>
      </w:r>
      <w:r>
        <w:rPr/>
        <w:t>Sin</w:t>
      </w:r>
      <w:r>
        <w:rPr>
          <w:spacing w:val="-11"/>
        </w:rPr>
        <w:t> </w:t>
      </w:r>
      <w:r>
        <w:rPr/>
        <w:t>embargo,</w:t>
      </w:r>
      <w:r>
        <w:rPr>
          <w:spacing w:val="-9"/>
        </w:rPr>
        <w:t> </w:t>
      </w:r>
      <w:r>
        <w:rPr/>
        <w:t>el</w:t>
      </w:r>
      <w:r>
        <w:rPr>
          <w:spacing w:val="-8"/>
        </w:rPr>
        <w:t> </w:t>
      </w:r>
      <w:r>
        <w:rPr/>
        <w:t>análisis</w:t>
      </w:r>
      <w:r>
        <w:rPr>
          <w:spacing w:val="-10"/>
        </w:rPr>
        <w:t> </w:t>
      </w:r>
      <w:r>
        <w:rPr/>
        <w:t>financiero</w:t>
      </w:r>
      <w:r>
        <w:rPr>
          <w:spacing w:val="-12"/>
        </w:rPr>
        <w:t> </w:t>
      </w:r>
      <w:r>
        <w:rPr/>
        <w:t>en</w:t>
      </w:r>
      <w:r>
        <w:rPr>
          <w:spacing w:val="-9"/>
        </w:rPr>
        <w:t> </w:t>
      </w:r>
      <w:r>
        <w:rPr/>
        <w:t>costos</w:t>
      </w:r>
      <w:r>
        <w:rPr>
          <w:spacing w:val="-10"/>
        </w:rPr>
        <w:t> </w:t>
      </w:r>
      <w:r>
        <w:rPr/>
        <w:t>de</w:t>
      </w:r>
      <w:r>
        <w:rPr>
          <w:spacing w:val="-12"/>
        </w:rPr>
        <w:t> </w:t>
      </w:r>
      <w:r>
        <w:rPr/>
        <w:t>producción permitió identificar solo las estrategias en el proceso de producción y brindó conclusiones acerca</w:t>
      </w:r>
      <w:r>
        <w:rPr>
          <w:spacing w:val="-12"/>
        </w:rPr>
        <w:t> </w:t>
      </w:r>
      <w:r>
        <w:rPr/>
        <w:t>de</w:t>
      </w:r>
      <w:r>
        <w:rPr>
          <w:spacing w:val="-12"/>
        </w:rPr>
        <w:t> </w:t>
      </w:r>
      <w:r>
        <w:rPr/>
        <w:t>este,</w:t>
      </w:r>
      <w:r>
        <w:rPr>
          <w:spacing w:val="-11"/>
        </w:rPr>
        <w:t> </w:t>
      </w:r>
      <w:r>
        <w:rPr/>
        <w:t>no</w:t>
      </w:r>
      <w:r>
        <w:rPr>
          <w:spacing w:val="-11"/>
        </w:rPr>
        <w:t> </w:t>
      </w:r>
      <w:r>
        <w:rPr/>
        <w:t>obstante,</w:t>
      </w:r>
      <w:r>
        <w:rPr>
          <w:spacing w:val="-11"/>
        </w:rPr>
        <w:t> </w:t>
      </w:r>
      <w:r>
        <w:rPr/>
        <w:t>para</w:t>
      </w:r>
      <w:r>
        <w:rPr>
          <w:spacing w:val="-12"/>
        </w:rPr>
        <w:t> </w:t>
      </w:r>
      <w:r>
        <w:rPr/>
        <w:t>cumplir</w:t>
      </w:r>
      <w:r>
        <w:rPr>
          <w:spacing w:val="-9"/>
        </w:rPr>
        <w:t> </w:t>
      </w:r>
      <w:r>
        <w:rPr/>
        <w:t>con</w:t>
      </w:r>
      <w:r>
        <w:rPr>
          <w:spacing w:val="-11"/>
        </w:rPr>
        <w:t> </w:t>
      </w:r>
      <w:r>
        <w:rPr/>
        <w:t>el</w:t>
      </w:r>
      <w:r>
        <w:rPr>
          <w:spacing w:val="-11"/>
        </w:rPr>
        <w:t> </w:t>
      </w:r>
      <w:r>
        <w:rPr/>
        <w:t>objetivo</w:t>
      </w:r>
      <w:r>
        <w:rPr>
          <w:spacing w:val="-11"/>
        </w:rPr>
        <w:t> </w:t>
      </w:r>
      <w:r>
        <w:rPr/>
        <w:t>de</w:t>
      </w:r>
      <w:r>
        <w:rPr>
          <w:spacing w:val="-12"/>
        </w:rPr>
        <w:t> </w:t>
      </w:r>
      <w:r>
        <w:rPr/>
        <w:t>este</w:t>
      </w:r>
      <w:r>
        <w:rPr>
          <w:spacing w:val="-9"/>
        </w:rPr>
        <w:t> </w:t>
      </w:r>
      <w:r>
        <w:rPr/>
        <w:t>trabajo</w:t>
      </w:r>
      <w:r>
        <w:rPr>
          <w:spacing w:val="-6"/>
        </w:rPr>
        <w:t> </w:t>
      </w:r>
      <w:r>
        <w:rPr/>
        <w:t>y</w:t>
      </w:r>
      <w:r>
        <w:rPr>
          <w:spacing w:val="-13"/>
        </w:rPr>
        <w:t> </w:t>
      </w:r>
      <w:r>
        <w:rPr/>
        <w:t>discernir</w:t>
      </w:r>
      <w:r>
        <w:rPr>
          <w:spacing w:val="-12"/>
        </w:rPr>
        <w:t> </w:t>
      </w:r>
      <w:r>
        <w:rPr/>
        <w:t>la</w:t>
      </w:r>
      <w:r>
        <w:rPr>
          <w:spacing w:val="-12"/>
        </w:rPr>
        <w:t> </w:t>
      </w:r>
      <w:r>
        <w:rPr/>
        <w:t>mayoría de las estrategias que implementan los productores de pequeña escala fue necesario analizar el proceso de comercialización de la leche, </w:t>
      </w:r>
      <w:r>
        <w:rPr>
          <w:spacing w:val="-3"/>
        </w:rPr>
        <w:t>ya </w:t>
      </w:r>
      <w:r>
        <w:rPr/>
        <w:t>que este influye directamente en el precio por litro de leche y en las utilidades finales recibidas por cada estrato</w:t>
      </w:r>
      <w:r>
        <w:rPr>
          <w:spacing w:val="-14"/>
        </w:rPr>
        <w:t> </w:t>
      </w:r>
      <w:r>
        <w:rPr/>
        <w:t>productivo.</w:t>
      </w:r>
    </w:p>
    <w:p>
      <w:pPr>
        <w:spacing w:after="0" w:line="360" w:lineRule="auto"/>
        <w:jc w:val="both"/>
        <w:sectPr>
          <w:type w:val="continuous"/>
          <w:pgSz w:w="12240" w:h="15840"/>
          <w:pgMar w:top="1360" w:bottom="280" w:left="1580" w:right="1580"/>
        </w:sectPr>
      </w:pPr>
    </w:p>
    <w:p>
      <w:pPr>
        <w:pStyle w:val="BodyText"/>
        <w:spacing w:line="360" w:lineRule="auto" w:before="50"/>
        <w:ind w:left="102" w:right="110"/>
        <w:jc w:val="both"/>
      </w:pPr>
      <w:r>
        <w:rPr/>
        <w:t>Los</w:t>
      </w:r>
      <w:r>
        <w:rPr>
          <w:spacing w:val="-13"/>
        </w:rPr>
        <w:t> </w:t>
      </w:r>
      <w:r>
        <w:rPr/>
        <w:t>resultados</w:t>
      </w:r>
      <w:r>
        <w:rPr>
          <w:spacing w:val="-13"/>
        </w:rPr>
        <w:t> </w:t>
      </w:r>
      <w:r>
        <w:rPr/>
        <w:t>encontrados</w:t>
      </w:r>
      <w:r>
        <w:rPr>
          <w:spacing w:val="-13"/>
        </w:rPr>
        <w:t> </w:t>
      </w:r>
      <w:r>
        <w:rPr/>
        <w:t>para</w:t>
      </w:r>
      <w:r>
        <w:rPr>
          <w:spacing w:val="-15"/>
        </w:rPr>
        <w:t> </w:t>
      </w:r>
      <w:r>
        <w:rPr/>
        <w:t>el</w:t>
      </w:r>
      <w:r>
        <w:rPr>
          <w:spacing w:val="-11"/>
        </w:rPr>
        <w:t> </w:t>
      </w:r>
      <w:r>
        <w:rPr/>
        <w:t>grupo</w:t>
      </w:r>
      <w:r>
        <w:rPr>
          <w:spacing w:val="-14"/>
        </w:rPr>
        <w:t> </w:t>
      </w:r>
      <w:r>
        <w:rPr/>
        <w:t>de</w:t>
      </w:r>
      <w:r>
        <w:rPr>
          <w:spacing w:val="-14"/>
        </w:rPr>
        <w:t> </w:t>
      </w:r>
      <w:r>
        <w:rPr/>
        <w:t>productores</w:t>
      </w:r>
      <w:r>
        <w:rPr>
          <w:spacing w:val="-13"/>
        </w:rPr>
        <w:t> </w:t>
      </w:r>
      <w:r>
        <w:rPr/>
        <w:t>que</w:t>
      </w:r>
      <w:r>
        <w:rPr>
          <w:spacing w:val="-14"/>
        </w:rPr>
        <w:t> </w:t>
      </w:r>
      <w:r>
        <w:rPr/>
        <w:t>conforman</w:t>
      </w:r>
      <w:r>
        <w:rPr>
          <w:spacing w:val="-14"/>
        </w:rPr>
        <w:t> </w:t>
      </w:r>
      <w:r>
        <w:rPr/>
        <w:t>el</w:t>
      </w:r>
      <w:r>
        <w:rPr>
          <w:spacing w:val="-11"/>
        </w:rPr>
        <w:t> </w:t>
      </w:r>
      <w:r>
        <w:rPr/>
        <w:t>estrato</w:t>
      </w:r>
      <w:r>
        <w:rPr>
          <w:spacing w:val="-11"/>
        </w:rPr>
        <w:t> </w:t>
      </w:r>
      <w:r>
        <w:rPr>
          <w:spacing w:val="-3"/>
        </w:rPr>
        <w:t>I,</w:t>
      </w:r>
      <w:r>
        <w:rPr>
          <w:spacing w:val="-13"/>
        </w:rPr>
        <w:t> </w:t>
      </w:r>
      <w:r>
        <w:rPr/>
        <w:t>muestran el</w:t>
      </w:r>
      <w:r>
        <w:rPr>
          <w:spacing w:val="-13"/>
        </w:rPr>
        <w:t> </w:t>
      </w:r>
      <w:r>
        <w:rPr/>
        <w:t>cambio</w:t>
      </w:r>
      <w:r>
        <w:rPr>
          <w:spacing w:val="-13"/>
        </w:rPr>
        <w:t> </w:t>
      </w:r>
      <w:r>
        <w:rPr/>
        <w:t>ocurrido</w:t>
      </w:r>
      <w:r>
        <w:rPr>
          <w:spacing w:val="-13"/>
        </w:rPr>
        <w:t> </w:t>
      </w:r>
      <w:r>
        <w:rPr/>
        <w:t>entre</w:t>
      </w:r>
      <w:r>
        <w:rPr>
          <w:spacing w:val="-14"/>
        </w:rPr>
        <w:t> </w:t>
      </w:r>
      <w:r>
        <w:rPr/>
        <w:t>los</w:t>
      </w:r>
      <w:r>
        <w:rPr>
          <w:spacing w:val="-13"/>
        </w:rPr>
        <w:t> </w:t>
      </w:r>
      <w:r>
        <w:rPr/>
        <w:t>periodos</w:t>
      </w:r>
      <w:r>
        <w:rPr>
          <w:spacing w:val="-13"/>
        </w:rPr>
        <w:t> </w:t>
      </w:r>
      <w:r>
        <w:rPr/>
        <w:t>2000</w:t>
      </w:r>
      <w:r>
        <w:rPr>
          <w:spacing w:val="-11"/>
        </w:rPr>
        <w:t> </w:t>
      </w:r>
      <w:r>
        <w:rPr/>
        <w:t>y</w:t>
      </w:r>
      <w:r>
        <w:rPr>
          <w:spacing w:val="-18"/>
        </w:rPr>
        <w:t> </w:t>
      </w:r>
      <w:r>
        <w:rPr/>
        <w:t>2012,</w:t>
      </w:r>
      <w:r>
        <w:rPr>
          <w:spacing w:val="-13"/>
        </w:rPr>
        <w:t> </w:t>
      </w:r>
      <w:r>
        <w:rPr/>
        <w:t>puede</w:t>
      </w:r>
      <w:r>
        <w:rPr>
          <w:spacing w:val="-14"/>
        </w:rPr>
        <w:t> </w:t>
      </w:r>
      <w:r>
        <w:rPr/>
        <w:t>apreciarse</w:t>
      </w:r>
      <w:r>
        <w:rPr>
          <w:spacing w:val="-15"/>
        </w:rPr>
        <w:t> </w:t>
      </w:r>
      <w:r>
        <w:rPr/>
        <w:t>en</w:t>
      </w:r>
      <w:r>
        <w:rPr>
          <w:spacing w:val="-13"/>
        </w:rPr>
        <w:t> </w:t>
      </w:r>
      <w:r>
        <w:rPr/>
        <w:t>la</w:t>
      </w:r>
      <w:r>
        <w:rPr>
          <w:spacing w:val="-14"/>
        </w:rPr>
        <w:t> </w:t>
      </w:r>
      <w:r>
        <w:rPr/>
        <w:t>tabla</w:t>
      </w:r>
      <w:r>
        <w:rPr>
          <w:spacing w:val="-14"/>
        </w:rPr>
        <w:t> </w:t>
      </w:r>
      <w:r>
        <w:rPr/>
        <w:t>8,</w:t>
      </w:r>
      <w:r>
        <w:rPr>
          <w:spacing w:val="-13"/>
        </w:rPr>
        <w:t> </w:t>
      </w:r>
      <w:r>
        <w:rPr/>
        <w:t>que</w:t>
      </w:r>
      <w:r>
        <w:rPr>
          <w:spacing w:val="-14"/>
        </w:rPr>
        <w:t> </w:t>
      </w:r>
      <w:r>
        <w:rPr/>
        <w:t>durante el periodo 2000 el estrato </w:t>
      </w:r>
      <w:r>
        <w:rPr>
          <w:spacing w:val="-3"/>
        </w:rPr>
        <w:t>I, </w:t>
      </w:r>
      <w:r>
        <w:rPr/>
        <w:t>fue el más eficiente en términos de comercialización destinando el</w:t>
      </w:r>
      <w:r>
        <w:rPr>
          <w:spacing w:val="-8"/>
        </w:rPr>
        <w:t> </w:t>
      </w:r>
      <w:r>
        <w:rPr/>
        <w:t>64%</w:t>
      </w:r>
      <w:r>
        <w:rPr>
          <w:spacing w:val="-9"/>
        </w:rPr>
        <w:t> </w:t>
      </w:r>
      <w:r>
        <w:rPr/>
        <w:t>de</w:t>
      </w:r>
      <w:r>
        <w:rPr>
          <w:spacing w:val="-10"/>
        </w:rPr>
        <w:t> </w:t>
      </w:r>
      <w:r>
        <w:rPr/>
        <w:t>su</w:t>
      </w:r>
      <w:r>
        <w:rPr>
          <w:spacing w:val="-8"/>
        </w:rPr>
        <w:t> </w:t>
      </w:r>
      <w:r>
        <w:rPr/>
        <w:t>producción</w:t>
      </w:r>
      <w:r>
        <w:rPr>
          <w:spacing w:val="-7"/>
        </w:rPr>
        <w:t> </w:t>
      </w:r>
      <w:r>
        <w:rPr/>
        <w:t>diaria</w:t>
      </w:r>
      <w:r>
        <w:rPr>
          <w:spacing w:val="-9"/>
        </w:rPr>
        <w:t> </w:t>
      </w:r>
      <w:r>
        <w:rPr/>
        <w:t>a</w:t>
      </w:r>
      <w:r>
        <w:rPr>
          <w:spacing w:val="-10"/>
        </w:rPr>
        <w:t> </w:t>
      </w:r>
      <w:r>
        <w:rPr/>
        <w:t>la</w:t>
      </w:r>
      <w:r>
        <w:rPr>
          <w:spacing w:val="-9"/>
        </w:rPr>
        <w:t> </w:t>
      </w:r>
      <w:r>
        <w:rPr/>
        <w:t>venta</w:t>
      </w:r>
      <w:r>
        <w:rPr>
          <w:spacing w:val="-10"/>
        </w:rPr>
        <w:t> </w:t>
      </w:r>
      <w:r>
        <w:rPr/>
        <w:t>al</w:t>
      </w:r>
      <w:r>
        <w:rPr>
          <w:spacing w:val="-8"/>
        </w:rPr>
        <w:t> </w:t>
      </w:r>
      <w:r>
        <w:rPr/>
        <w:t>menudeo</w:t>
      </w:r>
      <w:r>
        <w:rPr>
          <w:spacing w:val="-9"/>
        </w:rPr>
        <w:t> </w:t>
      </w:r>
      <w:r>
        <w:rPr/>
        <w:t>con</w:t>
      </w:r>
      <w:r>
        <w:rPr>
          <w:spacing w:val="-9"/>
        </w:rPr>
        <w:t> </w:t>
      </w:r>
      <w:r>
        <w:rPr/>
        <w:t>un</w:t>
      </w:r>
      <w:r>
        <w:rPr>
          <w:spacing w:val="-9"/>
        </w:rPr>
        <w:t> </w:t>
      </w:r>
      <w:r>
        <w:rPr/>
        <w:t>diferencial</w:t>
      </w:r>
      <w:r>
        <w:rPr>
          <w:spacing w:val="-6"/>
        </w:rPr>
        <w:t> </w:t>
      </w:r>
      <w:r>
        <w:rPr/>
        <w:t>en</w:t>
      </w:r>
      <w:r>
        <w:rPr>
          <w:spacing w:val="-9"/>
        </w:rPr>
        <w:t> </w:t>
      </w:r>
      <w:r>
        <w:rPr/>
        <w:t>el</w:t>
      </w:r>
      <w:r>
        <w:rPr>
          <w:spacing w:val="-8"/>
        </w:rPr>
        <w:t> </w:t>
      </w:r>
      <w:r>
        <w:rPr/>
        <w:t>precio</w:t>
      </w:r>
      <w:r>
        <w:rPr>
          <w:spacing w:val="-8"/>
        </w:rPr>
        <w:t> </w:t>
      </w:r>
      <w:r>
        <w:rPr/>
        <w:t>de</w:t>
      </w:r>
      <w:r>
        <w:rPr>
          <w:spacing w:val="-10"/>
        </w:rPr>
        <w:t> </w:t>
      </w:r>
      <w:r>
        <w:rPr/>
        <w:t>venta por litro de leche de $1.8, sin embargo, para 2012 este estrato disminuyó este porcentaje en 45.31% al destinar solo el 35% de su producción diaria para la venta al menudeo, este comportamiento</w:t>
      </w:r>
      <w:r>
        <w:rPr>
          <w:spacing w:val="-6"/>
        </w:rPr>
        <w:t> </w:t>
      </w:r>
      <w:r>
        <w:rPr/>
        <w:t>ubica</w:t>
      </w:r>
      <w:r>
        <w:rPr>
          <w:spacing w:val="-5"/>
        </w:rPr>
        <w:t> </w:t>
      </w:r>
      <w:r>
        <w:rPr/>
        <w:t>a</w:t>
      </w:r>
      <w:r>
        <w:rPr>
          <w:spacing w:val="-7"/>
        </w:rPr>
        <w:t> </w:t>
      </w:r>
      <w:r>
        <w:rPr/>
        <w:t>los</w:t>
      </w:r>
      <w:r>
        <w:rPr>
          <w:spacing w:val="-6"/>
        </w:rPr>
        <w:t> </w:t>
      </w:r>
      <w:r>
        <w:rPr/>
        <w:t>productores</w:t>
      </w:r>
      <w:r>
        <w:rPr>
          <w:spacing w:val="-4"/>
        </w:rPr>
        <w:t> </w:t>
      </w:r>
      <w:r>
        <w:rPr/>
        <w:t>del</w:t>
      </w:r>
      <w:r>
        <w:rPr>
          <w:spacing w:val="-3"/>
        </w:rPr>
        <w:t> </w:t>
      </w:r>
      <w:r>
        <w:rPr/>
        <w:t>estrato</w:t>
      </w:r>
      <w:r>
        <w:rPr>
          <w:spacing w:val="-1"/>
        </w:rPr>
        <w:t> </w:t>
      </w:r>
      <w:r>
        <w:rPr/>
        <w:t>I,</w:t>
      </w:r>
      <w:r>
        <w:rPr>
          <w:spacing w:val="-6"/>
        </w:rPr>
        <w:t> </w:t>
      </w:r>
      <w:r>
        <w:rPr/>
        <w:t>como</w:t>
      </w:r>
      <w:r>
        <w:rPr>
          <w:spacing w:val="-6"/>
        </w:rPr>
        <w:t> </w:t>
      </w:r>
      <w:r>
        <w:rPr/>
        <w:t>los</w:t>
      </w:r>
      <w:r>
        <w:rPr>
          <w:spacing w:val="-6"/>
        </w:rPr>
        <w:t> </w:t>
      </w:r>
      <w:r>
        <w:rPr/>
        <w:t>menos</w:t>
      </w:r>
      <w:r>
        <w:rPr>
          <w:spacing w:val="-6"/>
        </w:rPr>
        <w:t> </w:t>
      </w:r>
      <w:r>
        <w:rPr/>
        <w:t>eficientes</w:t>
      </w:r>
      <w:r>
        <w:rPr>
          <w:spacing w:val="-6"/>
        </w:rPr>
        <w:t> </w:t>
      </w:r>
      <w:r>
        <w:rPr/>
        <w:t>en</w:t>
      </w:r>
      <w:r>
        <w:rPr>
          <w:spacing w:val="-6"/>
        </w:rPr>
        <w:t> </w:t>
      </w:r>
      <w:r>
        <w:rPr/>
        <w:t>términos económicos para el periodo 2012 al conseguir la utilidad más baja de las tres escalas de productores analizados ($1.40 por litro de leche promediando las ventas al mayoreo y menudeo).</w:t>
      </w:r>
      <w:r>
        <w:rPr>
          <w:spacing w:val="-12"/>
        </w:rPr>
        <w:t> </w:t>
      </w:r>
      <w:r>
        <w:rPr/>
        <w:t>No</w:t>
      </w:r>
      <w:r>
        <w:rPr>
          <w:spacing w:val="-9"/>
        </w:rPr>
        <w:t> </w:t>
      </w:r>
      <w:r>
        <w:rPr/>
        <w:t>obstante,</w:t>
      </w:r>
      <w:r>
        <w:rPr>
          <w:spacing w:val="-9"/>
        </w:rPr>
        <w:t> </w:t>
      </w:r>
      <w:r>
        <w:rPr/>
        <w:t>cabe</w:t>
      </w:r>
      <w:r>
        <w:rPr>
          <w:spacing w:val="-12"/>
        </w:rPr>
        <w:t> </w:t>
      </w:r>
      <w:r>
        <w:rPr/>
        <w:t>mencionar</w:t>
      </w:r>
      <w:r>
        <w:rPr>
          <w:spacing w:val="-12"/>
        </w:rPr>
        <w:t> </w:t>
      </w:r>
      <w:r>
        <w:rPr/>
        <w:t>que</w:t>
      </w:r>
      <w:r>
        <w:rPr>
          <w:spacing w:val="-12"/>
        </w:rPr>
        <w:t> </w:t>
      </w:r>
      <w:r>
        <w:rPr/>
        <w:t>de</w:t>
      </w:r>
      <w:r>
        <w:rPr>
          <w:spacing w:val="-10"/>
        </w:rPr>
        <w:t> </w:t>
      </w:r>
      <w:r>
        <w:rPr/>
        <w:t>haber</w:t>
      </w:r>
      <w:r>
        <w:rPr>
          <w:spacing w:val="-12"/>
        </w:rPr>
        <w:t> </w:t>
      </w:r>
      <w:r>
        <w:rPr/>
        <w:t>mantenido</w:t>
      </w:r>
      <w:r>
        <w:rPr>
          <w:spacing w:val="-11"/>
        </w:rPr>
        <w:t> </w:t>
      </w:r>
      <w:r>
        <w:rPr/>
        <w:t>las</w:t>
      </w:r>
      <w:r>
        <w:rPr>
          <w:spacing w:val="-11"/>
        </w:rPr>
        <w:t> </w:t>
      </w:r>
      <w:r>
        <w:rPr/>
        <w:t>condiciones</w:t>
      </w:r>
      <w:r>
        <w:rPr>
          <w:spacing w:val="-11"/>
        </w:rPr>
        <w:t> </w:t>
      </w:r>
      <w:r>
        <w:rPr/>
        <w:t>productivas y comerciales del periodo 2000 el grupo de productores del estrato I, obtendría</w:t>
      </w:r>
      <w:r>
        <w:rPr>
          <w:spacing w:val="35"/>
        </w:rPr>
        <w:t> </w:t>
      </w:r>
      <w:r>
        <w:rPr/>
        <w:t>actualmente</w:t>
      </w:r>
    </w:p>
    <w:p>
      <w:pPr>
        <w:pStyle w:val="BodyText"/>
        <w:spacing w:before="6"/>
        <w:ind w:left="102"/>
        <w:jc w:val="both"/>
      </w:pPr>
      <w:r>
        <w:rPr/>
        <w:t>$1.75 de utilidad por litro de leche $0.35 menos de lo que actualmente genera.</w:t>
      </w:r>
    </w:p>
    <w:p>
      <w:pPr>
        <w:pStyle w:val="BodyText"/>
      </w:pPr>
    </w:p>
    <w:p>
      <w:pPr>
        <w:pStyle w:val="BodyText"/>
      </w:pPr>
    </w:p>
    <w:p>
      <w:pPr>
        <w:pStyle w:val="BodyText"/>
        <w:spacing w:line="360" w:lineRule="auto"/>
        <w:ind w:left="102" w:right="116"/>
        <w:jc w:val="both"/>
      </w:pPr>
      <w:r>
        <w:rPr/>
        <w:t>El</w:t>
      </w:r>
      <w:r>
        <w:rPr>
          <w:spacing w:val="-9"/>
        </w:rPr>
        <w:t> </w:t>
      </w:r>
      <w:r>
        <w:rPr/>
        <w:t>análisis</w:t>
      </w:r>
      <w:r>
        <w:rPr>
          <w:spacing w:val="-9"/>
        </w:rPr>
        <w:t> </w:t>
      </w:r>
      <w:r>
        <w:rPr/>
        <w:t>en</w:t>
      </w:r>
      <w:r>
        <w:rPr>
          <w:spacing w:val="-10"/>
        </w:rPr>
        <w:t> </w:t>
      </w:r>
      <w:r>
        <w:rPr/>
        <w:t>el</w:t>
      </w:r>
      <w:r>
        <w:rPr>
          <w:spacing w:val="-9"/>
        </w:rPr>
        <w:t> </w:t>
      </w:r>
      <w:r>
        <w:rPr/>
        <w:t>grupo</w:t>
      </w:r>
      <w:r>
        <w:rPr>
          <w:spacing w:val="-10"/>
        </w:rPr>
        <w:t> </w:t>
      </w:r>
      <w:r>
        <w:rPr/>
        <w:t>de</w:t>
      </w:r>
      <w:r>
        <w:rPr>
          <w:spacing w:val="-11"/>
        </w:rPr>
        <w:t> </w:t>
      </w:r>
      <w:r>
        <w:rPr/>
        <w:t>productores</w:t>
      </w:r>
      <w:r>
        <w:rPr>
          <w:spacing w:val="-9"/>
        </w:rPr>
        <w:t> </w:t>
      </w:r>
      <w:r>
        <w:rPr/>
        <w:t>del</w:t>
      </w:r>
      <w:r>
        <w:rPr>
          <w:spacing w:val="-9"/>
        </w:rPr>
        <w:t> </w:t>
      </w:r>
      <w:r>
        <w:rPr/>
        <w:t>estrato</w:t>
      </w:r>
      <w:r>
        <w:rPr>
          <w:spacing w:val="-7"/>
        </w:rPr>
        <w:t> </w:t>
      </w:r>
      <w:r>
        <w:rPr/>
        <w:t>II,</w:t>
      </w:r>
      <w:r>
        <w:rPr>
          <w:spacing w:val="-5"/>
        </w:rPr>
        <w:t> </w:t>
      </w:r>
      <w:r>
        <w:rPr/>
        <w:t>indica</w:t>
      </w:r>
      <w:r>
        <w:rPr>
          <w:spacing w:val="-11"/>
        </w:rPr>
        <w:t> </w:t>
      </w:r>
      <w:r>
        <w:rPr/>
        <w:t>que</w:t>
      </w:r>
      <w:r>
        <w:rPr>
          <w:spacing w:val="-11"/>
        </w:rPr>
        <w:t> </w:t>
      </w:r>
      <w:r>
        <w:rPr/>
        <w:t>entre</w:t>
      </w:r>
      <w:r>
        <w:rPr>
          <w:spacing w:val="-11"/>
        </w:rPr>
        <w:t> </w:t>
      </w:r>
      <w:r>
        <w:rPr/>
        <w:t>los</w:t>
      </w:r>
      <w:r>
        <w:rPr>
          <w:spacing w:val="-9"/>
        </w:rPr>
        <w:t> </w:t>
      </w:r>
      <w:r>
        <w:rPr/>
        <w:t>periodos</w:t>
      </w:r>
      <w:r>
        <w:rPr>
          <w:spacing w:val="-10"/>
        </w:rPr>
        <w:t> </w:t>
      </w:r>
      <w:r>
        <w:rPr/>
        <w:t>productivos 2000 y 2012 consolidaron la comercialización como una de sus principales estrategias al aumentar</w:t>
      </w:r>
      <w:r>
        <w:rPr>
          <w:spacing w:val="-9"/>
        </w:rPr>
        <w:t> </w:t>
      </w:r>
      <w:r>
        <w:rPr/>
        <w:t>su</w:t>
      </w:r>
      <w:r>
        <w:rPr>
          <w:spacing w:val="-6"/>
        </w:rPr>
        <w:t> </w:t>
      </w:r>
      <w:r>
        <w:rPr/>
        <w:t>volumen</w:t>
      </w:r>
      <w:r>
        <w:rPr>
          <w:spacing w:val="-9"/>
        </w:rPr>
        <w:t> </w:t>
      </w:r>
      <w:r>
        <w:rPr/>
        <w:t>de</w:t>
      </w:r>
      <w:r>
        <w:rPr>
          <w:spacing w:val="-7"/>
        </w:rPr>
        <w:t> </w:t>
      </w:r>
      <w:r>
        <w:rPr/>
        <w:t>ventas</w:t>
      </w:r>
      <w:r>
        <w:rPr>
          <w:spacing w:val="-9"/>
        </w:rPr>
        <w:t> </w:t>
      </w:r>
      <w:r>
        <w:rPr/>
        <w:t>al</w:t>
      </w:r>
      <w:r>
        <w:rPr>
          <w:spacing w:val="-8"/>
        </w:rPr>
        <w:t> </w:t>
      </w:r>
      <w:r>
        <w:rPr/>
        <w:t>menudo</w:t>
      </w:r>
      <w:r>
        <w:rPr>
          <w:spacing w:val="-9"/>
        </w:rPr>
        <w:t> </w:t>
      </w:r>
      <w:r>
        <w:rPr/>
        <w:t>de</w:t>
      </w:r>
      <w:r>
        <w:rPr>
          <w:spacing w:val="-7"/>
        </w:rPr>
        <w:t> </w:t>
      </w:r>
      <w:r>
        <w:rPr/>
        <w:t>35%</w:t>
      </w:r>
      <w:r>
        <w:rPr>
          <w:spacing w:val="-7"/>
        </w:rPr>
        <w:t> </w:t>
      </w:r>
      <w:r>
        <w:rPr/>
        <w:t>en</w:t>
      </w:r>
      <w:r>
        <w:rPr>
          <w:spacing w:val="-6"/>
        </w:rPr>
        <w:t> </w:t>
      </w:r>
      <w:r>
        <w:rPr/>
        <w:t>el</w:t>
      </w:r>
      <w:r>
        <w:rPr>
          <w:spacing w:val="-8"/>
        </w:rPr>
        <w:t> </w:t>
      </w:r>
      <w:r>
        <w:rPr/>
        <w:t>periodo</w:t>
      </w:r>
      <w:r>
        <w:rPr>
          <w:spacing w:val="-4"/>
        </w:rPr>
        <w:t> </w:t>
      </w:r>
      <w:r>
        <w:rPr/>
        <w:t>2000</w:t>
      </w:r>
      <w:r>
        <w:rPr>
          <w:spacing w:val="-9"/>
        </w:rPr>
        <w:t> </w:t>
      </w:r>
      <w:r>
        <w:rPr/>
        <w:t>a</w:t>
      </w:r>
      <w:r>
        <w:rPr>
          <w:spacing w:val="-7"/>
        </w:rPr>
        <w:t> </w:t>
      </w:r>
      <w:r>
        <w:rPr/>
        <w:t>48%</w:t>
      </w:r>
      <w:r>
        <w:rPr>
          <w:spacing w:val="-9"/>
        </w:rPr>
        <w:t> </w:t>
      </w:r>
      <w:r>
        <w:rPr/>
        <w:t>en</w:t>
      </w:r>
      <w:r>
        <w:rPr>
          <w:spacing w:val="-6"/>
        </w:rPr>
        <w:t> </w:t>
      </w:r>
      <w:r>
        <w:rPr/>
        <w:t>el</w:t>
      </w:r>
      <w:r>
        <w:rPr>
          <w:spacing w:val="-8"/>
        </w:rPr>
        <w:t> </w:t>
      </w:r>
      <w:r>
        <w:rPr/>
        <w:t>2012,</w:t>
      </w:r>
      <w:r>
        <w:rPr>
          <w:spacing w:val="-6"/>
        </w:rPr>
        <w:t> </w:t>
      </w:r>
      <w:r>
        <w:rPr/>
        <w:t>esta estrategia le permitió a este grupo de productores obtener las mejores utilidades por litro de leche ($1.95 promediando el precio por litro de leche al mayoreo y menudeo) de las tres escalas de productores analizados, así mismo desplazó al estrato </w:t>
      </w:r>
      <w:r>
        <w:rPr>
          <w:spacing w:val="-3"/>
        </w:rPr>
        <w:t>I, </w:t>
      </w:r>
      <w:r>
        <w:rPr/>
        <w:t>como el grupo de productores que destinaba el mayor porcentaje de venta de leche al menudeo en 12 años, de seguir</w:t>
      </w:r>
      <w:r>
        <w:rPr>
          <w:spacing w:val="-7"/>
        </w:rPr>
        <w:t> </w:t>
      </w:r>
      <w:r>
        <w:rPr/>
        <w:t>bajo</w:t>
      </w:r>
      <w:r>
        <w:rPr>
          <w:spacing w:val="-6"/>
        </w:rPr>
        <w:t> </w:t>
      </w:r>
      <w:r>
        <w:rPr/>
        <w:t>las</w:t>
      </w:r>
      <w:r>
        <w:rPr>
          <w:spacing w:val="-9"/>
        </w:rPr>
        <w:t> </w:t>
      </w:r>
      <w:r>
        <w:rPr/>
        <w:t>mismas</w:t>
      </w:r>
      <w:r>
        <w:rPr>
          <w:spacing w:val="-6"/>
        </w:rPr>
        <w:t> </w:t>
      </w:r>
      <w:r>
        <w:rPr/>
        <w:t>condiciones</w:t>
      </w:r>
      <w:r>
        <w:rPr>
          <w:spacing w:val="-8"/>
        </w:rPr>
        <w:t> </w:t>
      </w:r>
      <w:r>
        <w:rPr/>
        <w:t>de</w:t>
      </w:r>
      <w:r>
        <w:rPr>
          <w:spacing w:val="-7"/>
        </w:rPr>
        <w:t> </w:t>
      </w:r>
      <w:r>
        <w:rPr/>
        <w:t>producción</w:t>
      </w:r>
      <w:r>
        <w:rPr>
          <w:spacing w:val="-6"/>
        </w:rPr>
        <w:t> </w:t>
      </w:r>
      <w:r>
        <w:rPr/>
        <w:t>y</w:t>
      </w:r>
      <w:r>
        <w:rPr>
          <w:spacing w:val="-11"/>
        </w:rPr>
        <w:t> </w:t>
      </w:r>
      <w:r>
        <w:rPr/>
        <w:t>comercialización</w:t>
      </w:r>
      <w:r>
        <w:rPr>
          <w:spacing w:val="-8"/>
        </w:rPr>
        <w:t> </w:t>
      </w:r>
      <w:r>
        <w:rPr/>
        <w:t>para</w:t>
      </w:r>
      <w:r>
        <w:rPr>
          <w:spacing w:val="-10"/>
        </w:rPr>
        <w:t> </w:t>
      </w:r>
      <w:r>
        <w:rPr/>
        <w:t>2012</w:t>
      </w:r>
      <w:r>
        <w:rPr>
          <w:spacing w:val="-9"/>
        </w:rPr>
        <w:t> </w:t>
      </w:r>
      <w:r>
        <w:rPr/>
        <w:t>el</w:t>
      </w:r>
      <w:r>
        <w:rPr>
          <w:spacing w:val="-6"/>
        </w:rPr>
        <w:t> </w:t>
      </w:r>
      <w:r>
        <w:rPr/>
        <w:t>estrato</w:t>
      </w:r>
      <w:r>
        <w:rPr>
          <w:spacing w:val="-6"/>
        </w:rPr>
        <w:t> </w:t>
      </w:r>
      <w:r>
        <w:rPr/>
        <w:t>II, solo</w:t>
      </w:r>
      <w:r>
        <w:rPr>
          <w:spacing w:val="-6"/>
        </w:rPr>
        <w:t> </w:t>
      </w:r>
      <w:r>
        <w:rPr/>
        <w:t>obtendría</w:t>
      </w:r>
      <w:r>
        <w:rPr>
          <w:spacing w:val="-7"/>
        </w:rPr>
        <w:t> </w:t>
      </w:r>
      <w:r>
        <w:rPr/>
        <w:t>una</w:t>
      </w:r>
      <w:r>
        <w:rPr>
          <w:spacing w:val="-7"/>
        </w:rPr>
        <w:t> </w:t>
      </w:r>
      <w:r>
        <w:rPr/>
        <w:t>utilidad</w:t>
      </w:r>
      <w:r>
        <w:rPr>
          <w:spacing w:val="-6"/>
        </w:rPr>
        <w:t> </w:t>
      </w:r>
      <w:r>
        <w:rPr/>
        <w:t>de</w:t>
      </w:r>
      <w:r>
        <w:rPr>
          <w:spacing w:val="-7"/>
        </w:rPr>
        <w:t> </w:t>
      </w:r>
      <w:r>
        <w:rPr/>
        <w:t>$0.96</w:t>
      </w:r>
      <w:r>
        <w:rPr>
          <w:spacing w:val="-6"/>
        </w:rPr>
        <w:t> </w:t>
      </w:r>
      <w:r>
        <w:rPr/>
        <w:t>por</w:t>
      </w:r>
      <w:r>
        <w:rPr>
          <w:spacing w:val="-7"/>
        </w:rPr>
        <w:t> </w:t>
      </w:r>
      <w:r>
        <w:rPr/>
        <w:t>litro</w:t>
      </w:r>
      <w:r>
        <w:rPr>
          <w:spacing w:val="-7"/>
        </w:rPr>
        <w:t> </w:t>
      </w:r>
      <w:r>
        <w:rPr/>
        <w:t>de</w:t>
      </w:r>
      <w:r>
        <w:rPr>
          <w:spacing w:val="-7"/>
        </w:rPr>
        <w:t> </w:t>
      </w:r>
      <w:r>
        <w:rPr/>
        <w:t>leche</w:t>
      </w:r>
      <w:r>
        <w:rPr>
          <w:spacing w:val="-7"/>
        </w:rPr>
        <w:t> </w:t>
      </w:r>
      <w:r>
        <w:rPr/>
        <w:t>$0.99</w:t>
      </w:r>
      <w:r>
        <w:rPr>
          <w:spacing w:val="-6"/>
        </w:rPr>
        <w:t> </w:t>
      </w:r>
      <w:r>
        <w:rPr/>
        <w:t>menos</w:t>
      </w:r>
      <w:r>
        <w:rPr>
          <w:spacing w:val="-7"/>
        </w:rPr>
        <w:t> </w:t>
      </w:r>
      <w:r>
        <w:rPr/>
        <w:t>de</w:t>
      </w:r>
      <w:r>
        <w:rPr>
          <w:spacing w:val="-7"/>
        </w:rPr>
        <w:t> </w:t>
      </w:r>
      <w:r>
        <w:rPr/>
        <w:t>lo</w:t>
      </w:r>
      <w:r>
        <w:rPr>
          <w:spacing w:val="-8"/>
        </w:rPr>
        <w:t> </w:t>
      </w:r>
      <w:r>
        <w:rPr/>
        <w:t>que</w:t>
      </w:r>
      <w:r>
        <w:rPr>
          <w:spacing w:val="-7"/>
        </w:rPr>
        <w:t> </w:t>
      </w:r>
      <w:r>
        <w:rPr/>
        <w:t>obtiene</w:t>
      </w:r>
      <w:r>
        <w:rPr>
          <w:spacing w:val="-7"/>
        </w:rPr>
        <w:t> </w:t>
      </w:r>
      <w:r>
        <w:rPr/>
        <w:t>bajo</w:t>
      </w:r>
      <w:r>
        <w:rPr>
          <w:spacing w:val="-6"/>
        </w:rPr>
        <w:t> </w:t>
      </w:r>
      <w:r>
        <w:rPr/>
        <w:t>las formas de producción y comercialización actuales (Tabla</w:t>
      </w:r>
      <w:r>
        <w:rPr>
          <w:spacing w:val="-14"/>
        </w:rPr>
        <w:t> </w:t>
      </w:r>
      <w:r>
        <w:rPr/>
        <w:t>8).</w:t>
      </w:r>
    </w:p>
    <w:p>
      <w:pPr>
        <w:pStyle w:val="BodyText"/>
      </w:pPr>
    </w:p>
    <w:p>
      <w:pPr>
        <w:pStyle w:val="BodyText"/>
        <w:spacing w:line="360" w:lineRule="auto" w:before="143"/>
        <w:ind w:left="102" w:right="116"/>
        <w:jc w:val="both"/>
      </w:pPr>
      <w:r>
        <w:rPr/>
        <w:t>Los</w:t>
      </w:r>
      <w:r>
        <w:rPr>
          <w:spacing w:val="-4"/>
        </w:rPr>
        <w:t> </w:t>
      </w:r>
      <w:r>
        <w:rPr/>
        <w:t>resultados</w:t>
      </w:r>
      <w:r>
        <w:rPr>
          <w:spacing w:val="-6"/>
        </w:rPr>
        <w:t> </w:t>
      </w:r>
      <w:r>
        <w:rPr/>
        <w:t>para</w:t>
      </w:r>
      <w:r>
        <w:rPr>
          <w:spacing w:val="-7"/>
        </w:rPr>
        <w:t> </w:t>
      </w:r>
      <w:r>
        <w:rPr/>
        <w:t>los</w:t>
      </w:r>
      <w:r>
        <w:rPr>
          <w:spacing w:val="-6"/>
        </w:rPr>
        <w:t> </w:t>
      </w:r>
      <w:r>
        <w:rPr/>
        <w:t>productores</w:t>
      </w:r>
      <w:r>
        <w:rPr>
          <w:spacing w:val="-6"/>
        </w:rPr>
        <w:t> </w:t>
      </w:r>
      <w:r>
        <w:rPr/>
        <w:t>del</w:t>
      </w:r>
      <w:r>
        <w:rPr>
          <w:spacing w:val="-6"/>
        </w:rPr>
        <w:t> </w:t>
      </w:r>
      <w:r>
        <w:rPr/>
        <w:t>estrato</w:t>
      </w:r>
      <w:r>
        <w:rPr>
          <w:spacing w:val="-3"/>
        </w:rPr>
        <w:t> </w:t>
      </w:r>
      <w:r>
        <w:rPr/>
        <w:t>III,</w:t>
      </w:r>
      <w:r>
        <w:rPr>
          <w:spacing w:val="-2"/>
        </w:rPr>
        <w:t> </w:t>
      </w:r>
      <w:r>
        <w:rPr/>
        <w:t>indican</w:t>
      </w:r>
      <w:r>
        <w:rPr>
          <w:spacing w:val="-6"/>
        </w:rPr>
        <w:t> </w:t>
      </w:r>
      <w:r>
        <w:rPr/>
        <w:t>que</w:t>
      </w:r>
      <w:r>
        <w:rPr>
          <w:spacing w:val="-5"/>
        </w:rPr>
        <w:t> </w:t>
      </w:r>
      <w:r>
        <w:rPr/>
        <w:t>por</w:t>
      </w:r>
      <w:r>
        <w:rPr>
          <w:spacing w:val="-5"/>
        </w:rPr>
        <w:t> </w:t>
      </w:r>
      <w:r>
        <w:rPr/>
        <w:t>cada</w:t>
      </w:r>
      <w:r>
        <w:rPr>
          <w:spacing w:val="-7"/>
        </w:rPr>
        <w:t> </w:t>
      </w:r>
      <w:r>
        <w:rPr/>
        <w:t>litro</w:t>
      </w:r>
      <w:r>
        <w:rPr>
          <w:spacing w:val="-4"/>
        </w:rPr>
        <w:t> </w:t>
      </w:r>
      <w:r>
        <w:rPr/>
        <w:t>que</w:t>
      </w:r>
      <w:r>
        <w:rPr>
          <w:spacing w:val="-7"/>
        </w:rPr>
        <w:t> </w:t>
      </w:r>
      <w:r>
        <w:rPr/>
        <w:t>ponen</w:t>
      </w:r>
      <w:r>
        <w:rPr>
          <w:spacing w:val="-4"/>
        </w:rPr>
        <w:t> </w:t>
      </w:r>
      <w:r>
        <w:rPr/>
        <w:t>en</w:t>
      </w:r>
      <w:r>
        <w:rPr>
          <w:spacing w:val="-6"/>
        </w:rPr>
        <w:t> </w:t>
      </w:r>
      <w:r>
        <w:rPr/>
        <w:t>el mercado obtienen una utilidad en términos reales de $1.79 (Tabla 8), $0.16 menos de lo que obtienen los productores del estrato </w:t>
      </w:r>
      <w:r>
        <w:rPr>
          <w:spacing w:val="-3"/>
        </w:rPr>
        <w:t>II. </w:t>
      </w:r>
      <w:r>
        <w:rPr/>
        <w:t>Estos resultados nos muestran que la eficiencia productiva obtenida por el estrato III, fue desplazada por el proceso de comercialización de la leche, donde los productores del estrato II, demostraron tener mayor capacidad de adaptación y negociación, por tanto, se puede decir que el precio es un factor determinante que puede desplazar o integrar a un sistema productivo en el mercado de competencia.  </w:t>
      </w:r>
      <w:r>
        <w:rPr>
          <w:spacing w:val="38"/>
        </w:rPr>
        <w:t> </w:t>
      </w:r>
      <w:r>
        <w:rPr/>
        <w:t>No</w:t>
      </w:r>
    </w:p>
    <w:p>
      <w:pPr>
        <w:spacing w:after="0" w:line="360" w:lineRule="auto"/>
        <w:jc w:val="both"/>
        <w:sectPr>
          <w:pgSz w:w="12240" w:h="15840"/>
          <w:pgMar w:header="0" w:footer="657" w:top="1360" w:bottom="840" w:left="1600" w:right="1580"/>
        </w:sectPr>
      </w:pPr>
    </w:p>
    <w:p>
      <w:pPr>
        <w:pStyle w:val="BodyText"/>
        <w:spacing w:line="360" w:lineRule="auto" w:before="50"/>
        <w:ind w:left="122" w:right="163"/>
        <w:jc w:val="both"/>
      </w:pPr>
      <w:r>
        <w:rPr/>
        <w:t>obstante, cabe resaltar que la escala de producción (tamaño de hato) es un factor importante que permite al estrato III, obtener los mayores ingresos por hato de las tres escalas de productores entre los años 2000 y 2012.</w:t>
      </w:r>
    </w:p>
    <w:p>
      <w:pPr>
        <w:pStyle w:val="BodyText"/>
      </w:pPr>
    </w:p>
    <w:p>
      <w:pPr>
        <w:pStyle w:val="BodyText"/>
        <w:spacing w:line="360" w:lineRule="auto" w:before="143"/>
        <w:ind w:left="122" w:right="160"/>
        <w:jc w:val="both"/>
      </w:pPr>
      <w:r>
        <w:rPr/>
        <w:t>El</w:t>
      </w:r>
      <w:r>
        <w:rPr>
          <w:spacing w:val="-13"/>
        </w:rPr>
        <w:t> </w:t>
      </w:r>
      <w:r>
        <w:rPr/>
        <w:t>análisis</w:t>
      </w:r>
      <w:r>
        <w:rPr>
          <w:spacing w:val="-13"/>
        </w:rPr>
        <w:t> </w:t>
      </w:r>
      <w:r>
        <w:rPr/>
        <w:t>de</w:t>
      </w:r>
      <w:r>
        <w:rPr>
          <w:spacing w:val="-14"/>
        </w:rPr>
        <w:t> </w:t>
      </w:r>
      <w:r>
        <w:rPr/>
        <w:t>comercialización</w:t>
      </w:r>
      <w:r>
        <w:rPr>
          <w:spacing w:val="-13"/>
        </w:rPr>
        <w:t> </w:t>
      </w:r>
      <w:r>
        <w:rPr/>
        <w:t>de</w:t>
      </w:r>
      <w:r>
        <w:rPr>
          <w:spacing w:val="-14"/>
        </w:rPr>
        <w:t> </w:t>
      </w:r>
      <w:r>
        <w:rPr/>
        <w:t>la</w:t>
      </w:r>
      <w:r>
        <w:rPr>
          <w:spacing w:val="-12"/>
        </w:rPr>
        <w:t> </w:t>
      </w:r>
      <w:r>
        <w:rPr/>
        <w:t>leche</w:t>
      </w:r>
      <w:r>
        <w:rPr>
          <w:spacing w:val="-14"/>
        </w:rPr>
        <w:t> </w:t>
      </w:r>
      <w:r>
        <w:rPr/>
        <w:t>permitió</w:t>
      </w:r>
      <w:r>
        <w:rPr>
          <w:spacing w:val="-11"/>
        </w:rPr>
        <w:t> </w:t>
      </w:r>
      <w:r>
        <w:rPr/>
        <w:t>tener</w:t>
      </w:r>
      <w:r>
        <w:rPr>
          <w:spacing w:val="-14"/>
        </w:rPr>
        <w:t> </w:t>
      </w:r>
      <w:r>
        <w:rPr/>
        <w:t>un</w:t>
      </w:r>
      <w:r>
        <w:rPr>
          <w:spacing w:val="-11"/>
        </w:rPr>
        <w:t> </w:t>
      </w:r>
      <w:r>
        <w:rPr/>
        <w:t>escenario</w:t>
      </w:r>
      <w:r>
        <w:rPr>
          <w:spacing w:val="-14"/>
        </w:rPr>
        <w:t> </w:t>
      </w:r>
      <w:r>
        <w:rPr/>
        <w:t>diferente</w:t>
      </w:r>
      <w:r>
        <w:rPr>
          <w:spacing w:val="-14"/>
        </w:rPr>
        <w:t> </w:t>
      </w:r>
      <w:r>
        <w:rPr/>
        <w:t>al</w:t>
      </w:r>
      <w:r>
        <w:rPr>
          <w:spacing w:val="-13"/>
        </w:rPr>
        <w:t> </w:t>
      </w:r>
      <w:r>
        <w:rPr/>
        <w:t>productivo y con ello se evaluó desde otra perspectiva la capacidad de los productores para generar oportunidades y aprovechar la peri-urbanidad como una ventaja comparativa que funge en beneficio para la generación de estrategias comerciales que permiten a los sistemas</w:t>
      </w:r>
      <w:r>
        <w:rPr>
          <w:spacing w:val="-13"/>
        </w:rPr>
        <w:t> </w:t>
      </w:r>
      <w:r>
        <w:rPr/>
        <w:t>lecheros de pequeña escala aumentar el margen de utilidad por litro de</w:t>
      </w:r>
      <w:r>
        <w:rPr>
          <w:spacing w:val="-17"/>
        </w:rPr>
        <w:t> </w:t>
      </w:r>
      <w:r>
        <w:rPr/>
        <w:t>leche.</w:t>
      </w:r>
    </w:p>
    <w:p>
      <w:pPr>
        <w:pStyle w:val="BodyText"/>
        <w:spacing w:before="1"/>
        <w:rPr>
          <w:sz w:val="28"/>
        </w:rPr>
      </w:pPr>
    </w:p>
    <w:p>
      <w:pPr>
        <w:pStyle w:val="BodyText"/>
        <w:spacing w:line="276" w:lineRule="auto" w:after="9"/>
        <w:ind w:left="191" w:right="233"/>
        <w:jc w:val="both"/>
      </w:pPr>
      <w:r>
        <w:rPr>
          <w:b/>
        </w:rPr>
        <w:t>Tabla 8. </w:t>
      </w:r>
      <w:r>
        <w:rPr/>
        <w:t>Evaluación de la utilidad por litro de leche para los periodos 2000 y 2012 (pesos/litro)</w:t>
      </w:r>
    </w:p>
    <w:tbl>
      <w:tblPr>
        <w:tblW w:w="0" w:type="auto"/>
        <w:jc w:val="left"/>
        <w:tblInd w:w="10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673"/>
        <w:gridCol w:w="788"/>
        <w:gridCol w:w="803"/>
        <w:gridCol w:w="888"/>
        <w:gridCol w:w="905"/>
        <w:gridCol w:w="857"/>
        <w:gridCol w:w="926"/>
      </w:tblGrid>
      <w:tr>
        <w:trPr>
          <w:trHeight w:val="365" w:hRule="exact"/>
        </w:trPr>
        <w:tc>
          <w:tcPr>
            <w:tcW w:w="3673" w:type="dxa"/>
            <w:vMerge w:val="restart"/>
            <w:tcBorders>
              <w:left w:val="nil"/>
              <w:right w:val="nil"/>
            </w:tcBorders>
          </w:tcPr>
          <w:p>
            <w:pPr>
              <w:pStyle w:val="TableParagraph"/>
              <w:spacing w:before="7"/>
              <w:jc w:val="left"/>
              <w:rPr>
                <w:sz w:val="31"/>
              </w:rPr>
            </w:pPr>
          </w:p>
          <w:p>
            <w:pPr>
              <w:pStyle w:val="TableParagraph"/>
              <w:ind w:left="69"/>
              <w:jc w:val="left"/>
              <w:rPr>
                <w:sz w:val="24"/>
              </w:rPr>
            </w:pPr>
            <w:r>
              <w:rPr>
                <w:sz w:val="24"/>
              </w:rPr>
              <w:t>Rubro</w:t>
            </w:r>
          </w:p>
        </w:tc>
        <w:tc>
          <w:tcPr>
            <w:tcW w:w="1592" w:type="dxa"/>
            <w:gridSpan w:val="2"/>
            <w:tcBorders>
              <w:left w:val="nil"/>
              <w:right w:val="single" w:sz="8" w:space="0" w:color="000000"/>
            </w:tcBorders>
          </w:tcPr>
          <w:p>
            <w:pPr>
              <w:pStyle w:val="TableParagraph"/>
              <w:spacing w:line="275" w:lineRule="exact"/>
              <w:ind w:left="383"/>
              <w:jc w:val="left"/>
              <w:rPr>
                <w:sz w:val="24"/>
              </w:rPr>
            </w:pPr>
            <w:r>
              <w:rPr>
                <w:sz w:val="24"/>
              </w:rPr>
              <w:t>Estrato I</w:t>
            </w:r>
          </w:p>
        </w:tc>
        <w:tc>
          <w:tcPr>
            <w:tcW w:w="1793" w:type="dxa"/>
            <w:gridSpan w:val="2"/>
            <w:tcBorders>
              <w:left w:val="single" w:sz="8" w:space="0" w:color="000000"/>
              <w:right w:val="single" w:sz="8" w:space="0" w:color="000000"/>
            </w:tcBorders>
          </w:tcPr>
          <w:p>
            <w:pPr>
              <w:pStyle w:val="TableParagraph"/>
              <w:spacing w:line="275" w:lineRule="exact"/>
              <w:ind w:left="436"/>
              <w:jc w:val="left"/>
              <w:rPr>
                <w:sz w:val="24"/>
              </w:rPr>
            </w:pPr>
            <w:r>
              <w:rPr>
                <w:sz w:val="24"/>
              </w:rPr>
              <w:t>Estrato II</w:t>
            </w:r>
          </w:p>
        </w:tc>
        <w:tc>
          <w:tcPr>
            <w:tcW w:w="1784" w:type="dxa"/>
            <w:gridSpan w:val="2"/>
            <w:tcBorders>
              <w:left w:val="single" w:sz="8" w:space="0" w:color="000000"/>
              <w:right w:val="nil"/>
            </w:tcBorders>
          </w:tcPr>
          <w:p>
            <w:pPr>
              <w:pStyle w:val="TableParagraph"/>
              <w:spacing w:line="275" w:lineRule="exact"/>
              <w:ind w:left="391"/>
              <w:jc w:val="left"/>
              <w:rPr>
                <w:sz w:val="24"/>
              </w:rPr>
            </w:pPr>
            <w:r>
              <w:rPr>
                <w:sz w:val="24"/>
              </w:rPr>
              <w:t>Estrato III</w:t>
            </w:r>
          </w:p>
        </w:tc>
      </w:tr>
      <w:tr>
        <w:trPr>
          <w:trHeight w:val="367" w:hRule="exact"/>
        </w:trPr>
        <w:tc>
          <w:tcPr>
            <w:tcW w:w="3673" w:type="dxa"/>
            <w:vMerge/>
            <w:tcBorders>
              <w:left w:val="nil"/>
              <w:right w:val="nil"/>
            </w:tcBorders>
          </w:tcPr>
          <w:p>
            <w:pPr/>
          </w:p>
        </w:tc>
        <w:tc>
          <w:tcPr>
            <w:tcW w:w="788" w:type="dxa"/>
            <w:tcBorders>
              <w:left w:val="nil"/>
              <w:right w:val="nil"/>
            </w:tcBorders>
          </w:tcPr>
          <w:p>
            <w:pPr>
              <w:pStyle w:val="TableParagraph"/>
              <w:spacing w:line="275" w:lineRule="exact"/>
              <w:ind w:left="69"/>
              <w:jc w:val="left"/>
              <w:rPr>
                <w:sz w:val="24"/>
              </w:rPr>
            </w:pPr>
            <w:r>
              <w:rPr>
                <w:sz w:val="24"/>
              </w:rPr>
              <w:t>2000</w:t>
            </w:r>
          </w:p>
        </w:tc>
        <w:tc>
          <w:tcPr>
            <w:tcW w:w="803" w:type="dxa"/>
            <w:tcBorders>
              <w:left w:val="nil"/>
              <w:right w:val="single" w:sz="8" w:space="0" w:color="000000"/>
            </w:tcBorders>
          </w:tcPr>
          <w:p>
            <w:pPr>
              <w:pStyle w:val="TableParagraph"/>
              <w:spacing w:line="275" w:lineRule="exact"/>
              <w:ind w:left="99" w:right="174"/>
              <w:jc w:val="center"/>
              <w:rPr>
                <w:sz w:val="24"/>
              </w:rPr>
            </w:pPr>
            <w:r>
              <w:rPr>
                <w:sz w:val="24"/>
              </w:rPr>
              <w:t>2012</w:t>
            </w:r>
          </w:p>
        </w:tc>
        <w:tc>
          <w:tcPr>
            <w:tcW w:w="888" w:type="dxa"/>
            <w:tcBorders>
              <w:left w:val="single" w:sz="8" w:space="0" w:color="000000"/>
              <w:right w:val="nil"/>
            </w:tcBorders>
          </w:tcPr>
          <w:p>
            <w:pPr>
              <w:pStyle w:val="TableParagraph"/>
              <w:spacing w:line="275" w:lineRule="exact"/>
              <w:ind w:left="60"/>
              <w:jc w:val="left"/>
              <w:rPr>
                <w:sz w:val="24"/>
              </w:rPr>
            </w:pPr>
            <w:r>
              <w:rPr>
                <w:sz w:val="24"/>
              </w:rPr>
              <w:t>2000</w:t>
            </w:r>
          </w:p>
        </w:tc>
        <w:tc>
          <w:tcPr>
            <w:tcW w:w="905" w:type="dxa"/>
            <w:tcBorders>
              <w:left w:val="nil"/>
              <w:right w:val="single" w:sz="8" w:space="0" w:color="000000"/>
            </w:tcBorders>
          </w:tcPr>
          <w:p>
            <w:pPr>
              <w:pStyle w:val="TableParagraph"/>
              <w:spacing w:line="275" w:lineRule="exact"/>
              <w:ind w:left="198" w:right="177"/>
              <w:jc w:val="center"/>
              <w:rPr>
                <w:sz w:val="24"/>
              </w:rPr>
            </w:pPr>
            <w:r>
              <w:rPr>
                <w:sz w:val="24"/>
              </w:rPr>
              <w:t>2012</w:t>
            </w:r>
          </w:p>
        </w:tc>
        <w:tc>
          <w:tcPr>
            <w:tcW w:w="857" w:type="dxa"/>
            <w:tcBorders>
              <w:left w:val="single" w:sz="8" w:space="0" w:color="000000"/>
              <w:right w:val="nil"/>
            </w:tcBorders>
          </w:tcPr>
          <w:p>
            <w:pPr>
              <w:pStyle w:val="TableParagraph"/>
              <w:spacing w:line="275" w:lineRule="exact"/>
              <w:ind w:left="60"/>
              <w:jc w:val="left"/>
              <w:rPr>
                <w:sz w:val="24"/>
              </w:rPr>
            </w:pPr>
            <w:r>
              <w:rPr>
                <w:sz w:val="24"/>
              </w:rPr>
              <w:t>2000</w:t>
            </w:r>
          </w:p>
        </w:tc>
        <w:tc>
          <w:tcPr>
            <w:tcW w:w="926" w:type="dxa"/>
            <w:tcBorders>
              <w:left w:val="nil"/>
              <w:right w:val="nil"/>
            </w:tcBorders>
          </w:tcPr>
          <w:p>
            <w:pPr>
              <w:pStyle w:val="TableParagraph"/>
              <w:spacing w:line="275" w:lineRule="exact"/>
              <w:ind w:left="227" w:right="179"/>
              <w:jc w:val="center"/>
              <w:rPr>
                <w:sz w:val="24"/>
              </w:rPr>
            </w:pPr>
            <w:r>
              <w:rPr>
                <w:sz w:val="24"/>
              </w:rPr>
              <w:t>2012</w:t>
            </w:r>
          </w:p>
        </w:tc>
      </w:tr>
      <w:tr>
        <w:trPr>
          <w:trHeight w:val="332" w:hRule="exact"/>
        </w:trPr>
        <w:tc>
          <w:tcPr>
            <w:tcW w:w="3673" w:type="dxa"/>
            <w:tcBorders>
              <w:left w:val="nil"/>
              <w:bottom w:val="nil"/>
              <w:right w:val="nil"/>
            </w:tcBorders>
          </w:tcPr>
          <w:p>
            <w:pPr>
              <w:pStyle w:val="TableParagraph"/>
              <w:spacing w:line="275" w:lineRule="exact"/>
              <w:ind w:left="69"/>
              <w:jc w:val="left"/>
              <w:rPr>
                <w:sz w:val="24"/>
              </w:rPr>
            </w:pPr>
            <w:r>
              <w:rPr>
                <w:sz w:val="24"/>
              </w:rPr>
              <w:t>Costos de producción actualizados</w:t>
            </w:r>
          </w:p>
        </w:tc>
        <w:tc>
          <w:tcPr>
            <w:tcW w:w="788" w:type="dxa"/>
            <w:tcBorders>
              <w:left w:val="nil"/>
              <w:bottom w:val="nil"/>
              <w:right w:val="nil"/>
            </w:tcBorders>
          </w:tcPr>
          <w:p>
            <w:pPr>
              <w:pStyle w:val="TableParagraph"/>
              <w:spacing w:line="275" w:lineRule="exact"/>
              <w:ind w:right="116"/>
              <w:rPr>
                <w:sz w:val="24"/>
              </w:rPr>
            </w:pPr>
            <w:r>
              <w:rPr>
                <w:sz w:val="24"/>
              </w:rPr>
              <w:t>4.17</w:t>
            </w:r>
          </w:p>
        </w:tc>
        <w:tc>
          <w:tcPr>
            <w:tcW w:w="803" w:type="dxa"/>
            <w:tcBorders>
              <w:left w:val="nil"/>
              <w:bottom w:val="nil"/>
              <w:right w:val="single" w:sz="8" w:space="0" w:color="000000"/>
            </w:tcBorders>
          </w:tcPr>
          <w:p>
            <w:pPr>
              <w:pStyle w:val="TableParagraph"/>
              <w:spacing w:line="275" w:lineRule="exact"/>
              <w:ind w:left="39" w:right="174"/>
              <w:jc w:val="center"/>
              <w:rPr>
                <w:sz w:val="24"/>
              </w:rPr>
            </w:pPr>
            <w:r>
              <w:rPr>
                <w:sz w:val="24"/>
              </w:rPr>
              <w:t>4.05</w:t>
            </w:r>
          </w:p>
        </w:tc>
        <w:tc>
          <w:tcPr>
            <w:tcW w:w="888" w:type="dxa"/>
            <w:tcBorders>
              <w:left w:val="single" w:sz="8" w:space="0" w:color="000000"/>
              <w:bottom w:val="nil"/>
              <w:right w:val="nil"/>
            </w:tcBorders>
          </w:tcPr>
          <w:p>
            <w:pPr>
              <w:pStyle w:val="TableParagraph"/>
              <w:spacing w:line="275" w:lineRule="exact"/>
              <w:ind w:right="216"/>
              <w:rPr>
                <w:sz w:val="24"/>
              </w:rPr>
            </w:pPr>
            <w:r>
              <w:rPr>
                <w:sz w:val="24"/>
              </w:rPr>
              <w:t>4.34</w:t>
            </w:r>
          </w:p>
        </w:tc>
        <w:tc>
          <w:tcPr>
            <w:tcW w:w="905" w:type="dxa"/>
            <w:tcBorders>
              <w:left w:val="nil"/>
              <w:bottom w:val="nil"/>
              <w:right w:val="single" w:sz="8" w:space="0" w:color="000000"/>
            </w:tcBorders>
          </w:tcPr>
          <w:p>
            <w:pPr>
              <w:pStyle w:val="TableParagraph"/>
              <w:spacing w:line="275" w:lineRule="exact"/>
              <w:ind w:left="141" w:right="177"/>
              <w:jc w:val="center"/>
              <w:rPr>
                <w:sz w:val="24"/>
              </w:rPr>
            </w:pPr>
            <w:r>
              <w:rPr>
                <w:sz w:val="24"/>
              </w:rPr>
              <w:t>3.73</w:t>
            </w:r>
          </w:p>
        </w:tc>
        <w:tc>
          <w:tcPr>
            <w:tcW w:w="857" w:type="dxa"/>
            <w:tcBorders>
              <w:left w:val="single" w:sz="8" w:space="0" w:color="000000"/>
              <w:bottom w:val="nil"/>
              <w:right w:val="nil"/>
            </w:tcBorders>
          </w:tcPr>
          <w:p>
            <w:pPr>
              <w:pStyle w:val="TableParagraph"/>
              <w:spacing w:line="275" w:lineRule="exact"/>
              <w:ind w:right="245"/>
              <w:rPr>
                <w:sz w:val="24"/>
              </w:rPr>
            </w:pPr>
            <w:r>
              <w:rPr>
                <w:sz w:val="24"/>
              </w:rPr>
              <w:t>4.30</w:t>
            </w:r>
          </w:p>
        </w:tc>
        <w:tc>
          <w:tcPr>
            <w:tcW w:w="926" w:type="dxa"/>
            <w:tcBorders>
              <w:left w:val="nil"/>
              <w:bottom w:val="nil"/>
              <w:right w:val="nil"/>
            </w:tcBorders>
          </w:tcPr>
          <w:p>
            <w:pPr>
              <w:pStyle w:val="TableParagraph"/>
              <w:spacing w:line="275" w:lineRule="exact"/>
              <w:ind w:left="168" w:right="179"/>
              <w:jc w:val="center"/>
              <w:rPr>
                <w:sz w:val="24"/>
              </w:rPr>
            </w:pPr>
            <w:r>
              <w:rPr>
                <w:sz w:val="24"/>
              </w:rPr>
              <w:t>3.29</w:t>
            </w:r>
          </w:p>
        </w:tc>
      </w:tr>
      <w:tr>
        <w:trPr>
          <w:trHeight w:val="319" w:hRule="exact"/>
        </w:trPr>
        <w:tc>
          <w:tcPr>
            <w:tcW w:w="3673" w:type="dxa"/>
            <w:tcBorders>
              <w:top w:val="nil"/>
              <w:left w:val="nil"/>
              <w:bottom w:val="nil"/>
              <w:right w:val="nil"/>
            </w:tcBorders>
          </w:tcPr>
          <w:p>
            <w:pPr>
              <w:pStyle w:val="TableParagraph"/>
              <w:spacing w:before="10"/>
              <w:ind w:left="69"/>
              <w:jc w:val="left"/>
              <w:rPr>
                <w:sz w:val="24"/>
              </w:rPr>
            </w:pPr>
            <w:r>
              <w:rPr>
                <w:sz w:val="24"/>
              </w:rPr>
              <w:t>Precio por litro de leche actualizado</w:t>
            </w:r>
          </w:p>
        </w:tc>
        <w:tc>
          <w:tcPr>
            <w:tcW w:w="788" w:type="dxa"/>
            <w:tcBorders>
              <w:top w:val="nil"/>
              <w:left w:val="nil"/>
              <w:bottom w:val="nil"/>
              <w:right w:val="nil"/>
            </w:tcBorders>
          </w:tcPr>
          <w:p>
            <w:pPr>
              <w:pStyle w:val="TableParagraph"/>
              <w:spacing w:before="10"/>
              <w:ind w:right="116"/>
              <w:rPr>
                <w:sz w:val="24"/>
              </w:rPr>
            </w:pPr>
            <w:r>
              <w:rPr>
                <w:sz w:val="24"/>
              </w:rPr>
              <w:t>5.92</w:t>
            </w:r>
          </w:p>
        </w:tc>
        <w:tc>
          <w:tcPr>
            <w:tcW w:w="803" w:type="dxa"/>
            <w:tcBorders>
              <w:top w:val="nil"/>
              <w:left w:val="nil"/>
              <w:bottom w:val="nil"/>
              <w:right w:val="single" w:sz="8" w:space="0" w:color="000000"/>
            </w:tcBorders>
          </w:tcPr>
          <w:p>
            <w:pPr>
              <w:pStyle w:val="TableParagraph"/>
              <w:spacing w:before="10"/>
              <w:ind w:left="39" w:right="174"/>
              <w:jc w:val="center"/>
              <w:rPr>
                <w:sz w:val="24"/>
              </w:rPr>
            </w:pPr>
            <w:r>
              <w:rPr>
                <w:sz w:val="24"/>
              </w:rPr>
              <w:t>5.45</w:t>
            </w:r>
          </w:p>
        </w:tc>
        <w:tc>
          <w:tcPr>
            <w:tcW w:w="888" w:type="dxa"/>
            <w:tcBorders>
              <w:top w:val="nil"/>
              <w:left w:val="single" w:sz="8" w:space="0" w:color="000000"/>
              <w:bottom w:val="nil"/>
              <w:right w:val="nil"/>
            </w:tcBorders>
          </w:tcPr>
          <w:p>
            <w:pPr>
              <w:pStyle w:val="TableParagraph"/>
              <w:spacing w:before="10"/>
              <w:ind w:right="216"/>
              <w:rPr>
                <w:sz w:val="24"/>
              </w:rPr>
            </w:pPr>
            <w:r>
              <w:rPr>
                <w:sz w:val="24"/>
              </w:rPr>
              <w:t>5.30</w:t>
            </w:r>
          </w:p>
        </w:tc>
        <w:tc>
          <w:tcPr>
            <w:tcW w:w="905" w:type="dxa"/>
            <w:tcBorders>
              <w:top w:val="nil"/>
              <w:left w:val="nil"/>
              <w:bottom w:val="nil"/>
              <w:right w:val="single" w:sz="8" w:space="0" w:color="000000"/>
            </w:tcBorders>
          </w:tcPr>
          <w:p>
            <w:pPr>
              <w:pStyle w:val="TableParagraph"/>
              <w:spacing w:before="10"/>
              <w:ind w:left="141" w:right="177"/>
              <w:jc w:val="center"/>
              <w:rPr>
                <w:sz w:val="24"/>
              </w:rPr>
            </w:pPr>
            <w:r>
              <w:rPr>
                <w:sz w:val="24"/>
              </w:rPr>
              <w:t>5.68</w:t>
            </w:r>
          </w:p>
        </w:tc>
        <w:tc>
          <w:tcPr>
            <w:tcW w:w="857" w:type="dxa"/>
            <w:tcBorders>
              <w:top w:val="nil"/>
              <w:left w:val="single" w:sz="8" w:space="0" w:color="000000"/>
              <w:bottom w:val="nil"/>
              <w:right w:val="nil"/>
            </w:tcBorders>
          </w:tcPr>
          <w:p>
            <w:pPr>
              <w:pStyle w:val="TableParagraph"/>
              <w:spacing w:before="10"/>
              <w:ind w:right="245"/>
              <w:rPr>
                <w:sz w:val="24"/>
              </w:rPr>
            </w:pPr>
            <w:r>
              <w:rPr>
                <w:sz w:val="24"/>
              </w:rPr>
              <w:t>5.55</w:t>
            </w:r>
          </w:p>
        </w:tc>
        <w:tc>
          <w:tcPr>
            <w:tcW w:w="926" w:type="dxa"/>
            <w:tcBorders>
              <w:top w:val="nil"/>
              <w:left w:val="nil"/>
              <w:bottom w:val="nil"/>
              <w:right w:val="nil"/>
            </w:tcBorders>
          </w:tcPr>
          <w:p>
            <w:pPr>
              <w:pStyle w:val="TableParagraph"/>
              <w:spacing w:before="10"/>
              <w:ind w:left="168" w:right="179"/>
              <w:jc w:val="center"/>
              <w:rPr>
                <w:sz w:val="24"/>
              </w:rPr>
            </w:pPr>
            <w:r>
              <w:rPr>
                <w:sz w:val="24"/>
              </w:rPr>
              <w:t>5.07</w:t>
            </w:r>
          </w:p>
        </w:tc>
      </w:tr>
      <w:tr>
        <w:trPr>
          <w:trHeight w:val="317" w:hRule="exact"/>
        </w:trPr>
        <w:tc>
          <w:tcPr>
            <w:tcW w:w="3673" w:type="dxa"/>
            <w:tcBorders>
              <w:top w:val="nil"/>
              <w:left w:val="nil"/>
              <w:bottom w:val="nil"/>
              <w:right w:val="nil"/>
            </w:tcBorders>
          </w:tcPr>
          <w:p>
            <w:pPr>
              <w:pStyle w:val="TableParagraph"/>
              <w:spacing w:before="7"/>
              <w:ind w:left="69"/>
              <w:jc w:val="left"/>
              <w:rPr>
                <w:sz w:val="24"/>
              </w:rPr>
            </w:pPr>
            <w:r>
              <w:rPr>
                <w:sz w:val="24"/>
              </w:rPr>
              <w:t>Utilidad por litro de leche</w:t>
            </w:r>
          </w:p>
        </w:tc>
        <w:tc>
          <w:tcPr>
            <w:tcW w:w="788" w:type="dxa"/>
            <w:tcBorders>
              <w:top w:val="nil"/>
              <w:left w:val="nil"/>
              <w:bottom w:val="nil"/>
              <w:right w:val="nil"/>
            </w:tcBorders>
          </w:tcPr>
          <w:p>
            <w:pPr/>
          </w:p>
        </w:tc>
        <w:tc>
          <w:tcPr>
            <w:tcW w:w="803" w:type="dxa"/>
            <w:tcBorders>
              <w:top w:val="nil"/>
              <w:left w:val="nil"/>
              <w:bottom w:val="nil"/>
              <w:right w:val="single" w:sz="8" w:space="0" w:color="000000"/>
            </w:tcBorders>
          </w:tcPr>
          <w:p>
            <w:pPr/>
          </w:p>
        </w:tc>
        <w:tc>
          <w:tcPr>
            <w:tcW w:w="888" w:type="dxa"/>
            <w:tcBorders>
              <w:top w:val="nil"/>
              <w:left w:val="single" w:sz="8" w:space="0" w:color="000000"/>
              <w:bottom w:val="nil"/>
              <w:right w:val="nil"/>
            </w:tcBorders>
          </w:tcPr>
          <w:p>
            <w:pPr/>
          </w:p>
        </w:tc>
        <w:tc>
          <w:tcPr>
            <w:tcW w:w="905" w:type="dxa"/>
            <w:tcBorders>
              <w:top w:val="nil"/>
              <w:left w:val="nil"/>
              <w:bottom w:val="nil"/>
              <w:right w:val="single" w:sz="8" w:space="0" w:color="000000"/>
            </w:tcBorders>
          </w:tcPr>
          <w:p>
            <w:pPr/>
          </w:p>
        </w:tc>
        <w:tc>
          <w:tcPr>
            <w:tcW w:w="857" w:type="dxa"/>
            <w:tcBorders>
              <w:top w:val="nil"/>
              <w:left w:val="single" w:sz="8" w:space="0" w:color="000000"/>
              <w:bottom w:val="nil"/>
              <w:right w:val="nil"/>
            </w:tcBorders>
          </w:tcPr>
          <w:p>
            <w:pPr/>
          </w:p>
        </w:tc>
        <w:tc>
          <w:tcPr>
            <w:tcW w:w="926" w:type="dxa"/>
            <w:tcBorders>
              <w:top w:val="nil"/>
              <w:left w:val="nil"/>
              <w:bottom w:val="nil"/>
              <w:right w:val="nil"/>
            </w:tcBorders>
          </w:tcPr>
          <w:p>
            <w:pPr/>
          </w:p>
        </w:tc>
      </w:tr>
      <w:tr>
        <w:trPr>
          <w:trHeight w:val="352" w:hRule="exact"/>
        </w:trPr>
        <w:tc>
          <w:tcPr>
            <w:tcW w:w="3673" w:type="dxa"/>
            <w:tcBorders>
              <w:top w:val="nil"/>
              <w:left w:val="nil"/>
              <w:right w:val="nil"/>
            </w:tcBorders>
          </w:tcPr>
          <w:p>
            <w:pPr>
              <w:pStyle w:val="TableParagraph"/>
              <w:spacing w:before="7"/>
              <w:ind w:left="69"/>
              <w:jc w:val="left"/>
              <w:rPr>
                <w:sz w:val="24"/>
              </w:rPr>
            </w:pPr>
            <w:r>
              <w:rPr>
                <w:sz w:val="24"/>
              </w:rPr>
              <w:t>actualizada</w:t>
            </w:r>
          </w:p>
        </w:tc>
        <w:tc>
          <w:tcPr>
            <w:tcW w:w="788" w:type="dxa"/>
            <w:tcBorders>
              <w:top w:val="nil"/>
              <w:left w:val="nil"/>
              <w:right w:val="nil"/>
            </w:tcBorders>
          </w:tcPr>
          <w:p>
            <w:pPr>
              <w:pStyle w:val="TableParagraph"/>
              <w:spacing w:before="7"/>
              <w:ind w:right="116"/>
              <w:rPr>
                <w:sz w:val="24"/>
              </w:rPr>
            </w:pPr>
            <w:r>
              <w:rPr>
                <w:sz w:val="24"/>
              </w:rPr>
              <w:t>1.75</w:t>
            </w:r>
          </w:p>
        </w:tc>
        <w:tc>
          <w:tcPr>
            <w:tcW w:w="803" w:type="dxa"/>
            <w:tcBorders>
              <w:top w:val="nil"/>
              <w:left w:val="nil"/>
              <w:right w:val="single" w:sz="8" w:space="0" w:color="000000"/>
            </w:tcBorders>
          </w:tcPr>
          <w:p>
            <w:pPr>
              <w:pStyle w:val="TableParagraph"/>
              <w:spacing w:before="7"/>
              <w:ind w:left="39" w:right="174"/>
              <w:jc w:val="center"/>
              <w:rPr>
                <w:sz w:val="24"/>
              </w:rPr>
            </w:pPr>
            <w:r>
              <w:rPr>
                <w:sz w:val="24"/>
              </w:rPr>
              <w:t>1.40</w:t>
            </w:r>
          </w:p>
        </w:tc>
        <w:tc>
          <w:tcPr>
            <w:tcW w:w="888" w:type="dxa"/>
            <w:tcBorders>
              <w:top w:val="nil"/>
              <w:left w:val="single" w:sz="8" w:space="0" w:color="000000"/>
              <w:right w:val="nil"/>
            </w:tcBorders>
          </w:tcPr>
          <w:p>
            <w:pPr>
              <w:pStyle w:val="TableParagraph"/>
              <w:spacing w:before="7"/>
              <w:ind w:right="216"/>
              <w:rPr>
                <w:sz w:val="24"/>
              </w:rPr>
            </w:pPr>
            <w:r>
              <w:rPr>
                <w:sz w:val="24"/>
              </w:rPr>
              <w:t>0.96</w:t>
            </w:r>
          </w:p>
        </w:tc>
        <w:tc>
          <w:tcPr>
            <w:tcW w:w="905" w:type="dxa"/>
            <w:tcBorders>
              <w:top w:val="nil"/>
              <w:left w:val="nil"/>
              <w:right w:val="single" w:sz="8" w:space="0" w:color="000000"/>
            </w:tcBorders>
          </w:tcPr>
          <w:p>
            <w:pPr>
              <w:pStyle w:val="TableParagraph"/>
              <w:spacing w:before="7"/>
              <w:ind w:left="141" w:right="177"/>
              <w:jc w:val="center"/>
              <w:rPr>
                <w:sz w:val="24"/>
              </w:rPr>
            </w:pPr>
            <w:r>
              <w:rPr>
                <w:sz w:val="24"/>
              </w:rPr>
              <w:t>1.95</w:t>
            </w:r>
          </w:p>
        </w:tc>
        <w:tc>
          <w:tcPr>
            <w:tcW w:w="857" w:type="dxa"/>
            <w:tcBorders>
              <w:top w:val="nil"/>
              <w:left w:val="single" w:sz="8" w:space="0" w:color="000000"/>
              <w:right w:val="nil"/>
            </w:tcBorders>
          </w:tcPr>
          <w:p>
            <w:pPr>
              <w:pStyle w:val="TableParagraph"/>
              <w:spacing w:before="7"/>
              <w:ind w:right="245"/>
              <w:rPr>
                <w:sz w:val="24"/>
              </w:rPr>
            </w:pPr>
            <w:r>
              <w:rPr>
                <w:sz w:val="24"/>
              </w:rPr>
              <w:t>1.25</w:t>
            </w:r>
          </w:p>
        </w:tc>
        <w:tc>
          <w:tcPr>
            <w:tcW w:w="926" w:type="dxa"/>
            <w:tcBorders>
              <w:top w:val="nil"/>
              <w:left w:val="nil"/>
              <w:right w:val="nil"/>
            </w:tcBorders>
          </w:tcPr>
          <w:p>
            <w:pPr>
              <w:pStyle w:val="TableParagraph"/>
              <w:spacing w:before="7"/>
              <w:ind w:left="168" w:right="179"/>
              <w:jc w:val="center"/>
              <w:rPr>
                <w:sz w:val="24"/>
              </w:rPr>
            </w:pPr>
            <w:r>
              <w:rPr>
                <w:sz w:val="24"/>
              </w:rPr>
              <w:t>1.79</w:t>
            </w:r>
          </w:p>
        </w:tc>
      </w:tr>
    </w:tbl>
    <w:p>
      <w:pPr>
        <w:spacing w:line="228" w:lineRule="exact" w:before="0"/>
        <w:ind w:left="191" w:right="0" w:firstLine="0"/>
        <w:jc w:val="left"/>
        <w:rPr>
          <w:sz w:val="20"/>
        </w:rPr>
      </w:pPr>
      <w:r>
        <w:rPr>
          <w:sz w:val="20"/>
        </w:rPr>
        <w:t>Fuente: Elaboración propia con información de campo.</w:t>
      </w:r>
    </w:p>
    <w:p>
      <w:pPr>
        <w:pStyle w:val="BodyText"/>
        <w:rPr>
          <w:sz w:val="20"/>
        </w:rPr>
      </w:pPr>
    </w:p>
    <w:p>
      <w:pPr>
        <w:pStyle w:val="BodyText"/>
        <w:rPr>
          <w:sz w:val="28"/>
        </w:rPr>
      </w:pPr>
    </w:p>
    <w:p>
      <w:pPr>
        <w:pStyle w:val="Heading1"/>
        <w:spacing w:before="69"/>
        <w:ind w:left="122"/>
      </w:pPr>
      <w:r>
        <w:rPr/>
        <w:t>Discusión</w:t>
      </w:r>
    </w:p>
    <w:p>
      <w:pPr>
        <w:pStyle w:val="BodyText"/>
        <w:rPr>
          <w:b/>
        </w:rPr>
      </w:pPr>
    </w:p>
    <w:p>
      <w:pPr>
        <w:pStyle w:val="BodyText"/>
        <w:spacing w:before="6"/>
        <w:rPr>
          <w:b/>
          <w:sz w:val="23"/>
        </w:rPr>
      </w:pPr>
    </w:p>
    <w:p>
      <w:pPr>
        <w:pStyle w:val="BodyText"/>
        <w:spacing w:line="360" w:lineRule="auto"/>
        <w:ind w:left="122" w:right="156"/>
        <w:jc w:val="both"/>
      </w:pPr>
      <w:r>
        <w:rPr/>
        <w:t>En</w:t>
      </w:r>
      <w:r>
        <w:rPr>
          <w:spacing w:val="-11"/>
        </w:rPr>
        <w:t> </w:t>
      </w:r>
      <w:r>
        <w:rPr/>
        <w:t>el</w:t>
      </w:r>
      <w:r>
        <w:rPr>
          <w:spacing w:val="-11"/>
        </w:rPr>
        <w:t> </w:t>
      </w:r>
      <w:r>
        <w:rPr/>
        <w:t>periodo</w:t>
      </w:r>
      <w:r>
        <w:rPr>
          <w:spacing w:val="-11"/>
        </w:rPr>
        <w:t> </w:t>
      </w:r>
      <w:r>
        <w:rPr/>
        <w:t>analizado</w:t>
      </w:r>
      <w:r>
        <w:rPr>
          <w:spacing w:val="-11"/>
        </w:rPr>
        <w:t> </w:t>
      </w:r>
      <w:r>
        <w:rPr/>
        <w:t>se</w:t>
      </w:r>
      <w:r>
        <w:rPr>
          <w:spacing w:val="-12"/>
        </w:rPr>
        <w:t> </w:t>
      </w:r>
      <w:r>
        <w:rPr/>
        <w:t>presentó</w:t>
      </w:r>
      <w:r>
        <w:rPr>
          <w:spacing w:val="-11"/>
        </w:rPr>
        <w:t> </w:t>
      </w:r>
      <w:r>
        <w:rPr/>
        <w:t>una</w:t>
      </w:r>
      <w:r>
        <w:rPr>
          <w:spacing w:val="-12"/>
        </w:rPr>
        <w:t> </w:t>
      </w:r>
      <w:r>
        <w:rPr/>
        <w:t>mayor</w:t>
      </w:r>
      <w:r>
        <w:rPr>
          <w:spacing w:val="-12"/>
        </w:rPr>
        <w:t> </w:t>
      </w:r>
      <w:r>
        <w:rPr/>
        <w:t>eficiencia</w:t>
      </w:r>
      <w:r>
        <w:rPr>
          <w:spacing w:val="-12"/>
        </w:rPr>
        <w:t> </w:t>
      </w:r>
      <w:r>
        <w:rPr/>
        <w:t>de</w:t>
      </w:r>
      <w:r>
        <w:rPr>
          <w:spacing w:val="-12"/>
        </w:rPr>
        <w:t> </w:t>
      </w:r>
      <w:r>
        <w:rPr/>
        <w:t>los</w:t>
      </w:r>
      <w:r>
        <w:rPr>
          <w:spacing w:val="-10"/>
        </w:rPr>
        <w:t> </w:t>
      </w:r>
      <w:r>
        <w:rPr/>
        <w:t>sistemas</w:t>
      </w:r>
      <w:r>
        <w:rPr>
          <w:spacing w:val="-11"/>
        </w:rPr>
        <w:t> </w:t>
      </w:r>
      <w:r>
        <w:rPr/>
        <w:t>lecheros</w:t>
      </w:r>
      <w:r>
        <w:rPr>
          <w:spacing w:val="-12"/>
        </w:rPr>
        <w:t> </w:t>
      </w:r>
      <w:r>
        <w:rPr/>
        <w:t>de</w:t>
      </w:r>
      <w:r>
        <w:rPr>
          <w:spacing w:val="-12"/>
        </w:rPr>
        <w:t> </w:t>
      </w:r>
      <w:r>
        <w:rPr/>
        <w:t>pequeña escala</w:t>
      </w:r>
      <w:r>
        <w:rPr>
          <w:spacing w:val="-9"/>
        </w:rPr>
        <w:t> </w:t>
      </w:r>
      <w:r>
        <w:rPr/>
        <w:t>al</w:t>
      </w:r>
      <w:r>
        <w:rPr>
          <w:spacing w:val="-11"/>
        </w:rPr>
        <w:t> </w:t>
      </w:r>
      <w:r>
        <w:rPr/>
        <w:t>incrementar</w:t>
      </w:r>
      <w:r>
        <w:rPr>
          <w:spacing w:val="-12"/>
        </w:rPr>
        <w:t> </w:t>
      </w:r>
      <w:r>
        <w:rPr/>
        <w:t>la</w:t>
      </w:r>
      <w:r>
        <w:rPr>
          <w:spacing w:val="-12"/>
        </w:rPr>
        <w:t> </w:t>
      </w:r>
      <w:r>
        <w:rPr/>
        <w:t>productividad</w:t>
      </w:r>
      <w:r>
        <w:rPr>
          <w:spacing w:val="-11"/>
        </w:rPr>
        <w:t> </w:t>
      </w:r>
      <w:r>
        <w:rPr/>
        <w:t>manteniendo</w:t>
      </w:r>
      <w:r>
        <w:rPr>
          <w:spacing w:val="-11"/>
        </w:rPr>
        <w:t> </w:t>
      </w:r>
      <w:r>
        <w:rPr/>
        <w:t>un</w:t>
      </w:r>
      <w:r>
        <w:rPr>
          <w:spacing w:val="-11"/>
        </w:rPr>
        <w:t> </w:t>
      </w:r>
      <w:r>
        <w:rPr/>
        <w:t>promedio</w:t>
      </w:r>
      <w:r>
        <w:rPr>
          <w:spacing w:val="-11"/>
        </w:rPr>
        <w:t> </w:t>
      </w:r>
      <w:r>
        <w:rPr/>
        <w:t>de</w:t>
      </w:r>
      <w:r>
        <w:rPr>
          <w:spacing w:val="-12"/>
        </w:rPr>
        <w:t> </w:t>
      </w:r>
      <w:r>
        <w:rPr/>
        <w:t>hato</w:t>
      </w:r>
      <w:r>
        <w:rPr>
          <w:spacing w:val="-11"/>
        </w:rPr>
        <w:t> </w:t>
      </w:r>
      <w:r>
        <w:rPr/>
        <w:t>prácticamente</w:t>
      </w:r>
      <w:r>
        <w:rPr>
          <w:spacing w:val="-10"/>
        </w:rPr>
        <w:t> </w:t>
      </w:r>
      <w:r>
        <w:rPr/>
        <w:t>igual entre los periodos 2000 y 2012. Sin embargo, la literatura científica presenta poca evidencia de este hecho, sobre todo para el tipo de sistema analizado. Se observa que los incrementos en productividad por estrato siguieron una tendencia por tamaño de hato resultados que coinciden</w:t>
      </w:r>
      <w:r>
        <w:rPr>
          <w:spacing w:val="-13"/>
        </w:rPr>
        <w:t> </w:t>
      </w:r>
      <w:r>
        <w:rPr/>
        <w:t>con</w:t>
      </w:r>
      <w:r>
        <w:rPr>
          <w:spacing w:val="-16"/>
        </w:rPr>
        <w:t> </w:t>
      </w:r>
      <w:r>
        <w:rPr/>
        <w:t>lo</w:t>
      </w:r>
      <w:r>
        <w:rPr>
          <w:spacing w:val="-13"/>
        </w:rPr>
        <w:t> </w:t>
      </w:r>
      <w:r>
        <w:rPr/>
        <w:t>reportado</w:t>
      </w:r>
      <w:r>
        <w:rPr>
          <w:spacing w:val="-16"/>
        </w:rPr>
        <w:t> </w:t>
      </w:r>
      <w:r>
        <w:rPr/>
        <w:t>por</w:t>
      </w:r>
      <w:r>
        <w:rPr>
          <w:spacing w:val="-17"/>
        </w:rPr>
        <w:t> </w:t>
      </w:r>
      <w:r>
        <w:rPr/>
        <w:t>Carranza</w:t>
      </w:r>
      <w:r>
        <w:rPr>
          <w:spacing w:val="-10"/>
        </w:rPr>
        <w:t> </w:t>
      </w:r>
      <w:r>
        <w:rPr/>
        <w:t>y</w:t>
      </w:r>
      <w:r>
        <w:rPr>
          <w:spacing w:val="-21"/>
        </w:rPr>
        <w:t> </w:t>
      </w:r>
      <w:r>
        <w:rPr/>
        <w:t>Valdivia</w:t>
      </w:r>
      <w:r>
        <w:rPr>
          <w:spacing w:val="-14"/>
        </w:rPr>
        <w:t> </w:t>
      </w:r>
      <w:r>
        <w:rPr/>
        <w:t>(2004)</w:t>
      </w:r>
      <w:r>
        <w:rPr>
          <w:spacing w:val="-10"/>
        </w:rPr>
        <w:t> </w:t>
      </w:r>
      <w:r>
        <w:rPr/>
        <w:t>y</w:t>
      </w:r>
      <w:r>
        <w:rPr>
          <w:spacing w:val="-21"/>
        </w:rPr>
        <w:t> </w:t>
      </w:r>
      <w:r>
        <w:rPr/>
        <w:t>Carranza-Trinidad</w:t>
      </w:r>
      <w:r>
        <w:rPr>
          <w:spacing w:val="-15"/>
        </w:rPr>
        <w:t> </w:t>
      </w:r>
      <w:r>
        <w:rPr>
          <w:i/>
        </w:rPr>
        <w:t>et</w:t>
      </w:r>
      <w:r>
        <w:rPr>
          <w:i/>
          <w:spacing w:val="-13"/>
        </w:rPr>
        <w:t> </w:t>
      </w:r>
      <w:r>
        <w:rPr>
          <w:i/>
        </w:rPr>
        <w:t>al.,</w:t>
      </w:r>
      <w:r>
        <w:rPr>
          <w:i/>
          <w:spacing w:val="-15"/>
        </w:rPr>
        <w:t> </w:t>
      </w:r>
      <w:r>
        <w:rPr/>
        <w:t>(2007), quienes mencionan que la productividad de los sistemas lecheros de pequeña y mediana escala en el centro-norte de México está fuertemente correlacionada con el tamaño de</w:t>
      </w:r>
      <w:r>
        <w:rPr>
          <w:spacing w:val="-16"/>
        </w:rPr>
        <w:t> </w:t>
      </w:r>
      <w:r>
        <w:rPr/>
        <w:t>hato.</w:t>
      </w:r>
    </w:p>
    <w:p>
      <w:pPr>
        <w:pStyle w:val="BodyText"/>
      </w:pPr>
    </w:p>
    <w:p>
      <w:pPr>
        <w:pStyle w:val="BodyText"/>
        <w:spacing w:line="360" w:lineRule="auto" w:before="143"/>
        <w:ind w:left="122" w:right="161"/>
        <w:jc w:val="both"/>
      </w:pPr>
      <w:r>
        <w:rPr/>
        <w:t>El rubro mano de obra, representa para la lechería de pequeña escala, una de sus grandes fortalezas y principales estrategias para aprovechar el capital humano con el que se dispone</w:t>
      </w:r>
    </w:p>
    <w:p>
      <w:pPr>
        <w:spacing w:after="0" w:line="360" w:lineRule="auto"/>
        <w:jc w:val="both"/>
        <w:sectPr>
          <w:pgSz w:w="12240" w:h="15840"/>
          <w:pgMar w:header="0" w:footer="657" w:top="1360" w:bottom="840" w:left="1580" w:right="1540"/>
        </w:sectPr>
      </w:pPr>
    </w:p>
    <w:p>
      <w:pPr>
        <w:pStyle w:val="BodyText"/>
        <w:spacing w:line="360" w:lineRule="auto" w:before="50"/>
        <w:ind w:left="102" w:right="117"/>
        <w:jc w:val="both"/>
      </w:pPr>
      <w:r>
        <w:rPr/>
        <w:t>en el núcleo familiar. Los resultados en el grupo de productores del estrato I, confirman que la mano de obra familiar presentó un comportamiento creciente por más de una década lo que significó no solo la oferta de trabajo asalariado en la región, sino además la ocupación de personas económicamente fuera del mercado laboral, similares resultados reportan Arriaga </w:t>
      </w:r>
      <w:r>
        <w:rPr>
          <w:i/>
        </w:rPr>
        <w:t>et al., </w:t>
      </w:r>
      <w:r>
        <w:rPr/>
        <w:t>1999, los cuales mencionan que la demanda de trabajo creada por la producción de leche y el carácter de los hatos pequeños generan un número importante de plazas de tiempo completo, parcial y eventual que permite a un buen número de familias campesinas y algunos trabajadores asalariados encontrar ocupación y una forma de vida en sus comunidades de origen. Por su parte Cesín </w:t>
      </w:r>
      <w:r>
        <w:rPr>
          <w:i/>
        </w:rPr>
        <w:t>et al., </w:t>
      </w:r>
      <w:r>
        <w:rPr/>
        <w:t>2007 menciona que la pequeña ganadería</w:t>
      </w:r>
      <w:r>
        <w:rPr>
          <w:spacing w:val="-6"/>
        </w:rPr>
        <w:t> </w:t>
      </w:r>
      <w:r>
        <w:rPr/>
        <w:t>lechera</w:t>
      </w:r>
      <w:r>
        <w:rPr>
          <w:spacing w:val="-7"/>
        </w:rPr>
        <w:t> </w:t>
      </w:r>
      <w:r>
        <w:rPr/>
        <w:t>es</w:t>
      </w:r>
      <w:r>
        <w:rPr>
          <w:spacing w:val="-5"/>
        </w:rPr>
        <w:t> </w:t>
      </w:r>
      <w:r>
        <w:rPr/>
        <w:t>una</w:t>
      </w:r>
      <w:r>
        <w:rPr>
          <w:spacing w:val="-3"/>
        </w:rPr>
        <w:t> </w:t>
      </w:r>
      <w:r>
        <w:rPr/>
        <w:t>fuente</w:t>
      </w:r>
      <w:r>
        <w:rPr>
          <w:spacing w:val="-5"/>
        </w:rPr>
        <w:t> </w:t>
      </w:r>
      <w:r>
        <w:rPr/>
        <w:t>de</w:t>
      </w:r>
      <w:r>
        <w:rPr>
          <w:spacing w:val="-6"/>
        </w:rPr>
        <w:t> </w:t>
      </w:r>
      <w:r>
        <w:rPr/>
        <w:t>empleo</w:t>
      </w:r>
      <w:r>
        <w:rPr>
          <w:spacing w:val="-5"/>
        </w:rPr>
        <w:t> </w:t>
      </w:r>
      <w:r>
        <w:rPr/>
        <w:t>para</w:t>
      </w:r>
      <w:r>
        <w:rPr>
          <w:spacing w:val="-7"/>
        </w:rPr>
        <w:t> </w:t>
      </w:r>
      <w:r>
        <w:rPr/>
        <w:t>distintos</w:t>
      </w:r>
      <w:r>
        <w:rPr>
          <w:spacing w:val="-5"/>
        </w:rPr>
        <w:t> </w:t>
      </w:r>
      <w:r>
        <w:rPr/>
        <w:t>miembros</w:t>
      </w:r>
      <w:r>
        <w:rPr>
          <w:spacing w:val="-5"/>
        </w:rPr>
        <w:t> </w:t>
      </w:r>
      <w:r>
        <w:rPr/>
        <w:t>de</w:t>
      </w:r>
      <w:r>
        <w:rPr>
          <w:spacing w:val="-6"/>
        </w:rPr>
        <w:t> </w:t>
      </w:r>
      <w:r>
        <w:rPr/>
        <w:t>la</w:t>
      </w:r>
      <w:r>
        <w:rPr>
          <w:spacing w:val="-5"/>
        </w:rPr>
        <w:t> </w:t>
      </w:r>
      <w:r>
        <w:rPr/>
        <w:t>familia,</w:t>
      </w:r>
      <w:r>
        <w:rPr>
          <w:spacing w:val="-5"/>
        </w:rPr>
        <w:t> </w:t>
      </w:r>
      <w:r>
        <w:rPr/>
        <w:t>incluyendo a aquéllos que difícilmente encontrarían un trabajo remunerado </w:t>
      </w:r>
      <w:r>
        <w:rPr>
          <w:spacing w:val="-3"/>
        </w:rPr>
        <w:t>ya </w:t>
      </w:r>
      <w:r>
        <w:rPr/>
        <w:t>sea por la edad o por no disponer del tiempo</w:t>
      </w:r>
      <w:r>
        <w:rPr>
          <w:spacing w:val="-5"/>
        </w:rPr>
        <w:t> </w:t>
      </w:r>
      <w:r>
        <w:rPr/>
        <w:t>necesario.</w:t>
      </w:r>
    </w:p>
    <w:p>
      <w:pPr>
        <w:pStyle w:val="BodyText"/>
      </w:pPr>
    </w:p>
    <w:p>
      <w:pPr>
        <w:pStyle w:val="BodyText"/>
        <w:spacing w:line="360" w:lineRule="auto" w:before="143"/>
        <w:ind w:left="102" w:right="115"/>
        <w:jc w:val="both"/>
      </w:pPr>
      <w:r>
        <w:rPr/>
        <w:t>Esta</w:t>
      </w:r>
      <w:r>
        <w:rPr>
          <w:spacing w:val="-7"/>
        </w:rPr>
        <w:t> </w:t>
      </w:r>
      <w:r>
        <w:rPr/>
        <w:t>última</w:t>
      </w:r>
      <w:r>
        <w:rPr>
          <w:spacing w:val="-7"/>
        </w:rPr>
        <w:t> </w:t>
      </w:r>
      <w:r>
        <w:rPr/>
        <w:t>observación</w:t>
      </w:r>
      <w:r>
        <w:rPr>
          <w:spacing w:val="-3"/>
        </w:rPr>
        <w:t> </w:t>
      </w:r>
      <w:r>
        <w:rPr/>
        <w:t>encuentra</w:t>
      </w:r>
      <w:r>
        <w:rPr>
          <w:spacing w:val="-7"/>
        </w:rPr>
        <w:t> </w:t>
      </w:r>
      <w:r>
        <w:rPr/>
        <w:t>similitud</w:t>
      </w:r>
      <w:r>
        <w:rPr>
          <w:spacing w:val="-6"/>
        </w:rPr>
        <w:t> </w:t>
      </w:r>
      <w:r>
        <w:rPr/>
        <w:t>con</w:t>
      </w:r>
      <w:r>
        <w:rPr>
          <w:spacing w:val="-6"/>
        </w:rPr>
        <w:t> </w:t>
      </w:r>
      <w:r>
        <w:rPr/>
        <w:t>lo</w:t>
      </w:r>
      <w:r>
        <w:rPr>
          <w:spacing w:val="-6"/>
        </w:rPr>
        <w:t> </w:t>
      </w:r>
      <w:r>
        <w:rPr/>
        <w:t>reportado</w:t>
      </w:r>
      <w:r>
        <w:rPr>
          <w:spacing w:val="-6"/>
        </w:rPr>
        <w:t> </w:t>
      </w:r>
      <w:r>
        <w:rPr/>
        <w:t>por</w:t>
      </w:r>
      <w:r>
        <w:rPr>
          <w:spacing w:val="-7"/>
        </w:rPr>
        <w:t> </w:t>
      </w:r>
      <w:r>
        <w:rPr/>
        <w:t>Perea-Peña</w:t>
      </w:r>
      <w:r>
        <w:rPr>
          <w:spacing w:val="-6"/>
        </w:rPr>
        <w:t> </w:t>
      </w:r>
      <w:r>
        <w:rPr>
          <w:i/>
        </w:rPr>
        <w:t>et</w:t>
      </w:r>
      <w:r>
        <w:rPr>
          <w:i/>
          <w:spacing w:val="-6"/>
        </w:rPr>
        <w:t> </w:t>
      </w:r>
      <w:r>
        <w:rPr>
          <w:i/>
        </w:rPr>
        <w:t>al.,</w:t>
      </w:r>
      <w:r>
        <w:rPr>
          <w:i/>
          <w:spacing w:val="-6"/>
        </w:rPr>
        <w:t> </w:t>
      </w:r>
      <w:r>
        <w:rPr/>
        <w:t>2011,</w:t>
      </w:r>
      <w:r>
        <w:rPr>
          <w:spacing w:val="-6"/>
        </w:rPr>
        <w:t> </w:t>
      </w:r>
      <w:r>
        <w:rPr/>
        <w:t>los cuales resaltan la importancia de la mano de obra familiar pero desde el punto de vista económico, </w:t>
      </w:r>
      <w:r>
        <w:rPr>
          <w:spacing w:val="-3"/>
        </w:rPr>
        <w:t>ya </w:t>
      </w:r>
      <w:r>
        <w:rPr/>
        <w:t>que el aprovechamiento de esta ventaja comparativa mediante el capital humano</w:t>
      </w:r>
      <w:r>
        <w:rPr>
          <w:spacing w:val="-5"/>
        </w:rPr>
        <w:t> </w:t>
      </w:r>
      <w:r>
        <w:rPr/>
        <w:t>que</w:t>
      </w:r>
      <w:r>
        <w:rPr>
          <w:spacing w:val="-6"/>
        </w:rPr>
        <w:t> </w:t>
      </w:r>
      <w:r>
        <w:rPr/>
        <w:t>brindan</w:t>
      </w:r>
      <w:r>
        <w:rPr>
          <w:spacing w:val="-5"/>
        </w:rPr>
        <w:t> </w:t>
      </w:r>
      <w:r>
        <w:rPr/>
        <w:t>los</w:t>
      </w:r>
      <w:r>
        <w:rPr>
          <w:spacing w:val="-4"/>
        </w:rPr>
        <w:t> </w:t>
      </w:r>
      <w:r>
        <w:rPr/>
        <w:t>sistemas</w:t>
      </w:r>
      <w:r>
        <w:rPr>
          <w:spacing w:val="-5"/>
        </w:rPr>
        <w:t> </w:t>
      </w:r>
      <w:r>
        <w:rPr/>
        <w:t>de</w:t>
      </w:r>
      <w:r>
        <w:rPr>
          <w:spacing w:val="-6"/>
        </w:rPr>
        <w:t> </w:t>
      </w:r>
      <w:r>
        <w:rPr/>
        <w:t>pequeña</w:t>
      </w:r>
      <w:r>
        <w:rPr>
          <w:spacing w:val="-6"/>
        </w:rPr>
        <w:t> </w:t>
      </w:r>
      <w:r>
        <w:rPr/>
        <w:t>escala</w:t>
      </w:r>
      <w:r>
        <w:rPr>
          <w:spacing w:val="-6"/>
        </w:rPr>
        <w:t> </w:t>
      </w:r>
      <w:r>
        <w:rPr/>
        <w:t>es</w:t>
      </w:r>
      <w:r>
        <w:rPr>
          <w:spacing w:val="-5"/>
        </w:rPr>
        <w:t> </w:t>
      </w:r>
      <w:r>
        <w:rPr/>
        <w:t>vital</w:t>
      </w:r>
      <w:r>
        <w:rPr>
          <w:spacing w:val="-4"/>
        </w:rPr>
        <w:t> </w:t>
      </w:r>
      <w:r>
        <w:rPr/>
        <w:t>para</w:t>
      </w:r>
      <w:r>
        <w:rPr>
          <w:spacing w:val="-7"/>
        </w:rPr>
        <w:t> </w:t>
      </w:r>
      <w:r>
        <w:rPr/>
        <w:t>mantener</w:t>
      </w:r>
      <w:r>
        <w:rPr>
          <w:spacing w:val="-6"/>
        </w:rPr>
        <w:t> </w:t>
      </w:r>
      <w:r>
        <w:rPr/>
        <w:t>a</w:t>
      </w:r>
      <w:r>
        <w:rPr>
          <w:spacing w:val="-4"/>
        </w:rPr>
        <w:t> </w:t>
      </w:r>
      <w:r>
        <w:rPr/>
        <w:t>flote</w:t>
      </w:r>
      <w:r>
        <w:rPr>
          <w:spacing w:val="-5"/>
        </w:rPr>
        <w:t> </w:t>
      </w:r>
      <w:r>
        <w:rPr/>
        <w:t>al</w:t>
      </w:r>
      <w:r>
        <w:rPr>
          <w:spacing w:val="-4"/>
        </w:rPr>
        <w:t> </w:t>
      </w:r>
      <w:r>
        <w:rPr/>
        <w:t>sistema, dadas en muchas ocasiones, las bajas utilidades obtenidas. Otro caso se presenta en la pequeña lechería de Michoacán, donde se reporta que los costos de producción por litro de leche, aumentan significativamente cuando se considera el costo de oportunidad de la mano de obra familiar, creando un balance negativo en la utilidad </w:t>
      </w:r>
      <w:r>
        <w:rPr>
          <w:spacing w:val="-3"/>
        </w:rPr>
        <w:t>ya </w:t>
      </w:r>
      <w:r>
        <w:rPr/>
        <w:t>que el costo marginal de producir un litro de leche supera al ingreso marginal (Eneida </w:t>
      </w:r>
      <w:r>
        <w:rPr>
          <w:i/>
        </w:rPr>
        <w:t>et al.,</w:t>
      </w:r>
      <w:r>
        <w:rPr>
          <w:i/>
          <w:spacing w:val="-10"/>
        </w:rPr>
        <w:t> </w:t>
      </w:r>
      <w:r>
        <w:rPr/>
        <w:t>2011).</w:t>
      </w:r>
    </w:p>
    <w:p>
      <w:pPr>
        <w:pStyle w:val="BodyText"/>
      </w:pPr>
    </w:p>
    <w:p>
      <w:pPr>
        <w:pStyle w:val="BodyText"/>
        <w:spacing w:line="360" w:lineRule="auto" w:before="143"/>
        <w:ind w:left="102" w:right="118"/>
        <w:jc w:val="both"/>
      </w:pPr>
      <w:r>
        <w:rPr/>
        <w:t>Los</w:t>
      </w:r>
      <w:r>
        <w:rPr>
          <w:spacing w:val="-12"/>
        </w:rPr>
        <w:t> </w:t>
      </w:r>
      <w:r>
        <w:rPr/>
        <w:t>resultados</w:t>
      </w:r>
      <w:r>
        <w:rPr>
          <w:spacing w:val="-11"/>
        </w:rPr>
        <w:t> </w:t>
      </w:r>
      <w:r>
        <w:rPr/>
        <w:t>de</w:t>
      </w:r>
      <w:r>
        <w:rPr>
          <w:spacing w:val="-13"/>
        </w:rPr>
        <w:t> </w:t>
      </w:r>
      <w:r>
        <w:rPr/>
        <w:t>esta</w:t>
      </w:r>
      <w:r>
        <w:rPr>
          <w:spacing w:val="-12"/>
        </w:rPr>
        <w:t> </w:t>
      </w:r>
      <w:r>
        <w:rPr/>
        <w:t>investigación</w:t>
      </w:r>
      <w:r>
        <w:rPr>
          <w:spacing w:val="-12"/>
        </w:rPr>
        <w:t> </w:t>
      </w:r>
      <w:r>
        <w:rPr/>
        <w:t>encuentran</w:t>
      </w:r>
      <w:r>
        <w:rPr>
          <w:spacing w:val="-12"/>
        </w:rPr>
        <w:t> </w:t>
      </w:r>
      <w:r>
        <w:rPr/>
        <w:t>semejanza</w:t>
      </w:r>
      <w:r>
        <w:rPr>
          <w:spacing w:val="-13"/>
        </w:rPr>
        <w:t> </w:t>
      </w:r>
      <w:r>
        <w:rPr/>
        <w:t>con</w:t>
      </w:r>
      <w:r>
        <w:rPr>
          <w:spacing w:val="-12"/>
        </w:rPr>
        <w:t> </w:t>
      </w:r>
      <w:r>
        <w:rPr/>
        <w:t>lo</w:t>
      </w:r>
      <w:r>
        <w:rPr>
          <w:spacing w:val="-12"/>
        </w:rPr>
        <w:t> </w:t>
      </w:r>
      <w:r>
        <w:rPr/>
        <w:t>reportado</w:t>
      </w:r>
      <w:r>
        <w:rPr>
          <w:spacing w:val="-10"/>
        </w:rPr>
        <w:t> </w:t>
      </w:r>
      <w:r>
        <w:rPr/>
        <w:t>por</w:t>
      </w:r>
      <w:r>
        <w:rPr>
          <w:spacing w:val="-13"/>
        </w:rPr>
        <w:t> </w:t>
      </w:r>
      <w:r>
        <w:rPr/>
        <w:t>Eneida</w:t>
      </w:r>
      <w:r>
        <w:rPr>
          <w:spacing w:val="-10"/>
        </w:rPr>
        <w:t> </w:t>
      </w:r>
      <w:r>
        <w:rPr>
          <w:i/>
        </w:rPr>
        <w:t>et</w:t>
      </w:r>
      <w:r>
        <w:rPr>
          <w:i/>
          <w:spacing w:val="-12"/>
        </w:rPr>
        <w:t> </w:t>
      </w:r>
      <w:r>
        <w:rPr>
          <w:i/>
        </w:rPr>
        <w:t>al., </w:t>
      </w:r>
      <w:r>
        <w:rPr/>
        <w:t>2011,</w:t>
      </w:r>
      <w:r>
        <w:rPr>
          <w:spacing w:val="-12"/>
        </w:rPr>
        <w:t> </w:t>
      </w:r>
      <w:r>
        <w:rPr/>
        <w:t>debido</w:t>
      </w:r>
      <w:r>
        <w:rPr>
          <w:spacing w:val="-12"/>
        </w:rPr>
        <w:t> </w:t>
      </w:r>
      <w:r>
        <w:rPr/>
        <w:t>a</w:t>
      </w:r>
      <w:r>
        <w:rPr>
          <w:spacing w:val="-13"/>
        </w:rPr>
        <w:t> </w:t>
      </w:r>
      <w:r>
        <w:rPr/>
        <w:t>que</w:t>
      </w:r>
      <w:r>
        <w:rPr>
          <w:spacing w:val="-13"/>
        </w:rPr>
        <w:t> </w:t>
      </w:r>
      <w:r>
        <w:rPr/>
        <w:t>las</w:t>
      </w:r>
      <w:r>
        <w:rPr>
          <w:spacing w:val="-12"/>
        </w:rPr>
        <w:t> </w:t>
      </w:r>
      <w:r>
        <w:rPr/>
        <w:t>estructuras</w:t>
      </w:r>
      <w:r>
        <w:rPr>
          <w:spacing w:val="-12"/>
        </w:rPr>
        <w:t> </w:t>
      </w:r>
      <w:r>
        <w:rPr/>
        <w:t>económicas</w:t>
      </w:r>
      <w:r>
        <w:rPr>
          <w:spacing w:val="-12"/>
        </w:rPr>
        <w:t> </w:t>
      </w:r>
      <w:r>
        <w:rPr/>
        <w:t>en</w:t>
      </w:r>
      <w:r>
        <w:rPr>
          <w:spacing w:val="-12"/>
        </w:rPr>
        <w:t> </w:t>
      </w:r>
      <w:r>
        <w:rPr/>
        <w:t>costos</w:t>
      </w:r>
      <w:r>
        <w:rPr>
          <w:spacing w:val="-11"/>
        </w:rPr>
        <w:t> </w:t>
      </w:r>
      <w:r>
        <w:rPr/>
        <w:t>e</w:t>
      </w:r>
      <w:r>
        <w:rPr>
          <w:spacing w:val="-13"/>
        </w:rPr>
        <w:t> </w:t>
      </w:r>
      <w:r>
        <w:rPr/>
        <w:t>ingresos</w:t>
      </w:r>
      <w:r>
        <w:rPr>
          <w:spacing w:val="-12"/>
        </w:rPr>
        <w:t> </w:t>
      </w:r>
      <w:r>
        <w:rPr/>
        <w:t>muestran</w:t>
      </w:r>
      <w:r>
        <w:rPr>
          <w:spacing w:val="-10"/>
        </w:rPr>
        <w:t> </w:t>
      </w:r>
      <w:r>
        <w:rPr/>
        <w:t>un</w:t>
      </w:r>
      <w:r>
        <w:rPr>
          <w:spacing w:val="-12"/>
        </w:rPr>
        <w:t> </w:t>
      </w:r>
      <w:r>
        <w:rPr/>
        <w:t>desequilibrio cuando</w:t>
      </w:r>
      <w:r>
        <w:rPr>
          <w:spacing w:val="-16"/>
        </w:rPr>
        <w:t> </w:t>
      </w:r>
      <w:r>
        <w:rPr/>
        <w:t>se</w:t>
      </w:r>
      <w:r>
        <w:rPr>
          <w:spacing w:val="-17"/>
        </w:rPr>
        <w:t> </w:t>
      </w:r>
      <w:r>
        <w:rPr/>
        <w:t>le</w:t>
      </w:r>
      <w:r>
        <w:rPr>
          <w:spacing w:val="-17"/>
        </w:rPr>
        <w:t> </w:t>
      </w:r>
      <w:r>
        <w:rPr/>
        <w:t>asignó</w:t>
      </w:r>
      <w:r>
        <w:rPr>
          <w:spacing w:val="-16"/>
        </w:rPr>
        <w:t> </w:t>
      </w:r>
      <w:r>
        <w:rPr/>
        <w:t>un</w:t>
      </w:r>
      <w:r>
        <w:rPr>
          <w:spacing w:val="-16"/>
        </w:rPr>
        <w:t> </w:t>
      </w:r>
      <w:r>
        <w:rPr/>
        <w:t>costo</w:t>
      </w:r>
      <w:r>
        <w:rPr>
          <w:spacing w:val="-15"/>
        </w:rPr>
        <w:t> </w:t>
      </w:r>
      <w:r>
        <w:rPr/>
        <w:t>económico</w:t>
      </w:r>
      <w:r>
        <w:rPr>
          <w:spacing w:val="-16"/>
        </w:rPr>
        <w:t> </w:t>
      </w:r>
      <w:r>
        <w:rPr/>
        <w:t>a</w:t>
      </w:r>
      <w:r>
        <w:rPr>
          <w:spacing w:val="-17"/>
        </w:rPr>
        <w:t> </w:t>
      </w:r>
      <w:r>
        <w:rPr/>
        <w:t>la</w:t>
      </w:r>
      <w:r>
        <w:rPr>
          <w:spacing w:val="-14"/>
        </w:rPr>
        <w:t> </w:t>
      </w:r>
      <w:r>
        <w:rPr/>
        <w:t>mano</w:t>
      </w:r>
      <w:r>
        <w:rPr>
          <w:spacing w:val="-14"/>
        </w:rPr>
        <w:t> </w:t>
      </w:r>
      <w:r>
        <w:rPr/>
        <w:t>de</w:t>
      </w:r>
      <w:r>
        <w:rPr>
          <w:spacing w:val="-17"/>
        </w:rPr>
        <w:t> </w:t>
      </w:r>
      <w:r>
        <w:rPr/>
        <w:t>obra</w:t>
      </w:r>
      <w:r>
        <w:rPr>
          <w:spacing w:val="-15"/>
        </w:rPr>
        <w:t> </w:t>
      </w:r>
      <w:r>
        <w:rPr/>
        <w:t>familiar,</w:t>
      </w:r>
      <w:r>
        <w:rPr>
          <w:spacing w:val="-17"/>
        </w:rPr>
        <w:t> </w:t>
      </w:r>
      <w:r>
        <w:rPr/>
        <w:t>sin</w:t>
      </w:r>
      <w:r>
        <w:rPr>
          <w:spacing w:val="-15"/>
        </w:rPr>
        <w:t> </w:t>
      </w:r>
      <w:r>
        <w:rPr/>
        <w:t>embargo,</w:t>
      </w:r>
      <w:r>
        <w:rPr>
          <w:spacing w:val="-13"/>
        </w:rPr>
        <w:t> </w:t>
      </w:r>
      <w:r>
        <w:rPr/>
        <w:t>cabe</w:t>
      </w:r>
      <w:r>
        <w:rPr>
          <w:spacing w:val="-17"/>
        </w:rPr>
        <w:t> </w:t>
      </w:r>
      <w:r>
        <w:rPr/>
        <w:t>resaltar que aun considerando el costo de mano de obra familiar las tres escalas de productores analizados siguen siendo rentables al obtener beneficios extraordinarios por cada litro de leche que ponen en el mercado, es decir sus ingresos superan los costos de producción, aunque cabe resaltar que la utilidad disminuye considerablemente sobre todo para el grupo de productores del estrato </w:t>
      </w:r>
      <w:r>
        <w:rPr>
          <w:spacing w:val="-3"/>
        </w:rPr>
        <w:t>I, </w:t>
      </w:r>
      <w:r>
        <w:rPr/>
        <w:t>los cual es comprensible </w:t>
      </w:r>
      <w:r>
        <w:rPr>
          <w:spacing w:val="-3"/>
        </w:rPr>
        <w:t>ya </w:t>
      </w:r>
      <w:r>
        <w:rPr/>
        <w:t>que utilizan el 97% de la mano  </w:t>
      </w:r>
      <w:r>
        <w:rPr>
          <w:spacing w:val="23"/>
        </w:rPr>
        <w:t> </w:t>
      </w:r>
      <w:r>
        <w:rPr/>
        <w:t>de</w:t>
      </w:r>
    </w:p>
    <w:p>
      <w:pPr>
        <w:spacing w:after="0" w:line="360" w:lineRule="auto"/>
        <w:jc w:val="both"/>
        <w:sectPr>
          <w:pgSz w:w="12240" w:h="15840"/>
          <w:pgMar w:header="0" w:footer="657" w:top="1360" w:bottom="840" w:left="1600" w:right="1580"/>
        </w:sectPr>
      </w:pPr>
    </w:p>
    <w:p>
      <w:pPr>
        <w:pStyle w:val="BodyText"/>
        <w:spacing w:before="50"/>
        <w:ind w:left="102"/>
        <w:jc w:val="both"/>
      </w:pPr>
      <w:r>
        <w:rPr/>
        <w:t>obra familiar para producir un litro de leche por solo 70% del estrato II y 43% para el estrato</w:t>
      </w:r>
    </w:p>
    <w:p>
      <w:pPr>
        <w:pStyle w:val="BodyText"/>
        <w:spacing w:line="360" w:lineRule="auto" w:before="139"/>
        <w:ind w:left="102" w:right="120"/>
        <w:jc w:val="both"/>
      </w:pPr>
      <w:r>
        <w:rPr/>
        <w:t>III. Este comportamiento devela que los productores no solo del estrato I, sino de las tres escalas de productores analizados utilizan como una de sus principales estrategias el capital humano del núcleo familiar para disminuir costos y aumentar el margen de utilidad por litro de leche.</w:t>
      </w:r>
    </w:p>
    <w:p>
      <w:pPr>
        <w:pStyle w:val="BodyText"/>
      </w:pPr>
    </w:p>
    <w:p>
      <w:pPr>
        <w:pStyle w:val="BodyText"/>
        <w:spacing w:line="360" w:lineRule="auto" w:before="143"/>
        <w:ind w:left="102" w:right="117"/>
        <w:jc w:val="both"/>
      </w:pPr>
      <w:r>
        <w:rPr/>
        <w:t>El uso de alimento en la producción pecuaria es una temática siempre debatible por su importancia</w:t>
      </w:r>
      <w:r>
        <w:rPr>
          <w:spacing w:val="-7"/>
        </w:rPr>
        <w:t> </w:t>
      </w:r>
      <w:r>
        <w:rPr/>
        <w:t>en</w:t>
      </w:r>
      <w:r>
        <w:rPr>
          <w:spacing w:val="-6"/>
        </w:rPr>
        <w:t> </w:t>
      </w:r>
      <w:r>
        <w:rPr/>
        <w:t>la</w:t>
      </w:r>
      <w:r>
        <w:rPr>
          <w:spacing w:val="-7"/>
        </w:rPr>
        <w:t> </w:t>
      </w:r>
      <w:r>
        <w:rPr/>
        <w:t>productividad</w:t>
      </w:r>
      <w:r>
        <w:rPr>
          <w:spacing w:val="-6"/>
        </w:rPr>
        <w:t> </w:t>
      </w:r>
      <w:r>
        <w:rPr/>
        <w:t>como</w:t>
      </w:r>
      <w:r>
        <w:rPr>
          <w:spacing w:val="-6"/>
        </w:rPr>
        <w:t> </w:t>
      </w:r>
      <w:r>
        <w:rPr/>
        <w:t>en</w:t>
      </w:r>
      <w:r>
        <w:rPr>
          <w:spacing w:val="-6"/>
        </w:rPr>
        <w:t> </w:t>
      </w:r>
      <w:r>
        <w:rPr/>
        <w:t>los</w:t>
      </w:r>
      <w:r>
        <w:rPr>
          <w:spacing w:val="-6"/>
        </w:rPr>
        <w:t> </w:t>
      </w:r>
      <w:r>
        <w:rPr/>
        <w:t>costos</w:t>
      </w:r>
      <w:r>
        <w:rPr>
          <w:spacing w:val="-6"/>
        </w:rPr>
        <w:t> </w:t>
      </w:r>
      <w:r>
        <w:rPr/>
        <w:t>totales</w:t>
      </w:r>
      <w:r>
        <w:rPr>
          <w:spacing w:val="-7"/>
        </w:rPr>
        <w:t> </w:t>
      </w:r>
      <w:r>
        <w:rPr/>
        <w:t>de</w:t>
      </w:r>
      <w:r>
        <w:rPr>
          <w:spacing w:val="-7"/>
        </w:rPr>
        <w:t> </w:t>
      </w:r>
      <w:r>
        <w:rPr/>
        <w:t>producción.</w:t>
      </w:r>
      <w:r>
        <w:rPr>
          <w:spacing w:val="-6"/>
        </w:rPr>
        <w:t> </w:t>
      </w:r>
      <w:r>
        <w:rPr/>
        <w:t>En</w:t>
      </w:r>
      <w:r>
        <w:rPr>
          <w:spacing w:val="-6"/>
        </w:rPr>
        <w:t> </w:t>
      </w:r>
      <w:r>
        <w:rPr/>
        <w:t>este</w:t>
      </w:r>
      <w:r>
        <w:rPr>
          <w:spacing w:val="-6"/>
        </w:rPr>
        <w:t> </w:t>
      </w:r>
      <w:r>
        <w:rPr/>
        <w:t>estudio</w:t>
      </w:r>
      <w:r>
        <w:rPr>
          <w:spacing w:val="-6"/>
        </w:rPr>
        <w:t> </w:t>
      </w:r>
      <w:r>
        <w:rPr/>
        <w:t>en particular se observó un comportamiento eficiente en el uso de este recurso, </w:t>
      </w:r>
      <w:r>
        <w:rPr>
          <w:spacing w:val="-3"/>
        </w:rPr>
        <w:t>ya </w:t>
      </w:r>
      <w:r>
        <w:rPr/>
        <w:t>que los productores ubicados en el estrato I, presentaron una ventaja comparativa en la producción de</w:t>
      </w:r>
      <w:r>
        <w:rPr>
          <w:spacing w:val="-11"/>
        </w:rPr>
        <w:t> </w:t>
      </w:r>
      <w:r>
        <w:rPr/>
        <w:t>sus</w:t>
      </w:r>
      <w:r>
        <w:rPr>
          <w:spacing w:val="-10"/>
        </w:rPr>
        <w:t> </w:t>
      </w:r>
      <w:r>
        <w:rPr/>
        <w:t>propios</w:t>
      </w:r>
      <w:r>
        <w:rPr>
          <w:spacing w:val="-10"/>
        </w:rPr>
        <w:t> </w:t>
      </w:r>
      <w:r>
        <w:rPr/>
        <w:t>insumos,</w:t>
      </w:r>
      <w:r>
        <w:rPr>
          <w:spacing w:val="-10"/>
        </w:rPr>
        <w:t> </w:t>
      </w:r>
      <w:r>
        <w:rPr/>
        <w:t>produciendo</w:t>
      </w:r>
      <w:r>
        <w:rPr>
          <w:spacing w:val="-8"/>
        </w:rPr>
        <w:t> </w:t>
      </w:r>
      <w:r>
        <w:rPr/>
        <w:t>el</w:t>
      </w:r>
      <w:r>
        <w:rPr>
          <w:spacing w:val="-10"/>
        </w:rPr>
        <w:t> </w:t>
      </w:r>
      <w:r>
        <w:rPr/>
        <w:t>90%.</w:t>
      </w:r>
      <w:r>
        <w:rPr>
          <w:spacing w:val="-6"/>
        </w:rPr>
        <w:t> </w:t>
      </w:r>
      <w:r>
        <w:rPr/>
        <w:t>La</w:t>
      </w:r>
      <w:r>
        <w:rPr>
          <w:spacing w:val="-11"/>
        </w:rPr>
        <w:t> </w:t>
      </w:r>
      <w:r>
        <w:rPr/>
        <w:t>poca</w:t>
      </w:r>
      <w:r>
        <w:rPr>
          <w:spacing w:val="-11"/>
        </w:rPr>
        <w:t> </w:t>
      </w:r>
      <w:r>
        <w:rPr/>
        <w:t>dependencia</w:t>
      </w:r>
      <w:r>
        <w:rPr>
          <w:spacing w:val="-11"/>
        </w:rPr>
        <w:t> </w:t>
      </w:r>
      <w:r>
        <w:rPr/>
        <w:t>de</w:t>
      </w:r>
      <w:r>
        <w:rPr>
          <w:spacing w:val="-11"/>
        </w:rPr>
        <w:t> </w:t>
      </w:r>
      <w:r>
        <w:rPr/>
        <w:t>insumos</w:t>
      </w:r>
      <w:r>
        <w:rPr>
          <w:spacing w:val="-10"/>
        </w:rPr>
        <w:t> </w:t>
      </w:r>
      <w:r>
        <w:rPr/>
        <w:t>ha</w:t>
      </w:r>
      <w:r>
        <w:rPr>
          <w:spacing w:val="-11"/>
        </w:rPr>
        <w:t> </w:t>
      </w:r>
      <w:r>
        <w:rPr/>
        <w:t>favorecido a los sistemas lecheros de pequeña escala aprovechando esta condición como un amortiguamiento a los escenarios difíciles y cambiantes (Arriaga </w:t>
      </w:r>
      <w:r>
        <w:rPr>
          <w:i/>
        </w:rPr>
        <w:t>et al., </w:t>
      </w:r>
      <w:r>
        <w:rPr/>
        <w:t>2002) que enfrentó el sistema entre los periodos 2000 y 2012, así mismo, la independencia de insumos juega</w:t>
      </w:r>
      <w:r>
        <w:rPr>
          <w:spacing w:val="-15"/>
        </w:rPr>
        <w:t> </w:t>
      </w:r>
      <w:r>
        <w:rPr/>
        <w:t>un papel clave en la permanencia de los sistemas lecheros de pequeña escala en el mercado de competencia actual, al brindar estabilidad minimizando el riesgo económico en la demanda de insumos en el mercado, el cual está sujeto a la volatilidad constante de los precios internacionales. En este sentido, la producción de insumos se convierte en una de las principales estrategias y fortalezas de los sistemas lecheros de pequeña escala, </w:t>
      </w:r>
      <w:r>
        <w:rPr>
          <w:spacing w:val="-3"/>
        </w:rPr>
        <w:t>ya </w:t>
      </w:r>
      <w:r>
        <w:rPr/>
        <w:t>que les permite agregar valor mediante la producción de leche, estas características han jugado un papel</w:t>
      </w:r>
      <w:r>
        <w:rPr>
          <w:spacing w:val="-11"/>
        </w:rPr>
        <w:t> </w:t>
      </w:r>
      <w:r>
        <w:rPr/>
        <w:t>importante</w:t>
      </w:r>
      <w:r>
        <w:rPr>
          <w:spacing w:val="-11"/>
        </w:rPr>
        <w:t> </w:t>
      </w:r>
      <w:r>
        <w:rPr/>
        <w:t>para</w:t>
      </w:r>
      <w:r>
        <w:rPr>
          <w:spacing w:val="-12"/>
        </w:rPr>
        <w:t> </w:t>
      </w:r>
      <w:r>
        <w:rPr/>
        <w:t>considerar</w:t>
      </w:r>
      <w:r>
        <w:rPr>
          <w:spacing w:val="-9"/>
        </w:rPr>
        <w:t> </w:t>
      </w:r>
      <w:r>
        <w:rPr/>
        <w:t>a</w:t>
      </w:r>
      <w:r>
        <w:rPr>
          <w:spacing w:val="-10"/>
        </w:rPr>
        <w:t> </w:t>
      </w:r>
      <w:r>
        <w:rPr/>
        <w:t>estos</w:t>
      </w:r>
      <w:r>
        <w:rPr>
          <w:spacing w:val="-10"/>
        </w:rPr>
        <w:t> </w:t>
      </w:r>
      <w:r>
        <w:rPr/>
        <w:t>sistemas</w:t>
      </w:r>
      <w:r>
        <w:rPr>
          <w:spacing w:val="-8"/>
        </w:rPr>
        <w:t> </w:t>
      </w:r>
      <w:r>
        <w:rPr/>
        <w:t>productivos</w:t>
      </w:r>
      <w:r>
        <w:rPr>
          <w:spacing w:val="-11"/>
        </w:rPr>
        <w:t> </w:t>
      </w:r>
      <w:r>
        <w:rPr/>
        <w:t>como</w:t>
      </w:r>
      <w:r>
        <w:rPr>
          <w:spacing w:val="-11"/>
        </w:rPr>
        <w:t> </w:t>
      </w:r>
      <w:r>
        <w:rPr/>
        <w:t>una</w:t>
      </w:r>
      <w:r>
        <w:rPr>
          <w:spacing w:val="-10"/>
        </w:rPr>
        <w:t> </w:t>
      </w:r>
      <w:r>
        <w:rPr/>
        <w:t>opción</w:t>
      </w:r>
      <w:r>
        <w:rPr>
          <w:spacing w:val="-11"/>
        </w:rPr>
        <w:t> </w:t>
      </w:r>
      <w:r>
        <w:rPr/>
        <w:t>de</w:t>
      </w:r>
      <w:r>
        <w:rPr>
          <w:spacing w:val="-12"/>
        </w:rPr>
        <w:t> </w:t>
      </w:r>
      <w:r>
        <w:rPr/>
        <w:t>desarrollo rural atractiva, valida y viable (Espinoza, </w:t>
      </w:r>
      <w:r>
        <w:rPr>
          <w:i/>
        </w:rPr>
        <w:t>et al.,</w:t>
      </w:r>
      <w:r>
        <w:rPr>
          <w:i/>
          <w:spacing w:val="-9"/>
        </w:rPr>
        <w:t> </w:t>
      </w:r>
      <w:r>
        <w:rPr/>
        <w:t>2002).</w:t>
      </w:r>
    </w:p>
    <w:p>
      <w:pPr>
        <w:pStyle w:val="BodyText"/>
      </w:pPr>
    </w:p>
    <w:p>
      <w:pPr>
        <w:pStyle w:val="BodyText"/>
        <w:spacing w:line="360" w:lineRule="auto" w:before="143"/>
        <w:ind w:left="102" w:right="116"/>
        <w:jc w:val="both"/>
      </w:pPr>
      <w:r>
        <w:rPr/>
        <w:t>El grupo de productores ubicados en el estrato II, presentó el mejor comportamiento en disminución de costo total por litro de leche entre los periodos 2000 y 2012, al lograr disminuir cinco de los siete rubros que conforman los costos variables, entre los cuales destaca</w:t>
      </w:r>
      <w:r>
        <w:rPr>
          <w:spacing w:val="-8"/>
        </w:rPr>
        <w:t> </w:t>
      </w:r>
      <w:r>
        <w:rPr/>
        <w:t>el</w:t>
      </w:r>
      <w:r>
        <w:rPr>
          <w:spacing w:val="-7"/>
        </w:rPr>
        <w:t> </w:t>
      </w:r>
      <w:r>
        <w:rPr/>
        <w:t>rubro</w:t>
      </w:r>
      <w:r>
        <w:rPr>
          <w:spacing w:val="-7"/>
        </w:rPr>
        <w:t> </w:t>
      </w:r>
      <w:r>
        <w:rPr/>
        <w:t>de</w:t>
      </w:r>
      <w:r>
        <w:rPr>
          <w:spacing w:val="-8"/>
        </w:rPr>
        <w:t> </w:t>
      </w:r>
      <w:r>
        <w:rPr/>
        <w:t>alimentación</w:t>
      </w:r>
      <w:r>
        <w:rPr>
          <w:spacing w:val="-7"/>
        </w:rPr>
        <w:t> </w:t>
      </w:r>
      <w:r>
        <w:rPr/>
        <w:t>con</w:t>
      </w:r>
      <w:r>
        <w:rPr>
          <w:spacing w:val="-7"/>
        </w:rPr>
        <w:t> </w:t>
      </w:r>
      <w:r>
        <w:rPr/>
        <w:t>una</w:t>
      </w:r>
      <w:r>
        <w:rPr>
          <w:spacing w:val="-8"/>
        </w:rPr>
        <w:t> </w:t>
      </w:r>
      <w:r>
        <w:rPr/>
        <w:t>disminución</w:t>
      </w:r>
      <w:r>
        <w:rPr>
          <w:spacing w:val="-7"/>
        </w:rPr>
        <w:t> </w:t>
      </w:r>
      <w:r>
        <w:rPr/>
        <w:t>de</w:t>
      </w:r>
      <w:r>
        <w:rPr>
          <w:spacing w:val="-7"/>
        </w:rPr>
        <w:t> </w:t>
      </w:r>
      <w:r>
        <w:rPr/>
        <w:t>$0.41pesos</w:t>
      </w:r>
      <w:r>
        <w:rPr>
          <w:spacing w:val="-7"/>
        </w:rPr>
        <w:t> </w:t>
      </w:r>
      <w:r>
        <w:rPr/>
        <w:t>por</w:t>
      </w:r>
      <w:r>
        <w:rPr>
          <w:spacing w:val="-8"/>
        </w:rPr>
        <w:t> </w:t>
      </w:r>
      <w:r>
        <w:rPr/>
        <w:t>litro</w:t>
      </w:r>
      <w:r>
        <w:rPr>
          <w:spacing w:val="-7"/>
        </w:rPr>
        <w:t> </w:t>
      </w:r>
      <w:r>
        <w:rPr/>
        <w:t>de</w:t>
      </w:r>
      <w:r>
        <w:rPr>
          <w:spacing w:val="-8"/>
        </w:rPr>
        <w:t> </w:t>
      </w:r>
      <w:r>
        <w:rPr/>
        <w:t>leche.</w:t>
      </w:r>
      <w:r>
        <w:rPr>
          <w:spacing w:val="-7"/>
        </w:rPr>
        <w:t> </w:t>
      </w:r>
      <w:r>
        <w:rPr/>
        <w:t>Estos resultados</w:t>
      </w:r>
      <w:r>
        <w:rPr>
          <w:spacing w:val="-14"/>
        </w:rPr>
        <w:t> </w:t>
      </w:r>
      <w:r>
        <w:rPr/>
        <w:t>coinciden</w:t>
      </w:r>
      <w:r>
        <w:rPr>
          <w:spacing w:val="-13"/>
        </w:rPr>
        <w:t> </w:t>
      </w:r>
      <w:r>
        <w:rPr/>
        <w:t>con</w:t>
      </w:r>
      <w:r>
        <w:rPr>
          <w:spacing w:val="-12"/>
        </w:rPr>
        <w:t> </w:t>
      </w:r>
      <w:r>
        <w:rPr/>
        <w:t>lo</w:t>
      </w:r>
      <w:r>
        <w:rPr>
          <w:spacing w:val="-14"/>
        </w:rPr>
        <w:t> </w:t>
      </w:r>
      <w:r>
        <w:rPr/>
        <w:t>reportado</w:t>
      </w:r>
      <w:r>
        <w:rPr>
          <w:spacing w:val="-12"/>
        </w:rPr>
        <w:t> </w:t>
      </w:r>
      <w:r>
        <w:rPr/>
        <w:t>por</w:t>
      </w:r>
      <w:r>
        <w:rPr>
          <w:spacing w:val="-13"/>
        </w:rPr>
        <w:t> </w:t>
      </w:r>
      <w:r>
        <w:rPr/>
        <w:t>Salinas</w:t>
      </w:r>
      <w:r>
        <w:rPr>
          <w:spacing w:val="-12"/>
        </w:rPr>
        <w:t> </w:t>
      </w:r>
      <w:r>
        <w:rPr/>
        <w:t>Martínez</w:t>
      </w:r>
      <w:r>
        <w:rPr>
          <w:spacing w:val="-13"/>
        </w:rPr>
        <w:t> </w:t>
      </w:r>
      <w:r>
        <w:rPr/>
        <w:t>et</w:t>
      </w:r>
      <w:r>
        <w:rPr>
          <w:spacing w:val="-14"/>
        </w:rPr>
        <w:t> </w:t>
      </w:r>
      <w:r>
        <w:rPr/>
        <w:t>al.</w:t>
      </w:r>
      <w:r>
        <w:rPr>
          <w:spacing w:val="-12"/>
        </w:rPr>
        <w:t> </w:t>
      </w:r>
      <w:r>
        <w:rPr/>
        <w:t>(2010)</w:t>
      </w:r>
      <w:r>
        <w:rPr>
          <w:spacing w:val="-13"/>
        </w:rPr>
        <w:t> </w:t>
      </w:r>
      <w:r>
        <w:rPr/>
        <w:t>en</w:t>
      </w:r>
      <w:r>
        <w:rPr>
          <w:spacing w:val="-10"/>
        </w:rPr>
        <w:t> </w:t>
      </w:r>
      <w:r>
        <w:rPr/>
        <w:t>un</w:t>
      </w:r>
      <w:r>
        <w:rPr>
          <w:spacing w:val="-14"/>
        </w:rPr>
        <w:t> </w:t>
      </w:r>
      <w:r>
        <w:rPr/>
        <w:t>estudio</w:t>
      </w:r>
      <w:r>
        <w:rPr>
          <w:spacing w:val="-14"/>
        </w:rPr>
        <w:t> </w:t>
      </w:r>
      <w:r>
        <w:rPr/>
        <w:t>llevado acabo sobre lechería de pequeña escala en el nor-oriente del estado de México, donde se concluye que el aprovechamiento eficiente en insumos como alimentación y mano de obra familiar</w:t>
      </w:r>
      <w:r>
        <w:rPr>
          <w:spacing w:val="40"/>
        </w:rPr>
        <w:t> </w:t>
      </w:r>
      <w:r>
        <w:rPr/>
        <w:t>presentó</w:t>
      </w:r>
      <w:r>
        <w:rPr>
          <w:spacing w:val="41"/>
        </w:rPr>
        <w:t> </w:t>
      </w:r>
      <w:r>
        <w:rPr/>
        <w:t>una</w:t>
      </w:r>
      <w:r>
        <w:rPr>
          <w:spacing w:val="40"/>
        </w:rPr>
        <w:t> </w:t>
      </w:r>
      <w:r>
        <w:rPr/>
        <w:t>eficiencia</w:t>
      </w:r>
      <w:r>
        <w:rPr>
          <w:spacing w:val="40"/>
        </w:rPr>
        <w:t> </w:t>
      </w:r>
      <w:r>
        <w:rPr/>
        <w:t>en</w:t>
      </w:r>
      <w:r>
        <w:rPr>
          <w:spacing w:val="40"/>
        </w:rPr>
        <w:t> </w:t>
      </w:r>
      <w:r>
        <w:rPr/>
        <w:t>la</w:t>
      </w:r>
      <w:r>
        <w:rPr>
          <w:spacing w:val="40"/>
        </w:rPr>
        <w:t> </w:t>
      </w:r>
      <w:r>
        <w:rPr/>
        <w:t>reducción</w:t>
      </w:r>
      <w:r>
        <w:rPr>
          <w:spacing w:val="41"/>
        </w:rPr>
        <w:t> </w:t>
      </w:r>
      <w:r>
        <w:rPr/>
        <w:t>de</w:t>
      </w:r>
      <w:r>
        <w:rPr>
          <w:spacing w:val="40"/>
        </w:rPr>
        <w:t> </w:t>
      </w:r>
      <w:r>
        <w:rPr/>
        <w:t>costos</w:t>
      </w:r>
      <w:r>
        <w:rPr>
          <w:spacing w:val="41"/>
        </w:rPr>
        <w:t> </w:t>
      </w:r>
      <w:r>
        <w:rPr/>
        <w:t>de</w:t>
      </w:r>
      <w:r>
        <w:rPr>
          <w:spacing w:val="40"/>
        </w:rPr>
        <w:t> </w:t>
      </w:r>
      <w:r>
        <w:rPr/>
        <w:t>30%.</w:t>
      </w:r>
      <w:r>
        <w:rPr>
          <w:spacing w:val="45"/>
        </w:rPr>
        <w:t> </w:t>
      </w:r>
      <w:r>
        <w:rPr/>
        <w:t>Otros</w:t>
      </w:r>
      <w:r>
        <w:rPr>
          <w:spacing w:val="41"/>
        </w:rPr>
        <w:t> </w:t>
      </w:r>
      <w:r>
        <w:rPr/>
        <w:t>autores</w:t>
      </w:r>
      <w:r>
        <w:rPr>
          <w:spacing w:val="41"/>
        </w:rPr>
        <w:t> </w:t>
      </w:r>
      <w:r>
        <w:rPr/>
        <w:t>como</w:t>
      </w:r>
    </w:p>
    <w:p>
      <w:pPr>
        <w:spacing w:after="0" w:line="360" w:lineRule="auto"/>
        <w:jc w:val="both"/>
        <w:sectPr>
          <w:footerReference w:type="default" r:id="rId108"/>
          <w:pgSz w:w="12240" w:h="15840"/>
          <w:pgMar w:footer="657" w:header="0" w:top="1360" w:bottom="840" w:left="1600" w:right="1580"/>
          <w:pgNumType w:start="100"/>
        </w:sectPr>
      </w:pPr>
    </w:p>
    <w:p>
      <w:pPr>
        <w:pStyle w:val="BodyText"/>
        <w:spacing w:line="360" w:lineRule="auto" w:before="50"/>
        <w:ind w:left="102" w:right="119"/>
        <w:jc w:val="both"/>
      </w:pPr>
      <w:r>
        <w:rPr/>
        <w:t>Garduño-Castro et al. (2009), Anaya-Ortega et al. (2009), y Alfonso-Ávila et al. (2011), destacan</w:t>
      </w:r>
      <w:r>
        <w:rPr>
          <w:spacing w:val="-4"/>
        </w:rPr>
        <w:t> </w:t>
      </w:r>
      <w:r>
        <w:rPr/>
        <w:t>la</w:t>
      </w:r>
      <w:r>
        <w:rPr>
          <w:spacing w:val="-4"/>
        </w:rPr>
        <w:t> </w:t>
      </w:r>
      <w:r>
        <w:rPr/>
        <w:t>importancia</w:t>
      </w:r>
      <w:r>
        <w:rPr>
          <w:spacing w:val="-4"/>
        </w:rPr>
        <w:t> </w:t>
      </w:r>
      <w:r>
        <w:rPr/>
        <w:t>en</w:t>
      </w:r>
      <w:r>
        <w:rPr>
          <w:spacing w:val="-4"/>
        </w:rPr>
        <w:t> </w:t>
      </w:r>
      <w:r>
        <w:rPr/>
        <w:t>disminuir</w:t>
      </w:r>
      <w:r>
        <w:rPr>
          <w:spacing w:val="-5"/>
        </w:rPr>
        <w:t> </w:t>
      </w:r>
      <w:r>
        <w:rPr/>
        <w:t>costos</w:t>
      </w:r>
      <w:r>
        <w:rPr>
          <w:spacing w:val="-3"/>
        </w:rPr>
        <w:t> </w:t>
      </w:r>
      <w:r>
        <w:rPr/>
        <w:t>de</w:t>
      </w:r>
      <w:r>
        <w:rPr>
          <w:spacing w:val="-5"/>
        </w:rPr>
        <w:t> </w:t>
      </w:r>
      <w:r>
        <w:rPr/>
        <w:t>alimentación</w:t>
      </w:r>
      <w:r>
        <w:rPr>
          <w:spacing w:val="1"/>
        </w:rPr>
        <w:t> </w:t>
      </w:r>
      <w:r>
        <w:rPr/>
        <w:t>y</w:t>
      </w:r>
      <w:r>
        <w:rPr>
          <w:spacing w:val="-11"/>
        </w:rPr>
        <w:t> </w:t>
      </w:r>
      <w:r>
        <w:rPr/>
        <w:t>la</w:t>
      </w:r>
      <w:r>
        <w:rPr>
          <w:spacing w:val="-5"/>
        </w:rPr>
        <w:t> </w:t>
      </w:r>
      <w:r>
        <w:rPr/>
        <w:t>señalan</w:t>
      </w:r>
      <w:r>
        <w:rPr>
          <w:spacing w:val="-4"/>
        </w:rPr>
        <w:t> </w:t>
      </w:r>
      <w:r>
        <w:rPr/>
        <w:t>como</w:t>
      </w:r>
      <w:r>
        <w:rPr>
          <w:spacing w:val="-3"/>
        </w:rPr>
        <w:t> </w:t>
      </w:r>
      <w:r>
        <w:rPr/>
        <w:t>una</w:t>
      </w:r>
      <w:r>
        <w:rPr>
          <w:spacing w:val="-5"/>
        </w:rPr>
        <w:t> </w:t>
      </w:r>
      <w:r>
        <w:rPr/>
        <w:t>fortaleza interna, tanto para disminuir el efecto económico que supone la dependencia de insumos externos como para aumentar los beneficios por litro de</w:t>
      </w:r>
      <w:r>
        <w:rPr>
          <w:spacing w:val="-17"/>
        </w:rPr>
        <w:t> </w:t>
      </w:r>
      <w:r>
        <w:rPr/>
        <w:t>leche.</w:t>
      </w:r>
    </w:p>
    <w:p>
      <w:pPr>
        <w:pStyle w:val="BodyText"/>
      </w:pPr>
    </w:p>
    <w:p>
      <w:pPr>
        <w:pStyle w:val="BodyText"/>
        <w:spacing w:line="360" w:lineRule="auto" w:before="143"/>
        <w:ind w:left="102" w:right="115"/>
        <w:jc w:val="both"/>
      </w:pPr>
      <w:r>
        <w:rPr/>
        <w:t>En este sentido, los productores del estrato II, emplean estrategias no solo para disminuir costos como los </w:t>
      </w:r>
      <w:r>
        <w:rPr>
          <w:spacing w:val="-3"/>
        </w:rPr>
        <w:t>ya </w:t>
      </w:r>
      <w:r>
        <w:rPr/>
        <w:t>mencionados, sino también para aumentar el nivel de ingresos, mediante estrategias comerciales de venta de su producto ya que el 48% de su producción diaria la destina al mercado de menudeo, con un diferencial de más de dos pesos aprovechando de esta</w:t>
      </w:r>
      <w:r>
        <w:rPr>
          <w:spacing w:val="-11"/>
        </w:rPr>
        <w:t> </w:t>
      </w:r>
      <w:r>
        <w:rPr/>
        <w:t>manera,</w:t>
      </w:r>
      <w:r>
        <w:rPr>
          <w:spacing w:val="-11"/>
        </w:rPr>
        <w:t> </w:t>
      </w:r>
      <w:r>
        <w:rPr/>
        <w:t>la</w:t>
      </w:r>
      <w:r>
        <w:rPr>
          <w:spacing w:val="-12"/>
        </w:rPr>
        <w:t> </w:t>
      </w:r>
      <w:r>
        <w:rPr/>
        <w:t>peri-urbanidad</w:t>
      </w:r>
      <w:r>
        <w:rPr>
          <w:spacing w:val="-11"/>
        </w:rPr>
        <w:t> </w:t>
      </w:r>
      <w:r>
        <w:rPr/>
        <w:t>en</w:t>
      </w:r>
      <w:r>
        <w:rPr>
          <w:spacing w:val="-11"/>
        </w:rPr>
        <w:t> </w:t>
      </w:r>
      <w:r>
        <w:rPr/>
        <w:t>la</w:t>
      </w:r>
      <w:r>
        <w:rPr>
          <w:spacing w:val="-12"/>
        </w:rPr>
        <w:t> </w:t>
      </w:r>
      <w:r>
        <w:rPr/>
        <w:t>que</w:t>
      </w:r>
      <w:r>
        <w:rPr>
          <w:spacing w:val="-12"/>
        </w:rPr>
        <w:t> </w:t>
      </w:r>
      <w:r>
        <w:rPr/>
        <w:t>se</w:t>
      </w:r>
      <w:r>
        <w:rPr>
          <w:spacing w:val="-12"/>
        </w:rPr>
        <w:t> </w:t>
      </w:r>
      <w:r>
        <w:rPr/>
        <w:t>encuentran,</w:t>
      </w:r>
      <w:r>
        <w:rPr>
          <w:spacing w:val="-11"/>
        </w:rPr>
        <w:t> </w:t>
      </w:r>
      <w:r>
        <w:rPr/>
        <w:t>el</w:t>
      </w:r>
      <w:r>
        <w:rPr>
          <w:spacing w:val="-11"/>
        </w:rPr>
        <w:t> </w:t>
      </w:r>
      <w:r>
        <w:rPr/>
        <w:t>fácil</w:t>
      </w:r>
      <w:r>
        <w:rPr>
          <w:spacing w:val="-10"/>
        </w:rPr>
        <w:t> </w:t>
      </w:r>
      <w:r>
        <w:rPr/>
        <w:t>acceso</w:t>
      </w:r>
      <w:r>
        <w:rPr>
          <w:spacing w:val="-11"/>
        </w:rPr>
        <w:t> </w:t>
      </w:r>
      <w:r>
        <w:rPr/>
        <w:t>que</w:t>
      </w:r>
      <w:r>
        <w:rPr>
          <w:spacing w:val="-12"/>
        </w:rPr>
        <w:t> </w:t>
      </w:r>
      <w:r>
        <w:rPr/>
        <w:t>tienen</w:t>
      </w:r>
      <w:r>
        <w:rPr>
          <w:spacing w:val="-11"/>
        </w:rPr>
        <w:t> </w:t>
      </w:r>
      <w:r>
        <w:rPr/>
        <w:t>a</w:t>
      </w:r>
      <w:r>
        <w:rPr>
          <w:spacing w:val="-12"/>
        </w:rPr>
        <w:t> </w:t>
      </w:r>
      <w:r>
        <w:rPr/>
        <w:t>los</w:t>
      </w:r>
      <w:r>
        <w:rPr>
          <w:spacing w:val="-10"/>
        </w:rPr>
        <w:t> </w:t>
      </w:r>
      <w:r>
        <w:rPr/>
        <w:t>centros de procesamiento o distribución y a las estructuras sociales y económicas que ofrecen los núcleos poblados (Campero y Medina, 2004; Torres-Lima y Rodríguez-Sánchez, 2008) que les confieren y facilitan la movilidad del producto, esta ventaja comparativa brindada por la comercialización coloca al grupo de productores del estrato II, como la escala más eficiente en</w:t>
      </w:r>
      <w:r>
        <w:rPr>
          <w:spacing w:val="-6"/>
        </w:rPr>
        <w:t> </w:t>
      </w:r>
      <w:r>
        <w:rPr/>
        <w:t>la</w:t>
      </w:r>
      <w:r>
        <w:rPr>
          <w:spacing w:val="-7"/>
        </w:rPr>
        <w:t> </w:t>
      </w:r>
      <w:r>
        <w:rPr/>
        <w:t>obtención</w:t>
      </w:r>
      <w:r>
        <w:rPr>
          <w:spacing w:val="-6"/>
        </w:rPr>
        <w:t> </w:t>
      </w:r>
      <w:r>
        <w:rPr/>
        <w:t>de</w:t>
      </w:r>
      <w:r>
        <w:rPr>
          <w:spacing w:val="-7"/>
        </w:rPr>
        <w:t> </w:t>
      </w:r>
      <w:r>
        <w:rPr/>
        <w:t>utilidad</w:t>
      </w:r>
      <w:r>
        <w:rPr>
          <w:spacing w:val="-6"/>
        </w:rPr>
        <w:t> </w:t>
      </w:r>
      <w:r>
        <w:rPr/>
        <w:t>por</w:t>
      </w:r>
      <w:r>
        <w:rPr>
          <w:spacing w:val="-7"/>
        </w:rPr>
        <w:t> </w:t>
      </w:r>
      <w:r>
        <w:rPr/>
        <w:t>litro</w:t>
      </w:r>
      <w:r>
        <w:rPr>
          <w:spacing w:val="-7"/>
        </w:rPr>
        <w:t> </w:t>
      </w:r>
      <w:r>
        <w:rPr/>
        <w:t>de</w:t>
      </w:r>
      <w:r>
        <w:rPr>
          <w:spacing w:val="-7"/>
        </w:rPr>
        <w:t> </w:t>
      </w:r>
      <w:r>
        <w:rPr/>
        <w:t>leche,</w:t>
      </w:r>
      <w:r>
        <w:rPr>
          <w:spacing w:val="-4"/>
        </w:rPr>
        <w:t> </w:t>
      </w:r>
      <w:r>
        <w:rPr/>
        <w:t>aprovechando</w:t>
      </w:r>
      <w:r>
        <w:rPr>
          <w:spacing w:val="-6"/>
        </w:rPr>
        <w:t> </w:t>
      </w:r>
      <w:r>
        <w:rPr/>
        <w:t>la</w:t>
      </w:r>
      <w:r>
        <w:rPr>
          <w:spacing w:val="-7"/>
        </w:rPr>
        <w:t> </w:t>
      </w:r>
      <w:r>
        <w:rPr/>
        <w:t>combinación</w:t>
      </w:r>
      <w:r>
        <w:rPr>
          <w:spacing w:val="-6"/>
        </w:rPr>
        <w:t> </w:t>
      </w:r>
      <w:r>
        <w:rPr/>
        <w:t>lograda</w:t>
      </w:r>
      <w:r>
        <w:rPr>
          <w:spacing w:val="-5"/>
        </w:rPr>
        <w:t> </w:t>
      </w:r>
      <w:r>
        <w:rPr/>
        <w:t>entre</w:t>
      </w:r>
      <w:r>
        <w:rPr>
          <w:spacing w:val="-5"/>
        </w:rPr>
        <w:t> </w:t>
      </w:r>
      <w:r>
        <w:rPr/>
        <w:t>los periodos 2000 y 2012 en productividad y comercialización de su producto. Estos resultados difieren</w:t>
      </w:r>
      <w:r>
        <w:rPr>
          <w:spacing w:val="-16"/>
        </w:rPr>
        <w:t> </w:t>
      </w:r>
      <w:r>
        <w:rPr/>
        <w:t>de</w:t>
      </w:r>
      <w:r>
        <w:rPr>
          <w:spacing w:val="-17"/>
        </w:rPr>
        <w:t> </w:t>
      </w:r>
      <w:r>
        <w:rPr/>
        <w:t>lo</w:t>
      </w:r>
      <w:r>
        <w:rPr>
          <w:spacing w:val="-13"/>
        </w:rPr>
        <w:t> </w:t>
      </w:r>
      <w:r>
        <w:rPr/>
        <w:t>reportado</w:t>
      </w:r>
      <w:r>
        <w:rPr>
          <w:spacing w:val="-16"/>
        </w:rPr>
        <w:t> </w:t>
      </w:r>
      <w:r>
        <w:rPr/>
        <w:t>por</w:t>
      </w:r>
      <w:r>
        <w:rPr>
          <w:spacing w:val="-17"/>
        </w:rPr>
        <w:t> </w:t>
      </w:r>
      <w:r>
        <w:rPr/>
        <w:t>Espinosa</w:t>
      </w:r>
      <w:r>
        <w:rPr>
          <w:spacing w:val="-13"/>
        </w:rPr>
        <w:t> </w:t>
      </w:r>
      <w:r>
        <w:rPr/>
        <w:t>et</w:t>
      </w:r>
      <w:r>
        <w:rPr>
          <w:spacing w:val="-15"/>
        </w:rPr>
        <w:t> </w:t>
      </w:r>
      <w:r>
        <w:rPr/>
        <w:t>al.</w:t>
      </w:r>
      <w:r>
        <w:rPr>
          <w:spacing w:val="-13"/>
        </w:rPr>
        <w:t> </w:t>
      </w:r>
      <w:r>
        <w:rPr/>
        <w:t>(2008)</w:t>
      </w:r>
      <w:r>
        <w:rPr>
          <w:spacing w:val="-14"/>
        </w:rPr>
        <w:t> </w:t>
      </w:r>
      <w:r>
        <w:rPr/>
        <w:t>en</w:t>
      </w:r>
      <w:r>
        <w:rPr>
          <w:spacing w:val="-16"/>
        </w:rPr>
        <w:t> </w:t>
      </w:r>
      <w:r>
        <w:rPr/>
        <w:t>un</w:t>
      </w:r>
      <w:r>
        <w:rPr>
          <w:spacing w:val="-16"/>
        </w:rPr>
        <w:t> </w:t>
      </w:r>
      <w:r>
        <w:rPr/>
        <w:t>estudio</w:t>
      </w:r>
      <w:r>
        <w:rPr>
          <w:spacing w:val="-15"/>
        </w:rPr>
        <w:t> </w:t>
      </w:r>
      <w:r>
        <w:rPr/>
        <w:t>de</w:t>
      </w:r>
      <w:r>
        <w:rPr>
          <w:spacing w:val="-14"/>
        </w:rPr>
        <w:t> </w:t>
      </w:r>
      <w:r>
        <w:rPr/>
        <w:t>caso</w:t>
      </w:r>
      <w:r>
        <w:rPr>
          <w:spacing w:val="-13"/>
        </w:rPr>
        <w:t> </w:t>
      </w:r>
      <w:r>
        <w:rPr/>
        <w:t>en</w:t>
      </w:r>
      <w:r>
        <w:rPr>
          <w:spacing w:val="-16"/>
        </w:rPr>
        <w:t> </w:t>
      </w:r>
      <w:r>
        <w:rPr/>
        <w:t>la</w:t>
      </w:r>
      <w:r>
        <w:rPr>
          <w:spacing w:val="-12"/>
        </w:rPr>
        <w:t> </w:t>
      </w:r>
      <w:r>
        <w:rPr/>
        <w:t>lechería</w:t>
      </w:r>
      <w:r>
        <w:rPr>
          <w:spacing w:val="-15"/>
        </w:rPr>
        <w:t> </w:t>
      </w:r>
      <w:r>
        <w:rPr/>
        <w:t>familiar del centro de México, los autores señalan que los sistemas lecheros familiares presentan deficiencias en la organización y estrategia de venta de su producto, pues dejan de percibir parte del ingreso de la venta de leche al no encargarse de su comercialización, recalcando que</w:t>
      </w:r>
      <w:r>
        <w:rPr>
          <w:spacing w:val="-14"/>
        </w:rPr>
        <w:t> </w:t>
      </w:r>
      <w:r>
        <w:rPr/>
        <w:t>esta</w:t>
      </w:r>
      <w:r>
        <w:rPr>
          <w:spacing w:val="-14"/>
        </w:rPr>
        <w:t> </w:t>
      </w:r>
      <w:r>
        <w:rPr/>
        <w:t>práctica</w:t>
      </w:r>
      <w:r>
        <w:rPr>
          <w:spacing w:val="-14"/>
        </w:rPr>
        <w:t> </w:t>
      </w:r>
      <w:r>
        <w:rPr/>
        <w:t>se</w:t>
      </w:r>
      <w:r>
        <w:rPr>
          <w:spacing w:val="-14"/>
        </w:rPr>
        <w:t> </w:t>
      </w:r>
      <w:r>
        <w:rPr/>
        <w:t>da</w:t>
      </w:r>
      <w:r>
        <w:rPr>
          <w:spacing w:val="-14"/>
        </w:rPr>
        <w:t> </w:t>
      </w:r>
      <w:r>
        <w:rPr/>
        <w:t>por</w:t>
      </w:r>
      <w:r>
        <w:rPr>
          <w:spacing w:val="-14"/>
        </w:rPr>
        <w:t> </w:t>
      </w:r>
      <w:r>
        <w:rPr/>
        <w:t>la</w:t>
      </w:r>
      <w:r>
        <w:rPr>
          <w:spacing w:val="-14"/>
        </w:rPr>
        <w:t> </w:t>
      </w:r>
      <w:r>
        <w:rPr/>
        <w:t>especialización</w:t>
      </w:r>
      <w:r>
        <w:rPr>
          <w:spacing w:val="-13"/>
        </w:rPr>
        <w:t> </w:t>
      </w:r>
      <w:r>
        <w:rPr/>
        <w:t>en</w:t>
      </w:r>
      <w:r>
        <w:rPr>
          <w:spacing w:val="-13"/>
        </w:rPr>
        <w:t> </w:t>
      </w:r>
      <w:r>
        <w:rPr/>
        <w:t>las</w:t>
      </w:r>
      <w:r>
        <w:rPr>
          <w:spacing w:val="-11"/>
        </w:rPr>
        <w:t> </w:t>
      </w:r>
      <w:r>
        <w:rPr/>
        <w:t>actividades</w:t>
      </w:r>
      <w:r>
        <w:rPr>
          <w:spacing w:val="-8"/>
        </w:rPr>
        <w:t> </w:t>
      </w:r>
      <w:r>
        <w:rPr/>
        <w:t>y</w:t>
      </w:r>
      <w:r>
        <w:rPr>
          <w:spacing w:val="-18"/>
        </w:rPr>
        <w:t> </w:t>
      </w:r>
      <w:r>
        <w:rPr/>
        <w:t>la</w:t>
      </w:r>
      <w:r>
        <w:rPr>
          <w:spacing w:val="-14"/>
        </w:rPr>
        <w:t> </w:t>
      </w:r>
      <w:r>
        <w:rPr/>
        <w:t>ausencia</w:t>
      </w:r>
      <w:r>
        <w:rPr>
          <w:spacing w:val="-12"/>
        </w:rPr>
        <w:t> </w:t>
      </w:r>
      <w:r>
        <w:rPr/>
        <w:t>de</w:t>
      </w:r>
      <w:r>
        <w:rPr>
          <w:spacing w:val="-14"/>
        </w:rPr>
        <w:t> </w:t>
      </w:r>
      <w:r>
        <w:rPr/>
        <w:t>las</w:t>
      </w:r>
      <w:r>
        <w:rPr>
          <w:spacing w:val="-14"/>
        </w:rPr>
        <w:t> </w:t>
      </w:r>
      <w:r>
        <w:rPr/>
        <w:t>economías de escala en la</w:t>
      </w:r>
      <w:r>
        <w:rPr>
          <w:spacing w:val="-5"/>
        </w:rPr>
        <w:t> </w:t>
      </w:r>
      <w:r>
        <w:rPr/>
        <w:t>distribución.</w:t>
      </w:r>
    </w:p>
    <w:p>
      <w:pPr>
        <w:pStyle w:val="BodyText"/>
      </w:pPr>
    </w:p>
    <w:p>
      <w:pPr>
        <w:pStyle w:val="BodyText"/>
        <w:spacing w:line="360" w:lineRule="auto" w:before="143"/>
        <w:ind w:left="102" w:right="118"/>
        <w:jc w:val="both"/>
      </w:pPr>
      <w:r>
        <w:rPr/>
        <w:t>Los productores ubicados en el estrato III, presentaron tres estrategias bien definidas entre los periodos 2000 y 2012, la primera de ellas, referente a la mejor eficiencia para disminuir el</w:t>
      </w:r>
      <w:r>
        <w:rPr>
          <w:spacing w:val="-9"/>
        </w:rPr>
        <w:t> </w:t>
      </w:r>
      <w:r>
        <w:rPr/>
        <w:t>costo</w:t>
      </w:r>
      <w:r>
        <w:rPr>
          <w:spacing w:val="-9"/>
        </w:rPr>
        <w:t> </w:t>
      </w:r>
      <w:r>
        <w:rPr/>
        <w:t>del</w:t>
      </w:r>
      <w:r>
        <w:rPr>
          <w:spacing w:val="-9"/>
        </w:rPr>
        <w:t> </w:t>
      </w:r>
      <w:r>
        <w:rPr/>
        <w:t>principal</w:t>
      </w:r>
      <w:r>
        <w:rPr>
          <w:spacing w:val="-10"/>
        </w:rPr>
        <w:t> </w:t>
      </w:r>
      <w:r>
        <w:rPr/>
        <w:t>insumo</w:t>
      </w:r>
      <w:r>
        <w:rPr>
          <w:spacing w:val="-9"/>
        </w:rPr>
        <w:t> </w:t>
      </w:r>
      <w:r>
        <w:rPr/>
        <w:t>(alimentación)</w:t>
      </w:r>
      <w:r>
        <w:rPr>
          <w:spacing w:val="-10"/>
        </w:rPr>
        <w:t> </w:t>
      </w:r>
      <w:r>
        <w:rPr/>
        <w:t>en</w:t>
      </w:r>
      <w:r>
        <w:rPr>
          <w:spacing w:val="-10"/>
        </w:rPr>
        <w:t> </w:t>
      </w:r>
      <w:r>
        <w:rPr/>
        <w:t>las</w:t>
      </w:r>
      <w:r>
        <w:rPr>
          <w:spacing w:val="-10"/>
        </w:rPr>
        <w:t> </w:t>
      </w:r>
      <w:r>
        <w:rPr/>
        <w:t>tres</w:t>
      </w:r>
      <w:r>
        <w:rPr>
          <w:spacing w:val="-9"/>
        </w:rPr>
        <w:t> </w:t>
      </w:r>
      <w:r>
        <w:rPr/>
        <w:t>escalas</w:t>
      </w:r>
      <w:r>
        <w:rPr>
          <w:spacing w:val="-10"/>
        </w:rPr>
        <w:t> </w:t>
      </w:r>
      <w:r>
        <w:rPr/>
        <w:t>de</w:t>
      </w:r>
      <w:r>
        <w:rPr>
          <w:spacing w:val="-11"/>
        </w:rPr>
        <w:t> </w:t>
      </w:r>
      <w:r>
        <w:rPr/>
        <w:t>productores</w:t>
      </w:r>
      <w:r>
        <w:rPr>
          <w:spacing w:val="-9"/>
        </w:rPr>
        <w:t> </w:t>
      </w:r>
      <w:r>
        <w:rPr/>
        <w:t>analizados,</w:t>
      </w:r>
      <w:r>
        <w:rPr>
          <w:spacing w:val="-9"/>
        </w:rPr>
        <w:t> </w:t>
      </w:r>
      <w:r>
        <w:rPr/>
        <w:t>los resultados evidencian que la evolución entre periodos productivos de este rubro disminuyó en 29%, equivalente a $0.78 por litro de leche, la segunda estrategia devela que obtuvieron el mayor aumento en productividad entre periodos analizados (59%) lo cual puede explicar la</w:t>
      </w:r>
      <w:r>
        <w:rPr>
          <w:spacing w:val="-4"/>
        </w:rPr>
        <w:t> </w:t>
      </w:r>
      <w:r>
        <w:rPr/>
        <w:t>mayor</w:t>
      </w:r>
      <w:r>
        <w:rPr>
          <w:spacing w:val="-5"/>
        </w:rPr>
        <w:t> </w:t>
      </w:r>
      <w:r>
        <w:rPr/>
        <w:t>eficiencia</w:t>
      </w:r>
      <w:r>
        <w:rPr>
          <w:spacing w:val="-5"/>
        </w:rPr>
        <w:t> </w:t>
      </w:r>
      <w:r>
        <w:rPr/>
        <w:t>en</w:t>
      </w:r>
      <w:r>
        <w:rPr>
          <w:spacing w:val="-4"/>
        </w:rPr>
        <w:t> </w:t>
      </w:r>
      <w:r>
        <w:rPr/>
        <w:t>la</w:t>
      </w:r>
      <w:r>
        <w:rPr>
          <w:spacing w:val="-1"/>
        </w:rPr>
        <w:t> </w:t>
      </w:r>
      <w:r>
        <w:rPr/>
        <w:t>reducción</w:t>
      </w:r>
      <w:r>
        <w:rPr>
          <w:spacing w:val="-2"/>
        </w:rPr>
        <w:t> </w:t>
      </w:r>
      <w:r>
        <w:rPr/>
        <w:t>de</w:t>
      </w:r>
      <w:r>
        <w:rPr>
          <w:spacing w:val="-5"/>
        </w:rPr>
        <w:t> </w:t>
      </w:r>
      <w:r>
        <w:rPr/>
        <w:t>costo</w:t>
      </w:r>
      <w:r>
        <w:rPr>
          <w:spacing w:val="-1"/>
        </w:rPr>
        <w:t> </w:t>
      </w:r>
      <w:r>
        <w:rPr/>
        <w:t>al</w:t>
      </w:r>
      <w:r>
        <w:rPr>
          <w:spacing w:val="-4"/>
        </w:rPr>
        <w:t> </w:t>
      </w:r>
      <w:r>
        <w:rPr/>
        <w:t>diluir</w:t>
      </w:r>
      <w:r>
        <w:rPr>
          <w:spacing w:val="-4"/>
        </w:rPr>
        <w:t> </w:t>
      </w:r>
      <w:r>
        <w:rPr/>
        <w:t>una</w:t>
      </w:r>
      <w:r>
        <w:rPr>
          <w:spacing w:val="-5"/>
        </w:rPr>
        <w:t> </w:t>
      </w:r>
      <w:r>
        <w:rPr/>
        <w:t>productividad</w:t>
      </w:r>
      <w:r>
        <w:rPr>
          <w:spacing w:val="-4"/>
        </w:rPr>
        <w:t> </w:t>
      </w:r>
      <w:r>
        <w:rPr/>
        <w:t>más</w:t>
      </w:r>
      <w:r>
        <w:rPr>
          <w:spacing w:val="-4"/>
        </w:rPr>
        <w:t> </w:t>
      </w:r>
      <w:r>
        <w:rPr/>
        <w:t>grande</w:t>
      </w:r>
      <w:r>
        <w:rPr>
          <w:spacing w:val="-5"/>
        </w:rPr>
        <w:t> </w:t>
      </w:r>
      <w:r>
        <w:rPr/>
        <w:t>por</w:t>
      </w:r>
      <w:r>
        <w:rPr>
          <w:spacing w:val="-5"/>
        </w:rPr>
        <w:t> </w:t>
      </w:r>
      <w:r>
        <w:rPr/>
        <w:t>vaca entre</w:t>
      </w:r>
      <w:r>
        <w:rPr>
          <w:spacing w:val="-17"/>
        </w:rPr>
        <w:t> </w:t>
      </w:r>
      <w:r>
        <w:rPr/>
        <w:t>los</w:t>
      </w:r>
      <w:r>
        <w:rPr>
          <w:spacing w:val="-15"/>
        </w:rPr>
        <w:t> </w:t>
      </w:r>
      <w:r>
        <w:rPr/>
        <w:t>costos</w:t>
      </w:r>
      <w:r>
        <w:rPr>
          <w:spacing w:val="-15"/>
        </w:rPr>
        <w:t> </w:t>
      </w:r>
      <w:r>
        <w:rPr/>
        <w:t>totales</w:t>
      </w:r>
      <w:r>
        <w:rPr>
          <w:spacing w:val="-16"/>
        </w:rPr>
        <w:t> </w:t>
      </w:r>
      <w:r>
        <w:rPr/>
        <w:t>de</w:t>
      </w:r>
      <w:r>
        <w:rPr>
          <w:spacing w:val="-14"/>
        </w:rPr>
        <w:t> </w:t>
      </w:r>
      <w:r>
        <w:rPr/>
        <w:t>producción,</w:t>
      </w:r>
      <w:r>
        <w:rPr>
          <w:spacing w:val="-15"/>
        </w:rPr>
        <w:t> </w:t>
      </w:r>
      <w:r>
        <w:rPr/>
        <w:t>el</w:t>
      </w:r>
      <w:r>
        <w:rPr>
          <w:spacing w:val="-13"/>
        </w:rPr>
        <w:t> </w:t>
      </w:r>
      <w:r>
        <w:rPr/>
        <w:t>resultado</w:t>
      </w:r>
      <w:r>
        <w:rPr>
          <w:spacing w:val="-16"/>
        </w:rPr>
        <w:t> </w:t>
      </w:r>
      <w:r>
        <w:rPr/>
        <w:t>un</w:t>
      </w:r>
      <w:r>
        <w:rPr>
          <w:spacing w:val="-16"/>
        </w:rPr>
        <w:t> </w:t>
      </w:r>
      <w:r>
        <w:rPr/>
        <w:t>menor</w:t>
      </w:r>
      <w:r>
        <w:rPr>
          <w:spacing w:val="-17"/>
        </w:rPr>
        <w:t> </w:t>
      </w:r>
      <w:r>
        <w:rPr/>
        <w:t>costo</w:t>
      </w:r>
      <w:r>
        <w:rPr>
          <w:spacing w:val="-15"/>
        </w:rPr>
        <w:t> </w:t>
      </w:r>
      <w:r>
        <w:rPr/>
        <w:t>por</w:t>
      </w:r>
      <w:r>
        <w:rPr>
          <w:spacing w:val="-17"/>
        </w:rPr>
        <w:t> </w:t>
      </w:r>
      <w:r>
        <w:rPr/>
        <w:t>litro</w:t>
      </w:r>
      <w:r>
        <w:rPr>
          <w:spacing w:val="-16"/>
        </w:rPr>
        <w:t> </w:t>
      </w:r>
      <w:r>
        <w:rPr/>
        <w:t>de</w:t>
      </w:r>
      <w:r>
        <w:rPr>
          <w:spacing w:val="-15"/>
        </w:rPr>
        <w:t> </w:t>
      </w:r>
      <w:r>
        <w:rPr/>
        <w:t>leche,</w:t>
      </w:r>
      <w:r>
        <w:rPr>
          <w:spacing w:val="-16"/>
        </w:rPr>
        <w:t> </w:t>
      </w:r>
      <w:r>
        <w:rPr/>
        <w:t>la</w:t>
      </w:r>
      <w:r>
        <w:rPr>
          <w:spacing w:val="-14"/>
        </w:rPr>
        <w:t> </w:t>
      </w:r>
      <w:r>
        <w:rPr/>
        <w:t>tercera</w:t>
      </w:r>
    </w:p>
    <w:p>
      <w:pPr>
        <w:spacing w:after="0" w:line="360" w:lineRule="auto"/>
        <w:jc w:val="both"/>
        <w:sectPr>
          <w:pgSz w:w="12240" w:h="15840"/>
          <w:pgMar w:header="0" w:footer="657" w:top="1360" w:bottom="840" w:left="1600" w:right="1580"/>
        </w:sectPr>
      </w:pPr>
    </w:p>
    <w:p>
      <w:pPr>
        <w:pStyle w:val="BodyText"/>
        <w:spacing w:line="360" w:lineRule="auto" w:before="50"/>
        <w:ind w:left="102" w:right="115"/>
        <w:jc w:val="both"/>
      </w:pPr>
      <w:r>
        <w:rPr/>
        <w:t>estrategia fue aprovechar la condición de la escala productiva para obtener la mayor entrada de ingresos por unidad productiva, esta estrategia permite tener un mayor flujo de efectivo disponible para cubrir las necesidades de la unidad y los satisfactores de los miembros de la familia. Los resultados obtenidos en este trabajo se asemejan a lo reportado por Alfonso- Ávila et al. (2011), los cuales mencionan que los sistemas lecheros de pequeña escala deben acogerse las fortalezas internas con las que cuentan, las cuales permiten tener una</w:t>
      </w:r>
      <w:r>
        <w:rPr>
          <w:spacing w:val="-25"/>
        </w:rPr>
        <w:t> </w:t>
      </w:r>
      <w:r>
        <w:rPr/>
        <w:t>capacidad de</w:t>
      </w:r>
      <w:r>
        <w:rPr>
          <w:spacing w:val="-11"/>
        </w:rPr>
        <w:t> </w:t>
      </w:r>
      <w:r>
        <w:rPr/>
        <w:t>arrastre</w:t>
      </w:r>
      <w:r>
        <w:rPr>
          <w:spacing w:val="-11"/>
        </w:rPr>
        <w:t> </w:t>
      </w:r>
      <w:r>
        <w:rPr/>
        <w:t>en</w:t>
      </w:r>
      <w:r>
        <w:rPr>
          <w:spacing w:val="-10"/>
        </w:rPr>
        <w:t> </w:t>
      </w:r>
      <w:r>
        <w:rPr/>
        <w:t>beneficios</w:t>
      </w:r>
      <w:r>
        <w:rPr>
          <w:spacing w:val="-7"/>
        </w:rPr>
        <w:t> </w:t>
      </w:r>
      <w:r>
        <w:rPr/>
        <w:t>como</w:t>
      </w:r>
      <w:r>
        <w:rPr>
          <w:spacing w:val="-9"/>
        </w:rPr>
        <w:t> </w:t>
      </w:r>
      <w:r>
        <w:rPr/>
        <w:t>disminución</w:t>
      </w:r>
      <w:r>
        <w:rPr>
          <w:spacing w:val="-10"/>
        </w:rPr>
        <w:t> </w:t>
      </w:r>
      <w:r>
        <w:rPr/>
        <w:t>de</w:t>
      </w:r>
      <w:r>
        <w:rPr>
          <w:spacing w:val="-11"/>
        </w:rPr>
        <w:t> </w:t>
      </w:r>
      <w:r>
        <w:rPr/>
        <w:t>costos</w:t>
      </w:r>
      <w:r>
        <w:rPr>
          <w:spacing w:val="-7"/>
        </w:rPr>
        <w:t> </w:t>
      </w:r>
      <w:r>
        <w:rPr/>
        <w:t>y</w:t>
      </w:r>
      <w:r>
        <w:rPr>
          <w:spacing w:val="-16"/>
        </w:rPr>
        <w:t> </w:t>
      </w:r>
      <w:r>
        <w:rPr/>
        <w:t>aumento</w:t>
      </w:r>
      <w:r>
        <w:rPr>
          <w:spacing w:val="-10"/>
        </w:rPr>
        <w:t> </w:t>
      </w:r>
      <w:r>
        <w:rPr/>
        <w:t>de</w:t>
      </w:r>
      <w:r>
        <w:rPr>
          <w:spacing w:val="-11"/>
        </w:rPr>
        <w:t> </w:t>
      </w:r>
      <w:r>
        <w:rPr/>
        <w:t>utilidad</w:t>
      </w:r>
      <w:r>
        <w:rPr>
          <w:spacing w:val="-10"/>
        </w:rPr>
        <w:t> </w:t>
      </w:r>
      <w:r>
        <w:rPr/>
        <w:t>por</w:t>
      </w:r>
      <w:r>
        <w:rPr>
          <w:spacing w:val="-10"/>
        </w:rPr>
        <w:t> </w:t>
      </w:r>
      <w:r>
        <w:rPr/>
        <w:t>litro</w:t>
      </w:r>
      <w:r>
        <w:rPr>
          <w:spacing w:val="-10"/>
        </w:rPr>
        <w:t> </w:t>
      </w:r>
      <w:r>
        <w:rPr/>
        <w:t>de</w:t>
      </w:r>
      <w:r>
        <w:rPr>
          <w:spacing w:val="-11"/>
        </w:rPr>
        <w:t> </w:t>
      </w:r>
      <w:r>
        <w:rPr/>
        <w:t>leche puesto en el</w:t>
      </w:r>
      <w:r>
        <w:rPr>
          <w:spacing w:val="-6"/>
        </w:rPr>
        <w:t> </w:t>
      </w:r>
      <w:r>
        <w:rPr/>
        <w:t>mercado.</w:t>
      </w:r>
    </w:p>
    <w:p>
      <w:pPr>
        <w:pStyle w:val="BodyText"/>
      </w:pPr>
    </w:p>
    <w:p>
      <w:pPr>
        <w:pStyle w:val="BodyText"/>
        <w:spacing w:line="360" w:lineRule="auto" w:before="143"/>
        <w:ind w:left="102" w:right="116"/>
        <w:jc w:val="both"/>
      </w:pPr>
      <w:r>
        <w:rPr/>
        <w:t>El análisis de costos fijos en las tres escalas de productores analizados entre los periodos 2000 y 2012 indica una tendencia en la disminución de costo de su principal activo productivo (vacas en producción), el cual representa más del 50% de los activos necesarios para</w:t>
      </w:r>
      <w:r>
        <w:rPr>
          <w:spacing w:val="-6"/>
        </w:rPr>
        <w:t> </w:t>
      </w:r>
      <w:r>
        <w:rPr/>
        <w:t>producir</w:t>
      </w:r>
      <w:r>
        <w:rPr>
          <w:spacing w:val="-5"/>
        </w:rPr>
        <w:t> </w:t>
      </w:r>
      <w:r>
        <w:rPr/>
        <w:t>un</w:t>
      </w:r>
      <w:r>
        <w:rPr>
          <w:spacing w:val="-4"/>
        </w:rPr>
        <w:t> </w:t>
      </w:r>
      <w:r>
        <w:rPr/>
        <w:t>litro</w:t>
      </w:r>
      <w:r>
        <w:rPr>
          <w:spacing w:val="-4"/>
        </w:rPr>
        <w:t> </w:t>
      </w:r>
      <w:r>
        <w:rPr/>
        <w:t>de</w:t>
      </w:r>
      <w:r>
        <w:rPr>
          <w:spacing w:val="-5"/>
        </w:rPr>
        <w:t> </w:t>
      </w:r>
      <w:r>
        <w:rPr/>
        <w:t>leche,</w:t>
      </w:r>
      <w:r>
        <w:rPr>
          <w:spacing w:val="-4"/>
        </w:rPr>
        <w:t> </w:t>
      </w:r>
      <w:r>
        <w:rPr/>
        <w:t>esta</w:t>
      </w:r>
      <w:r>
        <w:rPr>
          <w:spacing w:val="-4"/>
        </w:rPr>
        <w:t> </w:t>
      </w:r>
      <w:r>
        <w:rPr/>
        <w:t>es</w:t>
      </w:r>
      <w:r>
        <w:rPr>
          <w:spacing w:val="-4"/>
        </w:rPr>
        <w:t> </w:t>
      </w:r>
      <w:r>
        <w:rPr/>
        <w:t>una</w:t>
      </w:r>
      <w:r>
        <w:rPr>
          <w:spacing w:val="-5"/>
        </w:rPr>
        <w:t> </w:t>
      </w:r>
      <w:r>
        <w:rPr/>
        <w:t>más</w:t>
      </w:r>
      <w:r>
        <w:rPr>
          <w:spacing w:val="-4"/>
        </w:rPr>
        <w:t> </w:t>
      </w:r>
      <w:r>
        <w:rPr/>
        <w:t>de</w:t>
      </w:r>
      <w:r>
        <w:rPr>
          <w:spacing w:val="-5"/>
        </w:rPr>
        <w:t> </w:t>
      </w:r>
      <w:r>
        <w:rPr/>
        <w:t>las</w:t>
      </w:r>
      <w:r>
        <w:rPr>
          <w:spacing w:val="-4"/>
        </w:rPr>
        <w:t> </w:t>
      </w:r>
      <w:r>
        <w:rPr/>
        <w:t>fortalezas</w:t>
      </w:r>
      <w:r>
        <w:rPr>
          <w:spacing w:val="-4"/>
        </w:rPr>
        <w:t> </w:t>
      </w:r>
      <w:r>
        <w:rPr/>
        <w:t>que</w:t>
      </w:r>
      <w:r>
        <w:rPr>
          <w:spacing w:val="-5"/>
        </w:rPr>
        <w:t> </w:t>
      </w:r>
      <w:r>
        <w:rPr/>
        <w:t>se</w:t>
      </w:r>
      <w:r>
        <w:rPr>
          <w:spacing w:val="-5"/>
        </w:rPr>
        <w:t> </w:t>
      </w:r>
      <w:r>
        <w:rPr/>
        <w:t>añaden</w:t>
      </w:r>
      <w:r>
        <w:rPr>
          <w:spacing w:val="-4"/>
        </w:rPr>
        <w:t> </w:t>
      </w:r>
      <w:r>
        <w:rPr/>
        <w:t>a</w:t>
      </w:r>
      <w:r>
        <w:rPr>
          <w:spacing w:val="-5"/>
        </w:rPr>
        <w:t> </w:t>
      </w:r>
      <w:r>
        <w:rPr/>
        <w:t>los</w:t>
      </w:r>
      <w:r>
        <w:rPr>
          <w:spacing w:val="-3"/>
        </w:rPr>
        <w:t> </w:t>
      </w:r>
      <w:r>
        <w:rPr/>
        <w:t>sistemas lecheros de pequeña escala la cual permite a la unidad productiva tener una renovación constante</w:t>
      </w:r>
      <w:r>
        <w:rPr>
          <w:spacing w:val="-4"/>
        </w:rPr>
        <w:t> </w:t>
      </w:r>
      <w:r>
        <w:rPr/>
        <w:t>de</w:t>
      </w:r>
      <w:r>
        <w:rPr>
          <w:spacing w:val="-3"/>
        </w:rPr>
        <w:t> </w:t>
      </w:r>
      <w:r>
        <w:rPr/>
        <w:t>su</w:t>
      </w:r>
      <w:r>
        <w:rPr>
          <w:spacing w:val="-4"/>
        </w:rPr>
        <w:t> </w:t>
      </w:r>
      <w:r>
        <w:rPr/>
        <w:t>hato</w:t>
      </w:r>
      <w:r>
        <w:rPr>
          <w:spacing w:val="-1"/>
        </w:rPr>
        <w:t> </w:t>
      </w:r>
      <w:r>
        <w:rPr/>
        <w:t>con</w:t>
      </w:r>
      <w:r>
        <w:rPr>
          <w:spacing w:val="-2"/>
        </w:rPr>
        <w:t> </w:t>
      </w:r>
      <w:r>
        <w:rPr/>
        <w:t>su</w:t>
      </w:r>
      <w:r>
        <w:rPr>
          <w:spacing w:val="-4"/>
        </w:rPr>
        <w:t> </w:t>
      </w:r>
      <w:r>
        <w:rPr/>
        <w:t>propio</w:t>
      </w:r>
      <w:r>
        <w:rPr>
          <w:spacing w:val="-4"/>
        </w:rPr>
        <w:t> </w:t>
      </w:r>
      <w:r>
        <w:rPr/>
        <w:t>pie</w:t>
      </w:r>
      <w:r>
        <w:rPr>
          <w:spacing w:val="-4"/>
        </w:rPr>
        <w:t> </w:t>
      </w:r>
      <w:r>
        <w:rPr/>
        <w:t>de</w:t>
      </w:r>
      <w:r>
        <w:rPr>
          <w:spacing w:val="-5"/>
        </w:rPr>
        <w:t> </w:t>
      </w:r>
      <w:r>
        <w:rPr/>
        <w:t>cría</w:t>
      </w:r>
      <w:r>
        <w:rPr>
          <w:spacing w:val="-5"/>
        </w:rPr>
        <w:t> </w:t>
      </w:r>
      <w:r>
        <w:rPr/>
        <w:t>a</w:t>
      </w:r>
      <w:r>
        <w:rPr>
          <w:spacing w:val="-3"/>
        </w:rPr>
        <w:t> </w:t>
      </w:r>
      <w:r>
        <w:rPr/>
        <w:t>bajos</w:t>
      </w:r>
      <w:r>
        <w:rPr>
          <w:spacing w:val="-3"/>
        </w:rPr>
        <w:t> </w:t>
      </w:r>
      <w:r>
        <w:rPr/>
        <w:t>costo</w:t>
      </w:r>
      <w:r>
        <w:rPr>
          <w:spacing w:val="-3"/>
        </w:rPr>
        <w:t> </w:t>
      </w:r>
      <w:r>
        <w:rPr/>
        <w:t>de</w:t>
      </w:r>
      <w:r>
        <w:rPr>
          <w:spacing w:val="-5"/>
        </w:rPr>
        <w:t> </w:t>
      </w:r>
      <w:r>
        <w:rPr/>
        <w:t>refinanciamiento.</w:t>
      </w:r>
      <w:r>
        <w:rPr>
          <w:spacing w:val="-4"/>
        </w:rPr>
        <w:t> </w:t>
      </w:r>
      <w:r>
        <w:rPr/>
        <w:t>Así</w:t>
      </w:r>
      <w:r>
        <w:rPr>
          <w:spacing w:val="-4"/>
        </w:rPr>
        <w:t> </w:t>
      </w:r>
      <w:r>
        <w:rPr/>
        <w:t>mismo, cabe</w:t>
      </w:r>
      <w:r>
        <w:rPr>
          <w:spacing w:val="-5"/>
        </w:rPr>
        <w:t> </w:t>
      </w:r>
      <w:r>
        <w:rPr/>
        <w:t>resaltar</w:t>
      </w:r>
      <w:r>
        <w:rPr>
          <w:spacing w:val="-7"/>
        </w:rPr>
        <w:t> </w:t>
      </w:r>
      <w:r>
        <w:rPr/>
        <w:t>que</w:t>
      </w:r>
      <w:r>
        <w:rPr>
          <w:spacing w:val="-7"/>
        </w:rPr>
        <w:t> </w:t>
      </w:r>
      <w:r>
        <w:rPr/>
        <w:t>las</w:t>
      </w:r>
      <w:r>
        <w:rPr>
          <w:spacing w:val="-6"/>
        </w:rPr>
        <w:t> </w:t>
      </w:r>
      <w:r>
        <w:rPr/>
        <w:t>tres</w:t>
      </w:r>
      <w:r>
        <w:rPr>
          <w:spacing w:val="-4"/>
        </w:rPr>
        <w:t> </w:t>
      </w:r>
      <w:r>
        <w:rPr/>
        <w:t>escalas</w:t>
      </w:r>
      <w:r>
        <w:rPr>
          <w:spacing w:val="-7"/>
        </w:rPr>
        <w:t> </w:t>
      </w:r>
      <w:r>
        <w:rPr/>
        <w:t>de</w:t>
      </w:r>
      <w:r>
        <w:rPr>
          <w:spacing w:val="-7"/>
        </w:rPr>
        <w:t> </w:t>
      </w:r>
      <w:r>
        <w:rPr/>
        <w:t>productores</w:t>
      </w:r>
      <w:r>
        <w:rPr>
          <w:spacing w:val="-6"/>
        </w:rPr>
        <w:t> </w:t>
      </w:r>
      <w:r>
        <w:rPr/>
        <w:t>presentaron</w:t>
      </w:r>
      <w:r>
        <w:rPr>
          <w:spacing w:val="-6"/>
        </w:rPr>
        <w:t> </w:t>
      </w:r>
      <w:r>
        <w:rPr/>
        <w:t>un</w:t>
      </w:r>
      <w:r>
        <w:rPr>
          <w:spacing w:val="-4"/>
        </w:rPr>
        <w:t> </w:t>
      </w:r>
      <w:r>
        <w:rPr/>
        <w:t>comportamiento</w:t>
      </w:r>
      <w:r>
        <w:rPr>
          <w:spacing w:val="-6"/>
        </w:rPr>
        <w:t> </w:t>
      </w:r>
      <w:r>
        <w:rPr/>
        <w:t>creciente</w:t>
      </w:r>
      <w:r>
        <w:rPr>
          <w:spacing w:val="-5"/>
        </w:rPr>
        <w:t> </w:t>
      </w:r>
      <w:r>
        <w:rPr/>
        <w:t>en el</w:t>
      </w:r>
      <w:r>
        <w:rPr>
          <w:spacing w:val="-6"/>
        </w:rPr>
        <w:t> </w:t>
      </w:r>
      <w:r>
        <w:rPr/>
        <w:t>resto</w:t>
      </w:r>
      <w:r>
        <w:rPr>
          <w:spacing w:val="-6"/>
        </w:rPr>
        <w:t> </w:t>
      </w:r>
      <w:r>
        <w:rPr/>
        <w:t>de</w:t>
      </w:r>
      <w:r>
        <w:rPr>
          <w:spacing w:val="-7"/>
        </w:rPr>
        <w:t> </w:t>
      </w:r>
      <w:r>
        <w:rPr/>
        <w:t>sus</w:t>
      </w:r>
      <w:r>
        <w:rPr>
          <w:spacing w:val="-4"/>
        </w:rPr>
        <w:t> </w:t>
      </w:r>
      <w:r>
        <w:rPr/>
        <w:t>activos</w:t>
      </w:r>
      <w:r>
        <w:rPr>
          <w:spacing w:val="-4"/>
        </w:rPr>
        <w:t> </w:t>
      </w:r>
      <w:r>
        <w:rPr/>
        <w:t>fijos,</w:t>
      </w:r>
      <w:r>
        <w:rPr>
          <w:spacing w:val="-6"/>
        </w:rPr>
        <w:t> </w:t>
      </w:r>
      <w:r>
        <w:rPr/>
        <w:t>lo</w:t>
      </w:r>
      <w:r>
        <w:rPr>
          <w:spacing w:val="-6"/>
        </w:rPr>
        <w:t> </w:t>
      </w:r>
      <w:r>
        <w:rPr/>
        <w:t>cual</w:t>
      </w:r>
      <w:r>
        <w:rPr>
          <w:spacing w:val="-4"/>
        </w:rPr>
        <w:t> </w:t>
      </w:r>
      <w:r>
        <w:rPr/>
        <w:t>devela</w:t>
      </w:r>
      <w:r>
        <w:rPr>
          <w:spacing w:val="-7"/>
        </w:rPr>
        <w:t> </w:t>
      </w:r>
      <w:r>
        <w:rPr/>
        <w:t>que</w:t>
      </w:r>
      <w:r>
        <w:rPr>
          <w:spacing w:val="-5"/>
        </w:rPr>
        <w:t> </w:t>
      </w:r>
      <w:r>
        <w:rPr/>
        <w:t>los</w:t>
      </w:r>
      <w:r>
        <w:rPr>
          <w:spacing w:val="-3"/>
        </w:rPr>
        <w:t> </w:t>
      </w:r>
      <w:r>
        <w:rPr/>
        <w:t>productores</w:t>
      </w:r>
      <w:r>
        <w:rPr>
          <w:spacing w:val="-4"/>
        </w:rPr>
        <w:t> </w:t>
      </w:r>
      <w:r>
        <w:rPr/>
        <w:t>invierten</w:t>
      </w:r>
      <w:r>
        <w:rPr>
          <w:spacing w:val="-6"/>
        </w:rPr>
        <w:t> </w:t>
      </w:r>
      <w:r>
        <w:rPr/>
        <w:t>un</w:t>
      </w:r>
      <w:r>
        <w:rPr>
          <w:spacing w:val="-2"/>
        </w:rPr>
        <w:t> </w:t>
      </w:r>
      <w:r>
        <w:rPr/>
        <w:t>porcentaje</w:t>
      </w:r>
      <w:r>
        <w:rPr>
          <w:spacing w:val="-5"/>
        </w:rPr>
        <w:t> </w:t>
      </w:r>
      <w:r>
        <w:rPr/>
        <w:t>de</w:t>
      </w:r>
      <w:r>
        <w:rPr>
          <w:spacing w:val="-5"/>
        </w:rPr>
        <w:t> </w:t>
      </w:r>
      <w:r>
        <w:rPr/>
        <w:t>sus ingresos en el mantenimiento de sus activos. El comportamiento anterior es de vital importancia en la evaluación económica de un sistema productivo, </w:t>
      </w:r>
      <w:r>
        <w:rPr>
          <w:spacing w:val="-3"/>
        </w:rPr>
        <w:t>ya </w:t>
      </w:r>
      <w:r>
        <w:rPr/>
        <w:t>que de no considerar las erogaciones por concepto de activos fijos en la contabilidad final de los costos de producción,</w:t>
      </w:r>
      <w:r>
        <w:rPr>
          <w:spacing w:val="-15"/>
        </w:rPr>
        <w:t> </w:t>
      </w:r>
      <w:r>
        <w:rPr/>
        <w:t>el</w:t>
      </w:r>
      <w:r>
        <w:rPr>
          <w:spacing w:val="-13"/>
        </w:rPr>
        <w:t> </w:t>
      </w:r>
      <w:r>
        <w:rPr/>
        <w:t>efecto</w:t>
      </w:r>
      <w:r>
        <w:rPr>
          <w:spacing w:val="-15"/>
        </w:rPr>
        <w:t> </w:t>
      </w:r>
      <w:r>
        <w:rPr/>
        <w:t>de</w:t>
      </w:r>
      <w:r>
        <w:rPr>
          <w:spacing w:val="-17"/>
        </w:rPr>
        <w:t> </w:t>
      </w:r>
      <w:r>
        <w:rPr/>
        <w:t>su</w:t>
      </w:r>
      <w:r>
        <w:rPr>
          <w:spacing w:val="-16"/>
        </w:rPr>
        <w:t> </w:t>
      </w:r>
      <w:r>
        <w:rPr/>
        <w:t>omisión</w:t>
      </w:r>
      <w:r>
        <w:rPr>
          <w:spacing w:val="-15"/>
        </w:rPr>
        <w:t> </w:t>
      </w:r>
      <w:r>
        <w:rPr/>
        <w:t>se</w:t>
      </w:r>
      <w:r>
        <w:rPr>
          <w:spacing w:val="-17"/>
        </w:rPr>
        <w:t> </w:t>
      </w:r>
      <w:r>
        <w:rPr/>
        <w:t>presenta</w:t>
      </w:r>
      <w:r>
        <w:rPr>
          <w:spacing w:val="-14"/>
        </w:rPr>
        <w:t> </w:t>
      </w:r>
      <w:r>
        <w:rPr/>
        <w:t>cuando</w:t>
      </w:r>
      <w:r>
        <w:rPr>
          <w:spacing w:val="-16"/>
        </w:rPr>
        <w:t> </w:t>
      </w:r>
      <w:r>
        <w:rPr/>
        <w:t>se</w:t>
      </w:r>
      <w:r>
        <w:rPr>
          <w:spacing w:val="-17"/>
        </w:rPr>
        <w:t> </w:t>
      </w:r>
      <w:r>
        <w:rPr/>
        <w:t>requiera</w:t>
      </w:r>
      <w:r>
        <w:rPr>
          <w:spacing w:val="-18"/>
        </w:rPr>
        <w:t> </w:t>
      </w:r>
      <w:r>
        <w:rPr/>
        <w:t>la</w:t>
      </w:r>
      <w:r>
        <w:rPr>
          <w:spacing w:val="-14"/>
        </w:rPr>
        <w:t> </w:t>
      </w:r>
      <w:r>
        <w:rPr/>
        <w:t>reposición</w:t>
      </w:r>
      <w:r>
        <w:rPr>
          <w:spacing w:val="-15"/>
        </w:rPr>
        <w:t> </w:t>
      </w:r>
      <w:r>
        <w:rPr/>
        <w:t>de</w:t>
      </w:r>
      <w:r>
        <w:rPr>
          <w:spacing w:val="-17"/>
        </w:rPr>
        <w:t> </w:t>
      </w:r>
      <w:r>
        <w:rPr/>
        <w:t>los</w:t>
      </w:r>
      <w:r>
        <w:rPr>
          <w:spacing w:val="-15"/>
        </w:rPr>
        <w:t> </w:t>
      </w:r>
      <w:r>
        <w:rPr/>
        <w:t>activos Magaña y Morales (2011), y su repercusión se dará en la falta de</w:t>
      </w:r>
      <w:r>
        <w:rPr>
          <w:spacing w:val="-12"/>
        </w:rPr>
        <w:t> </w:t>
      </w:r>
      <w:r>
        <w:rPr/>
        <w:t>liquidez.</w:t>
      </w:r>
    </w:p>
    <w:p>
      <w:pPr>
        <w:pStyle w:val="BodyText"/>
      </w:pPr>
    </w:p>
    <w:p>
      <w:pPr>
        <w:pStyle w:val="BodyText"/>
        <w:spacing w:line="360" w:lineRule="auto" w:before="143"/>
        <w:ind w:left="102" w:right="113"/>
        <w:jc w:val="both"/>
      </w:pPr>
      <w:r>
        <w:rPr/>
        <w:t>Considerando lo anterior, se puede decir que la composición porcentual del costo fijo tiene relevancia en la administración de la producción, </w:t>
      </w:r>
      <w:r>
        <w:rPr>
          <w:spacing w:val="-3"/>
        </w:rPr>
        <w:t>ya </w:t>
      </w:r>
      <w:r>
        <w:rPr/>
        <w:t>que variaciones en los precios hacia la baja afectan en forma más sensible a los productores cuyo costo fijo es menor (Magaña y Morales,</w:t>
      </w:r>
      <w:r>
        <w:rPr>
          <w:spacing w:val="-7"/>
        </w:rPr>
        <w:t> </w:t>
      </w:r>
      <w:r>
        <w:rPr/>
        <w:t>2011) </w:t>
      </w:r>
      <w:r>
        <w:rPr>
          <w:spacing w:val="-3"/>
        </w:rPr>
        <w:t>ya</w:t>
      </w:r>
      <w:r>
        <w:rPr>
          <w:spacing w:val="-7"/>
        </w:rPr>
        <w:t> </w:t>
      </w:r>
      <w:r>
        <w:rPr/>
        <w:t>que</w:t>
      </w:r>
      <w:r>
        <w:rPr>
          <w:spacing w:val="-7"/>
        </w:rPr>
        <w:t> </w:t>
      </w:r>
      <w:r>
        <w:rPr/>
        <w:t>este</w:t>
      </w:r>
      <w:r>
        <w:rPr>
          <w:spacing w:val="-7"/>
        </w:rPr>
        <w:t> </w:t>
      </w:r>
      <w:r>
        <w:rPr/>
        <w:t>rubro</w:t>
      </w:r>
      <w:r>
        <w:rPr>
          <w:spacing w:val="-6"/>
        </w:rPr>
        <w:t> </w:t>
      </w:r>
      <w:r>
        <w:rPr/>
        <w:t>determina</w:t>
      </w:r>
      <w:r>
        <w:rPr>
          <w:spacing w:val="-5"/>
        </w:rPr>
        <w:t> </w:t>
      </w:r>
      <w:r>
        <w:rPr/>
        <w:t>el</w:t>
      </w:r>
      <w:r>
        <w:rPr>
          <w:spacing w:val="-6"/>
        </w:rPr>
        <w:t> </w:t>
      </w:r>
      <w:r>
        <w:rPr/>
        <w:t>nivel</w:t>
      </w:r>
      <w:r>
        <w:rPr>
          <w:spacing w:val="-6"/>
        </w:rPr>
        <w:t> </w:t>
      </w:r>
      <w:r>
        <w:rPr/>
        <w:t>de</w:t>
      </w:r>
      <w:r>
        <w:rPr>
          <w:spacing w:val="-7"/>
        </w:rPr>
        <w:t> </w:t>
      </w:r>
      <w:r>
        <w:rPr/>
        <w:t>producción,</w:t>
      </w:r>
      <w:r>
        <w:rPr>
          <w:spacing w:val="-2"/>
        </w:rPr>
        <w:t> </w:t>
      </w:r>
      <w:r>
        <w:rPr/>
        <w:t>y</w:t>
      </w:r>
      <w:r>
        <w:rPr>
          <w:spacing w:val="-11"/>
        </w:rPr>
        <w:t> </w:t>
      </w:r>
      <w:r>
        <w:rPr/>
        <w:t>mide</w:t>
      </w:r>
      <w:r>
        <w:rPr>
          <w:spacing w:val="-5"/>
        </w:rPr>
        <w:t> </w:t>
      </w:r>
      <w:r>
        <w:rPr/>
        <w:t>el</w:t>
      </w:r>
      <w:r>
        <w:rPr>
          <w:spacing w:val="-6"/>
        </w:rPr>
        <w:t> </w:t>
      </w:r>
      <w:r>
        <w:rPr/>
        <w:t>limite</w:t>
      </w:r>
      <w:r>
        <w:rPr>
          <w:spacing w:val="-7"/>
        </w:rPr>
        <w:t> </w:t>
      </w:r>
      <w:r>
        <w:rPr/>
        <w:t>donde</w:t>
      </w:r>
      <w:r>
        <w:rPr>
          <w:spacing w:val="-7"/>
        </w:rPr>
        <w:t> </w:t>
      </w:r>
      <w:r>
        <w:rPr/>
        <w:t>el sistema de producción en términos de eficiencia puede sostener el pago de sus activos fijos, por lo cual su contemplación dentro del cómputo final de la contabilidad de costos es determinante si no se quiere subestimar los costos de producción y determinar un grado de rentabilidad que no esté en función al sistema de</w:t>
      </w:r>
      <w:r>
        <w:rPr>
          <w:spacing w:val="-10"/>
        </w:rPr>
        <w:t> </w:t>
      </w:r>
      <w:r>
        <w:rPr/>
        <w:t>producción.</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El comparativo entre el deflactor compuesto y el deflactor del INPC demostró que entre los periodos analizados 2000 y 2012 el INPC creció a una mayor velocidad (70.03%) que prácticamente todos los rubros que sostuvieron los mayores costos de producción entre periodos productivos (depreciación de animales, otros gastos, combustible, agua, luz, medicamentos</w:t>
      </w:r>
      <w:r>
        <w:rPr>
          <w:spacing w:val="-4"/>
        </w:rPr>
        <w:t> </w:t>
      </w:r>
      <w:r>
        <w:rPr/>
        <w:t>y</w:t>
      </w:r>
      <w:r>
        <w:rPr>
          <w:spacing w:val="-13"/>
        </w:rPr>
        <w:t> </w:t>
      </w:r>
      <w:r>
        <w:rPr/>
        <w:t>alimento),</w:t>
      </w:r>
      <w:r>
        <w:rPr>
          <w:spacing w:val="-9"/>
        </w:rPr>
        <w:t> </w:t>
      </w:r>
      <w:r>
        <w:rPr/>
        <w:t>este</w:t>
      </w:r>
      <w:r>
        <w:rPr>
          <w:spacing w:val="-9"/>
        </w:rPr>
        <w:t> </w:t>
      </w:r>
      <w:r>
        <w:rPr/>
        <w:t>comportamiento</w:t>
      </w:r>
      <w:r>
        <w:rPr>
          <w:spacing w:val="-8"/>
        </w:rPr>
        <w:t> </w:t>
      </w:r>
      <w:r>
        <w:rPr/>
        <w:t>indicó</w:t>
      </w:r>
      <w:r>
        <w:rPr>
          <w:spacing w:val="-8"/>
        </w:rPr>
        <w:t> </w:t>
      </w:r>
      <w:r>
        <w:rPr/>
        <w:t>una</w:t>
      </w:r>
      <w:r>
        <w:rPr>
          <w:spacing w:val="-10"/>
        </w:rPr>
        <w:t> </w:t>
      </w:r>
      <w:r>
        <w:rPr/>
        <w:t>condición</w:t>
      </w:r>
      <w:r>
        <w:rPr>
          <w:spacing w:val="-9"/>
        </w:rPr>
        <w:t> </w:t>
      </w:r>
      <w:r>
        <w:rPr/>
        <w:t>de</w:t>
      </w:r>
      <w:r>
        <w:rPr>
          <w:spacing w:val="-7"/>
        </w:rPr>
        <w:t> </w:t>
      </w:r>
      <w:r>
        <w:rPr/>
        <w:t>relativa</w:t>
      </w:r>
      <w:r>
        <w:rPr>
          <w:spacing w:val="-10"/>
        </w:rPr>
        <w:t> </w:t>
      </w:r>
      <w:r>
        <w:rPr/>
        <w:t>estabilidad a</w:t>
      </w:r>
      <w:r>
        <w:rPr>
          <w:spacing w:val="-7"/>
        </w:rPr>
        <w:t> </w:t>
      </w:r>
      <w:r>
        <w:rPr/>
        <w:t>lo</w:t>
      </w:r>
      <w:r>
        <w:rPr>
          <w:spacing w:val="-6"/>
        </w:rPr>
        <w:t> </w:t>
      </w:r>
      <w:r>
        <w:rPr/>
        <w:t>largo</w:t>
      </w:r>
      <w:r>
        <w:rPr>
          <w:spacing w:val="-6"/>
        </w:rPr>
        <w:t> </w:t>
      </w:r>
      <w:r>
        <w:rPr/>
        <w:t>de</w:t>
      </w:r>
      <w:r>
        <w:rPr>
          <w:spacing w:val="-7"/>
        </w:rPr>
        <w:t> </w:t>
      </w:r>
      <w:r>
        <w:rPr/>
        <w:t>10</w:t>
      </w:r>
      <w:r>
        <w:rPr>
          <w:spacing w:val="-6"/>
        </w:rPr>
        <w:t> </w:t>
      </w:r>
      <w:r>
        <w:rPr/>
        <w:t>años</w:t>
      </w:r>
      <w:r>
        <w:rPr>
          <w:spacing w:val="-4"/>
        </w:rPr>
        <w:t> </w:t>
      </w:r>
      <w:r>
        <w:rPr/>
        <w:t>en</w:t>
      </w:r>
      <w:r>
        <w:rPr>
          <w:spacing w:val="-6"/>
        </w:rPr>
        <w:t> </w:t>
      </w:r>
      <w:r>
        <w:rPr/>
        <w:t>la</w:t>
      </w:r>
      <w:r>
        <w:rPr>
          <w:spacing w:val="-7"/>
        </w:rPr>
        <w:t> </w:t>
      </w:r>
      <w:r>
        <w:rPr/>
        <w:t>producción</w:t>
      </w:r>
      <w:r>
        <w:rPr>
          <w:spacing w:val="-6"/>
        </w:rPr>
        <w:t> </w:t>
      </w:r>
      <w:r>
        <w:rPr/>
        <w:t>lechera</w:t>
      </w:r>
      <w:r>
        <w:rPr>
          <w:spacing w:val="-6"/>
        </w:rPr>
        <w:t> </w:t>
      </w:r>
      <w:r>
        <w:rPr/>
        <w:t>de</w:t>
      </w:r>
      <w:r>
        <w:rPr>
          <w:spacing w:val="-7"/>
        </w:rPr>
        <w:t> </w:t>
      </w:r>
      <w:r>
        <w:rPr/>
        <w:t>pequeña</w:t>
      </w:r>
      <w:r>
        <w:rPr>
          <w:spacing w:val="-5"/>
        </w:rPr>
        <w:t> </w:t>
      </w:r>
      <w:r>
        <w:rPr/>
        <w:t>escala,</w:t>
      </w:r>
      <w:r>
        <w:rPr>
          <w:spacing w:val="-6"/>
        </w:rPr>
        <w:t> </w:t>
      </w:r>
      <w:r>
        <w:rPr/>
        <w:t>apoyada</w:t>
      </w:r>
      <w:r>
        <w:rPr>
          <w:spacing w:val="-7"/>
        </w:rPr>
        <w:t> </w:t>
      </w:r>
      <w:r>
        <w:rPr/>
        <w:t>principalmente</w:t>
      </w:r>
      <w:r>
        <w:rPr>
          <w:spacing w:val="-7"/>
        </w:rPr>
        <w:t> </w:t>
      </w:r>
      <w:r>
        <w:rPr/>
        <w:t>en las fortalezas o estrategias internas (uso de mano de obra familiar, la producción propia de insumos, estrategias de comercialización y volumen de producción puesto en el mercado) que son aprovechadas de manera eficiente por los productores para disminuir costos de producción y ampliar su margen de beneficios. Así mismo, cabe destacar la evolución positiva que ha tenido la tasa inflacionaria (de 8.06 en el 2000 a 4.77 en 2012) en el periodo examinado, lo cual puede explicar una cierta incidencia para que las tres escalas de productores analizados presentaran costos de producción inferiores a los erogados en el periodo</w:t>
      </w:r>
      <w:r>
        <w:rPr>
          <w:spacing w:val="-5"/>
        </w:rPr>
        <w:t> </w:t>
      </w:r>
      <w:r>
        <w:rPr/>
        <w:t>2000,</w:t>
      </w:r>
      <w:r>
        <w:rPr>
          <w:spacing w:val="-5"/>
        </w:rPr>
        <w:t> </w:t>
      </w:r>
      <w:r>
        <w:rPr/>
        <w:t>sin</w:t>
      </w:r>
      <w:r>
        <w:rPr>
          <w:spacing w:val="-4"/>
        </w:rPr>
        <w:t> </w:t>
      </w:r>
      <w:r>
        <w:rPr/>
        <w:t>embargo,</w:t>
      </w:r>
      <w:r>
        <w:rPr>
          <w:spacing w:val="-5"/>
        </w:rPr>
        <w:t> </w:t>
      </w:r>
      <w:r>
        <w:rPr/>
        <w:t>esta</w:t>
      </w:r>
      <w:r>
        <w:rPr>
          <w:spacing w:val="-5"/>
        </w:rPr>
        <w:t> </w:t>
      </w:r>
      <w:r>
        <w:rPr/>
        <w:t>relativa</w:t>
      </w:r>
      <w:r>
        <w:rPr>
          <w:spacing w:val="-5"/>
        </w:rPr>
        <w:t> </w:t>
      </w:r>
      <w:r>
        <w:rPr/>
        <w:t>disminución</w:t>
      </w:r>
      <w:r>
        <w:rPr>
          <w:spacing w:val="-5"/>
        </w:rPr>
        <w:t> </w:t>
      </w:r>
      <w:r>
        <w:rPr/>
        <w:t>en</w:t>
      </w:r>
      <w:r>
        <w:rPr>
          <w:spacing w:val="-5"/>
        </w:rPr>
        <w:t> </w:t>
      </w:r>
      <w:r>
        <w:rPr/>
        <w:t>la</w:t>
      </w:r>
      <w:r>
        <w:rPr>
          <w:spacing w:val="-5"/>
        </w:rPr>
        <w:t> </w:t>
      </w:r>
      <w:r>
        <w:rPr/>
        <w:t>tasa</w:t>
      </w:r>
      <w:r>
        <w:rPr>
          <w:spacing w:val="-6"/>
        </w:rPr>
        <w:t> </w:t>
      </w:r>
      <w:r>
        <w:rPr/>
        <w:t>inflacionaria</w:t>
      </w:r>
      <w:r>
        <w:rPr>
          <w:spacing w:val="-3"/>
        </w:rPr>
        <w:t> </w:t>
      </w:r>
      <w:r>
        <w:rPr/>
        <w:t>contrasta</w:t>
      </w:r>
      <w:r>
        <w:rPr>
          <w:spacing w:val="-5"/>
        </w:rPr>
        <w:t> </w:t>
      </w:r>
      <w:r>
        <w:rPr/>
        <w:t>con</w:t>
      </w:r>
      <w:r>
        <w:rPr>
          <w:spacing w:val="-5"/>
        </w:rPr>
        <w:t> </w:t>
      </w:r>
      <w:r>
        <w:rPr/>
        <w:t>el pobre</w:t>
      </w:r>
      <w:r>
        <w:rPr>
          <w:spacing w:val="-11"/>
        </w:rPr>
        <w:t> </w:t>
      </w:r>
      <w:r>
        <w:rPr/>
        <w:t>aumento</w:t>
      </w:r>
      <w:r>
        <w:rPr>
          <w:spacing w:val="-10"/>
        </w:rPr>
        <w:t> </w:t>
      </w:r>
      <w:r>
        <w:rPr/>
        <w:t>en</w:t>
      </w:r>
      <w:r>
        <w:rPr>
          <w:spacing w:val="-10"/>
        </w:rPr>
        <w:t> </w:t>
      </w:r>
      <w:r>
        <w:rPr/>
        <w:t>el</w:t>
      </w:r>
      <w:r>
        <w:rPr>
          <w:spacing w:val="-9"/>
        </w:rPr>
        <w:t> </w:t>
      </w:r>
      <w:r>
        <w:rPr/>
        <w:t>salario</w:t>
      </w:r>
      <w:r>
        <w:rPr>
          <w:spacing w:val="-7"/>
        </w:rPr>
        <w:t> </w:t>
      </w:r>
      <w:r>
        <w:rPr/>
        <w:t>y</w:t>
      </w:r>
      <w:r>
        <w:rPr>
          <w:spacing w:val="-17"/>
        </w:rPr>
        <w:t> </w:t>
      </w:r>
      <w:r>
        <w:rPr/>
        <w:t>los</w:t>
      </w:r>
      <w:r>
        <w:rPr>
          <w:spacing w:val="-9"/>
        </w:rPr>
        <w:t> </w:t>
      </w:r>
      <w:r>
        <w:rPr/>
        <w:t>aumentos</w:t>
      </w:r>
      <w:r>
        <w:rPr>
          <w:spacing w:val="-9"/>
        </w:rPr>
        <w:t> </w:t>
      </w:r>
      <w:r>
        <w:rPr/>
        <w:t>constantes</w:t>
      </w:r>
      <w:r>
        <w:rPr>
          <w:spacing w:val="-10"/>
        </w:rPr>
        <w:t> </w:t>
      </w:r>
      <w:r>
        <w:rPr/>
        <w:t>en</w:t>
      </w:r>
      <w:r>
        <w:rPr>
          <w:spacing w:val="-10"/>
        </w:rPr>
        <w:t> </w:t>
      </w:r>
      <w:r>
        <w:rPr/>
        <w:t>los</w:t>
      </w:r>
      <w:r>
        <w:rPr>
          <w:spacing w:val="-9"/>
        </w:rPr>
        <w:t> </w:t>
      </w:r>
      <w:r>
        <w:rPr/>
        <w:t>biocarburantes</w:t>
      </w:r>
      <w:r>
        <w:rPr>
          <w:spacing w:val="-7"/>
        </w:rPr>
        <w:t> </w:t>
      </w:r>
      <w:r>
        <w:rPr/>
        <w:t>y</w:t>
      </w:r>
      <w:r>
        <w:rPr>
          <w:spacing w:val="-12"/>
        </w:rPr>
        <w:t> </w:t>
      </w:r>
      <w:r>
        <w:rPr/>
        <w:t>cuotas</w:t>
      </w:r>
      <w:r>
        <w:rPr>
          <w:spacing w:val="-10"/>
        </w:rPr>
        <w:t> </w:t>
      </w:r>
      <w:r>
        <w:rPr/>
        <w:t>de</w:t>
      </w:r>
      <w:r>
        <w:rPr>
          <w:spacing w:val="-11"/>
        </w:rPr>
        <w:t> </w:t>
      </w:r>
      <w:r>
        <w:rPr/>
        <w:t>agua dos de los rubros que presentaron crecimientos por arriba de la inflación en los resultados obtenidos.</w:t>
      </w:r>
    </w:p>
    <w:p>
      <w:pPr>
        <w:pStyle w:val="BodyText"/>
      </w:pPr>
    </w:p>
    <w:p>
      <w:pPr>
        <w:pStyle w:val="Heading1"/>
        <w:spacing w:before="148"/>
      </w:pPr>
      <w:r>
        <w:rPr/>
        <w:t>Conclusiones</w:t>
      </w:r>
    </w:p>
    <w:p>
      <w:pPr>
        <w:pStyle w:val="BodyText"/>
        <w:rPr>
          <w:b/>
        </w:rPr>
      </w:pPr>
    </w:p>
    <w:p>
      <w:pPr>
        <w:pStyle w:val="BodyText"/>
        <w:spacing w:before="6"/>
        <w:rPr>
          <w:b/>
          <w:sz w:val="23"/>
        </w:rPr>
      </w:pPr>
    </w:p>
    <w:p>
      <w:pPr>
        <w:pStyle w:val="BodyText"/>
        <w:spacing w:line="360" w:lineRule="auto"/>
        <w:ind w:left="102" w:right="112"/>
        <w:jc w:val="both"/>
      </w:pPr>
      <w:r>
        <w:rPr/>
        <w:t>Se presenta evidencia en sustento teórico y práctico que permite identificar</w:t>
      </w:r>
      <w:r>
        <w:rPr>
          <w:spacing w:val="-38"/>
        </w:rPr>
        <w:t> </w:t>
      </w:r>
      <w:r>
        <w:rPr/>
        <w:t>financieramente, las acciones y estrategias llevadas a cabo por los productores durante los periodos 2000 y 2012. La presente investigación establece que las decisiones tomadas por los productores y que</w:t>
      </w:r>
      <w:r>
        <w:rPr>
          <w:spacing w:val="-11"/>
        </w:rPr>
        <w:t> </w:t>
      </w:r>
      <w:r>
        <w:rPr/>
        <w:t>se</w:t>
      </w:r>
      <w:r>
        <w:rPr>
          <w:spacing w:val="-10"/>
        </w:rPr>
        <w:t> </w:t>
      </w:r>
      <w:r>
        <w:rPr/>
        <w:t>reflejan</w:t>
      </w:r>
      <w:r>
        <w:rPr>
          <w:spacing w:val="-10"/>
        </w:rPr>
        <w:t> </w:t>
      </w:r>
      <w:r>
        <w:rPr/>
        <w:t>financieramente,</w:t>
      </w:r>
      <w:r>
        <w:rPr>
          <w:spacing w:val="-10"/>
        </w:rPr>
        <w:t> </w:t>
      </w:r>
      <w:r>
        <w:rPr/>
        <w:t>están</w:t>
      </w:r>
      <w:r>
        <w:rPr>
          <w:spacing w:val="-10"/>
        </w:rPr>
        <w:t> </w:t>
      </w:r>
      <w:r>
        <w:rPr/>
        <w:t>basadas</w:t>
      </w:r>
      <w:r>
        <w:rPr>
          <w:spacing w:val="-9"/>
        </w:rPr>
        <w:t> </w:t>
      </w:r>
      <w:r>
        <w:rPr/>
        <w:t>en</w:t>
      </w:r>
      <w:r>
        <w:rPr>
          <w:spacing w:val="-10"/>
        </w:rPr>
        <w:t> </w:t>
      </w:r>
      <w:r>
        <w:rPr/>
        <w:t>el</w:t>
      </w:r>
      <w:r>
        <w:rPr>
          <w:spacing w:val="-9"/>
        </w:rPr>
        <w:t> </w:t>
      </w:r>
      <w:r>
        <w:rPr/>
        <w:t>aprovechamiento</w:t>
      </w:r>
      <w:r>
        <w:rPr>
          <w:spacing w:val="-9"/>
        </w:rPr>
        <w:t> </w:t>
      </w:r>
      <w:r>
        <w:rPr/>
        <w:t>de</w:t>
      </w:r>
      <w:r>
        <w:rPr>
          <w:spacing w:val="-11"/>
        </w:rPr>
        <w:t> </w:t>
      </w:r>
      <w:r>
        <w:rPr/>
        <w:t>los</w:t>
      </w:r>
      <w:r>
        <w:rPr>
          <w:spacing w:val="-9"/>
        </w:rPr>
        <w:t> </w:t>
      </w:r>
      <w:r>
        <w:rPr/>
        <w:t>factores</w:t>
      </w:r>
      <w:r>
        <w:rPr>
          <w:spacing w:val="-9"/>
        </w:rPr>
        <w:t> </w:t>
      </w:r>
      <w:r>
        <w:rPr/>
        <w:t>internos de producción (uso de capital humano y producción de insumos) y la ventaja comparativa aprovechada por la peri-urbanidad de los sistemas mediante el eslabón de comercialización del producto, cada una de estas estrategias adoptadas de acuerdo a las características productivas individuales de cada escala productiva, así como en las expectativas y complejidad</w:t>
      </w:r>
      <w:r>
        <w:rPr>
          <w:spacing w:val="-13"/>
        </w:rPr>
        <w:t> </w:t>
      </w:r>
      <w:r>
        <w:rPr/>
        <w:t>en</w:t>
      </w:r>
      <w:r>
        <w:rPr>
          <w:spacing w:val="-13"/>
        </w:rPr>
        <w:t> </w:t>
      </w:r>
      <w:r>
        <w:rPr/>
        <w:t>el</w:t>
      </w:r>
      <w:r>
        <w:rPr>
          <w:spacing w:val="-13"/>
        </w:rPr>
        <w:t> </w:t>
      </w:r>
      <w:r>
        <w:rPr/>
        <w:t>manejo</w:t>
      </w:r>
      <w:r>
        <w:rPr>
          <w:spacing w:val="-11"/>
        </w:rPr>
        <w:t> </w:t>
      </w:r>
      <w:r>
        <w:rPr/>
        <w:t>de</w:t>
      </w:r>
      <w:r>
        <w:rPr>
          <w:spacing w:val="-14"/>
        </w:rPr>
        <w:t> </w:t>
      </w:r>
      <w:r>
        <w:rPr/>
        <w:t>sus</w:t>
      </w:r>
      <w:r>
        <w:rPr>
          <w:spacing w:val="-13"/>
        </w:rPr>
        <w:t> </w:t>
      </w:r>
      <w:r>
        <w:rPr/>
        <w:t>sistemas.</w:t>
      </w:r>
      <w:r>
        <w:rPr>
          <w:spacing w:val="-11"/>
        </w:rPr>
        <w:t> </w:t>
      </w:r>
      <w:r>
        <w:rPr/>
        <w:t>La</w:t>
      </w:r>
      <w:r>
        <w:rPr>
          <w:spacing w:val="-12"/>
        </w:rPr>
        <w:t> </w:t>
      </w:r>
      <w:r>
        <w:rPr/>
        <w:t>evidencia</w:t>
      </w:r>
      <w:r>
        <w:rPr>
          <w:spacing w:val="-14"/>
        </w:rPr>
        <w:t> </w:t>
      </w:r>
      <w:r>
        <w:rPr/>
        <w:t>presentada</w:t>
      </w:r>
      <w:r>
        <w:rPr>
          <w:spacing w:val="-12"/>
        </w:rPr>
        <w:t> </w:t>
      </w:r>
      <w:r>
        <w:rPr/>
        <w:t>mostró</w:t>
      </w:r>
      <w:r>
        <w:rPr>
          <w:spacing w:val="-14"/>
        </w:rPr>
        <w:t> </w:t>
      </w:r>
      <w:r>
        <w:rPr/>
        <w:t>que,</w:t>
      </w:r>
      <w:r>
        <w:rPr>
          <w:spacing w:val="-13"/>
        </w:rPr>
        <w:t> </w:t>
      </w:r>
      <w:r>
        <w:rPr/>
        <w:t>se</w:t>
      </w:r>
      <w:r>
        <w:rPr>
          <w:spacing w:val="-14"/>
        </w:rPr>
        <w:t> </w:t>
      </w:r>
      <w:r>
        <w:rPr/>
        <w:t>registraron avances significativos en disminución de costos, aumentos de productividad e ingresos para el periodo 2000 y 2012. Los productores del estrato I definieron como estrategias una  </w:t>
      </w:r>
      <w:r>
        <w:rPr>
          <w:spacing w:val="24"/>
        </w:rPr>
        <w:t> </w:t>
      </w:r>
      <w:r>
        <w:rPr/>
        <w:t>nula</w:t>
      </w:r>
    </w:p>
    <w:p>
      <w:pPr>
        <w:spacing w:after="0" w:line="360" w:lineRule="auto"/>
        <w:jc w:val="both"/>
        <w:sectPr>
          <w:pgSz w:w="12240" w:h="15840"/>
          <w:pgMar w:header="0" w:footer="657" w:top="1360" w:bottom="840" w:left="1600" w:right="1580"/>
        </w:sectPr>
      </w:pPr>
    </w:p>
    <w:p>
      <w:pPr>
        <w:pStyle w:val="BodyText"/>
        <w:spacing w:line="360" w:lineRule="auto" w:before="50"/>
        <w:ind w:left="102" w:right="115"/>
        <w:jc w:val="both"/>
      </w:pPr>
      <w:r>
        <w:rPr/>
        <w:t>participación</w:t>
      </w:r>
      <w:r>
        <w:rPr>
          <w:spacing w:val="-11"/>
        </w:rPr>
        <w:t> </w:t>
      </w:r>
      <w:r>
        <w:rPr/>
        <w:t>de</w:t>
      </w:r>
      <w:r>
        <w:rPr>
          <w:spacing w:val="-12"/>
        </w:rPr>
        <w:t> </w:t>
      </w:r>
      <w:r>
        <w:rPr/>
        <w:t>mano</w:t>
      </w:r>
      <w:r>
        <w:rPr>
          <w:spacing w:val="-12"/>
        </w:rPr>
        <w:t> </w:t>
      </w:r>
      <w:r>
        <w:rPr/>
        <w:t>de</w:t>
      </w:r>
      <w:r>
        <w:rPr>
          <w:spacing w:val="-10"/>
        </w:rPr>
        <w:t> </w:t>
      </w:r>
      <w:r>
        <w:rPr/>
        <w:t>obra</w:t>
      </w:r>
      <w:r>
        <w:rPr>
          <w:spacing w:val="-13"/>
        </w:rPr>
        <w:t> </w:t>
      </w:r>
      <w:r>
        <w:rPr/>
        <w:t>eventual</w:t>
      </w:r>
      <w:r>
        <w:rPr>
          <w:spacing w:val="-8"/>
        </w:rPr>
        <w:t> </w:t>
      </w:r>
      <w:r>
        <w:rPr/>
        <w:t>y</w:t>
      </w:r>
      <w:r>
        <w:rPr>
          <w:spacing w:val="-13"/>
        </w:rPr>
        <w:t> </w:t>
      </w:r>
      <w:r>
        <w:rPr/>
        <w:t>contratada,</w:t>
      </w:r>
      <w:r>
        <w:rPr>
          <w:spacing w:val="-11"/>
        </w:rPr>
        <w:t> </w:t>
      </w:r>
      <w:r>
        <w:rPr/>
        <w:t>así</w:t>
      </w:r>
      <w:r>
        <w:rPr>
          <w:spacing w:val="-10"/>
        </w:rPr>
        <w:t> </w:t>
      </w:r>
      <w:r>
        <w:rPr/>
        <w:t>como</w:t>
      </w:r>
      <w:r>
        <w:rPr>
          <w:spacing w:val="-11"/>
        </w:rPr>
        <w:t> </w:t>
      </w:r>
      <w:r>
        <w:rPr/>
        <w:t>la</w:t>
      </w:r>
      <w:r>
        <w:rPr>
          <w:spacing w:val="-12"/>
        </w:rPr>
        <w:t> </w:t>
      </w:r>
      <w:r>
        <w:rPr/>
        <w:t>independencia</w:t>
      </w:r>
      <w:r>
        <w:rPr>
          <w:spacing w:val="-12"/>
        </w:rPr>
        <w:t> </w:t>
      </w:r>
      <w:r>
        <w:rPr/>
        <w:t>en</w:t>
      </w:r>
      <w:r>
        <w:rPr>
          <w:spacing w:val="-11"/>
        </w:rPr>
        <w:t> </w:t>
      </w:r>
      <w:r>
        <w:rPr/>
        <w:t>la</w:t>
      </w:r>
      <w:r>
        <w:rPr>
          <w:spacing w:val="-12"/>
        </w:rPr>
        <w:t> </w:t>
      </w:r>
      <w:r>
        <w:rPr/>
        <w:t>compra de</w:t>
      </w:r>
      <w:r>
        <w:rPr>
          <w:spacing w:val="-7"/>
        </w:rPr>
        <w:t> </w:t>
      </w:r>
      <w:r>
        <w:rPr/>
        <w:t>insumos</w:t>
      </w:r>
      <w:r>
        <w:rPr>
          <w:spacing w:val="-6"/>
        </w:rPr>
        <w:t> </w:t>
      </w:r>
      <w:r>
        <w:rPr/>
        <w:t>(ya</w:t>
      </w:r>
      <w:r>
        <w:rPr>
          <w:spacing w:val="-5"/>
        </w:rPr>
        <w:t> </w:t>
      </w:r>
      <w:r>
        <w:rPr/>
        <w:t>que</w:t>
      </w:r>
      <w:r>
        <w:rPr>
          <w:spacing w:val="-5"/>
        </w:rPr>
        <w:t> </w:t>
      </w:r>
      <w:r>
        <w:rPr/>
        <w:t>este</w:t>
      </w:r>
      <w:r>
        <w:rPr>
          <w:spacing w:val="-4"/>
        </w:rPr>
        <w:t> </w:t>
      </w:r>
      <w:r>
        <w:rPr/>
        <w:t>grupo</w:t>
      </w:r>
      <w:r>
        <w:rPr>
          <w:spacing w:val="-7"/>
        </w:rPr>
        <w:t> </w:t>
      </w:r>
      <w:r>
        <w:rPr/>
        <w:t>de</w:t>
      </w:r>
      <w:r>
        <w:rPr>
          <w:spacing w:val="-7"/>
        </w:rPr>
        <w:t> </w:t>
      </w:r>
      <w:r>
        <w:rPr/>
        <w:t>productores</w:t>
      </w:r>
      <w:r>
        <w:rPr>
          <w:spacing w:val="-6"/>
        </w:rPr>
        <w:t> </w:t>
      </w:r>
      <w:r>
        <w:rPr/>
        <w:t>produce</w:t>
      </w:r>
      <w:r>
        <w:rPr>
          <w:spacing w:val="-7"/>
        </w:rPr>
        <w:t> </w:t>
      </w:r>
      <w:r>
        <w:rPr/>
        <w:t>90%</w:t>
      </w:r>
      <w:r>
        <w:rPr>
          <w:spacing w:val="-7"/>
        </w:rPr>
        <w:t> </w:t>
      </w:r>
      <w:r>
        <w:rPr/>
        <w:t>de</w:t>
      </w:r>
      <w:r>
        <w:rPr>
          <w:spacing w:val="-7"/>
        </w:rPr>
        <w:t> </w:t>
      </w:r>
      <w:r>
        <w:rPr/>
        <w:t>los</w:t>
      </w:r>
      <w:r>
        <w:rPr>
          <w:spacing w:val="-6"/>
        </w:rPr>
        <w:t> </w:t>
      </w:r>
      <w:r>
        <w:rPr/>
        <w:t>insumos</w:t>
      </w:r>
      <w:r>
        <w:rPr>
          <w:spacing w:val="-6"/>
        </w:rPr>
        <w:t> </w:t>
      </w:r>
      <w:r>
        <w:rPr/>
        <w:t>utilizados).</w:t>
      </w:r>
      <w:r>
        <w:rPr>
          <w:spacing w:val="-7"/>
        </w:rPr>
        <w:t> </w:t>
      </w:r>
      <w:r>
        <w:rPr/>
        <w:t>En</w:t>
      </w:r>
      <w:r>
        <w:rPr>
          <w:spacing w:val="-7"/>
        </w:rPr>
        <w:t> </w:t>
      </w:r>
      <w:r>
        <w:rPr/>
        <w:t>el estrato II, lograron disminuir 3 de los 4 principales rubros que constituyen el costo total de producción</w:t>
      </w:r>
      <w:r>
        <w:rPr>
          <w:spacing w:val="-16"/>
        </w:rPr>
        <w:t> </w:t>
      </w:r>
      <w:r>
        <w:rPr/>
        <w:t>(alimentación,</w:t>
      </w:r>
      <w:r>
        <w:rPr>
          <w:spacing w:val="-17"/>
        </w:rPr>
        <w:t> </w:t>
      </w:r>
      <w:r>
        <w:rPr/>
        <w:t>medicamentos</w:t>
      </w:r>
      <w:r>
        <w:rPr>
          <w:spacing w:val="-14"/>
        </w:rPr>
        <w:t> </w:t>
      </w:r>
      <w:r>
        <w:rPr/>
        <w:t>y</w:t>
      </w:r>
      <w:r>
        <w:rPr>
          <w:spacing w:val="-22"/>
        </w:rPr>
        <w:t> </w:t>
      </w:r>
      <w:r>
        <w:rPr/>
        <w:t>servicio</w:t>
      </w:r>
      <w:r>
        <w:rPr>
          <w:spacing w:val="-17"/>
        </w:rPr>
        <w:t> </w:t>
      </w:r>
      <w:r>
        <w:rPr/>
        <w:t>reproductivo)</w:t>
      </w:r>
      <w:r>
        <w:rPr>
          <w:spacing w:val="-18"/>
        </w:rPr>
        <w:t> </w:t>
      </w:r>
      <w:r>
        <w:rPr/>
        <w:t>e</w:t>
      </w:r>
      <w:r>
        <w:rPr>
          <w:spacing w:val="-18"/>
        </w:rPr>
        <w:t> </w:t>
      </w:r>
      <w:r>
        <w:rPr/>
        <w:t>incrementaron</w:t>
      </w:r>
      <w:r>
        <w:rPr>
          <w:spacing w:val="-17"/>
        </w:rPr>
        <w:t> </w:t>
      </w:r>
      <w:r>
        <w:rPr/>
        <w:t>la</w:t>
      </w:r>
      <w:r>
        <w:rPr>
          <w:spacing w:val="-17"/>
        </w:rPr>
        <w:t> </w:t>
      </w:r>
      <w:r>
        <w:rPr/>
        <w:t>utilidad promedio</w:t>
      </w:r>
      <w:r>
        <w:rPr>
          <w:spacing w:val="-11"/>
        </w:rPr>
        <w:t> </w:t>
      </w:r>
      <w:r>
        <w:rPr/>
        <w:t>por</w:t>
      </w:r>
      <w:r>
        <w:rPr>
          <w:spacing w:val="-12"/>
        </w:rPr>
        <w:t> </w:t>
      </w:r>
      <w:r>
        <w:rPr/>
        <w:t>litro</w:t>
      </w:r>
      <w:r>
        <w:rPr>
          <w:spacing w:val="-11"/>
        </w:rPr>
        <w:t> </w:t>
      </w:r>
      <w:r>
        <w:rPr/>
        <w:t>de</w:t>
      </w:r>
      <w:r>
        <w:rPr>
          <w:spacing w:val="-12"/>
        </w:rPr>
        <w:t> </w:t>
      </w:r>
      <w:r>
        <w:rPr/>
        <w:t>leche</w:t>
      </w:r>
      <w:r>
        <w:rPr>
          <w:spacing w:val="-12"/>
        </w:rPr>
        <w:t> </w:t>
      </w:r>
      <w:r>
        <w:rPr/>
        <w:t>($2.00)</w:t>
      </w:r>
      <w:r>
        <w:rPr>
          <w:spacing w:val="-10"/>
        </w:rPr>
        <w:t> </w:t>
      </w:r>
      <w:r>
        <w:rPr/>
        <w:t>con</w:t>
      </w:r>
      <w:r>
        <w:rPr>
          <w:spacing w:val="-9"/>
        </w:rPr>
        <w:t> </w:t>
      </w:r>
      <w:r>
        <w:rPr/>
        <w:t>estrategias</w:t>
      </w:r>
      <w:r>
        <w:rPr>
          <w:spacing w:val="-9"/>
        </w:rPr>
        <w:t> </w:t>
      </w:r>
      <w:r>
        <w:rPr/>
        <w:t>comerciales</w:t>
      </w:r>
      <w:r>
        <w:rPr>
          <w:spacing w:val="-11"/>
        </w:rPr>
        <w:t> </w:t>
      </w:r>
      <w:r>
        <w:rPr/>
        <w:t>de</w:t>
      </w:r>
      <w:r>
        <w:rPr>
          <w:spacing w:val="-12"/>
        </w:rPr>
        <w:t> </w:t>
      </w:r>
      <w:r>
        <w:rPr/>
        <w:t>venta.</w:t>
      </w:r>
      <w:r>
        <w:rPr>
          <w:spacing w:val="-9"/>
        </w:rPr>
        <w:t> </w:t>
      </w:r>
      <w:r>
        <w:rPr/>
        <w:t>Los</w:t>
      </w:r>
      <w:r>
        <w:rPr>
          <w:spacing w:val="-11"/>
        </w:rPr>
        <w:t> </w:t>
      </w:r>
      <w:r>
        <w:rPr/>
        <w:t>productores</w:t>
      </w:r>
      <w:r>
        <w:rPr>
          <w:spacing w:val="-11"/>
        </w:rPr>
        <w:t> </w:t>
      </w:r>
      <w:r>
        <w:rPr/>
        <w:t>del estrato III definieron como estrategias, el aumento de productividad (59%), la disminución en</w:t>
      </w:r>
      <w:r>
        <w:rPr>
          <w:spacing w:val="-9"/>
        </w:rPr>
        <w:t> </w:t>
      </w:r>
      <w:r>
        <w:rPr/>
        <w:t>costo</w:t>
      </w:r>
      <w:r>
        <w:rPr>
          <w:spacing w:val="-8"/>
        </w:rPr>
        <w:t> </w:t>
      </w:r>
      <w:r>
        <w:rPr/>
        <w:t>(29%)</w:t>
      </w:r>
      <w:r>
        <w:rPr>
          <w:spacing w:val="-9"/>
        </w:rPr>
        <w:t> </w:t>
      </w:r>
      <w:r>
        <w:rPr/>
        <w:t>del</w:t>
      </w:r>
      <w:r>
        <w:rPr>
          <w:spacing w:val="-8"/>
        </w:rPr>
        <w:t> </w:t>
      </w:r>
      <w:r>
        <w:rPr/>
        <w:t>principal</w:t>
      </w:r>
      <w:r>
        <w:rPr>
          <w:spacing w:val="-8"/>
        </w:rPr>
        <w:t> </w:t>
      </w:r>
      <w:r>
        <w:rPr/>
        <w:t>insumo</w:t>
      </w:r>
      <w:r>
        <w:rPr>
          <w:spacing w:val="-9"/>
        </w:rPr>
        <w:t> </w:t>
      </w:r>
      <w:r>
        <w:rPr/>
        <w:t>(alimento)</w:t>
      </w:r>
      <w:r>
        <w:rPr>
          <w:spacing w:val="-9"/>
        </w:rPr>
        <w:t> </w:t>
      </w:r>
      <w:r>
        <w:rPr/>
        <w:t>en</w:t>
      </w:r>
      <w:r>
        <w:rPr>
          <w:spacing w:val="-6"/>
        </w:rPr>
        <w:t> </w:t>
      </w:r>
      <w:r>
        <w:rPr/>
        <w:t>la</w:t>
      </w:r>
      <w:r>
        <w:rPr>
          <w:spacing w:val="-9"/>
        </w:rPr>
        <w:t> </w:t>
      </w:r>
      <w:r>
        <w:rPr/>
        <w:t>dieta,</w:t>
      </w:r>
      <w:r>
        <w:rPr>
          <w:spacing w:val="-4"/>
        </w:rPr>
        <w:t> </w:t>
      </w:r>
      <w:r>
        <w:rPr/>
        <w:t>y</w:t>
      </w:r>
      <w:r>
        <w:rPr>
          <w:spacing w:val="-13"/>
        </w:rPr>
        <w:t> </w:t>
      </w:r>
      <w:r>
        <w:rPr/>
        <w:t>el</w:t>
      </w:r>
      <w:r>
        <w:rPr>
          <w:spacing w:val="-8"/>
        </w:rPr>
        <w:t> </w:t>
      </w:r>
      <w:r>
        <w:rPr/>
        <w:t>aprovechamiento</w:t>
      </w:r>
      <w:r>
        <w:rPr>
          <w:spacing w:val="-8"/>
        </w:rPr>
        <w:t> </w:t>
      </w:r>
      <w:r>
        <w:rPr/>
        <w:t>de</w:t>
      </w:r>
      <w:r>
        <w:rPr>
          <w:spacing w:val="-10"/>
        </w:rPr>
        <w:t> </w:t>
      </w:r>
      <w:r>
        <w:rPr/>
        <w:t>la</w:t>
      </w:r>
      <w:r>
        <w:rPr>
          <w:spacing w:val="-9"/>
        </w:rPr>
        <w:t> </w:t>
      </w:r>
      <w:r>
        <w:rPr/>
        <w:t>escala productiva para obtener la mayor entrada de ingresos por unidad productiva, esta estrategia permite tener un mayor flujo de efectivo disponible para cubrir las necesidades de la unidad y los satisfactores de los miembros de la familia. Los resultados de este trabajo pueden utilizarse en beneficio del sistema apuntalando sus fortalezas y actuando sobre sus deficiencias.</w:t>
      </w:r>
    </w:p>
    <w:p>
      <w:pPr>
        <w:pStyle w:val="BodyText"/>
      </w:pPr>
    </w:p>
    <w:p>
      <w:pPr>
        <w:pStyle w:val="Heading1"/>
        <w:spacing w:before="148"/>
      </w:pPr>
      <w:r>
        <w:rPr/>
        <w:t>Referencias</w:t>
      </w:r>
    </w:p>
    <w:p>
      <w:pPr>
        <w:pStyle w:val="BodyText"/>
        <w:rPr>
          <w:b/>
        </w:rPr>
      </w:pPr>
    </w:p>
    <w:p>
      <w:pPr>
        <w:pStyle w:val="BodyText"/>
        <w:spacing w:before="6"/>
        <w:rPr>
          <w:b/>
          <w:sz w:val="23"/>
        </w:rPr>
      </w:pPr>
    </w:p>
    <w:p>
      <w:pPr>
        <w:pStyle w:val="BodyText"/>
        <w:spacing w:line="360" w:lineRule="auto"/>
        <w:ind w:left="810" w:right="115" w:hanging="648"/>
        <w:jc w:val="both"/>
      </w:pPr>
      <w:r>
        <w:rPr/>
        <w:t>Alfonso-Ávila, A. R., M. A. Wattiaux, A. Espinoza-Ortega, E. Sánchez-Vera, C. M. Arriaga-Jordán.</w:t>
      </w:r>
      <w:r>
        <w:rPr>
          <w:spacing w:val="-6"/>
        </w:rPr>
        <w:t> </w:t>
      </w:r>
      <w:r>
        <w:rPr/>
        <w:t>(2011).</w:t>
      </w:r>
      <w:r>
        <w:rPr>
          <w:spacing w:val="-2"/>
        </w:rPr>
        <w:t> </w:t>
      </w:r>
      <w:r>
        <w:rPr/>
        <w:t>Local</w:t>
      </w:r>
      <w:r>
        <w:rPr>
          <w:spacing w:val="-6"/>
        </w:rPr>
        <w:t> </w:t>
      </w:r>
      <w:r>
        <w:rPr/>
        <w:t>feeding</w:t>
      </w:r>
      <w:r>
        <w:rPr>
          <w:spacing w:val="-9"/>
        </w:rPr>
        <w:t> </w:t>
      </w:r>
      <w:r>
        <w:rPr/>
        <w:t>strategies</w:t>
      </w:r>
      <w:r>
        <w:rPr>
          <w:spacing w:val="-4"/>
        </w:rPr>
        <w:t> </w:t>
      </w:r>
      <w:r>
        <w:rPr/>
        <w:t>and</w:t>
      </w:r>
      <w:r>
        <w:rPr>
          <w:spacing w:val="-6"/>
        </w:rPr>
        <w:t> </w:t>
      </w:r>
      <w:r>
        <w:rPr/>
        <w:t>milk</w:t>
      </w:r>
      <w:r>
        <w:rPr>
          <w:spacing w:val="-6"/>
        </w:rPr>
        <w:t> </w:t>
      </w:r>
      <w:r>
        <w:rPr/>
        <w:t>composition</w:t>
      </w:r>
      <w:r>
        <w:rPr>
          <w:spacing w:val="-6"/>
        </w:rPr>
        <w:t> </w:t>
      </w:r>
      <w:r>
        <w:rPr/>
        <w:t>in</w:t>
      </w:r>
      <w:r>
        <w:rPr>
          <w:spacing w:val="-6"/>
        </w:rPr>
        <w:t> </w:t>
      </w:r>
      <w:r>
        <w:rPr/>
        <w:t>small-scale dairy production systems during the rainy season in the Highlands of Mexico. </w:t>
      </w:r>
      <w:r>
        <w:rPr>
          <w:i/>
        </w:rPr>
        <w:t>Trop </w:t>
      </w:r>
      <w:r>
        <w:rPr>
          <w:i/>
        </w:rPr>
        <w:t>Anim Health Prod</w:t>
      </w:r>
      <w:r>
        <w:rPr>
          <w:i/>
          <w:spacing w:val="-5"/>
        </w:rPr>
        <w:t> </w:t>
      </w:r>
      <w:r>
        <w:rPr/>
        <w:t>(3):637-44.</w:t>
      </w:r>
    </w:p>
    <w:p>
      <w:pPr>
        <w:pStyle w:val="BodyText"/>
        <w:spacing w:line="360" w:lineRule="auto" w:before="6"/>
        <w:ind w:left="810" w:right="116" w:hanging="648"/>
        <w:jc w:val="both"/>
      </w:pPr>
      <w:r>
        <w:rPr/>
        <w:t>Anaya-Ortega,</w:t>
      </w:r>
      <w:r>
        <w:rPr>
          <w:spacing w:val="-12"/>
        </w:rPr>
        <w:t> </w:t>
      </w:r>
      <w:r>
        <w:rPr/>
        <w:t>J.</w:t>
      </w:r>
      <w:r>
        <w:rPr>
          <w:spacing w:val="-12"/>
        </w:rPr>
        <w:t> </w:t>
      </w:r>
      <w:r>
        <w:rPr/>
        <w:t>P.,</w:t>
      </w:r>
      <w:r>
        <w:rPr>
          <w:spacing w:val="-12"/>
        </w:rPr>
        <w:t> </w:t>
      </w:r>
      <w:r>
        <w:rPr/>
        <w:t>G.</w:t>
      </w:r>
      <w:r>
        <w:rPr>
          <w:spacing w:val="-13"/>
        </w:rPr>
        <w:t> </w:t>
      </w:r>
      <w:r>
        <w:rPr/>
        <w:t>Garduño-Castro,</w:t>
      </w:r>
      <w:r>
        <w:rPr>
          <w:spacing w:val="-12"/>
        </w:rPr>
        <w:t> </w:t>
      </w:r>
      <w:r>
        <w:rPr/>
        <w:t>A.</w:t>
      </w:r>
      <w:r>
        <w:rPr>
          <w:spacing w:val="-13"/>
        </w:rPr>
        <w:t> </w:t>
      </w:r>
      <w:r>
        <w:rPr/>
        <w:t>Espinoza-Ortega,</w:t>
      </w:r>
      <w:r>
        <w:rPr>
          <w:spacing w:val="-12"/>
        </w:rPr>
        <w:t> </w:t>
      </w:r>
      <w:r>
        <w:rPr/>
        <w:t>C.</w:t>
      </w:r>
      <w:r>
        <w:rPr>
          <w:spacing w:val="-12"/>
        </w:rPr>
        <w:t> </w:t>
      </w:r>
      <w:r>
        <w:rPr/>
        <w:t>M.</w:t>
      </w:r>
      <w:r>
        <w:rPr>
          <w:spacing w:val="-12"/>
        </w:rPr>
        <w:t> </w:t>
      </w:r>
      <w:r>
        <w:rPr/>
        <w:t>Arriaga-Jordán.</w:t>
      </w:r>
      <w:r>
        <w:rPr>
          <w:spacing w:val="-12"/>
        </w:rPr>
        <w:t> </w:t>
      </w:r>
      <w:r>
        <w:rPr/>
        <w:t>(2009). Silage</w:t>
      </w:r>
      <w:r>
        <w:rPr>
          <w:spacing w:val="-12"/>
        </w:rPr>
        <w:t> </w:t>
      </w:r>
      <w:r>
        <w:rPr/>
        <w:t>from</w:t>
      </w:r>
      <w:r>
        <w:rPr>
          <w:spacing w:val="-11"/>
        </w:rPr>
        <w:t> </w:t>
      </w:r>
      <w:r>
        <w:rPr/>
        <w:t>maize</w:t>
      </w:r>
      <w:r>
        <w:rPr>
          <w:spacing w:val="-12"/>
        </w:rPr>
        <w:t> </w:t>
      </w:r>
      <w:r>
        <w:rPr/>
        <w:t>(</w:t>
      </w:r>
      <w:r>
        <w:rPr>
          <w:i/>
        </w:rPr>
        <w:t>Zea</w:t>
      </w:r>
      <w:r>
        <w:rPr>
          <w:i/>
          <w:spacing w:val="-11"/>
        </w:rPr>
        <w:t> </w:t>
      </w:r>
      <w:r>
        <w:rPr>
          <w:i/>
        </w:rPr>
        <w:t>mays</w:t>
      </w:r>
      <w:r>
        <w:rPr/>
        <w:t>),</w:t>
      </w:r>
      <w:r>
        <w:rPr>
          <w:spacing w:val="-12"/>
        </w:rPr>
        <w:t> </w:t>
      </w:r>
      <w:r>
        <w:rPr/>
        <w:t>anual</w:t>
      </w:r>
      <w:r>
        <w:rPr>
          <w:spacing w:val="-11"/>
        </w:rPr>
        <w:t> </w:t>
      </w:r>
      <w:r>
        <w:rPr/>
        <w:t>ryegrass</w:t>
      </w:r>
      <w:r>
        <w:rPr>
          <w:spacing w:val="-11"/>
        </w:rPr>
        <w:t> </w:t>
      </w:r>
      <w:r>
        <w:rPr/>
        <w:t>(</w:t>
      </w:r>
      <w:r>
        <w:rPr>
          <w:i/>
        </w:rPr>
        <w:t>Lolium</w:t>
      </w:r>
      <w:r>
        <w:rPr>
          <w:i/>
          <w:spacing w:val="-12"/>
        </w:rPr>
        <w:t> </w:t>
      </w:r>
      <w:r>
        <w:rPr>
          <w:i/>
        </w:rPr>
        <w:t>multiflorum</w:t>
      </w:r>
      <w:r>
        <w:rPr/>
        <w:t>)</w:t>
      </w:r>
      <w:r>
        <w:rPr>
          <w:spacing w:val="-12"/>
        </w:rPr>
        <w:t> </w:t>
      </w:r>
      <w:r>
        <w:rPr/>
        <w:t>or</w:t>
      </w:r>
      <w:r>
        <w:rPr>
          <w:spacing w:val="-12"/>
        </w:rPr>
        <w:t> </w:t>
      </w:r>
      <w:r>
        <w:rPr/>
        <w:t>their</w:t>
      </w:r>
      <w:r>
        <w:rPr>
          <w:spacing w:val="-12"/>
        </w:rPr>
        <w:t> </w:t>
      </w:r>
      <w:r>
        <w:rPr/>
        <w:t>mixturein the dry season feeding of grazing dairy cows in small-scale dairy</w:t>
      </w:r>
      <w:r>
        <w:rPr>
          <w:spacing w:val="-43"/>
        </w:rPr>
        <w:t> </w:t>
      </w:r>
      <w:r>
        <w:rPr/>
        <w:t>production systems in the Highlands of Mexico. </w:t>
      </w:r>
      <w:r>
        <w:rPr>
          <w:i/>
        </w:rPr>
        <w:t>Trop Anim Health Prod </w:t>
      </w:r>
      <w:r>
        <w:rPr/>
        <w:t>(41):</w:t>
      </w:r>
      <w:r>
        <w:rPr>
          <w:spacing w:val="-11"/>
        </w:rPr>
        <w:t> </w:t>
      </w:r>
      <w:r>
        <w:rPr/>
        <w:t>607-616.</w:t>
      </w:r>
    </w:p>
    <w:p>
      <w:pPr>
        <w:pStyle w:val="BodyText"/>
        <w:spacing w:line="360" w:lineRule="auto" w:before="6"/>
        <w:ind w:left="810" w:right="127" w:hanging="648"/>
        <w:jc w:val="both"/>
      </w:pPr>
      <w:r>
        <w:rPr/>
        <w:t>Argilés, B. J. M. (2007). La información contable en el análisis y predicción de viabilidad de las explotaciones agrícolas. </w:t>
      </w:r>
      <w:r>
        <w:rPr>
          <w:i/>
        </w:rPr>
        <w:t>Rev. Econ. Aplicada </w:t>
      </w:r>
      <w:r>
        <w:rPr/>
        <w:t>(44): 109-135.</w:t>
      </w:r>
    </w:p>
    <w:p>
      <w:pPr>
        <w:pStyle w:val="BodyText"/>
        <w:spacing w:line="360" w:lineRule="auto" w:before="7"/>
        <w:ind w:left="810" w:right="115" w:hanging="648"/>
        <w:jc w:val="both"/>
      </w:pPr>
      <w:r>
        <w:rPr/>
        <w:t>Arriaga-Jordán,</w:t>
      </w:r>
      <w:r>
        <w:rPr>
          <w:spacing w:val="-7"/>
        </w:rPr>
        <w:t> </w:t>
      </w:r>
      <w:r>
        <w:rPr/>
        <w:t>C.</w:t>
      </w:r>
      <w:r>
        <w:rPr>
          <w:spacing w:val="-7"/>
        </w:rPr>
        <w:t> </w:t>
      </w:r>
      <w:r>
        <w:rPr/>
        <w:t>M.,</w:t>
      </w:r>
      <w:r>
        <w:rPr>
          <w:spacing w:val="-9"/>
        </w:rPr>
        <w:t> </w:t>
      </w:r>
      <w:r>
        <w:rPr/>
        <w:t>A.</w:t>
      </w:r>
      <w:r>
        <w:rPr>
          <w:spacing w:val="-8"/>
        </w:rPr>
        <w:t> </w:t>
      </w:r>
      <w:r>
        <w:rPr/>
        <w:t>Espinoza-Ortega,</w:t>
      </w:r>
      <w:r>
        <w:rPr>
          <w:spacing w:val="-7"/>
        </w:rPr>
        <w:t> </w:t>
      </w:r>
      <w:r>
        <w:rPr/>
        <w:t>H.</w:t>
      </w:r>
      <w:r>
        <w:rPr>
          <w:spacing w:val="-8"/>
        </w:rPr>
        <w:t> </w:t>
      </w:r>
      <w:r>
        <w:rPr/>
        <w:t>Rojo-Guadarrama,</w:t>
      </w:r>
      <w:r>
        <w:rPr>
          <w:spacing w:val="-8"/>
        </w:rPr>
        <w:t> </w:t>
      </w:r>
      <w:r>
        <w:rPr/>
        <w:t>J.</w:t>
      </w:r>
      <w:r>
        <w:rPr>
          <w:spacing w:val="-7"/>
        </w:rPr>
        <w:t> </w:t>
      </w:r>
      <w:r>
        <w:rPr>
          <w:spacing w:val="-3"/>
        </w:rPr>
        <w:t>L.</w:t>
      </w:r>
      <w:r>
        <w:rPr>
          <w:spacing w:val="-5"/>
        </w:rPr>
        <w:t> </w:t>
      </w:r>
      <w:r>
        <w:rPr/>
        <w:t>Valdés-Martínez,</w:t>
      </w:r>
      <w:r>
        <w:rPr>
          <w:spacing w:val="-7"/>
        </w:rPr>
        <w:t> </w:t>
      </w:r>
      <w:r>
        <w:rPr/>
        <w:t>E. Sánchez-Vera, S. Wiggins. (1999). Aspectos socioeconómicos de la producción campesina de leche en el valle de Toluca: I. Evaluación económica inicial. </w:t>
      </w:r>
      <w:r>
        <w:rPr>
          <w:i/>
        </w:rPr>
        <w:t>Agrociencia </w:t>
      </w:r>
      <w:r>
        <w:rPr/>
        <w:t>(33):</w:t>
      </w:r>
      <w:r>
        <w:rPr>
          <w:spacing w:val="-3"/>
        </w:rPr>
        <w:t> </w:t>
      </w:r>
      <w:r>
        <w:rPr/>
        <w:t>438-491.</w:t>
      </w:r>
    </w:p>
    <w:p>
      <w:pPr>
        <w:spacing w:after="0" w:line="360" w:lineRule="auto"/>
        <w:jc w:val="both"/>
        <w:sectPr>
          <w:pgSz w:w="12240" w:h="15840"/>
          <w:pgMar w:header="0" w:footer="657" w:top="1360" w:bottom="840" w:left="1600" w:right="1580"/>
        </w:sectPr>
      </w:pPr>
    </w:p>
    <w:p>
      <w:pPr>
        <w:pStyle w:val="BodyText"/>
        <w:spacing w:line="360" w:lineRule="auto" w:before="50"/>
        <w:ind w:left="810" w:right="117" w:hanging="708"/>
        <w:jc w:val="both"/>
      </w:pPr>
      <w:r>
        <w:rPr/>
        <w:t>Arriaga-Jordán, C. M., B. Albarrán-Portillo, A. Espinoza-Ortega, A. García-Martínez, O.</w:t>
      </w:r>
      <w:r>
        <w:rPr>
          <w:spacing w:val="-29"/>
        </w:rPr>
        <w:t> </w:t>
      </w:r>
      <w:r>
        <w:rPr/>
        <w:t>A. Castelán-Ortega. (2002). On-farm comparison of feeding strategies base on forages for small-scale dairy production systems in the highlands of central Mexico. </w:t>
      </w:r>
      <w:r>
        <w:rPr>
          <w:i/>
        </w:rPr>
        <w:t>Expl </w:t>
      </w:r>
      <w:r>
        <w:rPr>
          <w:i/>
        </w:rPr>
        <w:t>Agric </w:t>
      </w:r>
      <w:r>
        <w:rPr/>
        <w:t>(38):</w:t>
      </w:r>
      <w:r>
        <w:rPr>
          <w:spacing w:val="-3"/>
        </w:rPr>
        <w:t> </w:t>
      </w:r>
      <w:r>
        <w:rPr/>
        <w:t>475-388.</w:t>
      </w:r>
    </w:p>
    <w:p>
      <w:pPr>
        <w:pStyle w:val="BodyText"/>
        <w:spacing w:line="360" w:lineRule="auto" w:before="4"/>
        <w:ind w:left="810" w:right="119" w:hanging="708"/>
        <w:jc w:val="both"/>
      </w:pPr>
      <w:r>
        <w:rPr/>
        <w:t>Campero, J. R., y M. P. A. Medina. (2004). Situación de los Recursos Zoogéneticos en Bolivia. Documento de Trabajo No. 20. Dirección de Ganadería. Ministerio de Asuntos Campesinos y Agropecuarios. La Paz, Bolivia. 52pp.</w:t>
      </w:r>
    </w:p>
    <w:p>
      <w:pPr>
        <w:spacing w:line="360" w:lineRule="auto" w:before="6"/>
        <w:ind w:left="810" w:right="116" w:hanging="708"/>
        <w:jc w:val="both"/>
        <w:rPr>
          <w:sz w:val="24"/>
        </w:rPr>
      </w:pPr>
      <w:r>
        <w:rPr>
          <w:sz w:val="24"/>
        </w:rPr>
        <w:t>CANILEC, Cámara Nacional de Industriales de la Leche. </w:t>
      </w:r>
      <w:r>
        <w:rPr>
          <w:i/>
          <w:sz w:val="24"/>
        </w:rPr>
        <w:t>Información estadística sobre </w:t>
      </w:r>
      <w:r>
        <w:rPr>
          <w:i/>
          <w:sz w:val="24"/>
        </w:rPr>
        <w:t>producción de leche. </w:t>
      </w:r>
      <w:r>
        <w:rPr>
          <w:sz w:val="24"/>
        </w:rPr>
        <w:t>Disponible en: </w:t>
      </w:r>
      <w:hyperlink r:id="rId109">
        <w:r>
          <w:rPr>
            <w:sz w:val="24"/>
            <w:u w:val="single"/>
          </w:rPr>
          <w:t>http://www.canilec.org.mx/prod_leche.html</w:t>
        </w:r>
        <w:r>
          <w:rPr>
            <w:sz w:val="24"/>
          </w:rPr>
          <w:t>.</w:t>
        </w:r>
      </w:hyperlink>
      <w:r>
        <w:rPr>
          <w:sz w:val="24"/>
        </w:rPr>
        <w:t> Consulta 2012.</w:t>
      </w:r>
    </w:p>
    <w:p>
      <w:pPr>
        <w:spacing w:before="4"/>
        <w:ind w:left="0" w:right="15" w:firstLine="0"/>
        <w:jc w:val="center"/>
        <w:rPr>
          <w:i/>
          <w:sz w:val="24"/>
        </w:rPr>
      </w:pPr>
      <w:r>
        <w:rPr>
          <w:sz w:val="24"/>
        </w:rPr>
        <w:t>CANILEC, Cámara Nacional de Industriales de la Leche. </w:t>
      </w:r>
      <w:r>
        <w:rPr>
          <w:i/>
          <w:sz w:val="24"/>
        </w:rPr>
        <w:t>Información estadística </w:t>
      </w:r>
      <w:r>
        <w:rPr>
          <w:i/>
          <w:spacing w:val="54"/>
          <w:sz w:val="24"/>
        </w:rPr>
        <w:t> </w:t>
      </w:r>
      <w:r>
        <w:rPr>
          <w:i/>
          <w:sz w:val="24"/>
        </w:rPr>
        <w:t>general.</w:t>
      </w:r>
    </w:p>
    <w:p>
      <w:pPr>
        <w:pStyle w:val="BodyText"/>
        <w:spacing w:before="139"/>
        <w:ind w:left="792" w:right="949"/>
        <w:jc w:val="center"/>
      </w:pPr>
      <w:r>
        <w:rPr/>
        <w:t>Disponible en: </w:t>
      </w:r>
      <w:hyperlink r:id="rId110">
        <w:r>
          <w:rPr>
            <w:u w:val="single"/>
          </w:rPr>
          <w:t>http://www.canilec.org.mx/inf_general.html</w:t>
        </w:r>
      </w:hyperlink>
      <w:r>
        <w:rPr/>
        <w:t>. Consulta 2012.</w:t>
      </w:r>
    </w:p>
    <w:p>
      <w:pPr>
        <w:spacing w:line="360" w:lineRule="auto" w:before="137"/>
        <w:ind w:left="810" w:right="119" w:hanging="648"/>
        <w:jc w:val="both"/>
        <w:rPr>
          <w:sz w:val="24"/>
        </w:rPr>
      </w:pPr>
      <w:r>
        <w:rPr>
          <w:sz w:val="24"/>
        </w:rPr>
        <w:t>Carranza,</w:t>
      </w:r>
      <w:r>
        <w:rPr>
          <w:spacing w:val="-6"/>
          <w:sz w:val="24"/>
        </w:rPr>
        <w:t> </w:t>
      </w:r>
      <w:r>
        <w:rPr>
          <w:sz w:val="24"/>
        </w:rPr>
        <w:t>T.</w:t>
      </w:r>
      <w:r>
        <w:rPr>
          <w:spacing w:val="-4"/>
          <w:sz w:val="24"/>
        </w:rPr>
        <w:t> </w:t>
      </w:r>
      <w:r>
        <w:rPr>
          <w:sz w:val="24"/>
        </w:rPr>
        <w:t>R.,</w:t>
      </w:r>
      <w:r>
        <w:rPr>
          <w:spacing w:val="-1"/>
          <w:sz w:val="24"/>
        </w:rPr>
        <w:t> </w:t>
      </w:r>
      <w:r>
        <w:rPr>
          <w:sz w:val="24"/>
        </w:rPr>
        <w:t>y</w:t>
      </w:r>
      <w:r>
        <w:rPr>
          <w:spacing w:val="-9"/>
          <w:sz w:val="24"/>
        </w:rPr>
        <w:t> </w:t>
      </w:r>
      <w:r>
        <w:rPr>
          <w:sz w:val="24"/>
        </w:rPr>
        <w:t>F.</w:t>
      </w:r>
      <w:r>
        <w:rPr>
          <w:spacing w:val="-6"/>
          <w:sz w:val="24"/>
        </w:rPr>
        <w:t> </w:t>
      </w:r>
      <w:r>
        <w:rPr>
          <w:sz w:val="24"/>
        </w:rPr>
        <w:t>A. G.</w:t>
      </w:r>
      <w:r>
        <w:rPr>
          <w:spacing w:val="-7"/>
          <w:sz w:val="24"/>
        </w:rPr>
        <w:t> </w:t>
      </w:r>
      <w:r>
        <w:rPr>
          <w:sz w:val="24"/>
        </w:rPr>
        <w:t>Valdivia.</w:t>
      </w:r>
      <w:r>
        <w:rPr>
          <w:spacing w:val="-4"/>
          <w:sz w:val="24"/>
        </w:rPr>
        <w:t> </w:t>
      </w:r>
      <w:r>
        <w:rPr>
          <w:sz w:val="24"/>
        </w:rPr>
        <w:t>(2004).</w:t>
      </w:r>
      <w:r>
        <w:rPr>
          <w:spacing w:val="-7"/>
          <w:sz w:val="24"/>
        </w:rPr>
        <w:t> </w:t>
      </w:r>
      <w:r>
        <w:rPr>
          <w:sz w:val="24"/>
        </w:rPr>
        <w:t>Evaluación</w:t>
      </w:r>
      <w:r>
        <w:rPr>
          <w:spacing w:val="-6"/>
          <w:sz w:val="24"/>
        </w:rPr>
        <w:t> </w:t>
      </w:r>
      <w:r>
        <w:rPr>
          <w:sz w:val="24"/>
        </w:rPr>
        <w:t>de</w:t>
      </w:r>
      <w:r>
        <w:rPr>
          <w:spacing w:val="-5"/>
          <w:sz w:val="24"/>
        </w:rPr>
        <w:t> </w:t>
      </w:r>
      <w:r>
        <w:rPr>
          <w:sz w:val="24"/>
        </w:rPr>
        <w:t>la</w:t>
      </w:r>
      <w:r>
        <w:rPr>
          <w:spacing w:val="-4"/>
          <w:sz w:val="24"/>
        </w:rPr>
        <w:t> </w:t>
      </w:r>
      <w:r>
        <w:rPr>
          <w:sz w:val="24"/>
        </w:rPr>
        <w:t>cadena</w:t>
      </w:r>
      <w:r>
        <w:rPr>
          <w:spacing w:val="-7"/>
          <w:sz w:val="24"/>
        </w:rPr>
        <w:t> </w:t>
      </w:r>
      <w:r>
        <w:rPr>
          <w:sz w:val="24"/>
        </w:rPr>
        <w:t>productiva</w:t>
      </w:r>
      <w:r>
        <w:rPr>
          <w:spacing w:val="-7"/>
          <w:sz w:val="24"/>
        </w:rPr>
        <w:t> </w:t>
      </w:r>
      <w:r>
        <w:rPr>
          <w:sz w:val="24"/>
        </w:rPr>
        <w:t>lechera</w:t>
      </w:r>
      <w:r>
        <w:rPr>
          <w:spacing w:val="-6"/>
          <w:sz w:val="24"/>
        </w:rPr>
        <w:t> </w:t>
      </w:r>
      <w:r>
        <w:rPr>
          <w:sz w:val="24"/>
        </w:rPr>
        <w:t>del estado de Aguascalientes, México. </w:t>
      </w:r>
      <w:r>
        <w:rPr>
          <w:i/>
          <w:sz w:val="24"/>
        </w:rPr>
        <w:t>En: Memorias del Congreso Internacional </w:t>
      </w:r>
      <w:r>
        <w:rPr>
          <w:i/>
          <w:sz w:val="24"/>
        </w:rPr>
        <w:t>Agroindustria Rural y Territorio. Universidad Autónoma del Estado de México </w:t>
      </w:r>
      <w:r>
        <w:rPr>
          <w:sz w:val="24"/>
        </w:rPr>
        <w:t>(VI):59-78.</w:t>
      </w:r>
    </w:p>
    <w:p>
      <w:pPr>
        <w:pStyle w:val="BodyText"/>
        <w:spacing w:line="360" w:lineRule="auto" w:before="4"/>
        <w:ind w:left="810" w:right="118" w:hanging="648"/>
        <w:jc w:val="both"/>
      </w:pPr>
      <w:r>
        <w:rPr/>
        <w:t>Carranza-Trinidad, R. G., R. Macedo-Barragán, J. Cámara-Córdoba, J. Sosa-Ramírez, J. A. Meraz-Jiménez, G.A. Valdivia-Flores. (2007). Competitividad en la cadena productiva de leche del estado de Aguascalientes, México. </w:t>
      </w:r>
      <w:r>
        <w:rPr>
          <w:i/>
        </w:rPr>
        <w:t>Agrociencia </w:t>
      </w:r>
      <w:r>
        <w:rPr/>
        <w:t>(41): 701- 709.</w:t>
      </w:r>
    </w:p>
    <w:p>
      <w:pPr>
        <w:pStyle w:val="BodyText"/>
        <w:spacing w:line="360" w:lineRule="auto" w:before="4"/>
        <w:ind w:left="810" w:right="118" w:hanging="708"/>
        <w:jc w:val="both"/>
      </w:pPr>
      <w:r>
        <w:rPr/>
        <w:t>Cesín, V. A., F. M. Aliphat, V. B. Ramírez, H. J. G. Herrera, C. D. Martínez. (2007). Ganadería lechera familiar y producción de queso. Estudio en tres comunidades del municipio de Tetlatlahuca en el estado de Tlaxcala, México. </w:t>
      </w:r>
      <w:r>
        <w:rPr>
          <w:i/>
        </w:rPr>
        <w:t>Téc Pecu Méx </w:t>
      </w:r>
      <w:r>
        <w:rPr/>
        <w:t>45 (1): 61-67.</w:t>
      </w:r>
    </w:p>
    <w:p>
      <w:pPr>
        <w:pStyle w:val="BodyText"/>
        <w:spacing w:line="360" w:lineRule="auto" w:before="4"/>
        <w:ind w:left="810" w:right="123" w:hanging="708"/>
        <w:jc w:val="both"/>
      </w:pPr>
      <w:r>
        <w:rPr/>
        <w:t>Del Moral, B. L. E. (2003) La producción de leche en pequeña escala en el valle de Toluca: un análisis de ingresos, Estudio de caso en la loma del salitre y Tenango de Arista, Tesis Doctoral, Colegio de Postgraduados.</w:t>
      </w:r>
    </w:p>
    <w:p>
      <w:pPr>
        <w:spacing w:after="0" w:line="360" w:lineRule="auto"/>
        <w:jc w:val="both"/>
        <w:sectPr>
          <w:pgSz w:w="12240" w:h="15840"/>
          <w:pgMar w:header="0" w:footer="657" w:top="1360" w:bottom="840" w:left="1600" w:right="1580"/>
        </w:sectPr>
      </w:pPr>
    </w:p>
    <w:p>
      <w:pPr>
        <w:spacing w:line="360" w:lineRule="auto" w:before="50"/>
        <w:ind w:left="810" w:right="115" w:hanging="708"/>
        <w:jc w:val="both"/>
        <w:rPr>
          <w:sz w:val="24"/>
        </w:rPr>
      </w:pPr>
      <w:r>
        <w:rPr>
          <w:sz w:val="24"/>
        </w:rPr>
        <w:t>Eneida,</w:t>
      </w:r>
      <w:r>
        <w:rPr>
          <w:spacing w:val="-14"/>
          <w:sz w:val="24"/>
        </w:rPr>
        <w:t> </w:t>
      </w:r>
      <w:r>
        <w:rPr>
          <w:sz w:val="24"/>
        </w:rPr>
        <w:t>R.</w:t>
      </w:r>
      <w:r>
        <w:rPr>
          <w:spacing w:val="-13"/>
          <w:sz w:val="24"/>
        </w:rPr>
        <w:t> </w:t>
      </w:r>
      <w:r>
        <w:rPr>
          <w:sz w:val="24"/>
        </w:rPr>
        <w:t>G.</w:t>
      </w:r>
      <w:r>
        <w:rPr>
          <w:spacing w:val="-14"/>
          <w:sz w:val="24"/>
        </w:rPr>
        <w:t> </w:t>
      </w:r>
      <w:r>
        <w:rPr>
          <w:sz w:val="24"/>
        </w:rPr>
        <w:t>R.,</w:t>
      </w:r>
      <w:r>
        <w:rPr>
          <w:spacing w:val="-13"/>
          <w:sz w:val="24"/>
        </w:rPr>
        <w:t> </w:t>
      </w:r>
      <w:r>
        <w:rPr>
          <w:sz w:val="24"/>
        </w:rPr>
        <w:t>C.</w:t>
      </w:r>
      <w:r>
        <w:rPr>
          <w:spacing w:val="-13"/>
          <w:sz w:val="24"/>
        </w:rPr>
        <w:t> </w:t>
      </w:r>
      <w:r>
        <w:rPr>
          <w:sz w:val="24"/>
        </w:rPr>
        <w:t>J.</w:t>
      </w:r>
      <w:r>
        <w:rPr>
          <w:spacing w:val="-13"/>
          <w:sz w:val="24"/>
        </w:rPr>
        <w:t> </w:t>
      </w:r>
      <w:r>
        <w:rPr>
          <w:sz w:val="24"/>
        </w:rPr>
        <w:t>Herrera,</w:t>
      </w:r>
      <w:r>
        <w:rPr>
          <w:spacing w:val="-13"/>
          <w:sz w:val="24"/>
        </w:rPr>
        <w:t> </w:t>
      </w:r>
      <w:r>
        <w:rPr>
          <w:sz w:val="24"/>
        </w:rPr>
        <w:t>R.</w:t>
      </w:r>
      <w:r>
        <w:rPr>
          <w:spacing w:val="-13"/>
          <w:sz w:val="24"/>
        </w:rPr>
        <w:t> </w:t>
      </w:r>
      <w:r>
        <w:rPr>
          <w:sz w:val="24"/>
        </w:rPr>
        <w:t>R.</w:t>
      </w:r>
      <w:r>
        <w:rPr>
          <w:spacing w:val="-13"/>
          <w:sz w:val="24"/>
        </w:rPr>
        <w:t> </w:t>
      </w:r>
      <w:r>
        <w:rPr>
          <w:sz w:val="24"/>
        </w:rPr>
        <w:t>Tzintzun,</w:t>
      </w:r>
      <w:r>
        <w:rPr>
          <w:spacing w:val="-13"/>
          <w:sz w:val="24"/>
        </w:rPr>
        <w:t> </w:t>
      </w:r>
      <w:r>
        <w:rPr>
          <w:sz w:val="24"/>
        </w:rPr>
        <w:t>G.</w:t>
      </w:r>
      <w:r>
        <w:rPr>
          <w:spacing w:val="-16"/>
          <w:sz w:val="24"/>
        </w:rPr>
        <w:t> </w:t>
      </w:r>
      <w:r>
        <w:rPr>
          <w:sz w:val="24"/>
        </w:rPr>
        <w:t>M.</w:t>
      </w:r>
      <w:r>
        <w:rPr>
          <w:spacing w:val="-13"/>
          <w:sz w:val="24"/>
        </w:rPr>
        <w:t> </w:t>
      </w:r>
      <w:r>
        <w:rPr>
          <w:sz w:val="24"/>
        </w:rPr>
        <w:t>Ramírez,</w:t>
      </w:r>
      <w:r>
        <w:rPr>
          <w:spacing w:val="-11"/>
          <w:sz w:val="24"/>
        </w:rPr>
        <w:t> </w:t>
      </w:r>
      <w:r>
        <w:rPr>
          <w:sz w:val="24"/>
        </w:rPr>
        <w:t>y</w:t>
      </w:r>
      <w:r>
        <w:rPr>
          <w:spacing w:val="-18"/>
          <w:sz w:val="24"/>
        </w:rPr>
        <w:t> </w:t>
      </w:r>
      <w:r>
        <w:rPr>
          <w:sz w:val="24"/>
        </w:rPr>
        <w:t>H.</w:t>
      </w:r>
      <w:r>
        <w:rPr>
          <w:spacing w:val="-11"/>
          <w:sz w:val="24"/>
        </w:rPr>
        <w:t> </w:t>
      </w:r>
      <w:r>
        <w:rPr>
          <w:sz w:val="24"/>
        </w:rPr>
        <w:t>B.</w:t>
      </w:r>
      <w:r>
        <w:rPr>
          <w:spacing w:val="-13"/>
          <w:sz w:val="24"/>
        </w:rPr>
        <w:t> </w:t>
      </w:r>
      <w:r>
        <w:rPr>
          <w:sz w:val="24"/>
        </w:rPr>
        <w:t>G.</w:t>
      </w:r>
      <w:r>
        <w:rPr>
          <w:spacing w:val="-14"/>
          <w:sz w:val="24"/>
        </w:rPr>
        <w:t> </w:t>
      </w:r>
      <w:r>
        <w:rPr>
          <w:sz w:val="24"/>
        </w:rPr>
        <w:t>de</w:t>
      </w:r>
      <w:r>
        <w:rPr>
          <w:spacing w:val="-14"/>
          <w:sz w:val="24"/>
        </w:rPr>
        <w:t> </w:t>
      </w:r>
      <w:r>
        <w:rPr>
          <w:sz w:val="24"/>
        </w:rPr>
        <w:t>la</w:t>
      </w:r>
      <w:r>
        <w:rPr>
          <w:spacing w:val="-14"/>
          <w:sz w:val="24"/>
        </w:rPr>
        <w:t> </w:t>
      </w:r>
      <w:r>
        <w:rPr>
          <w:sz w:val="24"/>
        </w:rPr>
        <w:t>Tejera.</w:t>
      </w:r>
      <w:r>
        <w:rPr>
          <w:spacing w:val="-13"/>
          <w:sz w:val="24"/>
        </w:rPr>
        <w:t> </w:t>
      </w:r>
      <w:r>
        <w:rPr>
          <w:sz w:val="24"/>
        </w:rPr>
        <w:t>(2011) Caracterización de los sistemas lecheros a pequeña escala en la región centro norte del estado de Michoacán, México. (Cavallotti VBA, Ramírez VB, Martínez CFE, Marcof ACF, Cesín VA. Editores). </w:t>
      </w:r>
      <w:r>
        <w:rPr>
          <w:i/>
          <w:sz w:val="24"/>
        </w:rPr>
        <w:t>En: La ganadería ante el agotamiento de los </w:t>
      </w:r>
      <w:r>
        <w:rPr>
          <w:i/>
          <w:sz w:val="24"/>
        </w:rPr>
        <w:t>paradigmas dominantes. 1era ed. Vol. 2. Departamento de Zootecnia CIESTAAM. Universidad Autónoma de Chapingo. Chapingo México, Méx</w:t>
      </w:r>
      <w:r>
        <w:rPr>
          <w:i/>
          <w:spacing w:val="-9"/>
          <w:sz w:val="24"/>
        </w:rPr>
        <w:t> </w:t>
      </w:r>
      <w:r>
        <w:rPr>
          <w:sz w:val="24"/>
        </w:rPr>
        <w:t>69-80.</w:t>
      </w:r>
    </w:p>
    <w:p>
      <w:pPr>
        <w:pStyle w:val="BodyText"/>
        <w:spacing w:line="360" w:lineRule="auto" w:before="4"/>
        <w:ind w:left="810" w:right="121" w:hanging="708"/>
        <w:jc w:val="both"/>
      </w:pPr>
      <w:r>
        <w:rPr/>
        <w:t>Espinosa, O. V. E., H. G. Rivera, H. L. A. García. (2008). Los canales y márgenes de comercialización de la leche cruda producida en un sistema familiar (Estudio de caso). </w:t>
      </w:r>
      <w:r>
        <w:rPr>
          <w:i/>
        </w:rPr>
        <w:t>Vet Méx </w:t>
      </w:r>
      <w:r>
        <w:rPr/>
        <w:t>39 (1): 1-16.</w:t>
      </w:r>
    </w:p>
    <w:p>
      <w:pPr>
        <w:spacing w:line="360" w:lineRule="auto" w:before="7"/>
        <w:ind w:left="810" w:right="119" w:hanging="708"/>
        <w:jc w:val="both"/>
        <w:rPr>
          <w:sz w:val="24"/>
        </w:rPr>
      </w:pPr>
      <w:r>
        <w:rPr>
          <w:sz w:val="24"/>
        </w:rPr>
        <w:t>Espinoza O. A., J. C. Arriaga, M. C. Ramírez, y S. Wiggins. (2002). La Reconvención Productiva en el Estado de México: Los Productores del Valle de Toluca ¿Maiceros o lecheros?. (Caballotti VBA. y Palacio MVH). </w:t>
      </w:r>
      <w:r>
        <w:rPr>
          <w:i/>
          <w:sz w:val="24"/>
        </w:rPr>
        <w:t>En: La Ganadería en México: </w:t>
      </w:r>
      <w:r>
        <w:rPr>
          <w:i/>
          <w:sz w:val="24"/>
        </w:rPr>
        <w:t>Globalización, Políticas, Regiones y Transferencia de Tecnología. México Universidad Autónoma de Chapingo. Chapingo </w:t>
      </w:r>
      <w:r>
        <w:rPr>
          <w:sz w:val="24"/>
        </w:rPr>
        <w:t>146-159.</w:t>
      </w:r>
    </w:p>
    <w:p>
      <w:pPr>
        <w:pStyle w:val="BodyText"/>
        <w:spacing w:line="360" w:lineRule="auto" w:before="4"/>
        <w:ind w:left="810" w:right="117" w:hanging="648"/>
        <w:jc w:val="both"/>
      </w:pPr>
      <w:r>
        <w:rPr/>
        <w:t>Espinoza, O. A., M. A. Álvarez, M. C. Del Valle, M. Chauvete. (2005). La economía de</w:t>
      </w:r>
      <w:r>
        <w:rPr>
          <w:spacing w:val="-42"/>
        </w:rPr>
        <w:t> </w:t>
      </w:r>
      <w:r>
        <w:rPr/>
        <w:t>los sistemas campesinos de producción de leche en el Estado de México. </w:t>
      </w:r>
      <w:r>
        <w:rPr>
          <w:i/>
        </w:rPr>
        <w:t>Téc Pec Méx </w:t>
      </w:r>
      <w:r>
        <w:rPr/>
        <w:t>43 (001);</w:t>
      </w:r>
      <w:r>
        <w:rPr>
          <w:spacing w:val="-3"/>
        </w:rPr>
        <w:t> </w:t>
      </w:r>
      <w:r>
        <w:rPr/>
        <w:t>39-56.</w:t>
      </w:r>
    </w:p>
    <w:p>
      <w:pPr>
        <w:pStyle w:val="BodyText"/>
        <w:spacing w:before="6"/>
        <w:ind w:left="162"/>
      </w:pPr>
      <w:r>
        <w:rPr/>
        <w:t>Espinoza-Ortega, A., E. Espinosa-Ayala, J. Bastida-López, T. Castañeda-Martínez, and  C.</w:t>
      </w:r>
    </w:p>
    <w:p>
      <w:pPr>
        <w:pStyle w:val="BodyText"/>
        <w:spacing w:line="360" w:lineRule="auto" w:before="137"/>
        <w:ind w:left="810" w:right="118"/>
        <w:jc w:val="both"/>
      </w:pPr>
      <w:r>
        <w:rPr/>
        <w:t>M. Arriaga-Jordán. (2007). Small-scale dairy farming in the Highlands of central Mexico: Technical, economic and social aspects and their impact on poverty. </w:t>
      </w:r>
      <w:r>
        <w:rPr>
          <w:i/>
        </w:rPr>
        <w:t>Expl </w:t>
      </w:r>
      <w:r>
        <w:rPr>
          <w:i/>
        </w:rPr>
        <w:t>Agric </w:t>
      </w:r>
      <w:r>
        <w:rPr/>
        <w:t>(43): 241-256.</w:t>
      </w:r>
    </w:p>
    <w:p>
      <w:pPr>
        <w:pStyle w:val="BodyText"/>
        <w:spacing w:before="6"/>
        <w:ind w:left="162"/>
      </w:pPr>
      <w:r>
        <w:rPr/>
        <w:t>Garduño-Castro, Y., A. Espinoza-Ortega, C. E. González-Esquivel, B. Mateo-Salazar,    C.</w:t>
      </w:r>
    </w:p>
    <w:p>
      <w:pPr>
        <w:spacing w:line="360" w:lineRule="auto" w:before="137"/>
        <w:ind w:left="810" w:right="120" w:firstLine="0"/>
        <w:jc w:val="both"/>
        <w:rPr>
          <w:sz w:val="24"/>
        </w:rPr>
      </w:pPr>
      <w:r>
        <w:rPr>
          <w:sz w:val="24"/>
        </w:rPr>
        <w:t>M. Arriaga-Jordán. (2009). Intercropped oats (</w:t>
      </w:r>
      <w:r>
        <w:rPr>
          <w:i/>
          <w:sz w:val="24"/>
        </w:rPr>
        <w:t>Avena sativa</w:t>
      </w:r>
      <w:r>
        <w:rPr>
          <w:sz w:val="24"/>
        </w:rPr>
        <w:t>) – common vetch (</w:t>
      </w:r>
      <w:r>
        <w:rPr>
          <w:i/>
          <w:sz w:val="24"/>
        </w:rPr>
        <w:t>Vicia </w:t>
      </w:r>
      <w:r>
        <w:rPr>
          <w:i/>
          <w:sz w:val="24"/>
        </w:rPr>
        <w:t>sativa</w:t>
      </w:r>
      <w:r>
        <w:rPr>
          <w:sz w:val="24"/>
        </w:rPr>
        <w:t>) silage in the dry season for small-scale dairy systems in the highlands of central México. </w:t>
      </w:r>
      <w:r>
        <w:rPr>
          <w:i/>
          <w:sz w:val="24"/>
        </w:rPr>
        <w:t>Trop Anim Health Prod </w:t>
      </w:r>
      <w:r>
        <w:rPr>
          <w:sz w:val="24"/>
        </w:rPr>
        <w:t>(41): 827-834.</w:t>
      </w:r>
    </w:p>
    <w:p>
      <w:pPr>
        <w:spacing w:line="360" w:lineRule="auto" w:before="7"/>
        <w:ind w:left="810" w:right="115" w:hanging="646"/>
        <w:jc w:val="both"/>
        <w:rPr>
          <w:sz w:val="24"/>
        </w:rPr>
      </w:pPr>
      <w:r>
        <w:rPr>
          <w:sz w:val="24"/>
        </w:rPr>
        <w:t>INEGI, Instituto Nacional de Estadística, Geografía e Informática. (2003) </w:t>
      </w:r>
      <w:r>
        <w:rPr>
          <w:i/>
          <w:sz w:val="24"/>
        </w:rPr>
        <w:t>Anuario </w:t>
      </w:r>
      <w:r>
        <w:rPr>
          <w:i/>
          <w:sz w:val="24"/>
        </w:rPr>
        <w:t>Estadístico del Estado de México. Aguascalientes, Ags. México</w:t>
      </w:r>
      <w:r>
        <w:rPr>
          <w:sz w:val="24"/>
        </w:rPr>
        <w:t>.</w:t>
      </w:r>
    </w:p>
    <w:p>
      <w:pPr>
        <w:pStyle w:val="BodyText"/>
        <w:spacing w:line="360" w:lineRule="auto" w:before="6"/>
        <w:ind w:left="810" w:right="118" w:hanging="708"/>
        <w:jc w:val="both"/>
      </w:pPr>
      <w:r>
        <w:rPr/>
        <w:t>Magaña, M. M. A., y C. E. L. Morales. (2011). Costos y rentabilidad del proceso de producción apícola en México. </w:t>
      </w:r>
      <w:r>
        <w:rPr>
          <w:i/>
        </w:rPr>
        <w:t>Contaduría y Administración </w:t>
      </w:r>
      <w:r>
        <w:rPr/>
        <w:t>septiembre-diciembre (235): 99-119.</w:t>
      </w:r>
    </w:p>
    <w:p>
      <w:pPr>
        <w:spacing w:after="0" w:line="360" w:lineRule="auto"/>
        <w:jc w:val="both"/>
        <w:sectPr>
          <w:pgSz w:w="12240" w:h="15840"/>
          <w:pgMar w:header="0" w:footer="657" w:top="1360" w:bottom="840" w:left="1600" w:right="1580"/>
        </w:sectPr>
      </w:pPr>
    </w:p>
    <w:p>
      <w:pPr>
        <w:spacing w:line="362" w:lineRule="auto" w:before="50"/>
        <w:ind w:left="810" w:right="117" w:hanging="708"/>
        <w:jc w:val="both"/>
        <w:rPr>
          <w:sz w:val="24"/>
        </w:rPr>
      </w:pPr>
      <w:r>
        <w:rPr>
          <w:sz w:val="24"/>
        </w:rPr>
        <w:t>Morillo, M. (2001). Rentabilidad financiera y reducción de costos. </w:t>
      </w:r>
      <w:r>
        <w:rPr>
          <w:i/>
          <w:sz w:val="24"/>
        </w:rPr>
        <w:t>Revista Actualidad </w:t>
      </w:r>
      <w:r>
        <w:rPr>
          <w:i/>
          <w:sz w:val="24"/>
        </w:rPr>
        <w:t>Contable Faces </w:t>
      </w:r>
      <w:r>
        <w:rPr>
          <w:sz w:val="24"/>
        </w:rPr>
        <w:t>enero-junio 4(004): 35-48.</w:t>
      </w:r>
    </w:p>
    <w:p>
      <w:pPr>
        <w:spacing w:line="360" w:lineRule="auto" w:before="1"/>
        <w:ind w:left="810" w:right="117" w:hanging="648"/>
        <w:jc w:val="both"/>
        <w:rPr>
          <w:sz w:val="24"/>
        </w:rPr>
      </w:pPr>
      <w:r>
        <w:rPr>
          <w:sz w:val="24"/>
        </w:rPr>
        <w:t>Perea,</w:t>
      </w:r>
      <w:r>
        <w:rPr>
          <w:spacing w:val="-6"/>
          <w:sz w:val="24"/>
        </w:rPr>
        <w:t> </w:t>
      </w:r>
      <w:r>
        <w:rPr>
          <w:sz w:val="24"/>
        </w:rPr>
        <w:t>P.</w:t>
      </w:r>
      <w:r>
        <w:rPr>
          <w:spacing w:val="-6"/>
          <w:sz w:val="24"/>
        </w:rPr>
        <w:t> </w:t>
      </w:r>
      <w:r>
        <w:rPr>
          <w:sz w:val="24"/>
        </w:rPr>
        <w:t>M.,</w:t>
      </w:r>
      <w:r>
        <w:rPr>
          <w:spacing w:val="-6"/>
          <w:sz w:val="24"/>
        </w:rPr>
        <w:t> </w:t>
      </w:r>
      <w:r>
        <w:rPr>
          <w:sz w:val="24"/>
        </w:rPr>
        <w:t>O.</w:t>
      </w:r>
      <w:r>
        <w:rPr>
          <w:spacing w:val="-7"/>
          <w:sz w:val="24"/>
        </w:rPr>
        <w:t> </w:t>
      </w:r>
      <w:r>
        <w:rPr>
          <w:sz w:val="24"/>
        </w:rPr>
        <w:t>A.</w:t>
      </w:r>
      <w:r>
        <w:rPr>
          <w:spacing w:val="-5"/>
          <w:sz w:val="24"/>
        </w:rPr>
        <w:t> </w:t>
      </w:r>
      <w:r>
        <w:rPr>
          <w:sz w:val="24"/>
        </w:rPr>
        <w:t>Espinoza,</w:t>
      </w:r>
      <w:r>
        <w:rPr>
          <w:spacing w:val="-4"/>
          <w:sz w:val="24"/>
        </w:rPr>
        <w:t> </w:t>
      </w:r>
      <w:r>
        <w:rPr>
          <w:sz w:val="24"/>
        </w:rPr>
        <w:t>y</w:t>
      </w:r>
      <w:r>
        <w:rPr>
          <w:spacing w:val="-11"/>
          <w:sz w:val="24"/>
        </w:rPr>
        <w:t> </w:t>
      </w:r>
      <w:r>
        <w:rPr>
          <w:sz w:val="24"/>
        </w:rPr>
        <w:t>V.</w:t>
      </w:r>
      <w:r>
        <w:rPr>
          <w:spacing w:val="-7"/>
          <w:sz w:val="24"/>
        </w:rPr>
        <w:t> </w:t>
      </w:r>
      <w:r>
        <w:rPr>
          <w:sz w:val="24"/>
        </w:rPr>
        <w:t>E.</w:t>
      </w:r>
      <w:r>
        <w:rPr>
          <w:spacing w:val="-7"/>
          <w:sz w:val="24"/>
        </w:rPr>
        <w:t> </w:t>
      </w:r>
      <w:r>
        <w:rPr>
          <w:sz w:val="24"/>
        </w:rPr>
        <w:t>Sánchez.</w:t>
      </w:r>
      <w:r>
        <w:rPr>
          <w:spacing w:val="-6"/>
          <w:sz w:val="24"/>
        </w:rPr>
        <w:t> </w:t>
      </w:r>
      <w:r>
        <w:rPr>
          <w:sz w:val="24"/>
        </w:rPr>
        <w:t>(2011).</w:t>
      </w:r>
      <w:r>
        <w:rPr>
          <w:spacing w:val="-5"/>
          <w:sz w:val="24"/>
        </w:rPr>
        <w:t> </w:t>
      </w:r>
      <w:r>
        <w:rPr>
          <w:sz w:val="24"/>
        </w:rPr>
        <w:t>Los</w:t>
      </w:r>
      <w:r>
        <w:rPr>
          <w:spacing w:val="-6"/>
          <w:sz w:val="24"/>
        </w:rPr>
        <w:t> </w:t>
      </w:r>
      <w:r>
        <w:rPr>
          <w:sz w:val="24"/>
        </w:rPr>
        <w:t>capitales</w:t>
      </w:r>
      <w:r>
        <w:rPr>
          <w:spacing w:val="-7"/>
          <w:sz w:val="24"/>
        </w:rPr>
        <w:t> </w:t>
      </w:r>
      <w:r>
        <w:rPr>
          <w:sz w:val="24"/>
        </w:rPr>
        <w:t>social,</w:t>
      </w:r>
      <w:r>
        <w:rPr>
          <w:spacing w:val="-6"/>
          <w:sz w:val="24"/>
        </w:rPr>
        <w:t> </w:t>
      </w:r>
      <w:r>
        <w:rPr>
          <w:sz w:val="24"/>
        </w:rPr>
        <w:t>humano</w:t>
      </w:r>
      <w:r>
        <w:rPr>
          <w:spacing w:val="-4"/>
          <w:sz w:val="24"/>
        </w:rPr>
        <w:t> </w:t>
      </w:r>
      <w:r>
        <w:rPr>
          <w:sz w:val="24"/>
        </w:rPr>
        <w:t>y</w:t>
      </w:r>
      <w:r>
        <w:rPr>
          <w:spacing w:val="-9"/>
          <w:sz w:val="24"/>
        </w:rPr>
        <w:t> </w:t>
      </w:r>
      <w:r>
        <w:rPr>
          <w:sz w:val="24"/>
        </w:rPr>
        <w:t>físico en los procesos de innovación tecnológica de los sistemas campesinos de</w:t>
      </w:r>
      <w:r>
        <w:rPr>
          <w:spacing w:val="-38"/>
          <w:sz w:val="24"/>
        </w:rPr>
        <w:t> </w:t>
      </w:r>
      <w:r>
        <w:rPr>
          <w:sz w:val="24"/>
        </w:rPr>
        <w:t>producción ovina en Michoacán. (Cavallotti VBA, Ramírez VB, Martínez CFE, Marcof ACF, Cesín VA. Editores). </w:t>
      </w:r>
      <w:r>
        <w:rPr>
          <w:i/>
          <w:sz w:val="24"/>
        </w:rPr>
        <w:t>En: La ganadería ante el agotamiento de los paradigmas </w:t>
      </w:r>
      <w:r>
        <w:rPr>
          <w:i/>
          <w:sz w:val="24"/>
        </w:rPr>
        <w:t>dominantes. 1era ed. Vol. 2. Departamento de Zootecnia CIESTAAM. Universidad Autónoma de Chapingo. Chapingo México, Méx</w:t>
      </w:r>
      <w:r>
        <w:rPr>
          <w:i/>
          <w:spacing w:val="-7"/>
          <w:sz w:val="24"/>
        </w:rPr>
        <w:t> </w:t>
      </w:r>
      <w:r>
        <w:rPr>
          <w:sz w:val="24"/>
        </w:rPr>
        <w:t>101-112.</w:t>
      </w:r>
    </w:p>
    <w:p>
      <w:pPr>
        <w:spacing w:line="360" w:lineRule="auto" w:before="4"/>
        <w:ind w:left="810" w:right="118" w:hanging="708"/>
        <w:jc w:val="both"/>
        <w:rPr>
          <w:sz w:val="24"/>
        </w:rPr>
      </w:pPr>
      <w:r>
        <w:rPr>
          <w:sz w:val="24"/>
        </w:rPr>
        <w:t>Salinas, M. J. A., R. C. J. Peñuelas, O. A. Espinoza, C. F. E. Martínez. (2010) Costos de producción en sistemas campesinos de producción de leche de vaca. </w:t>
      </w:r>
      <w:r>
        <w:rPr>
          <w:i/>
          <w:sz w:val="24"/>
        </w:rPr>
        <w:t>En Los grandes </w:t>
      </w:r>
      <w:r>
        <w:rPr>
          <w:i/>
          <w:sz w:val="24"/>
        </w:rPr>
        <w:t>retos para la ganadería: Hambre, Pobreza y crisis Ambiental. (Cavallotti V.B.A., Marcof, A.C.F., Ramírez, V.B. Editores). Departamento de Zootecnia CIESTAAM. Universidad Autónoma de Chapingo. Chapingo Méx </w:t>
      </w:r>
      <w:r>
        <w:rPr>
          <w:sz w:val="24"/>
        </w:rPr>
        <w:t>291-298.</w:t>
      </w:r>
    </w:p>
    <w:p>
      <w:pPr>
        <w:spacing w:line="360" w:lineRule="auto" w:before="6"/>
        <w:ind w:left="810" w:right="117" w:hanging="708"/>
        <w:jc w:val="both"/>
        <w:rPr>
          <w:sz w:val="24"/>
        </w:rPr>
      </w:pPr>
      <w:r>
        <w:rPr>
          <w:sz w:val="24"/>
        </w:rPr>
        <w:t>SIAP, Sistema de Información Agroalimentaria y Pesquera. </w:t>
      </w:r>
      <w:r>
        <w:rPr>
          <w:i/>
          <w:sz w:val="24"/>
        </w:rPr>
        <w:t>Base de datos estadísticos con </w:t>
      </w:r>
      <w:r>
        <w:rPr>
          <w:i/>
          <w:sz w:val="24"/>
        </w:rPr>
        <w:t>relación a la producción pecuaria</w:t>
      </w:r>
      <w:r>
        <w:rPr>
          <w:sz w:val="24"/>
        </w:rPr>
        <w:t>. Disponible en: </w:t>
      </w:r>
      <w:hyperlink r:id="rId111">
        <w:r>
          <w:rPr>
            <w:sz w:val="24"/>
            <w:u w:val="single"/>
          </w:rPr>
          <w:t>http://www.siap.gob.mx/index.php?option=com_wrapper&amp;view=wrapper&amp;Itemid=</w:t>
        </w:r>
      </w:hyperlink>
    </w:p>
    <w:p>
      <w:pPr>
        <w:pStyle w:val="BodyText"/>
        <w:spacing w:before="4"/>
        <w:ind w:left="810"/>
      </w:pPr>
      <w:hyperlink r:id="rId111">
        <w:r>
          <w:rPr>
            <w:u w:val="single"/>
          </w:rPr>
          <w:t>369</w:t>
        </w:r>
      </w:hyperlink>
      <w:r>
        <w:rPr/>
        <w:t>. Consulta 2012.</w:t>
      </w:r>
    </w:p>
    <w:p>
      <w:pPr>
        <w:tabs>
          <w:tab w:pos="3439" w:val="left" w:leader="none"/>
          <w:tab w:pos="4600" w:val="left" w:leader="none"/>
          <w:tab w:pos="6539" w:val="left" w:leader="none"/>
          <w:tab w:pos="8085" w:val="left" w:leader="none"/>
          <w:tab w:pos="8648" w:val="left" w:leader="none"/>
        </w:tabs>
        <w:spacing w:line="360" w:lineRule="auto" w:before="139"/>
        <w:ind w:left="810" w:right="116" w:hanging="708"/>
        <w:jc w:val="left"/>
        <w:rPr>
          <w:sz w:val="24"/>
        </w:rPr>
      </w:pPr>
      <w:r>
        <w:rPr>
          <w:sz w:val="24"/>
        </w:rPr>
        <w:t>SIAP, Sistema de Información Agroalimentaria y Pesquera. </w:t>
      </w:r>
      <w:r>
        <w:rPr>
          <w:i/>
          <w:sz w:val="24"/>
        </w:rPr>
        <w:t>Indicadores básicos del sector </w:t>
      </w:r>
      <w:r>
        <w:rPr>
          <w:i/>
          <w:sz w:val="24"/>
        </w:rPr>
        <w:t>agroalimentario</w:t>
        <w:tab/>
        <w:t>y</w:t>
        <w:tab/>
        <w:t>pesquero</w:t>
        <w:tab/>
      </w:r>
      <w:r>
        <w:rPr>
          <w:sz w:val="24"/>
        </w:rPr>
        <w:t>Disponible</w:t>
        <w:tab/>
        <w:tab/>
        <w:t>en: </w:t>
      </w:r>
      <w:hyperlink r:id="rId112">
        <w:r>
          <w:rPr>
            <w:sz w:val="24"/>
          </w:rPr>
          <w:t>http://www.campomexicano.gob.mx/portal_siap/Integracion/EstadisticaDerivada/In</w:t>
        </w:r>
      </w:hyperlink>
      <w:r>
        <w:rPr>
          <w:sz w:val="24"/>
        </w:rPr>
        <w:t> formaciondeMercados/Mercados/modelos/Indicadoresbasicos2009.pdf.</w:t>
        <w:tab/>
        <w:t>Consulta 2011.</w:t>
      </w:r>
    </w:p>
    <w:p>
      <w:pPr>
        <w:pStyle w:val="BodyText"/>
        <w:spacing w:line="360" w:lineRule="auto" w:before="4"/>
        <w:ind w:left="810" w:right="118" w:hanging="648"/>
        <w:jc w:val="both"/>
      </w:pPr>
      <w:r>
        <w:rPr/>
        <w:t>Somda,</w:t>
      </w:r>
      <w:r>
        <w:rPr>
          <w:spacing w:val="-9"/>
        </w:rPr>
        <w:t> </w:t>
      </w:r>
      <w:r>
        <w:rPr/>
        <w:t>J.,</w:t>
      </w:r>
      <w:r>
        <w:rPr>
          <w:spacing w:val="-9"/>
        </w:rPr>
        <w:t> </w:t>
      </w:r>
      <w:r>
        <w:rPr/>
        <w:t>M.</w:t>
      </w:r>
      <w:r>
        <w:rPr>
          <w:spacing w:val="-8"/>
        </w:rPr>
        <w:t> </w:t>
      </w:r>
      <w:r>
        <w:rPr/>
        <w:t>Kamuanga,</w:t>
      </w:r>
      <w:r>
        <w:rPr>
          <w:spacing w:val="-9"/>
        </w:rPr>
        <w:t> </w:t>
      </w:r>
      <w:r>
        <w:rPr/>
        <w:t>E.</w:t>
      </w:r>
      <w:r>
        <w:rPr>
          <w:spacing w:val="-9"/>
        </w:rPr>
        <w:t> </w:t>
      </w:r>
      <w:r>
        <w:rPr/>
        <w:t>Tollens.</w:t>
      </w:r>
      <w:r>
        <w:rPr>
          <w:spacing w:val="-9"/>
        </w:rPr>
        <w:t> </w:t>
      </w:r>
      <w:r>
        <w:rPr/>
        <w:t>(2005).</w:t>
      </w:r>
      <w:r>
        <w:rPr>
          <w:spacing w:val="-9"/>
        </w:rPr>
        <w:t> </w:t>
      </w:r>
      <w:r>
        <w:rPr/>
        <w:t>Characteristics</w:t>
      </w:r>
      <w:r>
        <w:rPr>
          <w:spacing w:val="-8"/>
        </w:rPr>
        <w:t> </w:t>
      </w:r>
      <w:r>
        <w:rPr/>
        <w:t>and</w:t>
      </w:r>
      <w:r>
        <w:rPr>
          <w:spacing w:val="-9"/>
        </w:rPr>
        <w:t> </w:t>
      </w:r>
      <w:r>
        <w:rPr/>
        <w:t>economic</w:t>
      </w:r>
      <w:r>
        <w:rPr>
          <w:spacing w:val="-7"/>
        </w:rPr>
        <w:t> </w:t>
      </w:r>
      <w:r>
        <w:rPr/>
        <w:t>viability</w:t>
      </w:r>
      <w:r>
        <w:rPr>
          <w:spacing w:val="-16"/>
        </w:rPr>
        <w:t> </w:t>
      </w:r>
      <w:r>
        <w:rPr/>
        <w:t>of</w:t>
      </w:r>
      <w:r>
        <w:rPr>
          <w:spacing w:val="-9"/>
        </w:rPr>
        <w:t> </w:t>
      </w:r>
      <w:r>
        <w:rPr/>
        <w:t>milk production in the smollholder farming systems in the Gambia. </w:t>
      </w:r>
      <w:r>
        <w:rPr>
          <w:i/>
        </w:rPr>
        <w:t>Agric Syst Hol </w:t>
      </w:r>
      <w:r>
        <w:rPr/>
        <w:t>(85): 42-58.</w:t>
      </w:r>
    </w:p>
    <w:p>
      <w:pPr>
        <w:pStyle w:val="BodyText"/>
        <w:spacing w:line="360" w:lineRule="auto" w:before="7"/>
        <w:ind w:left="810" w:right="119" w:hanging="648"/>
        <w:jc w:val="both"/>
      </w:pPr>
      <w:r>
        <w:rPr/>
        <w:t>Székely,</w:t>
      </w:r>
      <w:r>
        <w:rPr>
          <w:spacing w:val="-16"/>
        </w:rPr>
        <w:t> </w:t>
      </w:r>
      <w:r>
        <w:rPr/>
        <w:t>M.,</w:t>
      </w:r>
      <w:r>
        <w:rPr>
          <w:spacing w:val="-16"/>
        </w:rPr>
        <w:t> </w:t>
      </w:r>
      <w:r>
        <w:rPr/>
        <w:t>E.</w:t>
      </w:r>
      <w:r>
        <w:rPr>
          <w:spacing w:val="-16"/>
        </w:rPr>
        <w:t> </w:t>
      </w:r>
      <w:r>
        <w:rPr/>
        <w:t>Rascón.</w:t>
      </w:r>
      <w:r>
        <w:rPr>
          <w:spacing w:val="-16"/>
        </w:rPr>
        <w:t> </w:t>
      </w:r>
      <w:r>
        <w:rPr/>
        <w:t>(2005).</w:t>
      </w:r>
      <w:r>
        <w:rPr>
          <w:spacing w:val="-16"/>
        </w:rPr>
        <w:t> </w:t>
      </w:r>
      <w:r>
        <w:rPr/>
        <w:t>México</w:t>
      </w:r>
      <w:r>
        <w:rPr>
          <w:spacing w:val="-16"/>
        </w:rPr>
        <w:t> </w:t>
      </w:r>
      <w:r>
        <w:rPr/>
        <w:t>2000-2002:</w:t>
      </w:r>
      <w:r>
        <w:rPr>
          <w:spacing w:val="-15"/>
        </w:rPr>
        <w:t> </w:t>
      </w:r>
      <w:r>
        <w:rPr/>
        <w:t>Reducción</w:t>
      </w:r>
      <w:r>
        <w:rPr>
          <w:spacing w:val="-15"/>
        </w:rPr>
        <w:t> </w:t>
      </w:r>
      <w:r>
        <w:rPr/>
        <w:t>de</w:t>
      </w:r>
      <w:r>
        <w:rPr>
          <w:spacing w:val="-17"/>
        </w:rPr>
        <w:t> </w:t>
      </w:r>
      <w:r>
        <w:rPr/>
        <w:t>la</w:t>
      </w:r>
      <w:r>
        <w:rPr>
          <w:spacing w:val="-16"/>
        </w:rPr>
        <w:t> </w:t>
      </w:r>
      <w:r>
        <w:rPr/>
        <w:t>pobreza</w:t>
      </w:r>
      <w:r>
        <w:rPr>
          <w:spacing w:val="-17"/>
        </w:rPr>
        <w:t> </w:t>
      </w:r>
      <w:r>
        <w:rPr/>
        <w:t>con</w:t>
      </w:r>
      <w:r>
        <w:rPr>
          <w:spacing w:val="-16"/>
        </w:rPr>
        <w:t> </w:t>
      </w:r>
      <w:r>
        <w:rPr/>
        <w:t>estabilidad y expansión de programas sociales. </w:t>
      </w:r>
      <w:r>
        <w:rPr>
          <w:i/>
        </w:rPr>
        <w:t>Rev. Econ Méx nueva época </w:t>
      </w:r>
      <w:r>
        <w:rPr/>
        <w:t>(2):</w:t>
      </w:r>
      <w:r>
        <w:rPr>
          <w:spacing w:val="-6"/>
        </w:rPr>
        <w:t> </w:t>
      </w:r>
      <w:r>
        <w:rPr/>
        <w:t>217-269.</w:t>
      </w:r>
    </w:p>
    <w:p>
      <w:pPr>
        <w:spacing w:line="360" w:lineRule="auto" w:before="6"/>
        <w:ind w:left="810" w:right="119" w:hanging="648"/>
        <w:jc w:val="both"/>
        <w:rPr>
          <w:sz w:val="24"/>
        </w:rPr>
      </w:pPr>
      <w:r>
        <w:rPr>
          <w:sz w:val="24"/>
        </w:rPr>
        <w:t>Torres-Lima, P., y L. Rodríguez-Sánchez. (2008). Farming dynamics and social capital. A case study in the urban fringe of Mexico City. </w:t>
      </w:r>
      <w:r>
        <w:rPr>
          <w:i/>
          <w:sz w:val="24"/>
        </w:rPr>
        <w:t>Environment Development and </w:t>
      </w:r>
      <w:r>
        <w:rPr>
          <w:i/>
          <w:sz w:val="24"/>
        </w:rPr>
        <w:t>Sustainability </w:t>
      </w:r>
      <w:r>
        <w:rPr>
          <w:sz w:val="24"/>
        </w:rPr>
        <w:t>(10): 193-208.</w:t>
      </w:r>
    </w:p>
    <w:p>
      <w:pPr>
        <w:spacing w:after="0" w:line="360" w:lineRule="auto"/>
        <w:jc w:val="both"/>
        <w:rPr>
          <w:sz w:val="24"/>
        </w:rPr>
        <w:sectPr>
          <w:pgSz w:w="12240" w:h="15840"/>
          <w:pgMar w:header="0" w:footer="657" w:top="1360" w:bottom="840" w:left="1600" w:right="1580"/>
        </w:sectPr>
      </w:pPr>
    </w:p>
    <w:p>
      <w:pPr>
        <w:pStyle w:val="Heading1"/>
        <w:numPr>
          <w:ilvl w:val="1"/>
          <w:numId w:val="23"/>
        </w:numPr>
        <w:tabs>
          <w:tab w:pos="462" w:val="left" w:leader="none"/>
        </w:tabs>
        <w:spacing w:line="240" w:lineRule="auto" w:before="55" w:after="0"/>
        <w:ind w:left="462" w:right="0" w:hanging="360"/>
        <w:jc w:val="both"/>
      </w:pPr>
      <w:bookmarkStart w:name="_TOC_250000" w:id="42"/>
      <w:r>
        <w:rPr/>
        <w:t>Competitividad y rentabilidad privada en  la lechería de pequeña</w:t>
      </w:r>
      <w:r>
        <w:rPr>
          <w:spacing w:val="-19"/>
        </w:rPr>
        <w:t> </w:t>
      </w:r>
      <w:bookmarkEnd w:id="42"/>
      <w:r>
        <w:rPr/>
        <w:t>escala</w:t>
      </w:r>
    </w:p>
    <w:p>
      <w:pPr>
        <w:pStyle w:val="BodyText"/>
        <w:rPr>
          <w:b/>
        </w:rPr>
      </w:pPr>
    </w:p>
    <w:p>
      <w:pPr>
        <w:pStyle w:val="BodyText"/>
        <w:rPr>
          <w:b/>
        </w:rPr>
      </w:pPr>
    </w:p>
    <w:p>
      <w:pPr>
        <w:pStyle w:val="BodyText"/>
        <w:rPr>
          <w:b/>
        </w:rPr>
      </w:pPr>
    </w:p>
    <w:p>
      <w:pPr>
        <w:pStyle w:val="BodyText"/>
        <w:spacing w:line="465" w:lineRule="auto" w:before="179"/>
        <w:ind w:left="102" w:right="119"/>
        <w:jc w:val="both"/>
      </w:pPr>
      <w:r>
        <w:rPr/>
        <w:t>Rodolfo Rogelio Posadas-Domínguez</w:t>
      </w:r>
      <w:r>
        <w:rPr>
          <w:position w:val="9"/>
          <w:sz w:val="16"/>
        </w:rPr>
        <w:t>1</w:t>
      </w:r>
      <w:r>
        <w:rPr/>
        <w:t>, Jesús Armando Salinas-Martínez</w:t>
      </w:r>
      <w:r>
        <w:rPr>
          <w:position w:val="9"/>
          <w:sz w:val="16"/>
        </w:rPr>
        <w:t>1</w:t>
      </w:r>
      <w:r>
        <w:rPr/>
        <w:t>, Carlos Manuel Arriaga-Jordán</w:t>
      </w:r>
      <w:r>
        <w:rPr>
          <w:position w:val="9"/>
          <w:sz w:val="16"/>
        </w:rPr>
        <w:t>1</w:t>
      </w:r>
      <w:r>
        <w:rPr/>
        <w:t>, Nicolás Callejas-Juárez</w:t>
      </w:r>
      <w:r>
        <w:rPr>
          <w:position w:val="9"/>
          <w:sz w:val="16"/>
        </w:rPr>
        <w:t>2</w:t>
      </w:r>
      <w:r>
        <w:rPr/>
        <w:t>, Francisco Ernesto Martínez-Castañeda</w:t>
      </w:r>
      <w:r>
        <w:rPr>
          <w:position w:val="9"/>
          <w:sz w:val="16"/>
        </w:rPr>
        <w:t>1</w:t>
      </w:r>
      <w:r>
        <w:rPr/>
        <w:t>.</w:t>
      </w:r>
    </w:p>
    <w:p>
      <w:pPr>
        <w:pStyle w:val="BodyText"/>
        <w:rPr>
          <w:sz w:val="26"/>
        </w:rPr>
      </w:pPr>
    </w:p>
    <w:p>
      <w:pPr>
        <w:pStyle w:val="BodyText"/>
        <w:rPr>
          <w:sz w:val="26"/>
        </w:rPr>
      </w:pPr>
    </w:p>
    <w:p>
      <w:pPr>
        <w:pStyle w:val="BodyText"/>
        <w:rPr>
          <w:sz w:val="26"/>
        </w:rPr>
      </w:pPr>
    </w:p>
    <w:p>
      <w:pPr>
        <w:pStyle w:val="BodyText"/>
        <w:spacing w:line="482" w:lineRule="auto" w:before="201"/>
        <w:ind w:left="102" w:right="122"/>
        <w:jc w:val="both"/>
      </w:pPr>
      <w:r>
        <w:rPr>
          <w:position w:val="9"/>
          <w:sz w:val="16"/>
        </w:rPr>
        <w:t>1</w:t>
      </w:r>
      <w:r>
        <w:rPr/>
        <w:t>Instituto de Ciencias Agropecuarias y Rurales (ICAR), Universidad Autónoma del Estado de México (UAEM). Instituto Literario 100. Centro. Toluca. 50000. MÉXICO.</w:t>
      </w:r>
    </w:p>
    <w:p>
      <w:pPr>
        <w:pStyle w:val="BodyText"/>
      </w:pPr>
    </w:p>
    <w:p>
      <w:pPr>
        <w:pStyle w:val="BodyText"/>
      </w:pPr>
    </w:p>
    <w:p>
      <w:pPr>
        <w:pStyle w:val="BodyText"/>
        <w:spacing w:before="8"/>
        <w:rPr>
          <w:sz w:val="33"/>
        </w:rPr>
      </w:pPr>
    </w:p>
    <w:p>
      <w:pPr>
        <w:pStyle w:val="BodyText"/>
        <w:spacing w:line="482" w:lineRule="auto" w:before="1"/>
        <w:ind w:left="102" w:right="123"/>
        <w:jc w:val="both"/>
      </w:pPr>
      <w:r>
        <w:rPr>
          <w:position w:val="9"/>
          <w:sz w:val="16"/>
        </w:rPr>
        <w:t>2</w:t>
      </w:r>
      <w:r>
        <w:rPr/>
        <w:t>Facultad de Zootecnia y Ecología, Universidad Autónoma de Chihuahua. Periférico Francisco R. Almada km 1. Chihuahua, Chih., México. CP 31453.</w:t>
      </w:r>
    </w:p>
    <w:p>
      <w:pPr>
        <w:pStyle w:val="BodyText"/>
      </w:pPr>
    </w:p>
    <w:p>
      <w:pPr>
        <w:pStyle w:val="BodyText"/>
      </w:pPr>
    </w:p>
    <w:p>
      <w:pPr>
        <w:pStyle w:val="BodyText"/>
        <w:spacing w:line="480" w:lineRule="auto" w:before="207"/>
        <w:ind w:left="102" w:right="115"/>
        <w:jc w:val="both"/>
      </w:pPr>
      <w:r>
        <w:rPr/>
        <w:t>Publicado</w:t>
      </w:r>
      <w:r>
        <w:rPr>
          <w:spacing w:val="-15"/>
        </w:rPr>
        <w:t> </w:t>
      </w:r>
      <w:r>
        <w:rPr/>
        <w:t>En:</w:t>
      </w:r>
      <w:r>
        <w:rPr>
          <w:spacing w:val="-15"/>
        </w:rPr>
        <w:t> </w:t>
      </w:r>
      <w:r>
        <w:rPr/>
        <w:t>Cavallotti-Vázquez</w:t>
      </w:r>
      <w:r>
        <w:rPr>
          <w:spacing w:val="-14"/>
        </w:rPr>
        <w:t> </w:t>
      </w:r>
      <w:r>
        <w:rPr/>
        <w:t>Beatriz,</w:t>
      </w:r>
      <w:r>
        <w:rPr>
          <w:spacing w:val="-15"/>
        </w:rPr>
        <w:t> </w:t>
      </w:r>
      <w:r>
        <w:rPr/>
        <w:t>Cesín-Vargas</w:t>
      </w:r>
      <w:r>
        <w:rPr>
          <w:spacing w:val="-13"/>
        </w:rPr>
        <w:t> </w:t>
      </w:r>
      <w:r>
        <w:rPr/>
        <w:t>Alfredo,</w:t>
      </w:r>
      <w:r>
        <w:rPr>
          <w:spacing w:val="-15"/>
        </w:rPr>
        <w:t> </w:t>
      </w:r>
      <w:r>
        <w:rPr/>
        <w:t>Ramírez-Valverde</w:t>
      </w:r>
      <w:r>
        <w:rPr>
          <w:spacing w:val="-14"/>
        </w:rPr>
        <w:t> </w:t>
      </w:r>
      <w:r>
        <w:rPr/>
        <w:t>Benito, Marcof-Álvarez Carlos (Coordinadores). Ganadería y alimentación: alternativas frente a la crisis ambiental y el cambio social. Volumen 2. UACH-COLPOS-UNAM. 2012: 593-606. ISBN 978-607-715-076-3 (Anexo</w:t>
      </w:r>
      <w:r>
        <w:rPr>
          <w:spacing w:val="-7"/>
        </w:rPr>
        <w:t> </w:t>
      </w:r>
      <w:r>
        <w:rPr/>
        <w:t>4).</w:t>
      </w:r>
    </w:p>
    <w:p>
      <w:pPr>
        <w:spacing w:after="0" w:line="480" w:lineRule="auto"/>
        <w:jc w:val="both"/>
        <w:sectPr>
          <w:pgSz w:w="12240" w:h="15840"/>
          <w:pgMar w:header="0" w:footer="657" w:top="1360" w:bottom="840" w:left="1600" w:right="1580"/>
        </w:sectPr>
      </w:pPr>
    </w:p>
    <w:p>
      <w:pPr>
        <w:pStyle w:val="Heading1"/>
      </w:pPr>
      <w:r>
        <w:rPr/>
        <w:t>INTRODUCCIÓN</w:t>
      </w:r>
    </w:p>
    <w:p>
      <w:pPr>
        <w:pStyle w:val="BodyText"/>
        <w:rPr>
          <w:b/>
        </w:rPr>
      </w:pPr>
    </w:p>
    <w:p>
      <w:pPr>
        <w:pStyle w:val="BodyText"/>
        <w:spacing w:before="7"/>
        <w:rPr>
          <w:b/>
          <w:sz w:val="23"/>
        </w:rPr>
      </w:pPr>
    </w:p>
    <w:p>
      <w:pPr>
        <w:pStyle w:val="BodyText"/>
        <w:spacing w:line="360" w:lineRule="auto"/>
        <w:ind w:left="102" w:right="118"/>
        <w:jc w:val="both"/>
      </w:pPr>
      <w:r>
        <w:rPr/>
        <w:t>Durante 2011, la actividad económica de México presentó una gradual desaceleración con respecto al proceso de recuperación iniciado en 2009, ello como consecuencia de diferentes factores entre los cuales sobresalen, las sequias ocurridas durante 2010, el crecimiento de precios en productos primarios, y la crisis de duda soberana en la zona del euro. Lo anterior ocasionó una incertidumbre financiera en la economía mexicana, lo que se tradujo en una reducción</w:t>
      </w:r>
      <w:r>
        <w:rPr>
          <w:spacing w:val="-7"/>
        </w:rPr>
        <w:t> </w:t>
      </w:r>
      <w:r>
        <w:rPr/>
        <w:t>de</w:t>
      </w:r>
      <w:r>
        <w:rPr>
          <w:spacing w:val="-8"/>
        </w:rPr>
        <w:t> </w:t>
      </w:r>
      <w:r>
        <w:rPr/>
        <w:t>flujo</w:t>
      </w:r>
      <w:r>
        <w:rPr>
          <w:spacing w:val="-7"/>
        </w:rPr>
        <w:t> </w:t>
      </w:r>
      <w:r>
        <w:rPr/>
        <w:t>de</w:t>
      </w:r>
      <w:r>
        <w:rPr>
          <w:spacing w:val="-8"/>
        </w:rPr>
        <w:t> </w:t>
      </w:r>
      <w:r>
        <w:rPr/>
        <w:t>capital</w:t>
      </w:r>
      <w:r>
        <w:rPr>
          <w:spacing w:val="-7"/>
        </w:rPr>
        <w:t> </w:t>
      </w:r>
      <w:r>
        <w:rPr/>
        <w:t>ocasionando</w:t>
      </w:r>
      <w:r>
        <w:rPr>
          <w:spacing w:val="-7"/>
        </w:rPr>
        <w:t> </w:t>
      </w:r>
      <w:r>
        <w:rPr/>
        <w:t>una</w:t>
      </w:r>
      <w:r>
        <w:rPr>
          <w:spacing w:val="-8"/>
        </w:rPr>
        <w:t> </w:t>
      </w:r>
      <w:r>
        <w:rPr/>
        <w:t>depreciación</w:t>
      </w:r>
      <w:r>
        <w:rPr>
          <w:spacing w:val="-3"/>
        </w:rPr>
        <w:t> </w:t>
      </w:r>
      <w:r>
        <w:rPr/>
        <w:t>y</w:t>
      </w:r>
      <w:r>
        <w:rPr>
          <w:spacing w:val="-12"/>
        </w:rPr>
        <w:t> </w:t>
      </w:r>
      <w:r>
        <w:rPr/>
        <w:t>un</w:t>
      </w:r>
      <w:r>
        <w:rPr>
          <w:spacing w:val="-7"/>
        </w:rPr>
        <w:t> </w:t>
      </w:r>
      <w:r>
        <w:rPr/>
        <w:t>incremento</w:t>
      </w:r>
      <w:r>
        <w:rPr>
          <w:spacing w:val="-5"/>
        </w:rPr>
        <w:t> </w:t>
      </w:r>
      <w:r>
        <w:rPr/>
        <w:t>en</w:t>
      </w:r>
      <w:r>
        <w:rPr>
          <w:spacing w:val="-7"/>
        </w:rPr>
        <w:t> </w:t>
      </w:r>
      <w:r>
        <w:rPr/>
        <w:t>la</w:t>
      </w:r>
      <w:r>
        <w:rPr>
          <w:spacing w:val="-8"/>
        </w:rPr>
        <w:t> </w:t>
      </w:r>
      <w:r>
        <w:rPr/>
        <w:t>volatilidad del</w:t>
      </w:r>
      <w:r>
        <w:rPr>
          <w:spacing w:val="-4"/>
        </w:rPr>
        <w:t> </w:t>
      </w:r>
      <w:r>
        <w:rPr/>
        <w:t>peso</w:t>
      </w:r>
      <w:r>
        <w:rPr>
          <w:spacing w:val="-5"/>
        </w:rPr>
        <w:t> </w:t>
      </w:r>
      <w:r>
        <w:rPr/>
        <w:t>frente</w:t>
      </w:r>
      <w:r>
        <w:rPr>
          <w:spacing w:val="-5"/>
        </w:rPr>
        <w:t> </w:t>
      </w:r>
      <w:r>
        <w:rPr/>
        <w:t>al</w:t>
      </w:r>
      <w:r>
        <w:rPr>
          <w:spacing w:val="-4"/>
        </w:rPr>
        <w:t> </w:t>
      </w:r>
      <w:r>
        <w:rPr/>
        <w:t>dólar,</w:t>
      </w:r>
      <w:r>
        <w:rPr>
          <w:spacing w:val="-5"/>
        </w:rPr>
        <w:t> </w:t>
      </w:r>
      <w:r>
        <w:rPr/>
        <w:t>sin</w:t>
      </w:r>
      <w:r>
        <w:rPr>
          <w:spacing w:val="-4"/>
        </w:rPr>
        <w:t> </w:t>
      </w:r>
      <w:r>
        <w:rPr/>
        <w:t>embargo,</w:t>
      </w:r>
      <w:r>
        <w:rPr>
          <w:spacing w:val="-5"/>
        </w:rPr>
        <w:t> </w:t>
      </w:r>
      <w:r>
        <w:rPr/>
        <w:t>un</w:t>
      </w:r>
      <w:r>
        <w:rPr>
          <w:spacing w:val="-5"/>
        </w:rPr>
        <w:t> </w:t>
      </w:r>
      <w:r>
        <w:rPr/>
        <w:t>punto</w:t>
      </w:r>
      <w:r>
        <w:rPr>
          <w:spacing w:val="-4"/>
        </w:rPr>
        <w:t> </w:t>
      </w:r>
      <w:r>
        <w:rPr/>
        <w:t>clave</w:t>
      </w:r>
      <w:r>
        <w:rPr>
          <w:spacing w:val="-6"/>
        </w:rPr>
        <w:t> </w:t>
      </w:r>
      <w:r>
        <w:rPr/>
        <w:t>es</w:t>
      </w:r>
      <w:r>
        <w:rPr>
          <w:spacing w:val="-5"/>
        </w:rPr>
        <w:t> </w:t>
      </w:r>
      <w:r>
        <w:rPr/>
        <w:t>que</w:t>
      </w:r>
      <w:r>
        <w:rPr>
          <w:spacing w:val="-6"/>
        </w:rPr>
        <w:t> </w:t>
      </w:r>
      <w:r>
        <w:rPr/>
        <w:t>el</w:t>
      </w:r>
      <w:r>
        <w:rPr>
          <w:spacing w:val="-4"/>
        </w:rPr>
        <w:t> </w:t>
      </w:r>
      <w:r>
        <w:rPr/>
        <w:t>comportamiento</w:t>
      </w:r>
      <w:r>
        <w:rPr>
          <w:spacing w:val="-4"/>
        </w:rPr>
        <w:t> </w:t>
      </w:r>
      <w:r>
        <w:rPr/>
        <w:t>financiero</w:t>
      </w:r>
      <w:r>
        <w:rPr>
          <w:spacing w:val="-5"/>
        </w:rPr>
        <w:t> </w:t>
      </w:r>
      <w:r>
        <w:rPr/>
        <w:t>de México se debió a la inestabilidad financiera externa y no a una vulnerabilidad propia de la economía (BANXICO,</w:t>
      </w:r>
      <w:r>
        <w:rPr>
          <w:spacing w:val="-5"/>
        </w:rPr>
        <w:t> </w:t>
      </w:r>
      <w:r>
        <w:rPr/>
        <w:t>2011).</w:t>
      </w:r>
    </w:p>
    <w:p>
      <w:pPr>
        <w:pStyle w:val="BodyText"/>
      </w:pPr>
    </w:p>
    <w:p>
      <w:pPr>
        <w:pStyle w:val="BodyText"/>
      </w:pPr>
    </w:p>
    <w:p>
      <w:pPr>
        <w:pStyle w:val="BodyText"/>
        <w:spacing w:before="3"/>
        <w:rPr>
          <w:sz w:val="23"/>
        </w:rPr>
      </w:pPr>
    </w:p>
    <w:p>
      <w:pPr>
        <w:pStyle w:val="BodyText"/>
        <w:spacing w:line="360" w:lineRule="auto"/>
        <w:ind w:left="102" w:right="117"/>
        <w:jc w:val="both"/>
      </w:pPr>
      <w:r>
        <w:rPr/>
        <w:t>La paulatina recuperación de la economía mexica contrasta con los diferentes matices que enfrenta</w:t>
      </w:r>
      <w:r>
        <w:rPr>
          <w:spacing w:val="-7"/>
        </w:rPr>
        <w:t> </w:t>
      </w:r>
      <w:r>
        <w:rPr/>
        <w:t>el</w:t>
      </w:r>
      <w:r>
        <w:rPr>
          <w:spacing w:val="-6"/>
        </w:rPr>
        <w:t> </w:t>
      </w:r>
      <w:r>
        <w:rPr/>
        <w:t>sector</w:t>
      </w:r>
      <w:r>
        <w:rPr>
          <w:spacing w:val="-7"/>
        </w:rPr>
        <w:t> </w:t>
      </w:r>
      <w:r>
        <w:rPr/>
        <w:t>lechero</w:t>
      </w:r>
      <w:r>
        <w:rPr>
          <w:spacing w:val="-5"/>
        </w:rPr>
        <w:t> </w:t>
      </w:r>
      <w:r>
        <w:rPr/>
        <w:t>nacional,</w:t>
      </w:r>
      <w:r>
        <w:rPr>
          <w:spacing w:val="-6"/>
        </w:rPr>
        <w:t> </w:t>
      </w:r>
      <w:r>
        <w:rPr/>
        <w:t>en</w:t>
      </w:r>
      <w:r>
        <w:rPr>
          <w:spacing w:val="-6"/>
        </w:rPr>
        <w:t> </w:t>
      </w:r>
      <w:r>
        <w:rPr/>
        <w:t>el</w:t>
      </w:r>
      <w:r>
        <w:rPr>
          <w:spacing w:val="-6"/>
        </w:rPr>
        <w:t> </w:t>
      </w:r>
      <w:r>
        <w:rPr/>
        <w:t>cual</w:t>
      </w:r>
      <w:r>
        <w:rPr>
          <w:spacing w:val="-6"/>
        </w:rPr>
        <w:t> </w:t>
      </w:r>
      <w:r>
        <w:rPr/>
        <w:t>las</w:t>
      </w:r>
      <w:r>
        <w:rPr>
          <w:spacing w:val="-7"/>
        </w:rPr>
        <w:t> </w:t>
      </w:r>
      <w:r>
        <w:rPr/>
        <w:t>importaciones</w:t>
      </w:r>
      <w:r>
        <w:rPr>
          <w:spacing w:val="-7"/>
        </w:rPr>
        <w:t> </w:t>
      </w:r>
      <w:r>
        <w:rPr/>
        <w:t>de</w:t>
      </w:r>
      <w:r>
        <w:rPr>
          <w:spacing w:val="-7"/>
        </w:rPr>
        <w:t> </w:t>
      </w:r>
      <w:r>
        <w:rPr/>
        <w:t>lácteos</w:t>
      </w:r>
      <w:r>
        <w:rPr>
          <w:spacing w:val="-7"/>
        </w:rPr>
        <w:t> </w:t>
      </w:r>
      <w:r>
        <w:rPr/>
        <w:t>siguen</w:t>
      </w:r>
      <w:r>
        <w:rPr>
          <w:spacing w:val="-6"/>
        </w:rPr>
        <w:t> </w:t>
      </w:r>
      <w:r>
        <w:rPr/>
        <w:t>desplazado la producción interna, tan solo para el periodo 2000-2010 la dinámica en las importaciones de leche fluida, en polvo, evaporada y condensada han mantenido conjuntamente un comportamiento creciente al presentar una Tasa de Crecimiento Media Anual (TCMA) de 10.2%,</w:t>
      </w:r>
      <w:r>
        <w:rPr>
          <w:spacing w:val="-4"/>
        </w:rPr>
        <w:t> </w:t>
      </w:r>
      <w:r>
        <w:rPr/>
        <w:t>de</w:t>
      </w:r>
      <w:r>
        <w:rPr>
          <w:spacing w:val="-2"/>
        </w:rPr>
        <w:t> </w:t>
      </w:r>
      <w:r>
        <w:rPr/>
        <w:t>estos</w:t>
      </w:r>
      <w:r>
        <w:rPr>
          <w:spacing w:val="-3"/>
        </w:rPr>
        <w:t> </w:t>
      </w:r>
      <w:r>
        <w:rPr/>
        <w:t>rubros</w:t>
      </w:r>
      <w:r>
        <w:rPr>
          <w:spacing w:val="-4"/>
        </w:rPr>
        <w:t> </w:t>
      </w:r>
      <w:r>
        <w:rPr/>
        <w:t>solo</w:t>
      </w:r>
      <w:r>
        <w:rPr>
          <w:spacing w:val="-3"/>
        </w:rPr>
        <w:t> </w:t>
      </w:r>
      <w:r>
        <w:rPr/>
        <w:t>la</w:t>
      </w:r>
      <w:r>
        <w:rPr>
          <w:spacing w:val="-4"/>
        </w:rPr>
        <w:t> </w:t>
      </w:r>
      <w:r>
        <w:rPr/>
        <w:t>leche</w:t>
      </w:r>
      <w:r>
        <w:rPr>
          <w:spacing w:val="-5"/>
        </w:rPr>
        <w:t> </w:t>
      </w:r>
      <w:r>
        <w:rPr/>
        <w:t>fluida</w:t>
      </w:r>
      <w:r>
        <w:rPr>
          <w:spacing w:val="-4"/>
        </w:rPr>
        <w:t> </w:t>
      </w:r>
      <w:r>
        <w:rPr/>
        <w:t>ha</w:t>
      </w:r>
      <w:r>
        <w:rPr>
          <w:spacing w:val="-5"/>
        </w:rPr>
        <w:t> </w:t>
      </w:r>
      <w:r>
        <w:rPr/>
        <w:t>frenado</w:t>
      </w:r>
      <w:r>
        <w:rPr>
          <w:spacing w:val="-4"/>
        </w:rPr>
        <w:t> </w:t>
      </w:r>
      <w:r>
        <w:rPr/>
        <w:t>su</w:t>
      </w:r>
      <w:r>
        <w:rPr>
          <w:spacing w:val="-4"/>
        </w:rPr>
        <w:t> </w:t>
      </w:r>
      <w:r>
        <w:rPr/>
        <w:t>crecimiento</w:t>
      </w:r>
      <w:r>
        <w:rPr>
          <w:spacing w:val="-4"/>
        </w:rPr>
        <w:t> </w:t>
      </w:r>
      <w:r>
        <w:rPr/>
        <w:t>(26.9%)</w:t>
      </w:r>
      <w:r>
        <w:rPr>
          <w:spacing w:val="-5"/>
        </w:rPr>
        <w:t> </w:t>
      </w:r>
      <w:r>
        <w:rPr/>
        <w:t>en</w:t>
      </w:r>
      <w:r>
        <w:rPr>
          <w:spacing w:val="-2"/>
        </w:rPr>
        <w:t> </w:t>
      </w:r>
      <w:r>
        <w:rPr/>
        <w:t>una</w:t>
      </w:r>
      <w:r>
        <w:rPr>
          <w:spacing w:val="-5"/>
        </w:rPr>
        <w:t> </w:t>
      </w:r>
      <w:r>
        <w:rPr/>
        <w:t>década (SIAP,</w:t>
      </w:r>
      <w:r>
        <w:rPr>
          <w:spacing w:val="-5"/>
        </w:rPr>
        <w:t> </w:t>
      </w:r>
      <w:r>
        <w:rPr/>
        <w:t>2011).</w:t>
      </w:r>
    </w:p>
    <w:p>
      <w:pPr>
        <w:pStyle w:val="BodyText"/>
      </w:pPr>
    </w:p>
    <w:p>
      <w:pPr>
        <w:pStyle w:val="BodyText"/>
        <w:spacing w:line="360" w:lineRule="auto" w:before="143"/>
        <w:ind w:left="102" w:right="119"/>
        <w:jc w:val="both"/>
      </w:pPr>
      <w:r>
        <w:rPr/>
        <w:t>Ante este panorama y bajo el contexto sociopolítico en el que se desarrolla el sector lechero nacional,</w:t>
      </w:r>
      <w:r>
        <w:rPr>
          <w:spacing w:val="-4"/>
        </w:rPr>
        <w:t> </w:t>
      </w:r>
      <w:r>
        <w:rPr/>
        <w:t>en</w:t>
      </w:r>
      <w:r>
        <w:rPr>
          <w:spacing w:val="-4"/>
        </w:rPr>
        <w:t> </w:t>
      </w:r>
      <w:r>
        <w:rPr/>
        <w:t>particular</w:t>
      </w:r>
      <w:r>
        <w:rPr>
          <w:spacing w:val="-5"/>
        </w:rPr>
        <w:t> </w:t>
      </w:r>
      <w:r>
        <w:rPr/>
        <w:t>la</w:t>
      </w:r>
      <w:r>
        <w:rPr>
          <w:spacing w:val="-1"/>
        </w:rPr>
        <w:t> </w:t>
      </w:r>
      <w:r>
        <w:rPr/>
        <w:t>lechería</w:t>
      </w:r>
      <w:r>
        <w:rPr>
          <w:spacing w:val="-5"/>
        </w:rPr>
        <w:t> </w:t>
      </w:r>
      <w:r>
        <w:rPr/>
        <w:t>de</w:t>
      </w:r>
      <w:r>
        <w:rPr>
          <w:spacing w:val="-5"/>
        </w:rPr>
        <w:t> </w:t>
      </w:r>
      <w:r>
        <w:rPr/>
        <w:t>pequeña</w:t>
      </w:r>
      <w:r>
        <w:rPr>
          <w:spacing w:val="-5"/>
        </w:rPr>
        <w:t> </w:t>
      </w:r>
      <w:r>
        <w:rPr/>
        <w:t>escala,</w:t>
      </w:r>
      <w:r>
        <w:rPr>
          <w:spacing w:val="-4"/>
        </w:rPr>
        <w:t> </w:t>
      </w:r>
      <w:r>
        <w:rPr/>
        <w:t>sistema</w:t>
      </w:r>
      <w:r>
        <w:rPr>
          <w:spacing w:val="-5"/>
        </w:rPr>
        <w:t> </w:t>
      </w:r>
      <w:r>
        <w:rPr/>
        <w:t>productivo,</w:t>
      </w:r>
      <w:r>
        <w:rPr>
          <w:spacing w:val="-4"/>
        </w:rPr>
        <w:t> </w:t>
      </w:r>
      <w:r>
        <w:rPr/>
        <w:t>donde</w:t>
      </w:r>
      <w:r>
        <w:rPr>
          <w:spacing w:val="-5"/>
        </w:rPr>
        <w:t> </w:t>
      </w:r>
      <w:r>
        <w:rPr/>
        <w:t>las</w:t>
      </w:r>
      <w:r>
        <w:rPr>
          <w:spacing w:val="-4"/>
        </w:rPr>
        <w:t> </w:t>
      </w:r>
      <w:r>
        <w:rPr/>
        <w:t>reformas estructurales</w:t>
      </w:r>
      <w:r>
        <w:rPr>
          <w:spacing w:val="-10"/>
        </w:rPr>
        <w:t> </w:t>
      </w:r>
      <w:r>
        <w:rPr/>
        <w:t>operadas</w:t>
      </w:r>
      <w:r>
        <w:rPr>
          <w:spacing w:val="-9"/>
        </w:rPr>
        <w:t> </w:t>
      </w:r>
      <w:r>
        <w:rPr/>
        <w:t>están</w:t>
      </w:r>
      <w:r>
        <w:rPr>
          <w:spacing w:val="-12"/>
        </w:rPr>
        <w:t> </w:t>
      </w:r>
      <w:r>
        <w:rPr/>
        <w:t>encaminadas</w:t>
      </w:r>
      <w:r>
        <w:rPr>
          <w:spacing w:val="-9"/>
        </w:rPr>
        <w:t> </w:t>
      </w:r>
      <w:r>
        <w:rPr/>
        <w:t>a</w:t>
      </w:r>
      <w:r>
        <w:rPr>
          <w:spacing w:val="-13"/>
        </w:rPr>
        <w:t> </w:t>
      </w:r>
      <w:r>
        <w:rPr/>
        <w:t>la</w:t>
      </w:r>
      <w:r>
        <w:rPr>
          <w:spacing w:val="-10"/>
        </w:rPr>
        <w:t> </w:t>
      </w:r>
      <w:r>
        <w:rPr/>
        <w:t>reducción</w:t>
      </w:r>
      <w:r>
        <w:rPr>
          <w:spacing w:val="-12"/>
        </w:rPr>
        <w:t> </w:t>
      </w:r>
      <w:r>
        <w:rPr/>
        <w:t>de</w:t>
      </w:r>
      <w:r>
        <w:rPr>
          <w:spacing w:val="-11"/>
        </w:rPr>
        <w:t> </w:t>
      </w:r>
      <w:r>
        <w:rPr/>
        <w:t>la</w:t>
      </w:r>
      <w:r>
        <w:rPr>
          <w:spacing w:val="-13"/>
        </w:rPr>
        <w:t> </w:t>
      </w:r>
      <w:r>
        <w:rPr/>
        <w:t>intervención</w:t>
      </w:r>
      <w:r>
        <w:rPr>
          <w:spacing w:val="-9"/>
        </w:rPr>
        <w:t> </w:t>
      </w:r>
      <w:r>
        <w:rPr/>
        <w:t>gubernamental</w:t>
      </w:r>
      <w:r>
        <w:rPr>
          <w:spacing w:val="-9"/>
        </w:rPr>
        <w:t> </w:t>
      </w:r>
      <w:r>
        <w:rPr/>
        <w:t>en el desarrollo económico sectorial, dado que la óptica oficial los considera un sector vulnerable y sujeto de las políticas de asistencia social orientadas a mitigar la pobreza y prácticamente fuera de los programas de apoyo productivo (Orozco y López, 2008). No obstante desde otra perspectiva, la lechería de pequeña escala se ha caracterizado como un sector productivo capaz de adaptarse y elegir libremente para transitar, del cultivo de autoconsumo, al aprovechamiento para la producción, es por esta capacidad, que no desaparece y mantiene su actualidad (Orozco y López,</w:t>
      </w:r>
      <w:r>
        <w:rPr>
          <w:spacing w:val="-11"/>
        </w:rPr>
        <w:t> </w:t>
      </w:r>
      <w:r>
        <w:rPr/>
        <w:t>2008).</w:t>
      </w:r>
    </w:p>
    <w:p>
      <w:pPr>
        <w:spacing w:after="0" w:line="360" w:lineRule="auto"/>
        <w:jc w:val="both"/>
        <w:sectPr>
          <w:pgSz w:w="12240" w:h="15840"/>
          <w:pgMar w:header="0" w:footer="657" w:top="1360" w:bottom="840" w:left="1600" w:right="1580"/>
        </w:sectPr>
      </w:pPr>
    </w:p>
    <w:p>
      <w:pPr>
        <w:pStyle w:val="BodyText"/>
        <w:spacing w:line="360" w:lineRule="auto" w:before="50"/>
        <w:ind w:left="102" w:right="113"/>
        <w:jc w:val="both"/>
      </w:pPr>
      <w:r>
        <w:rPr/>
        <w:t>En este sentido abundante es la evidencia científica que respalda el accionar, así como la contribución económica y social que la lechería de pequeña escala ha aportado en la última década a las familias y comunidades donde se desarrolla, su relevancia se sustenta en la importancia que juega en el rol social al ser sustento de un gran número de familias, generando diferentes beneficios sociales y económicos (Arriaga </w:t>
      </w:r>
      <w:r>
        <w:rPr>
          <w:i/>
        </w:rPr>
        <w:t>et al., </w:t>
      </w:r>
      <w:r>
        <w:rPr/>
        <w:t>2002; Cesín </w:t>
      </w:r>
      <w:r>
        <w:rPr>
          <w:i/>
        </w:rPr>
        <w:t>et al., </w:t>
      </w:r>
      <w:r>
        <w:rPr/>
        <w:t>2007),</w:t>
      </w:r>
      <w:r>
        <w:rPr>
          <w:spacing w:val="-4"/>
        </w:rPr>
        <w:t> </w:t>
      </w:r>
      <w:r>
        <w:rPr/>
        <w:t>frenar</w:t>
      </w:r>
      <w:r>
        <w:rPr>
          <w:spacing w:val="-5"/>
        </w:rPr>
        <w:t> </w:t>
      </w:r>
      <w:r>
        <w:rPr/>
        <w:t>la</w:t>
      </w:r>
      <w:r>
        <w:rPr>
          <w:spacing w:val="-5"/>
        </w:rPr>
        <w:t> </w:t>
      </w:r>
      <w:r>
        <w:rPr/>
        <w:t>migración</w:t>
      </w:r>
      <w:r>
        <w:rPr>
          <w:spacing w:val="-4"/>
        </w:rPr>
        <w:t> </w:t>
      </w:r>
      <w:r>
        <w:rPr/>
        <w:t>en</w:t>
      </w:r>
      <w:r>
        <w:rPr>
          <w:spacing w:val="-4"/>
        </w:rPr>
        <w:t> </w:t>
      </w:r>
      <w:r>
        <w:rPr/>
        <w:t>las</w:t>
      </w:r>
      <w:r>
        <w:rPr>
          <w:spacing w:val="-4"/>
        </w:rPr>
        <w:t> </w:t>
      </w:r>
      <w:r>
        <w:rPr/>
        <w:t>zonas</w:t>
      </w:r>
      <w:r>
        <w:rPr>
          <w:spacing w:val="-4"/>
        </w:rPr>
        <w:t> </w:t>
      </w:r>
      <w:r>
        <w:rPr/>
        <w:t>rurales</w:t>
      </w:r>
      <w:r>
        <w:rPr>
          <w:spacing w:val="-4"/>
        </w:rPr>
        <w:t> </w:t>
      </w:r>
      <w:r>
        <w:rPr/>
        <w:t>(Arriaga</w:t>
      </w:r>
      <w:r>
        <w:rPr>
          <w:spacing w:val="-2"/>
        </w:rPr>
        <w:t> </w:t>
      </w:r>
      <w:r>
        <w:rPr>
          <w:i/>
        </w:rPr>
        <w:t>et</w:t>
      </w:r>
      <w:r>
        <w:rPr>
          <w:i/>
          <w:spacing w:val="-3"/>
        </w:rPr>
        <w:t> </w:t>
      </w:r>
      <w:r>
        <w:rPr>
          <w:i/>
        </w:rPr>
        <w:t>al.,</w:t>
      </w:r>
      <w:r>
        <w:rPr>
          <w:i/>
          <w:spacing w:val="-3"/>
        </w:rPr>
        <w:t> </w:t>
      </w:r>
      <w:r>
        <w:rPr/>
        <w:t>2002;</w:t>
      </w:r>
      <w:r>
        <w:rPr>
          <w:spacing w:val="-3"/>
        </w:rPr>
        <w:t> </w:t>
      </w:r>
      <w:r>
        <w:rPr/>
        <w:t>Espinoza</w:t>
      </w:r>
      <w:r>
        <w:rPr>
          <w:spacing w:val="-4"/>
        </w:rPr>
        <w:t> </w:t>
      </w:r>
      <w:r>
        <w:rPr>
          <w:i/>
        </w:rPr>
        <w:t>et</w:t>
      </w:r>
      <w:r>
        <w:rPr>
          <w:i/>
          <w:spacing w:val="-3"/>
        </w:rPr>
        <w:t> </w:t>
      </w:r>
      <w:r>
        <w:rPr>
          <w:i/>
        </w:rPr>
        <w:t>al.,</w:t>
      </w:r>
      <w:r>
        <w:rPr>
          <w:i/>
          <w:spacing w:val="-3"/>
        </w:rPr>
        <w:t> </w:t>
      </w:r>
      <w:r>
        <w:rPr/>
        <w:t>2007) y conservar las tradiciones culturales de la gastronomía mexicana mediante un saber-hacer, aplicado en la trasformación de leche a quesos artesanales (Cesín </w:t>
      </w:r>
      <w:r>
        <w:rPr>
          <w:i/>
        </w:rPr>
        <w:t>et al., </w:t>
      </w:r>
      <w:r>
        <w:rPr/>
        <w:t>2007). Así mismo, las unidades de producción lecheras de pequeña escala (UPLPE) han aprovechado eficientemente las ventajas comparativas que les brinda el núcleo familiar, la tenencia del minifundio para la producción de insumos y las zonas periurbanas donde se desarrolla la actividad para disminuir costos de comercialización, el aprovechamiento eficiente de estas ventajas ha sido el eje motor para generar mayor rentabilidad y competitividad (Salinas- Martínez </w:t>
      </w:r>
      <w:r>
        <w:rPr>
          <w:i/>
        </w:rPr>
        <w:t>et al., </w:t>
      </w:r>
      <w:r>
        <w:rPr/>
        <w:t>2010) mitigar la volatilidad en el precio de los insumos y generan satisfactores económicos para los miembros de la unidad</w:t>
      </w:r>
      <w:r>
        <w:rPr>
          <w:spacing w:val="-14"/>
        </w:rPr>
        <w:t> </w:t>
      </w:r>
      <w:r>
        <w:rPr/>
        <w:t>productiva.</w:t>
      </w:r>
    </w:p>
    <w:p>
      <w:pPr>
        <w:pStyle w:val="BodyText"/>
      </w:pPr>
    </w:p>
    <w:p>
      <w:pPr>
        <w:pStyle w:val="BodyText"/>
        <w:spacing w:line="360" w:lineRule="auto" w:before="143"/>
        <w:ind w:left="102" w:right="117"/>
        <w:jc w:val="both"/>
      </w:pPr>
      <w:r>
        <w:rPr/>
        <w:t>A pesar de la flexibilidad de adaptación con la que cuentan las UPLPE, este sistema productivo aún se enfrenta a diversas problemáticas que encuadran su crecimiento y frenan su</w:t>
      </w:r>
      <w:r>
        <w:rPr>
          <w:spacing w:val="-9"/>
        </w:rPr>
        <w:t> </w:t>
      </w:r>
      <w:r>
        <w:rPr/>
        <w:t>desarrollo</w:t>
      </w:r>
      <w:r>
        <w:rPr>
          <w:spacing w:val="-7"/>
        </w:rPr>
        <w:t> </w:t>
      </w:r>
      <w:r>
        <w:rPr/>
        <w:t>(Villamar</w:t>
      </w:r>
      <w:r>
        <w:rPr>
          <w:spacing w:val="-6"/>
        </w:rPr>
        <w:t> </w:t>
      </w:r>
      <w:r>
        <w:rPr/>
        <w:t>y</w:t>
      </w:r>
      <w:r>
        <w:rPr>
          <w:spacing w:val="-10"/>
        </w:rPr>
        <w:t> </w:t>
      </w:r>
      <w:r>
        <w:rPr/>
        <w:t>Olivera,</w:t>
      </w:r>
      <w:r>
        <w:rPr>
          <w:spacing w:val="-10"/>
        </w:rPr>
        <w:t> </w:t>
      </w:r>
      <w:r>
        <w:rPr/>
        <w:t>2005),</w:t>
      </w:r>
      <w:r>
        <w:rPr>
          <w:spacing w:val="-8"/>
        </w:rPr>
        <w:t> </w:t>
      </w:r>
      <w:r>
        <w:rPr/>
        <w:t>entre</w:t>
      </w:r>
      <w:r>
        <w:rPr>
          <w:spacing w:val="-11"/>
        </w:rPr>
        <w:t> </w:t>
      </w:r>
      <w:r>
        <w:rPr/>
        <w:t>las</w:t>
      </w:r>
      <w:r>
        <w:rPr>
          <w:spacing w:val="-8"/>
        </w:rPr>
        <w:t> </w:t>
      </w:r>
      <w:r>
        <w:rPr/>
        <w:t>cuales</w:t>
      </w:r>
      <w:r>
        <w:rPr>
          <w:spacing w:val="-10"/>
        </w:rPr>
        <w:t> </w:t>
      </w:r>
      <w:r>
        <w:rPr/>
        <w:t>se</w:t>
      </w:r>
      <w:r>
        <w:rPr>
          <w:spacing w:val="-8"/>
        </w:rPr>
        <w:t> </w:t>
      </w:r>
      <w:r>
        <w:rPr/>
        <w:t>pueden</w:t>
      </w:r>
      <w:r>
        <w:rPr>
          <w:spacing w:val="-8"/>
        </w:rPr>
        <w:t> </w:t>
      </w:r>
      <w:r>
        <w:rPr/>
        <w:t>mencionar;</w:t>
      </w:r>
      <w:r>
        <w:rPr>
          <w:spacing w:val="-10"/>
        </w:rPr>
        <w:t> </w:t>
      </w:r>
      <w:r>
        <w:rPr/>
        <w:t>movimientos de la tasa de cambio, acceso limitado al crédito, aumento de los costos de producción generado</w:t>
      </w:r>
      <w:r>
        <w:rPr>
          <w:spacing w:val="-2"/>
        </w:rPr>
        <w:t> </w:t>
      </w:r>
      <w:r>
        <w:rPr/>
        <w:t>por</w:t>
      </w:r>
      <w:r>
        <w:rPr>
          <w:spacing w:val="-1"/>
        </w:rPr>
        <w:t> </w:t>
      </w:r>
      <w:r>
        <w:rPr/>
        <w:t>el</w:t>
      </w:r>
      <w:r>
        <w:rPr>
          <w:spacing w:val="-3"/>
        </w:rPr>
        <w:t> </w:t>
      </w:r>
      <w:r>
        <w:rPr/>
        <w:t>alza</w:t>
      </w:r>
      <w:r>
        <w:rPr>
          <w:spacing w:val="-5"/>
        </w:rPr>
        <w:t> </w:t>
      </w:r>
      <w:r>
        <w:rPr/>
        <w:t>de</w:t>
      </w:r>
      <w:r>
        <w:rPr>
          <w:spacing w:val="-5"/>
        </w:rPr>
        <w:t> </w:t>
      </w:r>
      <w:r>
        <w:rPr/>
        <w:t>los</w:t>
      </w:r>
      <w:r>
        <w:rPr>
          <w:spacing w:val="-4"/>
        </w:rPr>
        <w:t> </w:t>
      </w:r>
      <w:r>
        <w:rPr/>
        <w:t>precios</w:t>
      </w:r>
      <w:r>
        <w:rPr>
          <w:spacing w:val="-2"/>
        </w:rPr>
        <w:t> </w:t>
      </w:r>
      <w:r>
        <w:rPr/>
        <w:t>en</w:t>
      </w:r>
      <w:r>
        <w:rPr>
          <w:spacing w:val="-4"/>
        </w:rPr>
        <w:t> </w:t>
      </w:r>
      <w:r>
        <w:rPr/>
        <w:t>insumos,</w:t>
      </w:r>
      <w:r>
        <w:rPr>
          <w:spacing w:val="-4"/>
        </w:rPr>
        <w:t> </w:t>
      </w:r>
      <w:r>
        <w:rPr/>
        <w:t>diminución</w:t>
      </w:r>
      <w:r>
        <w:rPr>
          <w:spacing w:val="-4"/>
        </w:rPr>
        <w:t> </w:t>
      </w:r>
      <w:r>
        <w:rPr/>
        <w:t>de</w:t>
      </w:r>
      <w:r>
        <w:rPr>
          <w:spacing w:val="-5"/>
        </w:rPr>
        <w:t> </w:t>
      </w:r>
      <w:r>
        <w:rPr/>
        <w:t>utilidad,</w:t>
      </w:r>
      <w:r>
        <w:rPr>
          <w:spacing w:val="-4"/>
        </w:rPr>
        <w:t> </w:t>
      </w:r>
      <w:r>
        <w:rPr/>
        <w:t>estancamiento</w:t>
      </w:r>
      <w:r>
        <w:rPr>
          <w:spacing w:val="-1"/>
        </w:rPr>
        <w:t> </w:t>
      </w:r>
      <w:r>
        <w:rPr/>
        <w:t>en</w:t>
      </w:r>
      <w:r>
        <w:rPr>
          <w:spacing w:val="-4"/>
        </w:rPr>
        <w:t> </w:t>
      </w:r>
      <w:r>
        <w:rPr/>
        <w:t>las tasas de crecimiento del precio final del producto (Barrón-Aguilar </w:t>
      </w:r>
      <w:r>
        <w:rPr>
          <w:i/>
        </w:rPr>
        <w:t>et al</w:t>
      </w:r>
      <w:r>
        <w:rPr/>
        <w:t>., 2000), poca integración en su cadena productiva y bajos estímulos a la producción, lo que ha tenido un efecto negativo en la rentabilidad y disminución de competitividad</w:t>
      </w:r>
      <w:r>
        <w:rPr>
          <w:spacing w:val="-10"/>
        </w:rPr>
        <w:t> </w:t>
      </w:r>
      <w:r>
        <w:rPr/>
        <w:t>sectorial.</w:t>
      </w:r>
    </w:p>
    <w:p>
      <w:pPr>
        <w:pStyle w:val="BodyText"/>
      </w:pPr>
    </w:p>
    <w:p>
      <w:pPr>
        <w:pStyle w:val="BodyText"/>
        <w:spacing w:line="360" w:lineRule="auto" w:before="143"/>
        <w:ind w:left="102" w:right="122"/>
        <w:jc w:val="both"/>
      </w:pPr>
      <w:r>
        <w:rPr/>
        <w:t>La restructuración económica de México, el cambio climático y la globalización comercial, estas</w:t>
      </w:r>
      <w:r>
        <w:rPr>
          <w:spacing w:val="-9"/>
        </w:rPr>
        <w:t> </w:t>
      </w:r>
      <w:r>
        <w:rPr/>
        <w:t>externalidades</w:t>
      </w:r>
      <w:r>
        <w:rPr>
          <w:spacing w:val="-6"/>
        </w:rPr>
        <w:t> </w:t>
      </w:r>
      <w:r>
        <w:rPr/>
        <w:t>en</w:t>
      </w:r>
      <w:r>
        <w:rPr>
          <w:spacing w:val="-9"/>
        </w:rPr>
        <w:t> </w:t>
      </w:r>
      <w:r>
        <w:rPr/>
        <w:t>las</w:t>
      </w:r>
      <w:r>
        <w:rPr>
          <w:spacing w:val="-8"/>
        </w:rPr>
        <w:t> </w:t>
      </w:r>
      <w:r>
        <w:rPr/>
        <w:t>que</w:t>
      </w:r>
      <w:r>
        <w:rPr>
          <w:spacing w:val="-10"/>
        </w:rPr>
        <w:t> </w:t>
      </w:r>
      <w:r>
        <w:rPr/>
        <w:t>se</w:t>
      </w:r>
      <w:r>
        <w:rPr>
          <w:spacing w:val="-9"/>
        </w:rPr>
        <w:t> </w:t>
      </w:r>
      <w:r>
        <w:rPr/>
        <w:t>encuentra</w:t>
      </w:r>
      <w:r>
        <w:rPr>
          <w:spacing w:val="-10"/>
        </w:rPr>
        <w:t> </w:t>
      </w:r>
      <w:r>
        <w:rPr/>
        <w:t>inmersa</w:t>
      </w:r>
      <w:r>
        <w:rPr>
          <w:spacing w:val="-10"/>
        </w:rPr>
        <w:t> </w:t>
      </w:r>
      <w:r>
        <w:rPr/>
        <w:t>de</w:t>
      </w:r>
      <w:r>
        <w:rPr>
          <w:spacing w:val="-10"/>
        </w:rPr>
        <w:t> </w:t>
      </w:r>
      <w:r>
        <w:rPr/>
        <w:t>manera</w:t>
      </w:r>
      <w:r>
        <w:rPr>
          <w:spacing w:val="-10"/>
        </w:rPr>
        <w:t> </w:t>
      </w:r>
      <w:r>
        <w:rPr/>
        <w:t>indirecta</w:t>
      </w:r>
      <w:r>
        <w:rPr>
          <w:spacing w:val="-9"/>
        </w:rPr>
        <w:t> </w:t>
      </w:r>
      <w:r>
        <w:rPr/>
        <w:t>la</w:t>
      </w:r>
      <w:r>
        <w:rPr>
          <w:spacing w:val="-9"/>
        </w:rPr>
        <w:t> </w:t>
      </w:r>
      <w:r>
        <w:rPr/>
        <w:t>pequeña</w:t>
      </w:r>
      <w:r>
        <w:rPr>
          <w:spacing w:val="-10"/>
        </w:rPr>
        <w:t> </w:t>
      </w:r>
      <w:r>
        <w:rPr/>
        <w:t>lechería, demandan análisis sociales y económicos que prevean sus efectos en los sistemas lecheros de pequeña escala, de esta forma se pueden diseñar instrumentos de política agrícola para maximizar su efectividad y eficiencia. Los resultados de la Matriz de Análisis de Política (MAP)</w:t>
      </w:r>
      <w:r>
        <w:rPr>
          <w:spacing w:val="18"/>
        </w:rPr>
        <w:t> </w:t>
      </w:r>
      <w:r>
        <w:rPr/>
        <w:t>determinan</w:t>
      </w:r>
      <w:r>
        <w:rPr>
          <w:spacing w:val="19"/>
        </w:rPr>
        <w:t> </w:t>
      </w:r>
      <w:r>
        <w:rPr/>
        <w:t>la</w:t>
      </w:r>
      <w:r>
        <w:rPr>
          <w:spacing w:val="18"/>
        </w:rPr>
        <w:t> </w:t>
      </w:r>
      <w:r>
        <w:rPr/>
        <w:t>situación</w:t>
      </w:r>
      <w:r>
        <w:rPr>
          <w:spacing w:val="19"/>
        </w:rPr>
        <w:t> </w:t>
      </w:r>
      <w:r>
        <w:rPr/>
        <w:t>actual</w:t>
      </w:r>
      <w:r>
        <w:rPr>
          <w:spacing w:val="22"/>
        </w:rPr>
        <w:t> </w:t>
      </w:r>
      <w:r>
        <w:rPr/>
        <w:t>de</w:t>
      </w:r>
      <w:r>
        <w:rPr>
          <w:spacing w:val="18"/>
        </w:rPr>
        <w:t> </w:t>
      </w:r>
      <w:r>
        <w:rPr/>
        <w:t>rentabilidad</w:t>
      </w:r>
      <w:r>
        <w:rPr>
          <w:spacing w:val="21"/>
        </w:rPr>
        <w:t> </w:t>
      </w:r>
      <w:r>
        <w:rPr/>
        <w:t>y</w:t>
      </w:r>
      <w:r>
        <w:rPr>
          <w:spacing w:val="16"/>
        </w:rPr>
        <w:t> </w:t>
      </w:r>
      <w:r>
        <w:rPr/>
        <w:t>competitividad</w:t>
      </w:r>
      <w:r>
        <w:rPr>
          <w:spacing w:val="19"/>
        </w:rPr>
        <w:t> </w:t>
      </w:r>
      <w:r>
        <w:rPr/>
        <w:t>en</w:t>
      </w:r>
      <w:r>
        <w:rPr>
          <w:spacing w:val="21"/>
        </w:rPr>
        <w:t> </w:t>
      </w:r>
      <w:r>
        <w:rPr/>
        <w:t>las</w:t>
      </w:r>
      <w:r>
        <w:rPr>
          <w:spacing w:val="19"/>
        </w:rPr>
        <w:t> </w:t>
      </w:r>
      <w:r>
        <w:rPr/>
        <w:t>UPLPE,</w:t>
      </w:r>
      <w:r>
        <w:rPr>
          <w:spacing w:val="19"/>
        </w:rPr>
        <w:t> </w:t>
      </w:r>
      <w:r>
        <w:rPr/>
        <w:t>así</w:t>
      </w:r>
    </w:p>
    <w:p>
      <w:pPr>
        <w:spacing w:after="0" w:line="360" w:lineRule="auto"/>
        <w:jc w:val="both"/>
        <w:sectPr>
          <w:footerReference w:type="default" r:id="rId113"/>
          <w:pgSz w:w="12240" w:h="15840"/>
          <w:pgMar w:footer="657" w:header="0" w:top="1360" w:bottom="840" w:left="1600" w:right="1580"/>
          <w:pgNumType w:start="110"/>
        </w:sectPr>
      </w:pPr>
    </w:p>
    <w:p>
      <w:pPr>
        <w:pStyle w:val="BodyText"/>
        <w:spacing w:line="362" w:lineRule="auto" w:before="50"/>
        <w:ind w:left="102" w:right="123"/>
        <w:jc w:val="both"/>
      </w:pPr>
      <w:r>
        <w:rPr/>
        <w:t>como los instrumentos de política que la afectan, y aportan elementos para diseñar políticas e identificar proyectos de inversión rentables (Barrera-Rodríguez </w:t>
      </w:r>
      <w:r>
        <w:rPr>
          <w:i/>
        </w:rPr>
        <w:t>et al., </w:t>
      </w:r>
      <w:r>
        <w:rPr/>
        <w:t>2011).</w:t>
      </w:r>
    </w:p>
    <w:p>
      <w:pPr>
        <w:pStyle w:val="BodyText"/>
      </w:pPr>
    </w:p>
    <w:p>
      <w:pPr>
        <w:pStyle w:val="BodyText"/>
        <w:spacing w:line="360" w:lineRule="auto" w:before="140"/>
        <w:ind w:left="102" w:right="117"/>
        <w:jc w:val="both"/>
      </w:pPr>
      <w:r>
        <w:rPr/>
        <w:t>Bajo el contexto anterior, el objetivo de esta investigación, fue evaluar la rentabilidad y competitividad privada de 37 UPLPE con base en la MAP. La hipótesis fue que el costo económico atribuido a la mano de obra familiar es un factor determinante que incrementa la rentabilidad y competitividad en las UPLPE.</w:t>
      </w:r>
    </w:p>
    <w:p>
      <w:pPr>
        <w:pStyle w:val="BodyText"/>
      </w:pPr>
    </w:p>
    <w:p>
      <w:pPr>
        <w:pStyle w:val="Heading1"/>
        <w:spacing w:before="148"/>
      </w:pPr>
      <w:r>
        <w:rPr/>
        <w:t>MATERIALES Y MÉTODOS</w:t>
      </w:r>
    </w:p>
    <w:p>
      <w:pPr>
        <w:pStyle w:val="BodyText"/>
        <w:rPr>
          <w:b/>
        </w:rPr>
      </w:pPr>
    </w:p>
    <w:p>
      <w:pPr>
        <w:pStyle w:val="BodyText"/>
        <w:rPr>
          <w:b/>
        </w:rPr>
      </w:pPr>
    </w:p>
    <w:p>
      <w:pPr>
        <w:spacing w:before="202"/>
        <w:ind w:left="102" w:right="0" w:firstLine="0"/>
        <w:jc w:val="both"/>
        <w:rPr>
          <w:b/>
          <w:sz w:val="24"/>
        </w:rPr>
      </w:pPr>
      <w:r>
        <w:rPr>
          <w:b/>
          <w:sz w:val="24"/>
        </w:rPr>
        <w:t>Zona de Estudio</w:t>
      </w:r>
    </w:p>
    <w:p>
      <w:pPr>
        <w:pStyle w:val="BodyText"/>
        <w:rPr>
          <w:b/>
        </w:rPr>
      </w:pPr>
    </w:p>
    <w:p>
      <w:pPr>
        <w:pStyle w:val="BodyText"/>
        <w:rPr>
          <w:b/>
        </w:rPr>
      </w:pPr>
    </w:p>
    <w:p>
      <w:pPr>
        <w:pStyle w:val="BodyText"/>
        <w:spacing w:line="360" w:lineRule="auto" w:before="194"/>
        <w:ind w:left="102" w:right="116"/>
        <w:jc w:val="both"/>
      </w:pPr>
      <w:r>
        <w:rPr/>
        <w:t>La investigación se llevó a cabo en el Distrito de Desarrollo Rural de Texcoco (en las comunidades de San Miguel Coatlinchan, Sta. Cruz, Cuahutlalpan, Tocuila, Huexotla, Palmillas y La Trinidad) situado al nor-oriente del Estado de México en el periodo 2010- 2011, dicho Distrito ocupa el segundo lugar en producción de leche a nivel estatal (SIAP, 2012) y se caracteriza por su histórica vocación lechera, predominando la pequeña lechería. La</w:t>
      </w:r>
      <w:r>
        <w:rPr>
          <w:spacing w:val="-15"/>
        </w:rPr>
        <w:t> </w:t>
      </w:r>
      <w:r>
        <w:rPr/>
        <w:t>zona</w:t>
      </w:r>
      <w:r>
        <w:rPr>
          <w:spacing w:val="-17"/>
        </w:rPr>
        <w:t> </w:t>
      </w:r>
      <w:r>
        <w:rPr/>
        <w:t>de</w:t>
      </w:r>
      <w:r>
        <w:rPr>
          <w:spacing w:val="-17"/>
        </w:rPr>
        <w:t> </w:t>
      </w:r>
      <w:r>
        <w:rPr/>
        <w:t>estudio</w:t>
      </w:r>
      <w:r>
        <w:rPr>
          <w:spacing w:val="-16"/>
        </w:rPr>
        <w:t> </w:t>
      </w:r>
      <w:r>
        <w:rPr/>
        <w:t>tiene</w:t>
      </w:r>
      <w:r>
        <w:rPr>
          <w:spacing w:val="-17"/>
        </w:rPr>
        <w:t> </w:t>
      </w:r>
      <w:r>
        <w:rPr/>
        <w:t>una</w:t>
      </w:r>
      <w:r>
        <w:rPr>
          <w:spacing w:val="-17"/>
        </w:rPr>
        <w:t> </w:t>
      </w:r>
      <w:r>
        <w:rPr/>
        <w:t>altitud</w:t>
      </w:r>
      <w:r>
        <w:rPr>
          <w:spacing w:val="-16"/>
        </w:rPr>
        <w:t> </w:t>
      </w:r>
      <w:r>
        <w:rPr/>
        <w:t>de</w:t>
      </w:r>
      <w:r>
        <w:rPr>
          <w:spacing w:val="-17"/>
        </w:rPr>
        <w:t> </w:t>
      </w:r>
      <w:r>
        <w:rPr/>
        <w:t>2</w:t>
      </w:r>
      <w:r>
        <w:rPr>
          <w:spacing w:val="-16"/>
        </w:rPr>
        <w:t> </w:t>
      </w:r>
      <w:r>
        <w:rPr/>
        <w:t>250</w:t>
      </w:r>
      <w:r>
        <w:rPr>
          <w:spacing w:val="-16"/>
        </w:rPr>
        <w:t> </w:t>
      </w:r>
      <w:r>
        <w:rPr/>
        <w:t>msnm,</w:t>
      </w:r>
      <w:r>
        <w:rPr>
          <w:spacing w:val="-16"/>
        </w:rPr>
        <w:t> </w:t>
      </w:r>
      <w:r>
        <w:rPr/>
        <w:t>su</w:t>
      </w:r>
      <w:r>
        <w:rPr>
          <w:spacing w:val="-16"/>
        </w:rPr>
        <w:t> </w:t>
      </w:r>
      <w:r>
        <w:rPr/>
        <w:t>clima</w:t>
      </w:r>
      <w:r>
        <w:rPr>
          <w:spacing w:val="-16"/>
        </w:rPr>
        <w:t> </w:t>
      </w:r>
      <w:r>
        <w:rPr/>
        <w:t>se</w:t>
      </w:r>
      <w:r>
        <w:rPr>
          <w:spacing w:val="-17"/>
        </w:rPr>
        <w:t> </w:t>
      </w:r>
      <w:r>
        <w:rPr/>
        <w:t>considera</w:t>
      </w:r>
      <w:r>
        <w:rPr>
          <w:spacing w:val="-18"/>
        </w:rPr>
        <w:t> </w:t>
      </w:r>
      <w:r>
        <w:rPr/>
        <w:t>templado</w:t>
      </w:r>
      <w:r>
        <w:rPr>
          <w:spacing w:val="-16"/>
        </w:rPr>
        <w:t> </w:t>
      </w:r>
      <w:r>
        <w:rPr/>
        <w:t>semiseco, con una temperatura media anual de 15.9°C y una precipitación media anual de 686 mm (INEGI,</w:t>
      </w:r>
      <w:r>
        <w:rPr>
          <w:spacing w:val="-6"/>
        </w:rPr>
        <w:t> </w:t>
      </w:r>
      <w:r>
        <w:rPr/>
        <w:t>2003).</w:t>
      </w:r>
    </w:p>
    <w:p>
      <w:pPr>
        <w:pStyle w:val="BodyText"/>
      </w:pPr>
    </w:p>
    <w:p>
      <w:pPr>
        <w:pStyle w:val="BodyText"/>
        <w:spacing w:before="4"/>
        <w:rPr>
          <w:sz w:val="30"/>
        </w:rPr>
      </w:pPr>
    </w:p>
    <w:p>
      <w:pPr>
        <w:pStyle w:val="Heading1"/>
        <w:spacing w:before="0"/>
      </w:pPr>
      <w:r>
        <w:rPr/>
        <w:t>Estimación del tamaño de muestra</w:t>
      </w:r>
    </w:p>
    <w:p>
      <w:pPr>
        <w:pStyle w:val="BodyText"/>
        <w:rPr>
          <w:b/>
        </w:rPr>
      </w:pPr>
    </w:p>
    <w:p>
      <w:pPr>
        <w:pStyle w:val="BodyText"/>
        <w:rPr>
          <w:b/>
        </w:rPr>
      </w:pPr>
    </w:p>
    <w:p>
      <w:pPr>
        <w:pStyle w:val="BodyText"/>
        <w:spacing w:line="360" w:lineRule="auto" w:before="195"/>
        <w:ind w:left="102" w:right="119"/>
        <w:jc w:val="both"/>
      </w:pPr>
      <w:r>
        <w:rPr/>
        <w:t>El marco de muestreo se integró tomando como base el padrón de la Asociación Ganadera Local</w:t>
      </w:r>
      <w:r>
        <w:rPr>
          <w:spacing w:val="-14"/>
        </w:rPr>
        <w:t> </w:t>
      </w:r>
      <w:r>
        <w:rPr/>
        <w:t>del</w:t>
      </w:r>
      <w:r>
        <w:rPr>
          <w:spacing w:val="-14"/>
        </w:rPr>
        <w:t> </w:t>
      </w:r>
      <w:r>
        <w:rPr/>
        <w:t>municipio</w:t>
      </w:r>
      <w:r>
        <w:rPr>
          <w:spacing w:val="-14"/>
        </w:rPr>
        <w:t> </w:t>
      </w:r>
      <w:r>
        <w:rPr/>
        <w:t>de</w:t>
      </w:r>
      <w:r>
        <w:rPr>
          <w:spacing w:val="-15"/>
        </w:rPr>
        <w:t> </w:t>
      </w:r>
      <w:r>
        <w:rPr/>
        <w:t>Texcoco.</w:t>
      </w:r>
      <w:r>
        <w:rPr>
          <w:spacing w:val="-12"/>
        </w:rPr>
        <w:t> </w:t>
      </w:r>
      <w:r>
        <w:rPr/>
        <w:t>Las</w:t>
      </w:r>
      <w:r>
        <w:rPr>
          <w:spacing w:val="-14"/>
        </w:rPr>
        <w:t> </w:t>
      </w:r>
      <w:r>
        <w:rPr/>
        <w:t>Unidades</w:t>
      </w:r>
      <w:r>
        <w:rPr>
          <w:spacing w:val="-14"/>
        </w:rPr>
        <w:t> </w:t>
      </w:r>
      <w:r>
        <w:rPr/>
        <w:t>de</w:t>
      </w:r>
      <w:r>
        <w:rPr>
          <w:spacing w:val="-15"/>
        </w:rPr>
        <w:t> </w:t>
      </w:r>
      <w:r>
        <w:rPr/>
        <w:t>Producción</w:t>
      </w:r>
      <w:r>
        <w:rPr>
          <w:spacing w:val="-14"/>
        </w:rPr>
        <w:t> </w:t>
      </w:r>
      <w:r>
        <w:rPr/>
        <w:t>(UP)</w:t>
      </w:r>
      <w:r>
        <w:rPr>
          <w:spacing w:val="-15"/>
        </w:rPr>
        <w:t> </w:t>
      </w:r>
      <w:r>
        <w:rPr/>
        <w:t>se</w:t>
      </w:r>
      <w:r>
        <w:rPr>
          <w:spacing w:val="-15"/>
        </w:rPr>
        <w:t> </w:t>
      </w:r>
      <w:r>
        <w:rPr/>
        <w:t>ordenaron</w:t>
      </w:r>
      <w:r>
        <w:rPr>
          <w:spacing w:val="-15"/>
        </w:rPr>
        <w:t> </w:t>
      </w:r>
      <w:r>
        <w:rPr/>
        <w:t>por</w:t>
      </w:r>
      <w:r>
        <w:rPr>
          <w:spacing w:val="-15"/>
        </w:rPr>
        <w:t> </w:t>
      </w:r>
      <w:r>
        <w:rPr/>
        <w:t>tamaño, (vacas lactantes y secas) y para seleccionar la muestra, se realizó estratificación utilizando como criterio el número de vacas en producción. La precisión utilizada fue 10% de la</w:t>
      </w:r>
      <w:r>
        <w:rPr>
          <w:spacing w:val="-25"/>
        </w:rPr>
        <w:t> </w:t>
      </w:r>
      <w:r>
        <w:rPr/>
        <w:t>media muestral,</w:t>
      </w:r>
      <w:r>
        <w:rPr>
          <w:spacing w:val="-8"/>
        </w:rPr>
        <w:t> </w:t>
      </w:r>
      <w:r>
        <w:rPr/>
        <w:t>con</w:t>
      </w:r>
      <w:r>
        <w:rPr>
          <w:spacing w:val="-9"/>
        </w:rPr>
        <w:t> </w:t>
      </w:r>
      <w:r>
        <w:rPr/>
        <w:t>un</w:t>
      </w:r>
      <w:r>
        <w:rPr>
          <w:spacing w:val="-7"/>
        </w:rPr>
        <w:t> </w:t>
      </w:r>
      <w:r>
        <w:rPr/>
        <w:t>nivel</w:t>
      </w:r>
      <w:r>
        <w:rPr>
          <w:spacing w:val="-9"/>
        </w:rPr>
        <w:t> </w:t>
      </w:r>
      <w:r>
        <w:rPr/>
        <w:t>de</w:t>
      </w:r>
      <w:r>
        <w:rPr>
          <w:spacing w:val="-7"/>
        </w:rPr>
        <w:t> </w:t>
      </w:r>
      <w:r>
        <w:rPr/>
        <w:t>confianza</w:t>
      </w:r>
      <w:r>
        <w:rPr>
          <w:spacing w:val="-10"/>
        </w:rPr>
        <w:t> </w:t>
      </w:r>
      <w:r>
        <w:rPr/>
        <w:t>del</w:t>
      </w:r>
      <w:r>
        <w:rPr>
          <w:spacing w:val="-8"/>
        </w:rPr>
        <w:t> </w:t>
      </w:r>
      <w:r>
        <w:rPr/>
        <w:t>95%.</w:t>
      </w:r>
      <w:r>
        <w:rPr>
          <w:spacing w:val="-6"/>
        </w:rPr>
        <w:t> </w:t>
      </w:r>
      <w:r>
        <w:rPr/>
        <w:t>La</w:t>
      </w:r>
      <w:r>
        <w:rPr>
          <w:spacing w:val="-7"/>
        </w:rPr>
        <w:t> </w:t>
      </w:r>
      <w:r>
        <w:rPr/>
        <w:t>distribución</w:t>
      </w:r>
      <w:r>
        <w:rPr>
          <w:spacing w:val="-8"/>
        </w:rPr>
        <w:t> </w:t>
      </w:r>
      <w:r>
        <w:rPr/>
        <w:t>por</w:t>
      </w:r>
      <w:r>
        <w:rPr>
          <w:spacing w:val="-9"/>
        </w:rPr>
        <w:t> </w:t>
      </w:r>
      <w:r>
        <w:rPr/>
        <w:t>estratos</w:t>
      </w:r>
      <w:r>
        <w:rPr>
          <w:spacing w:val="-8"/>
        </w:rPr>
        <w:t> </w:t>
      </w:r>
      <w:r>
        <w:rPr/>
        <w:t>se</w:t>
      </w:r>
      <w:r>
        <w:rPr>
          <w:spacing w:val="-7"/>
        </w:rPr>
        <w:t> </w:t>
      </w:r>
      <w:r>
        <w:rPr/>
        <w:t>realizó</w:t>
      </w:r>
      <w:r>
        <w:rPr>
          <w:spacing w:val="-9"/>
        </w:rPr>
        <w:t> </w:t>
      </w:r>
      <w:r>
        <w:rPr/>
        <w:t>mediante asignación</w:t>
      </w:r>
      <w:r>
        <w:rPr>
          <w:spacing w:val="-7"/>
        </w:rPr>
        <w:t> </w:t>
      </w:r>
      <w:r>
        <w:rPr/>
        <w:t>Neyman.</w:t>
      </w:r>
    </w:p>
    <w:p>
      <w:pPr>
        <w:spacing w:after="0" w:line="360" w:lineRule="auto"/>
        <w:jc w:val="both"/>
        <w:sectPr>
          <w:pgSz w:w="12240" w:h="15840"/>
          <w:pgMar w:header="0" w:footer="657" w:top="1360" w:bottom="840" w:left="1600" w:right="1580"/>
        </w:sectPr>
      </w:pPr>
    </w:p>
    <w:p>
      <w:pPr>
        <w:spacing w:line="179" w:lineRule="exact" w:before="115"/>
        <w:ind w:left="68" w:right="191" w:firstLine="0"/>
        <w:jc w:val="center"/>
        <w:rPr>
          <w:rFonts w:ascii="Cambria Math" w:hAnsi="Cambria Math"/>
          <w:sz w:val="24"/>
        </w:rPr>
      </w:pPr>
      <w:r>
        <w:rPr/>
        <w:pict>
          <v:shape style="position:absolute;margin-left:331.75pt;margin-top:3.720112pt;width:4.95pt;height:8.550pt;mso-position-horizontal-relative:page;mso-position-vertical-relative:paragraph;z-index:4840"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sz w:val="24"/>
        </w:rPr>
        <w:t>(</w:t>
      </w:r>
      <w:r>
        <w:rPr>
          <w:rFonts w:ascii="Cambria Math" w:hAnsi="Cambria Math"/>
          <w:position w:val="1"/>
          <w:sz w:val="24"/>
        </w:rPr>
        <w:t>∑</w:t>
      </w:r>
      <w:r>
        <w:rPr>
          <w:position w:val="10"/>
          <w:sz w:val="17"/>
        </w:rPr>
        <w:t>L </w:t>
      </w:r>
      <w:r>
        <w:rPr>
          <w:sz w:val="24"/>
        </w:rPr>
        <w:t>N</w:t>
      </w:r>
      <w:r>
        <w:rPr>
          <w:position w:val="-4"/>
          <w:sz w:val="17"/>
        </w:rPr>
        <w:t>i </w:t>
      </w:r>
      <w:r>
        <w:rPr>
          <w:sz w:val="24"/>
        </w:rPr>
        <w:t>S</w:t>
      </w:r>
      <w:r>
        <w:rPr>
          <w:position w:val="-4"/>
          <w:sz w:val="17"/>
        </w:rPr>
        <w:t>Ni</w:t>
      </w:r>
      <w:r>
        <w:rPr>
          <w:rFonts w:ascii="Cambria Math" w:hAnsi="Cambria Math"/>
          <w:sz w:val="24"/>
        </w:rPr>
        <w:t>)</w:t>
      </w:r>
    </w:p>
    <w:p>
      <w:pPr>
        <w:tabs>
          <w:tab w:pos="475" w:val="left" w:leader="none"/>
          <w:tab w:pos="947" w:val="left" w:leader="none"/>
          <w:tab w:pos="2105" w:val="left" w:leader="none"/>
        </w:tabs>
        <w:spacing w:line="211" w:lineRule="exact" w:before="0"/>
        <w:ind w:left="0" w:right="493" w:firstLine="0"/>
        <w:jc w:val="center"/>
        <w:rPr>
          <w:sz w:val="17"/>
        </w:rPr>
      </w:pPr>
      <w:r>
        <w:rPr>
          <w:position w:val="-12"/>
          <w:sz w:val="24"/>
        </w:rPr>
        <w:t>n=</w:t>
        <w:tab/>
      </w:r>
      <w:r>
        <w:rPr>
          <w:sz w:val="17"/>
          <w:u w:val="single"/>
        </w:rPr>
        <w:t> </w:t>
        <w:tab/>
        <w:t>i</w:t>
        <w:tab/>
      </w:r>
    </w:p>
    <w:p>
      <w:pPr>
        <w:tabs>
          <w:tab w:pos="1420" w:val="right" w:leader="none"/>
        </w:tabs>
        <w:spacing w:line="2" w:lineRule="exact" w:before="0"/>
        <w:ind w:left="768" w:right="0" w:firstLine="0"/>
        <w:jc w:val="center"/>
        <w:rPr>
          <w:sz w:val="17"/>
        </w:rPr>
      </w:pPr>
      <w:r>
        <w:rPr>
          <w:position w:val="-1"/>
          <w:sz w:val="17"/>
        </w:rPr>
        <w:t>L</w:t>
      </w:r>
      <w:r>
        <w:rPr>
          <w:sz w:val="17"/>
        </w:rPr>
        <w:tab/>
        <w:t>2</w:t>
      </w:r>
    </w:p>
    <w:p>
      <w:pPr>
        <w:spacing w:line="332" w:lineRule="exact" w:before="0"/>
        <w:ind w:left="68" w:right="96" w:firstLine="0"/>
        <w:jc w:val="center"/>
        <w:rPr>
          <w:sz w:val="17"/>
        </w:rPr>
      </w:pPr>
      <w:r>
        <w:rPr/>
        <w:pict>
          <v:shape style="position:absolute;margin-left:309.410004pt;margin-top:8.64pt;width:2.4pt;height:8.550pt;mso-position-horizontal-relative:page;mso-position-vertical-relative:paragraph;z-index:-459040" type="#_x0000_t202" filled="false" stroked="false">
            <v:textbox inset="0,0,0,0">
              <w:txbxContent>
                <w:p>
                  <w:pPr>
                    <w:spacing w:line="170" w:lineRule="exact" w:before="0"/>
                    <w:ind w:left="0" w:right="0" w:firstLine="0"/>
                    <w:jc w:val="left"/>
                    <w:rPr>
                      <w:sz w:val="17"/>
                    </w:rPr>
                  </w:pPr>
                  <w:r>
                    <w:rPr>
                      <w:w w:val="100"/>
                      <w:sz w:val="17"/>
                    </w:rPr>
                    <w:t>i</w:t>
                  </w:r>
                </w:p>
              </w:txbxContent>
            </v:textbox>
            <w10:wrap type="none"/>
          </v:shape>
        </w:pict>
      </w:r>
      <w:r>
        <w:rPr>
          <w:sz w:val="24"/>
        </w:rPr>
        <w:t>N</w:t>
      </w:r>
      <w:r>
        <w:rPr>
          <w:position w:val="11"/>
          <w:sz w:val="17"/>
        </w:rPr>
        <w:t>2</w:t>
      </w:r>
      <w:r>
        <w:rPr>
          <w:sz w:val="24"/>
        </w:rPr>
        <w:t>D</w:t>
      </w:r>
      <w:r>
        <w:rPr>
          <w:position w:val="11"/>
          <w:sz w:val="17"/>
        </w:rPr>
        <w:t>2</w:t>
      </w:r>
      <w:r>
        <w:rPr>
          <w:sz w:val="24"/>
        </w:rPr>
        <w:t>+ </w:t>
      </w:r>
      <w:r>
        <w:rPr>
          <w:rFonts w:ascii="Cambria Math" w:hAnsi="Cambria Math"/>
          <w:position w:val="1"/>
          <w:sz w:val="24"/>
        </w:rPr>
        <w:t>∑   </w:t>
      </w:r>
      <w:r>
        <w:rPr>
          <w:sz w:val="24"/>
        </w:rPr>
        <w:t>N</w:t>
      </w:r>
      <w:r>
        <w:rPr>
          <w:position w:val="-4"/>
          <w:sz w:val="17"/>
        </w:rPr>
        <w:t>i </w:t>
      </w:r>
      <w:r>
        <w:rPr>
          <w:sz w:val="24"/>
        </w:rPr>
        <w:t>S</w:t>
      </w:r>
      <w:r>
        <w:rPr>
          <w:position w:val="-4"/>
          <w:sz w:val="17"/>
        </w:rPr>
        <w:t>Ni</w:t>
      </w:r>
    </w:p>
    <w:p>
      <w:pPr>
        <w:pStyle w:val="BodyText"/>
        <w:spacing w:line="345" w:lineRule="auto" w:before="943"/>
        <w:ind w:left="122" w:right="137"/>
        <w:jc w:val="both"/>
      </w:pPr>
      <w:r>
        <w:rPr>
          <w:position w:val="2"/>
        </w:rPr>
        <w:t>Donde,</w:t>
      </w:r>
      <w:r>
        <w:rPr>
          <w:spacing w:val="-9"/>
          <w:position w:val="2"/>
        </w:rPr>
        <w:t> </w:t>
      </w:r>
      <w:r>
        <w:rPr>
          <w:position w:val="2"/>
        </w:rPr>
        <w:t>n</w:t>
      </w:r>
      <w:r>
        <w:rPr>
          <w:spacing w:val="-9"/>
          <w:position w:val="2"/>
        </w:rPr>
        <w:t> </w:t>
      </w:r>
      <w:r>
        <w:rPr>
          <w:position w:val="2"/>
        </w:rPr>
        <w:t>tamaño</w:t>
      </w:r>
      <w:r>
        <w:rPr>
          <w:spacing w:val="-9"/>
          <w:position w:val="2"/>
        </w:rPr>
        <w:t> </w:t>
      </w:r>
      <w:r>
        <w:rPr>
          <w:position w:val="2"/>
        </w:rPr>
        <w:t>de</w:t>
      </w:r>
      <w:r>
        <w:rPr>
          <w:spacing w:val="-7"/>
          <w:position w:val="2"/>
        </w:rPr>
        <w:t> </w:t>
      </w:r>
      <w:r>
        <w:rPr>
          <w:position w:val="2"/>
        </w:rPr>
        <w:t>muestra</w:t>
      </w:r>
      <w:r>
        <w:rPr>
          <w:spacing w:val="-10"/>
          <w:position w:val="2"/>
        </w:rPr>
        <w:t> </w:t>
      </w:r>
      <w:r>
        <w:rPr>
          <w:position w:val="2"/>
        </w:rPr>
        <w:t>final:</w:t>
      </w:r>
      <w:r>
        <w:rPr>
          <w:spacing w:val="-8"/>
          <w:position w:val="2"/>
        </w:rPr>
        <w:t> </w:t>
      </w:r>
      <w:r>
        <w:rPr>
          <w:position w:val="2"/>
        </w:rPr>
        <w:t>N,</w:t>
      </w:r>
      <w:r>
        <w:rPr>
          <w:spacing w:val="-7"/>
          <w:position w:val="2"/>
        </w:rPr>
        <w:t> </w:t>
      </w:r>
      <w:r>
        <w:rPr>
          <w:position w:val="2"/>
        </w:rPr>
        <w:t>tamaño</w:t>
      </w:r>
      <w:r>
        <w:rPr>
          <w:spacing w:val="-9"/>
          <w:position w:val="2"/>
        </w:rPr>
        <w:t> </w:t>
      </w:r>
      <w:r>
        <w:rPr>
          <w:position w:val="2"/>
        </w:rPr>
        <w:t>de</w:t>
      </w:r>
      <w:r>
        <w:rPr>
          <w:spacing w:val="-10"/>
          <w:position w:val="2"/>
        </w:rPr>
        <w:t> </w:t>
      </w:r>
      <w:r>
        <w:rPr>
          <w:position w:val="2"/>
        </w:rPr>
        <w:t>la</w:t>
      </w:r>
      <w:r>
        <w:rPr>
          <w:spacing w:val="-10"/>
          <w:position w:val="2"/>
        </w:rPr>
        <w:t> </w:t>
      </w:r>
      <w:r>
        <w:rPr>
          <w:position w:val="2"/>
        </w:rPr>
        <w:t>población;</w:t>
      </w:r>
      <w:r>
        <w:rPr>
          <w:spacing w:val="-8"/>
          <w:position w:val="2"/>
        </w:rPr>
        <w:t> </w:t>
      </w:r>
      <w:r>
        <w:rPr>
          <w:position w:val="2"/>
        </w:rPr>
        <w:t>N</w:t>
      </w:r>
      <w:r>
        <w:rPr>
          <w:sz w:val="16"/>
        </w:rPr>
        <w:t>i</w:t>
      </w:r>
      <w:r>
        <w:rPr>
          <w:position w:val="2"/>
        </w:rPr>
        <w:t>,</w:t>
      </w:r>
      <w:r>
        <w:rPr>
          <w:spacing w:val="-9"/>
          <w:position w:val="2"/>
        </w:rPr>
        <w:t> </w:t>
      </w:r>
      <w:r>
        <w:rPr>
          <w:position w:val="2"/>
        </w:rPr>
        <w:t>número</w:t>
      </w:r>
      <w:r>
        <w:rPr>
          <w:spacing w:val="-7"/>
          <w:position w:val="2"/>
        </w:rPr>
        <w:t> </w:t>
      </w:r>
      <w:r>
        <w:rPr>
          <w:position w:val="2"/>
        </w:rPr>
        <w:t>de</w:t>
      </w:r>
      <w:r>
        <w:rPr>
          <w:spacing w:val="-10"/>
          <w:position w:val="2"/>
        </w:rPr>
        <w:t> </w:t>
      </w:r>
      <w:r>
        <w:rPr>
          <w:position w:val="2"/>
        </w:rPr>
        <w:t>productores</w:t>
      </w:r>
      <w:r>
        <w:rPr>
          <w:spacing w:val="-8"/>
          <w:position w:val="2"/>
        </w:rPr>
        <w:t> </w:t>
      </w:r>
      <w:r>
        <w:rPr>
          <w:position w:val="2"/>
        </w:rPr>
        <w:t>del i-esimo estrato; S</w:t>
      </w:r>
      <w:r>
        <w:rPr>
          <w:sz w:val="16"/>
        </w:rPr>
        <w:t>Ni</w:t>
      </w:r>
      <w:r>
        <w:rPr>
          <w:position w:val="11"/>
          <w:sz w:val="16"/>
        </w:rPr>
        <w:t>2</w:t>
      </w:r>
      <w:r>
        <w:rPr>
          <w:position w:val="2"/>
        </w:rPr>
        <w:t>, varianza estimada del estrato (i); S</w:t>
      </w:r>
      <w:r>
        <w:rPr>
          <w:sz w:val="16"/>
        </w:rPr>
        <w:t>i</w:t>
      </w:r>
      <w:r>
        <w:rPr>
          <w:position w:val="2"/>
        </w:rPr>
        <w:t>, desviación estándar del i-esimo </w:t>
      </w:r>
      <w:r>
        <w:rPr/>
        <w:t>estrato; D</w:t>
      </w:r>
      <w:r>
        <w:rPr>
          <w:position w:val="9"/>
          <w:sz w:val="16"/>
        </w:rPr>
        <w:t>2</w:t>
      </w:r>
      <w:r>
        <w:rPr/>
        <w:t>, precisión,</w:t>
      </w:r>
      <w:r>
        <w:rPr>
          <w:spacing w:val="-3"/>
        </w:rPr>
        <w:t> </w:t>
      </w:r>
      <w:r>
        <w:rPr/>
        <w:t>donde:</w:t>
      </w:r>
    </w:p>
    <w:p>
      <w:pPr>
        <w:spacing w:after="0" w:line="345" w:lineRule="auto"/>
        <w:jc w:val="both"/>
        <w:sectPr>
          <w:pgSz w:w="12240" w:h="15840"/>
          <w:pgMar w:header="0" w:footer="657" w:top="1340" w:bottom="840" w:left="1580" w:right="1560"/>
        </w:sectPr>
      </w:pPr>
    </w:p>
    <w:p>
      <w:pPr>
        <w:spacing w:before="176"/>
        <w:ind w:left="0" w:right="0" w:firstLine="0"/>
        <w:jc w:val="right"/>
        <w:rPr>
          <w:rFonts w:ascii="Cambria Math" w:eastAsia="Cambria Math"/>
          <w:sz w:val="24"/>
        </w:rPr>
      </w:pPr>
      <w:r>
        <w:rPr>
          <w:rFonts w:ascii="Cambria Math" w:eastAsia="Cambria Math"/>
          <w:sz w:val="24"/>
        </w:rPr>
        <w:t>�</w:t>
      </w:r>
      <w:r>
        <w:rPr>
          <w:rFonts w:ascii="Cambria Math" w:eastAsia="Cambria Math"/>
          <w:position w:val="9"/>
          <w:sz w:val="17"/>
        </w:rPr>
        <w:t>2  </w:t>
      </w:r>
      <w:r>
        <w:rPr>
          <w:rFonts w:ascii="Cambria Math" w:eastAsia="Cambria Math"/>
          <w:sz w:val="24"/>
        </w:rPr>
        <w:t>=</w:t>
      </w:r>
    </w:p>
    <w:p>
      <w:pPr>
        <w:spacing w:line="300" w:lineRule="exact" w:before="0"/>
        <w:ind w:left="99" w:right="0" w:firstLine="0"/>
        <w:jc w:val="left"/>
        <w:rPr>
          <w:rFonts w:ascii="Cambria Math" w:eastAsia="Cambria Math"/>
          <w:sz w:val="17"/>
        </w:rPr>
      </w:pPr>
      <w:r>
        <w:rPr/>
        <w:br w:type="column"/>
      </w:r>
      <w:r>
        <w:rPr>
          <w:rFonts w:ascii="Cambria Math" w:eastAsia="Cambria Math"/>
          <w:position w:val="-8"/>
          <w:sz w:val="24"/>
        </w:rPr>
        <w:t>�</w:t>
      </w:r>
      <w:r>
        <w:rPr>
          <w:rFonts w:ascii="Cambria Math" w:eastAsia="Cambria Math"/>
          <w:sz w:val="17"/>
        </w:rPr>
        <w:t>2</w:t>
      </w:r>
    </w:p>
    <w:p>
      <w:pPr>
        <w:pStyle w:val="BodyText"/>
        <w:spacing w:before="4"/>
        <w:rPr>
          <w:rFonts w:ascii="Cambria Math"/>
          <w:sz w:val="4"/>
        </w:rPr>
      </w:pPr>
    </w:p>
    <w:p>
      <w:pPr>
        <w:pStyle w:val="BodyText"/>
        <w:spacing w:line="20" w:lineRule="exact"/>
        <w:ind w:left="19"/>
        <w:rPr>
          <w:rFonts w:ascii="Cambria Math"/>
          <w:sz w:val="2"/>
        </w:rPr>
      </w:pPr>
      <w:r>
        <w:rPr>
          <w:rFonts w:ascii="Cambria Math"/>
          <w:sz w:val="2"/>
        </w:rPr>
        <w:pict>
          <v:group style="width:20.9pt;height:.85pt;mso-position-horizontal-relative:char;mso-position-vertical-relative:line" coordorigin="0,0" coordsize="418,17">
            <v:line style="position:absolute" from="9,9" to="409,9" stroked="true" strokeweight=".84pt" strokecolor="#000000"/>
          </v:group>
        </w:pict>
      </w:r>
      <w:r>
        <w:rPr>
          <w:rFonts w:ascii="Cambria Math"/>
          <w:sz w:val="2"/>
        </w:rPr>
      </w:r>
    </w:p>
    <w:p>
      <w:pPr>
        <w:spacing w:line="150" w:lineRule="exact" w:before="0"/>
        <w:ind w:left="133" w:right="0" w:firstLine="0"/>
        <w:jc w:val="left"/>
        <w:rPr>
          <w:rFonts w:ascii="Cambria Math"/>
          <w:sz w:val="17"/>
        </w:rPr>
      </w:pPr>
      <w:r>
        <w:rPr>
          <w:rFonts w:ascii="Cambria Math"/>
          <w:w w:val="104"/>
          <w:sz w:val="17"/>
        </w:rPr>
        <w:t>2</w:t>
      </w:r>
    </w:p>
    <w:p>
      <w:pPr>
        <w:spacing w:line="176" w:lineRule="exact" w:before="0"/>
        <w:ind w:left="119" w:right="0" w:firstLine="0"/>
        <w:jc w:val="left"/>
        <w:rPr>
          <w:rFonts w:ascii="Cambria Math" w:eastAsia="Cambria Math"/>
          <w:sz w:val="17"/>
        </w:rPr>
      </w:pPr>
      <w:r>
        <w:rPr/>
        <w:pict>
          <v:shape style="position:absolute;margin-left:298.970001pt;margin-top:-6.031847pt;width:4.75pt;height:12pt;mso-position-horizontal-relative:page;mso-position-vertical-relative:paragraph;z-index:-459016" type="#_x0000_t202" filled="false" stroked="false">
            <v:textbox inset="0,0,0,0">
              <w:txbxContent>
                <w:p>
                  <w:pPr>
                    <w:pStyle w:val="BodyText"/>
                    <w:spacing w:line="240" w:lineRule="exact"/>
                    <w:rPr>
                      <w:rFonts w:ascii="Cambria Math" w:eastAsia="Cambria Math"/>
                    </w:rPr>
                  </w:pPr>
                  <w:r>
                    <w:rPr>
                      <w:rFonts w:ascii="Cambria Math" w:eastAsia="Cambria Math"/>
                      <w:w w:val="60"/>
                    </w:rPr>
                    <w:t>�</w:t>
                  </w:r>
                </w:p>
              </w:txbxContent>
            </v:textbox>
            <w10:wrap type="none"/>
          </v:shape>
        </w:pict>
      </w:r>
      <w:r>
        <w:rPr>
          <w:rFonts w:ascii="Cambria Math" w:eastAsia="Cambria Math"/>
          <w:w w:val="105"/>
          <w:sz w:val="17"/>
        </w:rPr>
        <w:t>𝛼/2</w:t>
      </w:r>
    </w:p>
    <w:p>
      <w:pPr>
        <w:spacing w:after="0" w:line="176" w:lineRule="exact"/>
        <w:jc w:val="left"/>
        <w:rPr>
          <w:rFonts w:ascii="Cambria Math" w:eastAsia="Cambria Math"/>
          <w:sz w:val="17"/>
        </w:rPr>
        <w:sectPr>
          <w:type w:val="continuous"/>
          <w:pgSz w:w="12240" w:h="15840"/>
          <w:pgMar w:top="1360" w:bottom="280" w:left="1580" w:right="1560"/>
          <w:cols w:num="2" w:equalWidth="0">
            <w:col w:w="4332" w:space="40"/>
            <w:col w:w="4728"/>
          </w:cols>
        </w:sectPr>
      </w:pPr>
    </w:p>
    <w:p>
      <w:pPr>
        <w:pStyle w:val="BodyText"/>
        <w:rPr>
          <w:rFonts w:ascii="Cambria Math"/>
          <w:sz w:val="20"/>
        </w:rPr>
      </w:pPr>
    </w:p>
    <w:p>
      <w:pPr>
        <w:pStyle w:val="BodyText"/>
        <w:spacing w:before="1"/>
        <w:rPr>
          <w:rFonts w:ascii="Cambria Math"/>
          <w:sz w:val="19"/>
        </w:rPr>
      </w:pPr>
    </w:p>
    <w:p>
      <w:pPr>
        <w:pStyle w:val="BodyText"/>
        <w:spacing w:line="391" w:lineRule="auto" w:before="73"/>
        <w:ind w:left="122" w:right="205"/>
      </w:pPr>
      <w:r>
        <w:rPr/>
        <w:pict>
          <v:shape style="position:absolute;margin-left:260.450012pt;margin-top:12.701238pt;width:15.05pt;height:8.550pt;mso-position-horizontal-relative:page;mso-position-vertical-relative:paragraph;z-index:-458992" type="#_x0000_t202" filled="false" stroked="false">
            <v:textbox inset="0,0,0,0">
              <w:txbxContent>
                <w:p>
                  <w:pPr>
                    <w:spacing w:line="170" w:lineRule="exact" w:before="0"/>
                    <w:ind w:left="0" w:right="-95" w:firstLine="0"/>
                    <w:jc w:val="left"/>
                    <w:rPr>
                      <w:rFonts w:ascii="Cambria Math" w:eastAsia="Cambria Math"/>
                      <w:sz w:val="17"/>
                    </w:rPr>
                  </w:pPr>
                  <w:r>
                    <w:rPr>
                      <w:rFonts w:ascii="Cambria Math" w:eastAsia="Cambria Math"/>
                      <w:spacing w:val="4"/>
                      <w:w w:val="111"/>
                      <w:sz w:val="17"/>
                    </w:rPr>
                    <w:t>𝛼</w:t>
                  </w:r>
                  <w:r>
                    <w:rPr>
                      <w:rFonts w:ascii="Cambria Math" w:eastAsia="Cambria Math"/>
                      <w:w w:val="100"/>
                      <w:sz w:val="17"/>
                    </w:rPr>
                    <w:t>/</w:t>
                  </w:r>
                  <w:r>
                    <w:rPr>
                      <w:rFonts w:ascii="Cambria Math" w:eastAsia="Cambria Math"/>
                      <w:w w:val="104"/>
                      <w:sz w:val="17"/>
                    </w:rPr>
                    <w:t>2</w:t>
                  </w:r>
                </w:p>
              </w:txbxContent>
            </v:textbox>
            <w10:wrap type="none"/>
          </v:shape>
        </w:pict>
      </w:r>
      <w:r>
        <w:rPr/>
        <w:t>Donde d</w:t>
      </w:r>
      <w:r>
        <w:rPr>
          <w:position w:val="9"/>
          <w:sz w:val="16"/>
        </w:rPr>
        <w:t>2</w:t>
      </w:r>
      <w:r>
        <w:rPr/>
        <w:t>, precisión del estimador, </w:t>
      </w:r>
      <w:r>
        <w:rPr>
          <w:rFonts w:ascii="Cambria Math" w:hAnsi="Cambria Math" w:eastAsia="Cambria Math"/>
          <w:spacing w:val="5"/>
        </w:rPr>
        <w:t>�</w:t>
      </w:r>
      <w:r>
        <w:rPr>
          <w:rFonts w:ascii="Cambria Math" w:hAnsi="Cambria Math" w:eastAsia="Cambria Math"/>
          <w:spacing w:val="5"/>
          <w:position w:val="10"/>
          <w:sz w:val="17"/>
        </w:rPr>
        <w:t>2    </w:t>
      </w:r>
      <w:r>
        <w:rPr/>
        <w:t>, valor obtenido de las tablas de distribución de </w:t>
      </w:r>
      <w:r>
        <w:rPr>
          <w:b/>
        </w:rPr>
        <w:t>t </w:t>
      </w:r>
      <w:r>
        <w:rPr/>
        <w:t>de Student con un t,0.25, n,gl; d, 10%</w:t>
      </w:r>
      <w:r>
        <w:rPr>
          <w:spacing w:val="-5"/>
        </w:rPr>
        <w:t> </w:t>
      </w:r>
      <w:r>
        <w:rPr/>
        <w:t>(ӯ).</w:t>
      </w:r>
    </w:p>
    <w:p>
      <w:pPr>
        <w:pStyle w:val="BodyText"/>
        <w:spacing w:before="5"/>
        <w:rPr>
          <w:sz w:val="33"/>
        </w:rPr>
      </w:pPr>
    </w:p>
    <w:p>
      <w:pPr>
        <w:pStyle w:val="BodyText"/>
        <w:ind w:left="191" w:right="8"/>
      </w:pPr>
      <w:r>
        <w:rPr/>
        <w:pict>
          <v:group style="position:absolute;margin-left:84.003998pt;margin-top:43.943138pt;width:444.25pt;height:2.2pt;mso-position-horizontal-relative:page;mso-position-vertical-relative:paragraph;z-index:-459088" coordorigin="1680,879" coordsize="8885,44">
            <v:line style="position:absolute" from="1702,901" to="5221,901" stroked="true" strokeweight="2.16pt" strokecolor="#000000"/>
            <v:line style="position:absolute" from="5221,901" to="5264,901" stroked="true" strokeweight="2.16pt" strokecolor="#000000"/>
            <v:line style="position:absolute" from="5264,901" to="6083,901" stroked="true" strokeweight="2.16pt" strokecolor="#000000"/>
            <v:line style="position:absolute" from="6083,901" to="6126,901" stroked="true" strokeweight="2.16pt" strokecolor="#000000"/>
            <v:line style="position:absolute" from="6126,901" to="6284,901" stroked="true" strokeweight="2.16pt" strokecolor="#000000"/>
            <v:line style="position:absolute" from="6284,901" to="6327,901" stroked="true" strokeweight="2.16pt" strokecolor="#000000"/>
            <v:line style="position:absolute" from="6327,901" to="6957,901" stroked="true" strokeweight="2.16pt" strokecolor="#000000"/>
            <v:line style="position:absolute" from="6957,901" to="7000,901" stroked="true" strokeweight="2.16pt" strokecolor="#000000"/>
            <v:line style="position:absolute" from="7000,901" to="7350,901" stroked="true" strokeweight="2.16pt" strokecolor="#000000"/>
            <v:line style="position:absolute" from="7350,901" to="7393,901" stroked="true" strokeweight="2.16pt" strokecolor="#000000"/>
            <v:line style="position:absolute" from="7393,901" to="8022,901" stroked="true" strokeweight="2.16pt" strokecolor="#000000"/>
            <v:line style="position:absolute" from="8022,901" to="8065,901" stroked="true" strokeweight="2.16pt" strokecolor="#000000"/>
            <v:line style="position:absolute" from="8065,901" to="8413,901" stroked="true" strokeweight="2.16pt" strokecolor="#000000"/>
            <v:line style="position:absolute" from="8413,901" to="8457,901" stroked="true" strokeweight="2.16pt" strokecolor="#000000"/>
            <v:line style="position:absolute" from="8457,901" to="9283,901" stroked="true" strokeweight="2.16pt" strokecolor="#000000"/>
            <v:line style="position:absolute" from="9283,901" to="9326,901" stroked="true" strokeweight="2.16pt" strokecolor="#000000"/>
            <v:line style="position:absolute" from="9326,901" to="9477,901" stroked="true" strokeweight="2.16pt" strokecolor="#000000"/>
            <v:line style="position:absolute" from="9477,901" to="9520,901" stroked="true" strokeweight="2.16pt" strokecolor="#000000"/>
            <v:line style="position:absolute" from="9520,901" to="10543,901" stroked="true" strokeweight="2.16pt" strokecolor="#000000"/>
            <w10:wrap type="none"/>
          </v:group>
        </w:pict>
      </w:r>
      <w:r>
        <w:rPr/>
        <w:pict>
          <v:shape style="position:absolute;margin-left:466.420013pt;margin-top:23.093561pt;width:4.05pt;height:8.0500pt;mso-position-horizontal-relative:page;mso-position-vertical-relative:paragraph;z-index:-458968" type="#_x0000_t202" filled="false" stroked="false">
            <v:textbox inset="0,0,0,0">
              <w:txbxContent>
                <w:p>
                  <w:pPr>
                    <w:spacing w:line="161" w:lineRule="exact" w:before="0"/>
                    <w:ind w:left="0" w:right="0" w:firstLine="0"/>
                    <w:jc w:val="left"/>
                    <w:rPr>
                      <w:sz w:val="16"/>
                    </w:rPr>
                  </w:pPr>
                  <w:r>
                    <w:rPr>
                      <w:w w:val="100"/>
                      <w:sz w:val="16"/>
                    </w:rPr>
                    <w:t>2</w:t>
                  </w:r>
                </w:p>
              </w:txbxContent>
            </v:textbox>
            <w10:wrap type="none"/>
          </v:shape>
        </w:pict>
      </w:r>
      <w:r>
        <w:rPr>
          <w:b/>
        </w:rPr>
        <w:t>Tabla 1. </w:t>
      </w:r>
      <w:r>
        <w:rPr/>
        <w:t>Información base para calcular el tamaño de muestra</w:t>
      </w:r>
    </w:p>
    <w:p>
      <w:pPr>
        <w:pStyle w:val="BodyText"/>
        <w:spacing w:before="11"/>
        <w:rPr>
          <w:sz w:val="8"/>
        </w:rPr>
      </w:pPr>
      <w:r>
        <w:rPr/>
        <w:pict>
          <v:group style="position:absolute;margin-left:84.003998pt;margin-top:7.104311pt;width:444.25pt;height:2.2pt;mso-position-horizontal-relative:page;mso-position-vertical-relative:paragraph;z-index:4672;mso-wrap-distance-left:0;mso-wrap-distance-right:0" coordorigin="1680,142" coordsize="8885,44">
            <v:line style="position:absolute" from="1702,164" to="5221,164" stroked="true" strokeweight="2.16pt" strokecolor="#000000"/>
            <v:line style="position:absolute" from="5221,164" to="5264,164" stroked="true" strokeweight="2.16pt" strokecolor="#000000"/>
            <v:line style="position:absolute" from="5264,164" to="6284,164" stroked="true" strokeweight="2.16pt" strokecolor="#000000"/>
            <v:line style="position:absolute" from="6284,164" to="6327,164" stroked="true" strokeweight="2.16pt" strokecolor="#000000"/>
            <v:line style="position:absolute" from="6327,164" to="7350,164" stroked="true" strokeweight="2.16pt" strokecolor="#000000"/>
            <v:line style="position:absolute" from="7350,164" to="7393,164" stroked="true" strokeweight="2.16pt" strokecolor="#000000"/>
            <v:line style="position:absolute" from="7393,164" to="8413,164" stroked="true" strokeweight="2.16pt" strokecolor="#000000"/>
            <v:line style="position:absolute" from="8413,164" to="8457,164" stroked="true" strokeweight="2.16pt" strokecolor="#000000"/>
            <v:line style="position:absolute" from="8457,164" to="9283,164" stroked="true" strokeweight="2.16pt" strokecolor="#000000"/>
            <v:line style="position:absolute" from="9283,164" to="9326,164" stroked="true" strokeweight="2.16pt" strokecolor="#000000"/>
            <v:line style="position:absolute" from="9326,164" to="9477,164" stroked="true" strokeweight="2.16pt" strokecolor="#000000"/>
            <v:line style="position:absolute" from="9477,164" to="9520,164" stroked="true" strokeweight="2.16pt" strokecolor="#000000"/>
            <v:line style="position:absolute" from="9520,164" to="10543,164" stroked="true" strokeweight="2.16pt" strokecolor="#000000"/>
            <w10:wrap type="topAndBottom"/>
          </v:group>
        </w:pict>
      </w:r>
    </w:p>
    <w:p>
      <w:pPr>
        <w:tabs>
          <w:tab w:pos="4416" w:val="left" w:leader="none"/>
          <w:tab w:pos="5520" w:val="left" w:leader="none"/>
          <w:tab w:pos="6365" w:val="left" w:leader="none"/>
          <w:tab w:pos="7351" w:val="left" w:leader="none"/>
          <w:tab w:pos="8619" w:val="left" w:leader="none"/>
        </w:tabs>
        <w:spacing w:line="396" w:lineRule="auto" w:before="0"/>
        <w:ind w:left="191" w:right="205" w:firstLine="0"/>
        <w:jc w:val="left"/>
        <w:rPr>
          <w:sz w:val="24"/>
        </w:rPr>
      </w:pPr>
      <w:r>
        <w:rPr>
          <w:position w:val="2"/>
          <w:sz w:val="24"/>
        </w:rPr>
        <w:t>Sistema</w:t>
      </w:r>
      <w:r>
        <w:rPr>
          <w:spacing w:val="-1"/>
          <w:position w:val="2"/>
          <w:sz w:val="24"/>
        </w:rPr>
        <w:t> </w:t>
      </w:r>
      <w:r>
        <w:rPr>
          <w:position w:val="2"/>
          <w:sz w:val="24"/>
        </w:rPr>
        <w:t>de</w:t>
      </w:r>
      <w:r>
        <w:rPr>
          <w:spacing w:val="-3"/>
          <w:position w:val="2"/>
          <w:sz w:val="24"/>
        </w:rPr>
        <w:t> </w:t>
      </w:r>
      <w:r>
        <w:rPr>
          <w:position w:val="2"/>
          <w:sz w:val="24"/>
        </w:rPr>
        <w:t>producción</w:t>
        <w:tab/>
        <w:t>N</w:t>
      </w:r>
      <w:r>
        <w:rPr>
          <w:sz w:val="16"/>
        </w:rPr>
        <w:t>i</w:t>
        <w:tab/>
      </w:r>
      <w:r>
        <w:rPr>
          <w:position w:val="2"/>
          <w:sz w:val="24"/>
        </w:rPr>
        <w:t>S</w:t>
      </w:r>
      <w:r>
        <w:rPr>
          <w:sz w:val="16"/>
        </w:rPr>
        <w:t>i</w:t>
        <w:tab/>
      </w:r>
      <w:r>
        <w:rPr>
          <w:position w:val="2"/>
          <w:sz w:val="24"/>
        </w:rPr>
        <w:t>N</w:t>
      </w:r>
      <w:r>
        <w:rPr>
          <w:sz w:val="16"/>
        </w:rPr>
        <w:t>i</w:t>
      </w:r>
      <w:r>
        <w:rPr>
          <w:position w:val="2"/>
          <w:sz w:val="24"/>
        </w:rPr>
        <w:t>S</w:t>
      </w:r>
      <w:r>
        <w:rPr>
          <w:sz w:val="16"/>
        </w:rPr>
        <w:t>i</w:t>
        <w:tab/>
      </w:r>
      <w:r>
        <w:rPr>
          <w:position w:val="2"/>
          <w:sz w:val="24"/>
        </w:rPr>
        <w:t>N</w:t>
      </w:r>
      <w:r>
        <w:rPr>
          <w:sz w:val="16"/>
        </w:rPr>
        <w:t>i</w:t>
      </w:r>
      <w:r>
        <w:rPr>
          <w:position w:val="2"/>
          <w:sz w:val="24"/>
        </w:rPr>
        <w:t>S</w:t>
      </w:r>
      <w:r>
        <w:rPr>
          <w:sz w:val="16"/>
        </w:rPr>
        <w:t>i</w:t>
        <w:tab/>
      </w:r>
      <w:r>
        <w:rPr>
          <w:position w:val="2"/>
          <w:sz w:val="24"/>
        </w:rPr>
        <w:t>W</w:t>
      </w:r>
      <w:r>
        <w:rPr>
          <w:sz w:val="16"/>
        </w:rPr>
        <w:t>i </w:t>
      </w:r>
      <w:r>
        <w:rPr>
          <w:sz w:val="24"/>
        </w:rPr>
        <w:t>Periodo</w:t>
      </w:r>
      <w:r>
        <w:rPr>
          <w:spacing w:val="-4"/>
          <w:sz w:val="24"/>
        </w:rPr>
        <w:t> </w:t>
      </w:r>
      <w:r>
        <w:rPr>
          <w:sz w:val="24"/>
        </w:rPr>
        <w:t>2010-2011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74"/>
        <w:ind w:left="191" w:right="8" w:firstLine="0"/>
        <w:jc w:val="left"/>
        <w:rPr>
          <w:sz w:val="20"/>
        </w:rPr>
      </w:pPr>
      <w:r>
        <w:rPr/>
        <w:pict>
          <v:shape style="position:absolute;margin-left:85.103996pt;margin-top:-84.780136pt;width:442.05pt;height:89.8pt;mso-position-horizontal-relative:page;mso-position-vertical-relative:paragraph;z-index:4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0"/>
                    <w:gridCol w:w="1591"/>
                    <w:gridCol w:w="2123"/>
                    <w:gridCol w:w="943"/>
                    <w:gridCol w:w="1004"/>
                    <w:gridCol w:w="1245"/>
                    <w:gridCol w:w="814"/>
                  </w:tblGrid>
                  <w:tr>
                    <w:trPr>
                      <w:trHeight w:val="426" w:hRule="exact"/>
                    </w:trPr>
                    <w:tc>
                      <w:tcPr>
                        <w:tcW w:w="1120" w:type="dxa"/>
                      </w:tcPr>
                      <w:p>
                        <w:pPr>
                          <w:pStyle w:val="TableParagraph"/>
                          <w:spacing w:before="69"/>
                          <w:ind w:left="69"/>
                          <w:jc w:val="left"/>
                          <w:rPr>
                            <w:sz w:val="24"/>
                          </w:rPr>
                        </w:pPr>
                        <w:r>
                          <w:rPr>
                            <w:sz w:val="24"/>
                          </w:rPr>
                          <w:t>Estratos:</w:t>
                        </w:r>
                      </w:p>
                    </w:tc>
                    <w:tc>
                      <w:tcPr>
                        <w:tcW w:w="1591" w:type="dxa"/>
                      </w:tcPr>
                      <w:p>
                        <w:pPr>
                          <w:pStyle w:val="TableParagraph"/>
                          <w:spacing w:before="69"/>
                          <w:ind w:left="271"/>
                          <w:jc w:val="left"/>
                          <w:rPr>
                            <w:sz w:val="24"/>
                          </w:rPr>
                        </w:pPr>
                        <w:r>
                          <w:rPr>
                            <w:w w:val="99"/>
                            <w:sz w:val="24"/>
                          </w:rPr>
                          <w:t>I</w:t>
                        </w:r>
                      </w:p>
                    </w:tc>
                    <w:tc>
                      <w:tcPr>
                        <w:tcW w:w="2123" w:type="dxa"/>
                      </w:tcPr>
                      <w:p>
                        <w:pPr>
                          <w:pStyle w:val="TableParagraph"/>
                          <w:spacing w:before="69"/>
                          <w:ind w:right="319"/>
                          <w:rPr>
                            <w:sz w:val="24"/>
                          </w:rPr>
                        </w:pPr>
                        <w:r>
                          <w:rPr>
                            <w:sz w:val="24"/>
                          </w:rPr>
                          <w:t>130.00</w:t>
                        </w:r>
                      </w:p>
                    </w:tc>
                    <w:tc>
                      <w:tcPr>
                        <w:tcW w:w="943" w:type="dxa"/>
                      </w:tcPr>
                      <w:p>
                        <w:pPr>
                          <w:pStyle w:val="TableParagraph"/>
                          <w:spacing w:before="69"/>
                          <w:ind w:right="199"/>
                          <w:rPr>
                            <w:sz w:val="24"/>
                          </w:rPr>
                        </w:pPr>
                        <w:r>
                          <w:rPr>
                            <w:sz w:val="24"/>
                          </w:rPr>
                          <w:t>3.60</w:t>
                        </w:r>
                      </w:p>
                    </w:tc>
                    <w:tc>
                      <w:tcPr>
                        <w:tcW w:w="1004" w:type="dxa"/>
                      </w:tcPr>
                      <w:p>
                        <w:pPr>
                          <w:pStyle w:val="TableParagraph"/>
                          <w:spacing w:before="69"/>
                          <w:ind w:right="140"/>
                          <w:rPr>
                            <w:sz w:val="24"/>
                          </w:rPr>
                        </w:pPr>
                        <w:r>
                          <w:rPr>
                            <w:sz w:val="24"/>
                          </w:rPr>
                          <w:t>468.19</w:t>
                        </w:r>
                      </w:p>
                    </w:tc>
                    <w:tc>
                      <w:tcPr>
                        <w:tcW w:w="1245" w:type="dxa"/>
                      </w:tcPr>
                      <w:p>
                        <w:pPr>
                          <w:pStyle w:val="TableParagraph"/>
                          <w:spacing w:before="69"/>
                          <w:ind w:right="319"/>
                          <w:rPr>
                            <w:sz w:val="24"/>
                          </w:rPr>
                        </w:pPr>
                        <w:r>
                          <w:rPr>
                            <w:sz w:val="24"/>
                          </w:rPr>
                          <w:t>1686.19</w:t>
                        </w:r>
                      </w:p>
                    </w:tc>
                    <w:tc>
                      <w:tcPr>
                        <w:tcW w:w="814" w:type="dxa"/>
                      </w:tcPr>
                      <w:p>
                        <w:pPr>
                          <w:pStyle w:val="TableParagraph"/>
                          <w:spacing w:before="69"/>
                          <w:ind w:right="71"/>
                          <w:rPr>
                            <w:sz w:val="24"/>
                          </w:rPr>
                        </w:pPr>
                        <w:r>
                          <w:rPr>
                            <w:sz w:val="24"/>
                          </w:rPr>
                          <w:t>0.53</w:t>
                        </w:r>
                      </w:p>
                    </w:tc>
                  </w:tr>
                  <w:tr>
                    <w:trPr>
                      <w:trHeight w:val="414" w:hRule="exact"/>
                    </w:trPr>
                    <w:tc>
                      <w:tcPr>
                        <w:tcW w:w="1120" w:type="dxa"/>
                      </w:tcPr>
                      <w:p>
                        <w:pPr/>
                      </w:p>
                    </w:tc>
                    <w:tc>
                      <w:tcPr>
                        <w:tcW w:w="1591" w:type="dxa"/>
                      </w:tcPr>
                      <w:p>
                        <w:pPr>
                          <w:pStyle w:val="TableParagraph"/>
                          <w:spacing w:before="55"/>
                          <w:ind w:left="211"/>
                          <w:jc w:val="left"/>
                          <w:rPr>
                            <w:sz w:val="24"/>
                          </w:rPr>
                        </w:pPr>
                        <w:r>
                          <w:rPr>
                            <w:sz w:val="24"/>
                          </w:rPr>
                          <w:t>II</w:t>
                        </w:r>
                      </w:p>
                    </w:tc>
                    <w:tc>
                      <w:tcPr>
                        <w:tcW w:w="2123" w:type="dxa"/>
                      </w:tcPr>
                      <w:p>
                        <w:pPr>
                          <w:pStyle w:val="TableParagraph"/>
                          <w:spacing w:before="55"/>
                          <w:ind w:right="319"/>
                          <w:rPr>
                            <w:sz w:val="24"/>
                          </w:rPr>
                        </w:pPr>
                        <w:r>
                          <w:rPr>
                            <w:sz w:val="24"/>
                          </w:rPr>
                          <w:t>99.00</w:t>
                        </w:r>
                      </w:p>
                    </w:tc>
                    <w:tc>
                      <w:tcPr>
                        <w:tcW w:w="943" w:type="dxa"/>
                      </w:tcPr>
                      <w:p>
                        <w:pPr>
                          <w:pStyle w:val="TableParagraph"/>
                          <w:spacing w:before="55"/>
                          <w:ind w:right="199"/>
                          <w:rPr>
                            <w:sz w:val="24"/>
                          </w:rPr>
                        </w:pPr>
                        <w:r>
                          <w:rPr>
                            <w:sz w:val="24"/>
                          </w:rPr>
                          <w:t>2.74</w:t>
                        </w:r>
                      </w:p>
                    </w:tc>
                    <w:tc>
                      <w:tcPr>
                        <w:tcW w:w="1004" w:type="dxa"/>
                      </w:tcPr>
                      <w:p>
                        <w:pPr>
                          <w:pStyle w:val="TableParagraph"/>
                          <w:spacing w:before="55"/>
                          <w:ind w:right="140"/>
                          <w:rPr>
                            <w:sz w:val="24"/>
                          </w:rPr>
                        </w:pPr>
                        <w:r>
                          <w:rPr>
                            <w:sz w:val="24"/>
                          </w:rPr>
                          <w:t>270.80</w:t>
                        </w:r>
                      </w:p>
                    </w:tc>
                    <w:tc>
                      <w:tcPr>
                        <w:tcW w:w="1245" w:type="dxa"/>
                      </w:tcPr>
                      <w:p>
                        <w:pPr>
                          <w:pStyle w:val="TableParagraph"/>
                          <w:spacing w:before="55"/>
                          <w:ind w:right="319"/>
                          <w:rPr>
                            <w:sz w:val="24"/>
                          </w:rPr>
                        </w:pPr>
                        <w:r>
                          <w:rPr>
                            <w:sz w:val="24"/>
                          </w:rPr>
                          <w:t>740.76</w:t>
                        </w:r>
                      </w:p>
                    </w:tc>
                    <w:tc>
                      <w:tcPr>
                        <w:tcW w:w="814" w:type="dxa"/>
                      </w:tcPr>
                      <w:p>
                        <w:pPr>
                          <w:pStyle w:val="TableParagraph"/>
                          <w:spacing w:before="55"/>
                          <w:ind w:right="71"/>
                          <w:rPr>
                            <w:sz w:val="24"/>
                          </w:rPr>
                        </w:pPr>
                        <w:r>
                          <w:rPr>
                            <w:sz w:val="24"/>
                          </w:rPr>
                          <w:t>0.40</w:t>
                        </w:r>
                      </w:p>
                    </w:tc>
                  </w:tr>
                  <w:tr>
                    <w:trPr>
                      <w:trHeight w:val="414" w:hRule="exact"/>
                    </w:trPr>
                    <w:tc>
                      <w:tcPr>
                        <w:tcW w:w="1120" w:type="dxa"/>
                      </w:tcPr>
                      <w:p>
                        <w:pPr/>
                      </w:p>
                    </w:tc>
                    <w:tc>
                      <w:tcPr>
                        <w:tcW w:w="1591" w:type="dxa"/>
                      </w:tcPr>
                      <w:p>
                        <w:pPr>
                          <w:pStyle w:val="TableParagraph"/>
                          <w:spacing w:before="56"/>
                          <w:ind w:left="211"/>
                          <w:jc w:val="left"/>
                          <w:rPr>
                            <w:sz w:val="24"/>
                          </w:rPr>
                        </w:pPr>
                        <w:r>
                          <w:rPr>
                            <w:sz w:val="24"/>
                          </w:rPr>
                          <w:t>III</w:t>
                        </w:r>
                      </w:p>
                    </w:tc>
                    <w:tc>
                      <w:tcPr>
                        <w:tcW w:w="2123" w:type="dxa"/>
                      </w:tcPr>
                      <w:p>
                        <w:pPr>
                          <w:pStyle w:val="TableParagraph"/>
                          <w:spacing w:before="56"/>
                          <w:ind w:right="319"/>
                          <w:rPr>
                            <w:sz w:val="24"/>
                          </w:rPr>
                        </w:pPr>
                        <w:r>
                          <w:rPr>
                            <w:sz w:val="24"/>
                          </w:rPr>
                          <w:t>16.00</w:t>
                        </w:r>
                      </w:p>
                    </w:tc>
                    <w:tc>
                      <w:tcPr>
                        <w:tcW w:w="943" w:type="dxa"/>
                      </w:tcPr>
                      <w:p>
                        <w:pPr>
                          <w:pStyle w:val="TableParagraph"/>
                          <w:spacing w:before="56"/>
                          <w:ind w:right="199"/>
                          <w:rPr>
                            <w:sz w:val="24"/>
                          </w:rPr>
                        </w:pPr>
                        <w:r>
                          <w:rPr>
                            <w:sz w:val="24"/>
                          </w:rPr>
                          <w:t>3.46</w:t>
                        </w:r>
                      </w:p>
                    </w:tc>
                    <w:tc>
                      <w:tcPr>
                        <w:tcW w:w="1004" w:type="dxa"/>
                      </w:tcPr>
                      <w:p>
                        <w:pPr>
                          <w:pStyle w:val="TableParagraph"/>
                          <w:spacing w:before="56"/>
                          <w:ind w:right="140"/>
                          <w:rPr>
                            <w:sz w:val="24"/>
                          </w:rPr>
                        </w:pPr>
                        <w:r>
                          <w:rPr>
                            <w:sz w:val="24"/>
                          </w:rPr>
                          <w:t>55.43</w:t>
                        </w:r>
                      </w:p>
                    </w:tc>
                    <w:tc>
                      <w:tcPr>
                        <w:tcW w:w="1245" w:type="dxa"/>
                      </w:tcPr>
                      <w:p>
                        <w:pPr>
                          <w:pStyle w:val="TableParagraph"/>
                          <w:spacing w:before="56"/>
                          <w:ind w:right="319"/>
                          <w:rPr>
                            <w:sz w:val="24"/>
                          </w:rPr>
                        </w:pPr>
                        <w:r>
                          <w:rPr>
                            <w:sz w:val="24"/>
                          </w:rPr>
                          <w:t>192.00</w:t>
                        </w:r>
                      </w:p>
                    </w:tc>
                    <w:tc>
                      <w:tcPr>
                        <w:tcW w:w="814" w:type="dxa"/>
                      </w:tcPr>
                      <w:p>
                        <w:pPr>
                          <w:pStyle w:val="TableParagraph"/>
                          <w:spacing w:before="56"/>
                          <w:ind w:right="71"/>
                          <w:rPr>
                            <w:sz w:val="24"/>
                          </w:rPr>
                        </w:pPr>
                        <w:r>
                          <w:rPr>
                            <w:sz w:val="24"/>
                          </w:rPr>
                          <w:t>0.07</w:t>
                        </w:r>
                      </w:p>
                    </w:tc>
                  </w:tr>
                  <w:tr>
                    <w:trPr>
                      <w:trHeight w:val="498" w:hRule="exact"/>
                    </w:trPr>
                    <w:tc>
                      <w:tcPr>
                        <w:tcW w:w="1120" w:type="dxa"/>
                        <w:tcBorders>
                          <w:bottom w:val="single" w:sz="17" w:space="0" w:color="000000"/>
                        </w:tcBorders>
                      </w:tcPr>
                      <w:p>
                        <w:pPr>
                          <w:pStyle w:val="TableParagraph"/>
                          <w:spacing w:before="55"/>
                          <w:ind w:left="69"/>
                          <w:jc w:val="left"/>
                          <w:rPr>
                            <w:sz w:val="24"/>
                          </w:rPr>
                        </w:pPr>
                        <w:r>
                          <w:rPr>
                            <w:sz w:val="24"/>
                          </w:rPr>
                          <w:t>Total</w:t>
                        </w:r>
                      </w:p>
                    </w:tc>
                    <w:tc>
                      <w:tcPr>
                        <w:tcW w:w="1591" w:type="dxa"/>
                        <w:tcBorders>
                          <w:bottom w:val="single" w:sz="17" w:space="0" w:color="000000"/>
                        </w:tcBorders>
                      </w:tcPr>
                      <w:p>
                        <w:pPr/>
                      </w:p>
                    </w:tc>
                    <w:tc>
                      <w:tcPr>
                        <w:tcW w:w="2123" w:type="dxa"/>
                        <w:tcBorders>
                          <w:bottom w:val="single" w:sz="17" w:space="0" w:color="000000"/>
                        </w:tcBorders>
                      </w:tcPr>
                      <w:p>
                        <w:pPr>
                          <w:pStyle w:val="TableParagraph"/>
                          <w:spacing w:before="55"/>
                          <w:ind w:right="319"/>
                          <w:rPr>
                            <w:sz w:val="24"/>
                          </w:rPr>
                        </w:pPr>
                        <w:r>
                          <w:rPr>
                            <w:sz w:val="24"/>
                          </w:rPr>
                          <w:t>245.00</w:t>
                        </w:r>
                      </w:p>
                    </w:tc>
                    <w:tc>
                      <w:tcPr>
                        <w:tcW w:w="943" w:type="dxa"/>
                        <w:tcBorders>
                          <w:bottom w:val="single" w:sz="17" w:space="0" w:color="000000"/>
                        </w:tcBorders>
                      </w:tcPr>
                      <w:p>
                        <w:pPr>
                          <w:pStyle w:val="TableParagraph"/>
                          <w:spacing w:before="55"/>
                          <w:ind w:right="199"/>
                          <w:rPr>
                            <w:sz w:val="24"/>
                          </w:rPr>
                        </w:pPr>
                        <w:r>
                          <w:rPr>
                            <w:sz w:val="24"/>
                          </w:rPr>
                          <w:t>9.80</w:t>
                        </w:r>
                      </w:p>
                    </w:tc>
                    <w:tc>
                      <w:tcPr>
                        <w:tcW w:w="1004" w:type="dxa"/>
                        <w:tcBorders>
                          <w:bottom w:val="single" w:sz="17" w:space="0" w:color="000000"/>
                        </w:tcBorders>
                      </w:tcPr>
                      <w:p>
                        <w:pPr>
                          <w:pStyle w:val="TableParagraph"/>
                          <w:spacing w:before="55"/>
                          <w:ind w:right="140"/>
                          <w:rPr>
                            <w:sz w:val="24"/>
                          </w:rPr>
                        </w:pPr>
                        <w:r>
                          <w:rPr>
                            <w:sz w:val="24"/>
                          </w:rPr>
                          <w:t>794.42</w:t>
                        </w:r>
                      </w:p>
                    </w:tc>
                    <w:tc>
                      <w:tcPr>
                        <w:tcW w:w="1245" w:type="dxa"/>
                        <w:tcBorders>
                          <w:bottom w:val="single" w:sz="17" w:space="0" w:color="000000"/>
                        </w:tcBorders>
                      </w:tcPr>
                      <w:p>
                        <w:pPr>
                          <w:pStyle w:val="TableParagraph"/>
                          <w:spacing w:before="55"/>
                          <w:ind w:right="319"/>
                          <w:rPr>
                            <w:sz w:val="24"/>
                          </w:rPr>
                        </w:pPr>
                        <w:r>
                          <w:rPr>
                            <w:sz w:val="24"/>
                          </w:rPr>
                          <w:t>2618.95</w:t>
                        </w:r>
                      </w:p>
                    </w:tc>
                    <w:tc>
                      <w:tcPr>
                        <w:tcW w:w="814" w:type="dxa"/>
                        <w:tcBorders>
                          <w:bottom w:val="single" w:sz="17" w:space="0" w:color="000000"/>
                        </w:tcBorders>
                      </w:tcPr>
                      <w:p>
                        <w:pPr>
                          <w:pStyle w:val="TableParagraph"/>
                          <w:spacing w:before="55"/>
                          <w:ind w:right="71"/>
                          <w:rPr>
                            <w:sz w:val="24"/>
                          </w:rPr>
                        </w:pPr>
                        <w:r>
                          <w:rPr>
                            <w:sz w:val="24"/>
                          </w:rPr>
                          <w:t>1.00</w:t>
                        </w:r>
                      </w:p>
                    </w:tc>
                  </w:tr>
                </w:tbl>
                <w:p>
                  <w:pPr>
                    <w:pStyle w:val="BodyText"/>
                  </w:pPr>
                </w:p>
              </w:txbxContent>
            </v:textbox>
            <w10:wrap type="none"/>
          </v:shape>
        </w:pict>
      </w:r>
      <w:r>
        <w:rPr>
          <w:sz w:val="20"/>
        </w:rPr>
        <w:t>Fuente: Elaboración propia con información de campo.</w:t>
      </w:r>
    </w:p>
    <w:p>
      <w:pPr>
        <w:pStyle w:val="BodyText"/>
        <w:rPr>
          <w:sz w:val="20"/>
        </w:rPr>
      </w:pPr>
    </w:p>
    <w:p>
      <w:pPr>
        <w:pStyle w:val="BodyText"/>
        <w:rPr>
          <w:sz w:val="20"/>
        </w:rPr>
      </w:pPr>
    </w:p>
    <w:p>
      <w:pPr>
        <w:pStyle w:val="BodyText"/>
        <w:spacing w:line="360" w:lineRule="auto" w:before="69"/>
        <w:ind w:left="122" w:right="8"/>
      </w:pPr>
      <w:r>
        <w:rPr/>
        <w:t>La</w:t>
      </w:r>
      <w:r>
        <w:rPr>
          <w:spacing w:val="-11"/>
        </w:rPr>
        <w:t> </w:t>
      </w:r>
      <w:r>
        <w:rPr/>
        <w:t>asignación</w:t>
      </w:r>
      <w:r>
        <w:rPr>
          <w:spacing w:val="-9"/>
        </w:rPr>
        <w:t> </w:t>
      </w:r>
      <w:r>
        <w:rPr/>
        <w:t>de</w:t>
      </w:r>
      <w:r>
        <w:rPr>
          <w:spacing w:val="-11"/>
        </w:rPr>
        <w:t> </w:t>
      </w:r>
      <w:r>
        <w:rPr/>
        <w:t>productores</w:t>
      </w:r>
      <w:r>
        <w:rPr>
          <w:spacing w:val="-9"/>
        </w:rPr>
        <w:t> </w:t>
      </w:r>
      <w:r>
        <w:rPr/>
        <w:t>por</w:t>
      </w:r>
      <w:r>
        <w:rPr>
          <w:spacing w:val="-10"/>
        </w:rPr>
        <w:t> </w:t>
      </w:r>
      <w:r>
        <w:rPr/>
        <w:t>estrato</w:t>
      </w:r>
      <w:r>
        <w:rPr>
          <w:spacing w:val="-9"/>
        </w:rPr>
        <w:t> </w:t>
      </w:r>
      <w:r>
        <w:rPr/>
        <w:t>se</w:t>
      </w:r>
      <w:r>
        <w:rPr>
          <w:spacing w:val="-10"/>
        </w:rPr>
        <w:t> </w:t>
      </w:r>
      <w:r>
        <w:rPr/>
        <w:t>realizó</w:t>
      </w:r>
      <w:r>
        <w:rPr>
          <w:spacing w:val="-10"/>
        </w:rPr>
        <w:t> </w:t>
      </w:r>
      <w:r>
        <w:rPr/>
        <w:t>mediante</w:t>
      </w:r>
      <w:r>
        <w:rPr>
          <w:spacing w:val="-10"/>
        </w:rPr>
        <w:t> </w:t>
      </w:r>
      <w:r>
        <w:rPr/>
        <w:t>la</w:t>
      </w:r>
      <w:r>
        <w:rPr>
          <w:spacing w:val="-10"/>
        </w:rPr>
        <w:t> </w:t>
      </w:r>
      <w:r>
        <w:rPr/>
        <w:t>distribución</w:t>
      </w:r>
      <w:r>
        <w:rPr>
          <w:spacing w:val="-12"/>
        </w:rPr>
        <w:t> </w:t>
      </w:r>
      <w:r>
        <w:rPr/>
        <w:t>de</w:t>
      </w:r>
      <w:r>
        <w:rPr>
          <w:spacing w:val="-11"/>
        </w:rPr>
        <w:t> </w:t>
      </w:r>
      <w:r>
        <w:rPr/>
        <w:t>Neyman,</w:t>
      </w:r>
      <w:r>
        <w:rPr>
          <w:spacing w:val="-10"/>
        </w:rPr>
        <w:t> </w:t>
      </w:r>
      <w:r>
        <w:rPr/>
        <w:t>para ello, se utilizó la siguiente</w:t>
      </w:r>
      <w:r>
        <w:rPr>
          <w:spacing w:val="-8"/>
        </w:rPr>
        <w:t> </w:t>
      </w:r>
      <w:r>
        <w:rPr/>
        <w:t>ecuación:</w:t>
      </w:r>
    </w:p>
    <w:p>
      <w:pPr>
        <w:pStyle w:val="BodyText"/>
        <w:rPr>
          <w:sz w:val="28"/>
        </w:rPr>
      </w:pPr>
    </w:p>
    <w:p>
      <w:pPr>
        <w:tabs>
          <w:tab w:pos="4166" w:val="left" w:leader="none"/>
          <w:tab w:pos="4913" w:val="left" w:leader="none"/>
        </w:tabs>
        <w:spacing w:line="378" w:lineRule="exact" w:before="69"/>
        <w:ind w:left="3461" w:right="8" w:firstLine="0"/>
        <w:jc w:val="left"/>
        <w:rPr>
          <w:rFonts w:ascii="Cambria Math" w:eastAsia="Cambria Math"/>
          <w:sz w:val="24"/>
        </w:rPr>
      </w:pPr>
      <w:r>
        <w:rPr/>
        <w:pict>
          <v:line style="position:absolute;mso-position-horizontal-relative:page;mso-position-vertical-relative:paragraph;z-index:-459064" from="279.649994pt,20.432352pt" to="322.633994pt,20.432352pt" stroked="true" strokeweight=".83997pt" strokecolor="#000000">
            <w10:wrap type="none"/>
          </v:line>
        </w:pict>
      </w:r>
      <w:r>
        <w:rPr>
          <w:rFonts w:ascii="Cambria Math" w:eastAsia="Cambria Math"/>
          <w:w w:val="87"/>
          <w:sz w:val="24"/>
        </w:rPr>
        <w:t>�</w:t>
      </w:r>
      <w:r>
        <w:rPr>
          <w:rFonts w:ascii="Cambria Math" w:eastAsia="Cambria Math"/>
          <w:sz w:val="24"/>
        </w:rPr>
        <w:t>  </w:t>
      </w:r>
      <w:r>
        <w:rPr>
          <w:rFonts w:ascii="Cambria Math" w:eastAsia="Cambria Math"/>
          <w:spacing w:val="10"/>
          <w:sz w:val="24"/>
        </w:rPr>
        <w:t> </w:t>
      </w:r>
      <w:r>
        <w:rPr>
          <w:rFonts w:ascii="Cambria Math" w:eastAsia="Cambria Math"/>
          <w:sz w:val="24"/>
        </w:rPr>
        <w:t>=</w:t>
        <w:tab/>
      </w:r>
      <w:r>
        <w:rPr>
          <w:rFonts w:ascii="Cambria Math" w:eastAsia="Cambria Math"/>
          <w:spacing w:val="-20"/>
          <w:w w:val="111"/>
          <w:position w:val="18"/>
          <w:sz w:val="24"/>
        </w:rPr>
        <w:t>�</w:t>
      </w:r>
      <w:r>
        <w:rPr>
          <w:rFonts w:ascii="Cambria Math" w:eastAsia="Cambria Math"/>
          <w:w w:val="53"/>
          <w:position w:val="13"/>
          <w:sz w:val="17"/>
        </w:rPr>
        <w:t>�</w:t>
      </w:r>
      <w:r>
        <w:rPr>
          <w:rFonts w:ascii="Cambria Math" w:eastAsia="Cambria Math"/>
          <w:spacing w:val="-21"/>
          <w:position w:val="13"/>
          <w:sz w:val="17"/>
        </w:rPr>
        <w:t> </w:t>
      </w:r>
      <w:r>
        <w:rPr>
          <w:rFonts w:ascii="Cambria Math" w:eastAsia="Cambria Math"/>
          <w:spacing w:val="-10"/>
          <w:w w:val="80"/>
          <w:position w:val="18"/>
          <w:sz w:val="24"/>
        </w:rPr>
        <w:t>�</w:t>
      </w:r>
      <w:r>
        <w:rPr>
          <w:rFonts w:ascii="Cambria Math" w:eastAsia="Cambria Math"/>
          <w:w w:val="84"/>
          <w:position w:val="13"/>
          <w:sz w:val="17"/>
        </w:rPr>
        <w:t>��</w:t>
      </w:r>
      <w:r>
        <w:rPr>
          <w:rFonts w:ascii="Cambria Math" w:eastAsia="Cambria Math"/>
          <w:position w:val="13"/>
          <w:sz w:val="17"/>
        </w:rPr>
        <w:tab/>
      </w:r>
      <w:r>
        <w:rPr>
          <w:rFonts w:ascii="Cambria Math" w:eastAsia="Cambria Math"/>
          <w:w w:val="99"/>
          <w:sz w:val="24"/>
        </w:rPr>
        <w:t>.</w:t>
      </w:r>
      <w:r>
        <w:rPr>
          <w:rFonts w:ascii="Cambria Math" w:eastAsia="Cambria Math"/>
          <w:spacing w:val="-14"/>
          <w:sz w:val="24"/>
        </w:rPr>
        <w:t> </w:t>
      </w:r>
      <w:r>
        <w:rPr>
          <w:rFonts w:ascii="Cambria Math" w:eastAsia="Cambria Math"/>
          <w:w w:val="87"/>
          <w:sz w:val="24"/>
        </w:rPr>
        <w:t>�</w:t>
      </w:r>
    </w:p>
    <w:p>
      <w:pPr>
        <w:tabs>
          <w:tab w:pos="419" w:val="left" w:leader="none"/>
        </w:tabs>
        <w:spacing w:line="108" w:lineRule="exact" w:before="0"/>
        <w:ind w:left="0" w:right="825" w:firstLine="0"/>
        <w:jc w:val="center"/>
        <w:rPr>
          <w:rFonts w:ascii="Cambria Math" w:hAnsi="Cambria Math" w:eastAsia="Cambria Math"/>
          <w:sz w:val="24"/>
        </w:rPr>
      </w:pPr>
      <w:r>
        <w:rPr>
          <w:rFonts w:ascii="Cambria Math" w:hAnsi="Cambria Math" w:eastAsia="Cambria Math"/>
          <w:position w:val="12"/>
          <w:sz w:val="17"/>
        </w:rPr>
        <w:t>1</w:t>
        <w:tab/>
      </w:r>
      <w:r>
        <w:rPr>
          <w:rFonts w:ascii="Cambria Math" w:hAnsi="Cambria Math" w:eastAsia="Cambria Math"/>
          <w:position w:val="1"/>
          <w:sz w:val="24"/>
        </w:rPr>
        <w:t>∑</w:t>
      </w:r>
      <w:r>
        <w:rPr>
          <w:rFonts w:ascii="Cambria Math" w:hAnsi="Cambria Math" w:eastAsia="Cambria Math"/>
          <w:position w:val="9"/>
          <w:sz w:val="17"/>
        </w:rPr>
        <w:t>� </w:t>
      </w:r>
      <w:r>
        <w:rPr>
          <w:rFonts w:ascii="Cambria Math" w:hAnsi="Cambria Math" w:eastAsia="Cambria Math"/>
          <w:sz w:val="24"/>
        </w:rPr>
        <w:t>�</w:t>
      </w:r>
      <w:r>
        <w:rPr>
          <w:rFonts w:ascii="Cambria Math" w:hAnsi="Cambria Math" w:eastAsia="Cambria Math"/>
          <w:spacing w:val="-39"/>
          <w:sz w:val="24"/>
        </w:rPr>
        <w:t> </w:t>
      </w:r>
      <w:r>
        <w:rPr>
          <w:rFonts w:ascii="Cambria Math" w:hAnsi="Cambria Math" w:eastAsia="Cambria Math"/>
          <w:sz w:val="24"/>
        </w:rPr>
        <w:t>�</w:t>
      </w:r>
    </w:p>
    <w:p>
      <w:pPr>
        <w:tabs>
          <w:tab w:pos="292" w:val="left" w:leader="none"/>
        </w:tabs>
        <w:spacing w:line="193" w:lineRule="exact" w:before="0"/>
        <w:ind w:left="0" w:right="53" w:firstLine="0"/>
        <w:jc w:val="center"/>
        <w:rPr>
          <w:rFonts w:ascii="Cambria Math" w:eastAsia="Cambria Math"/>
          <w:sz w:val="17"/>
        </w:rPr>
      </w:pPr>
      <w:r>
        <w:rPr>
          <w:rFonts w:ascii="Cambria Math" w:eastAsia="Cambria Math"/>
          <w:w w:val="75"/>
          <w:sz w:val="17"/>
        </w:rPr>
        <w:t>�</w:t>
        <w:tab/>
      </w:r>
      <w:r>
        <w:rPr>
          <w:rFonts w:ascii="Cambria Math" w:eastAsia="Cambria Math"/>
          <w:w w:val="75"/>
          <w:position w:val="2"/>
          <w:sz w:val="17"/>
        </w:rPr>
        <w:t>�   </w:t>
      </w:r>
      <w:r>
        <w:rPr>
          <w:rFonts w:ascii="Cambria Math" w:eastAsia="Cambria Math"/>
          <w:spacing w:val="16"/>
          <w:w w:val="75"/>
          <w:position w:val="2"/>
          <w:sz w:val="17"/>
        </w:rPr>
        <w:t> </w:t>
      </w:r>
      <w:r>
        <w:rPr>
          <w:rFonts w:ascii="Cambria Math" w:eastAsia="Cambria Math"/>
          <w:w w:val="75"/>
          <w:position w:val="2"/>
          <w:sz w:val="17"/>
        </w:rPr>
        <w:t>��</w:t>
      </w:r>
    </w:p>
    <w:p>
      <w:pPr>
        <w:spacing w:after="0" w:line="193" w:lineRule="exact"/>
        <w:jc w:val="center"/>
        <w:rPr>
          <w:rFonts w:ascii="Cambria Math" w:eastAsia="Cambria Math"/>
          <w:sz w:val="17"/>
        </w:rPr>
        <w:sectPr>
          <w:type w:val="continuous"/>
          <w:pgSz w:w="12240" w:h="15840"/>
          <w:pgMar w:top="1360" w:bottom="280" w:left="1580" w:right="1560"/>
        </w:sectPr>
      </w:pPr>
    </w:p>
    <w:p>
      <w:pPr>
        <w:pStyle w:val="BodyText"/>
        <w:spacing w:line="357" w:lineRule="auto" w:before="49"/>
        <w:ind w:left="122" w:right="99"/>
        <w:jc w:val="both"/>
      </w:pPr>
      <w:r>
        <w:rPr>
          <w:position w:val="2"/>
        </w:rPr>
        <w:t>Donde, n</w:t>
      </w:r>
      <w:r>
        <w:rPr>
          <w:sz w:val="16"/>
        </w:rPr>
        <w:t>i </w:t>
      </w:r>
      <w:r>
        <w:rPr>
          <w:position w:val="2"/>
        </w:rPr>
        <w:t>productores por estrato; N</w:t>
      </w:r>
      <w:r>
        <w:rPr>
          <w:sz w:val="16"/>
        </w:rPr>
        <w:t>i</w:t>
      </w:r>
      <w:r>
        <w:rPr>
          <w:position w:val="2"/>
        </w:rPr>
        <w:t>, número de productores del estrato (i); n, tamaño de la muestra por estrato; S</w:t>
      </w:r>
      <w:r>
        <w:rPr>
          <w:sz w:val="16"/>
        </w:rPr>
        <w:t>Ni</w:t>
      </w:r>
      <w:r>
        <w:rPr>
          <w:position w:val="2"/>
        </w:rPr>
        <w:t>, varianza del estrato (i). La muestra estratificada quedo conformada </w:t>
      </w:r>
      <w:r>
        <w:rPr/>
        <w:t>de la siguiente manera (Tabla 2).</w:t>
      </w:r>
    </w:p>
    <w:p>
      <w:pPr>
        <w:pStyle w:val="BodyText"/>
        <w:tabs>
          <w:tab w:pos="3612" w:val="left" w:leader="none"/>
          <w:tab w:pos="4017" w:val="left" w:leader="none"/>
          <w:tab w:pos="4804" w:val="left" w:leader="none"/>
          <w:tab w:pos="5254" w:val="left" w:leader="none"/>
          <w:tab w:pos="6084" w:val="left" w:leader="none"/>
          <w:tab w:pos="6754" w:val="right" w:leader="none"/>
        </w:tabs>
        <w:spacing w:line="398" w:lineRule="auto" w:before="421"/>
        <w:ind w:left="191" w:right="1819"/>
      </w:pPr>
      <w:r>
        <w:rPr/>
        <w:pict>
          <v:group style="position:absolute;margin-left:84.003998pt;margin-top:42.073147pt;width:364.8pt;height:2.2pt;mso-position-horizontal-relative:page;mso-position-vertical-relative:paragraph;z-index:-458896" coordorigin="1680,841" coordsize="7296,44">
            <v:line style="position:absolute" from="1702,863" to="5122,863" stroked="true" strokeweight="2.16pt" strokecolor="#000000"/>
            <v:line style="position:absolute" from="5123,863" to="5166,863" stroked="true" strokeweight="2.16pt" strokecolor="#000000"/>
            <v:line style="position:absolute" from="5166,863" to="6315,863" stroked="true" strokeweight="2.16pt" strokecolor="#000000"/>
            <v:line style="position:absolute" from="6315,863" to="6359,863" stroked="true" strokeweight="2.16pt" strokecolor="#000000"/>
            <v:line style="position:absolute" from="6359,863" to="7595,863" stroked="true" strokeweight="2.16pt" strokecolor="#000000"/>
            <v:line style="position:absolute" from="7595,863" to="7638,863" stroked="true" strokeweight="2.16pt" strokecolor="#000000"/>
            <v:line style="position:absolute" from="7638,863" to="8954,863" stroked="true" strokeweight="2.16pt" strokecolor="#000000"/>
            <w10:wrap type="none"/>
          </v:group>
        </w:pict>
      </w:r>
      <w:r>
        <w:rPr/>
        <w:pict>
          <v:group style="position:absolute;margin-left:255.029999pt;margin-top:64.993149pt;width:193.8pt;height:2.2pt;mso-position-horizontal-relative:page;mso-position-vertical-relative:paragraph;z-index:-458872" coordorigin="5101,1300" coordsize="3876,44">
            <v:line style="position:absolute" from="5123,1322" to="6315,1322" stroked="true" strokeweight="2.16pt" strokecolor="#000000"/>
            <v:line style="position:absolute" from="6315,1322" to="6359,1322" stroked="true" strokeweight="2.16pt" strokecolor="#000000"/>
            <v:line style="position:absolute" from="6359,1322" to="7595,1322" stroked="true" strokeweight="2.16pt" strokecolor="#000000"/>
            <v:line style="position:absolute" from="7595,1322" to="7638,1322" stroked="true" strokeweight="2.16pt" strokecolor="#000000"/>
            <v:line style="position:absolute" from="7638,1322" to="8954,1322" stroked="true" strokeweight="2.16pt" strokecolor="#000000"/>
            <w10:wrap type="none"/>
          </v:group>
        </w:pict>
      </w:r>
      <w:r>
        <w:rPr/>
        <w:pict>
          <v:group style="position:absolute;margin-left:84.003998pt;margin-top:87.913147pt;width:364.8pt;height:2.2pt;mso-position-horizontal-relative:page;mso-position-vertical-relative:paragraph;z-index:-458848" coordorigin="1680,1758" coordsize="7296,44">
            <v:line style="position:absolute" from="1702,1780" to="5122,1780" stroked="true" strokeweight="2.16pt" strokecolor="#000000"/>
            <v:line style="position:absolute" from="5123,1780" to="5166,1780" stroked="true" strokeweight="2.16pt" strokecolor="#000000"/>
            <v:line style="position:absolute" from="5166,1780" to="6315,1780" stroked="true" strokeweight="2.16pt" strokecolor="#000000"/>
            <v:line style="position:absolute" from="6315,1780" to="6359,1780" stroked="true" strokeweight="2.16pt" strokecolor="#000000"/>
            <v:line style="position:absolute" from="6359,1780" to="7595,1780" stroked="true" strokeweight="2.16pt" strokecolor="#000000"/>
            <v:line style="position:absolute" from="7595,1780" to="7638,1780" stroked="true" strokeweight="2.16pt" strokecolor="#000000"/>
            <v:line style="position:absolute" from="7638,1780" to="8954,1780" stroked="true" strokeweight="2.16pt" strokecolor="#000000"/>
            <w10:wrap type="none"/>
          </v:group>
        </w:pict>
      </w:r>
      <w:r>
        <w:rPr>
          <w:b/>
        </w:rPr>
        <w:t>Tabla 2. </w:t>
      </w:r>
      <w:r>
        <w:rPr/>
        <w:t>Muestra estratificada de productores lecheros de pequeña</w:t>
      </w:r>
      <w:r>
        <w:rPr>
          <w:spacing w:val="-13"/>
        </w:rPr>
        <w:t> </w:t>
      </w:r>
      <w:r>
        <w:rPr/>
        <w:t>escala Estratos</w:t>
      </w:r>
      <w:r>
        <w:rPr>
          <w:spacing w:val="-2"/>
        </w:rPr>
        <w:t> </w:t>
      </w:r>
      <w:r>
        <w:rPr/>
        <w:t>productivos</w:t>
        <w:tab/>
        <w:t>Estrato</w:t>
      </w:r>
      <w:r>
        <w:rPr>
          <w:spacing w:val="1"/>
        </w:rPr>
        <w:t> </w:t>
      </w:r>
      <w:r>
        <w:rPr/>
        <w:t>I</w:t>
        <w:tab/>
        <w:t>Estrato</w:t>
      </w:r>
      <w:r>
        <w:rPr>
          <w:spacing w:val="1"/>
        </w:rPr>
        <w:t> </w:t>
      </w:r>
      <w:r>
        <w:rPr/>
        <w:t>II</w:t>
        <w:tab/>
        <w:t>Estrato</w:t>
      </w:r>
      <w:r>
        <w:rPr>
          <w:spacing w:val="-2"/>
        </w:rPr>
        <w:t> </w:t>
      </w:r>
      <w:r>
        <w:rPr/>
        <w:t>III </w:t>
      </w:r>
      <w:r>
        <w:rPr>
          <w:position w:val="2"/>
        </w:rPr>
        <w:t>Muestra por</w:t>
      </w:r>
      <w:r>
        <w:rPr>
          <w:spacing w:val="-2"/>
          <w:position w:val="2"/>
        </w:rPr>
        <w:t> </w:t>
      </w:r>
      <w:r>
        <w:rPr>
          <w:position w:val="2"/>
        </w:rPr>
        <w:t>estratos</w:t>
      </w:r>
      <w:r>
        <w:rPr>
          <w:spacing w:val="-2"/>
          <w:position w:val="2"/>
        </w:rPr>
        <w:t> </w:t>
      </w:r>
      <w:r>
        <w:rPr>
          <w:position w:val="2"/>
        </w:rPr>
        <w:t>(n</w:t>
      </w:r>
      <w:r>
        <w:rPr>
          <w:sz w:val="16"/>
        </w:rPr>
        <w:t>i</w:t>
      </w:r>
      <w:r>
        <w:rPr>
          <w:position w:val="2"/>
        </w:rPr>
        <w:t>)</w:t>
        <w:tab/>
        <w:tab/>
        <w:t>22</w:t>
        <w:tab/>
        <w:tab/>
        <w:t>12</w:t>
        <w:tab/>
        <w:tab/>
        <w:t>3</w:t>
      </w:r>
    </w:p>
    <w:p>
      <w:pPr>
        <w:spacing w:before="2"/>
        <w:ind w:left="191" w:right="0" w:firstLine="0"/>
        <w:jc w:val="left"/>
        <w:rPr>
          <w:sz w:val="20"/>
        </w:rPr>
      </w:pPr>
      <w:r>
        <w:rPr>
          <w:sz w:val="20"/>
        </w:rPr>
        <w:t>Fuente: Elaboración propia con información de la tabla 1.</w:t>
      </w:r>
    </w:p>
    <w:p>
      <w:pPr>
        <w:pStyle w:val="BodyText"/>
      </w:pPr>
    </w:p>
    <w:p>
      <w:pPr>
        <w:pStyle w:val="BodyText"/>
        <w:spacing w:before="5"/>
        <w:rPr>
          <w:sz w:val="22"/>
        </w:rPr>
      </w:pPr>
    </w:p>
    <w:p>
      <w:pPr>
        <w:pStyle w:val="Heading1"/>
        <w:spacing w:before="1"/>
        <w:ind w:left="122"/>
      </w:pPr>
      <w:r>
        <w:rPr/>
        <w:t>Análisis económico de la información</w:t>
      </w:r>
    </w:p>
    <w:p>
      <w:pPr>
        <w:pStyle w:val="BodyText"/>
        <w:rPr>
          <w:b/>
        </w:rPr>
      </w:pPr>
    </w:p>
    <w:p>
      <w:pPr>
        <w:pStyle w:val="BodyText"/>
        <w:spacing w:before="6"/>
        <w:rPr>
          <w:b/>
          <w:sz w:val="23"/>
        </w:rPr>
      </w:pPr>
    </w:p>
    <w:p>
      <w:pPr>
        <w:pStyle w:val="BodyText"/>
        <w:spacing w:line="360" w:lineRule="auto"/>
        <w:ind w:left="122" w:right="99"/>
        <w:jc w:val="both"/>
      </w:pPr>
      <w:r>
        <w:rPr/>
        <w:t>Para estimar la rentabilidad y competitividad privada en las UPLPE, se usó la metodología de la Matriz de Análisis de Política (Monke y Pearson, 1989). La base teórica de la MAP es un modelo de equilibrio del comercio internacional que permite identificar y medir los efectos de la política económica en la rentabilidad y competitividad de los sistemas de producción, el impacto de las inversiones en la eficiencia económica y en las ventajas comparativas en un mercado competitivo de productos e insumos (Morrison and Balcome, 2002; Barrera-Rodríguez </w:t>
      </w:r>
      <w:r>
        <w:rPr>
          <w:i/>
        </w:rPr>
        <w:t>et al., </w:t>
      </w:r>
      <w:r>
        <w:rPr/>
        <w:t>2011;).</w:t>
      </w:r>
    </w:p>
    <w:p>
      <w:pPr>
        <w:pStyle w:val="BodyText"/>
      </w:pPr>
    </w:p>
    <w:p>
      <w:pPr>
        <w:pStyle w:val="BodyText"/>
        <w:spacing w:before="7"/>
        <w:rPr>
          <w:sz w:val="35"/>
        </w:rPr>
      </w:pPr>
    </w:p>
    <w:p>
      <w:pPr>
        <w:pStyle w:val="Heading1"/>
        <w:spacing w:before="0"/>
        <w:ind w:left="122"/>
      </w:pPr>
      <w:r>
        <w:rPr/>
        <w:t>Cálculo de indicadores de rentabilidad y competitividad</w:t>
      </w:r>
    </w:p>
    <w:p>
      <w:pPr>
        <w:pStyle w:val="BodyText"/>
        <w:rPr>
          <w:b/>
        </w:rPr>
      </w:pPr>
    </w:p>
    <w:p>
      <w:pPr>
        <w:pStyle w:val="BodyText"/>
        <w:spacing w:before="6"/>
        <w:rPr>
          <w:b/>
          <w:sz w:val="23"/>
        </w:rPr>
      </w:pPr>
    </w:p>
    <w:p>
      <w:pPr>
        <w:pStyle w:val="BodyText"/>
        <w:spacing w:line="360" w:lineRule="auto"/>
        <w:ind w:left="122" w:right="100"/>
        <w:jc w:val="both"/>
      </w:pPr>
      <w:r>
        <w:rPr/>
        <w:t>El uso de la MAP como instrumento para medir la rentabilidad y competitividad privada</w:t>
      </w:r>
      <w:r>
        <w:rPr>
          <w:spacing w:val="-40"/>
        </w:rPr>
        <w:t> </w:t>
      </w:r>
      <w:r>
        <w:rPr/>
        <w:t>fue resultado de la construcción del presupuesto privado, integrado por las matrices de</w:t>
      </w:r>
      <w:r>
        <w:rPr>
          <w:spacing w:val="-22"/>
        </w:rPr>
        <w:t> </w:t>
      </w:r>
      <w:r>
        <w:rPr/>
        <w:t>ingresos, costos</w:t>
      </w:r>
      <w:r>
        <w:rPr>
          <w:spacing w:val="-10"/>
        </w:rPr>
        <w:t> </w:t>
      </w:r>
      <w:r>
        <w:rPr/>
        <w:t>y</w:t>
      </w:r>
      <w:r>
        <w:rPr>
          <w:spacing w:val="-16"/>
        </w:rPr>
        <w:t> </w:t>
      </w:r>
      <w:r>
        <w:rPr/>
        <w:t>ganancias.</w:t>
      </w:r>
      <w:r>
        <w:rPr>
          <w:spacing w:val="-13"/>
        </w:rPr>
        <w:t> </w:t>
      </w:r>
      <w:r>
        <w:rPr/>
        <w:t>El</w:t>
      </w:r>
      <w:r>
        <w:rPr>
          <w:spacing w:val="-13"/>
        </w:rPr>
        <w:t> </w:t>
      </w:r>
      <w:r>
        <w:rPr/>
        <w:t>presupuesto</w:t>
      </w:r>
      <w:r>
        <w:rPr>
          <w:spacing w:val="-13"/>
        </w:rPr>
        <w:t> </w:t>
      </w:r>
      <w:r>
        <w:rPr/>
        <w:t>privado</w:t>
      </w:r>
      <w:r>
        <w:rPr>
          <w:spacing w:val="-13"/>
        </w:rPr>
        <w:t> </w:t>
      </w:r>
      <w:r>
        <w:rPr/>
        <w:t>se</w:t>
      </w:r>
      <w:r>
        <w:rPr>
          <w:spacing w:val="-14"/>
        </w:rPr>
        <w:t> </w:t>
      </w:r>
      <w:r>
        <w:rPr/>
        <w:t>calculó</w:t>
      </w:r>
      <w:r>
        <w:rPr>
          <w:spacing w:val="-13"/>
        </w:rPr>
        <w:t> </w:t>
      </w:r>
      <w:r>
        <w:rPr/>
        <w:t>a</w:t>
      </w:r>
      <w:r>
        <w:rPr>
          <w:spacing w:val="-14"/>
        </w:rPr>
        <w:t> </w:t>
      </w:r>
      <w:r>
        <w:rPr/>
        <w:t>precios</w:t>
      </w:r>
      <w:r>
        <w:rPr>
          <w:spacing w:val="-13"/>
        </w:rPr>
        <w:t> </w:t>
      </w:r>
      <w:r>
        <w:rPr/>
        <w:t>de</w:t>
      </w:r>
      <w:r>
        <w:rPr>
          <w:spacing w:val="-14"/>
        </w:rPr>
        <w:t> </w:t>
      </w:r>
      <w:r>
        <w:rPr/>
        <w:t>mercado</w:t>
      </w:r>
      <w:r>
        <w:rPr>
          <w:spacing w:val="-13"/>
        </w:rPr>
        <w:t> </w:t>
      </w:r>
      <w:r>
        <w:rPr/>
        <w:t>e</w:t>
      </w:r>
      <w:r>
        <w:rPr>
          <w:spacing w:val="-12"/>
        </w:rPr>
        <w:t> </w:t>
      </w:r>
      <w:r>
        <w:rPr/>
        <w:t>integró</w:t>
      </w:r>
      <w:r>
        <w:rPr>
          <w:spacing w:val="-14"/>
        </w:rPr>
        <w:t> </w:t>
      </w:r>
      <w:r>
        <w:rPr/>
        <w:t>matrices de coeficientes técnicos, en las que se identificaron las actividades, insumos y productos utilizados y generados por estrato productivo, los cuales se clasificaron como bienes comerciables, indirectamente comerciables y factores internos de la producción. La estimación de los coeficientes técnicos concentró las actividades manuales y mecanizadas realizadas en el proceso productivo de la leche en cada estrato</w:t>
      </w:r>
      <w:r>
        <w:rPr>
          <w:spacing w:val="-12"/>
        </w:rPr>
        <w:t> </w:t>
      </w:r>
      <w:r>
        <w:rPr/>
        <w:t>analizado.</w:t>
      </w:r>
    </w:p>
    <w:p>
      <w:pPr>
        <w:spacing w:after="0" w:line="360" w:lineRule="auto"/>
        <w:jc w:val="both"/>
        <w:sectPr>
          <w:pgSz w:w="12240" w:h="15840"/>
          <w:pgMar w:header="0" w:footer="657" w:top="1360" w:bottom="840" w:left="1580" w:right="1600"/>
        </w:sectPr>
      </w:pPr>
    </w:p>
    <w:p>
      <w:pPr>
        <w:pStyle w:val="BodyText"/>
        <w:spacing w:line="360" w:lineRule="auto" w:before="50"/>
        <w:ind w:left="102" w:right="119"/>
        <w:jc w:val="both"/>
      </w:pPr>
      <w:r>
        <w:rPr/>
        <w:t>El presupuesto privado es resultado de multiplicar los coeficientes técnicos por el precio de los</w:t>
      </w:r>
      <w:r>
        <w:rPr>
          <w:spacing w:val="-4"/>
        </w:rPr>
        <w:t> </w:t>
      </w:r>
      <w:r>
        <w:rPr/>
        <w:t>insumos,</w:t>
      </w:r>
      <w:r>
        <w:rPr>
          <w:spacing w:val="-7"/>
        </w:rPr>
        <w:t> </w:t>
      </w:r>
      <w:r>
        <w:rPr/>
        <w:t>costo</w:t>
      </w:r>
      <w:r>
        <w:rPr>
          <w:spacing w:val="-4"/>
        </w:rPr>
        <w:t> </w:t>
      </w:r>
      <w:r>
        <w:rPr/>
        <w:t>de</w:t>
      </w:r>
      <w:r>
        <w:rPr>
          <w:spacing w:val="-6"/>
        </w:rPr>
        <w:t> </w:t>
      </w:r>
      <w:r>
        <w:rPr/>
        <w:t>los</w:t>
      </w:r>
      <w:r>
        <w:rPr>
          <w:spacing w:val="-7"/>
        </w:rPr>
        <w:t> </w:t>
      </w:r>
      <w:r>
        <w:rPr/>
        <w:t>jornales,</w:t>
      </w:r>
      <w:r>
        <w:rPr>
          <w:spacing w:val="-5"/>
        </w:rPr>
        <w:t> </w:t>
      </w:r>
      <w:r>
        <w:rPr/>
        <w:t>la</w:t>
      </w:r>
      <w:r>
        <w:rPr>
          <w:spacing w:val="-5"/>
        </w:rPr>
        <w:t> </w:t>
      </w:r>
      <w:r>
        <w:rPr/>
        <w:t>determinación</w:t>
      </w:r>
      <w:r>
        <w:rPr>
          <w:spacing w:val="-5"/>
        </w:rPr>
        <w:t> </w:t>
      </w:r>
      <w:r>
        <w:rPr/>
        <w:t>contable</w:t>
      </w:r>
      <w:r>
        <w:rPr>
          <w:spacing w:val="-6"/>
        </w:rPr>
        <w:t> </w:t>
      </w:r>
      <w:r>
        <w:rPr/>
        <w:t>de</w:t>
      </w:r>
      <w:r>
        <w:rPr>
          <w:spacing w:val="-6"/>
        </w:rPr>
        <w:t> </w:t>
      </w:r>
      <w:r>
        <w:rPr/>
        <w:t>amortizaciones</w:t>
      </w:r>
      <w:r>
        <w:rPr>
          <w:spacing w:val="-5"/>
        </w:rPr>
        <w:t> </w:t>
      </w:r>
      <w:r>
        <w:rPr/>
        <w:t>(para</w:t>
      </w:r>
      <w:r>
        <w:rPr>
          <w:spacing w:val="-7"/>
        </w:rPr>
        <w:t> </w:t>
      </w:r>
      <w:r>
        <w:rPr/>
        <w:t>el</w:t>
      </w:r>
      <w:r>
        <w:rPr>
          <w:spacing w:val="-4"/>
        </w:rPr>
        <w:t> </w:t>
      </w:r>
      <w:r>
        <w:rPr/>
        <w:t>caso de</w:t>
      </w:r>
      <w:r>
        <w:rPr>
          <w:spacing w:val="-11"/>
        </w:rPr>
        <w:t> </w:t>
      </w:r>
      <w:r>
        <w:rPr/>
        <w:t>los</w:t>
      </w:r>
      <w:r>
        <w:rPr>
          <w:spacing w:val="-9"/>
        </w:rPr>
        <w:t> </w:t>
      </w:r>
      <w:r>
        <w:rPr/>
        <w:t>productores</w:t>
      </w:r>
      <w:r>
        <w:rPr>
          <w:spacing w:val="-9"/>
        </w:rPr>
        <w:t> </w:t>
      </w:r>
      <w:r>
        <w:rPr/>
        <w:t>que</w:t>
      </w:r>
      <w:r>
        <w:rPr>
          <w:spacing w:val="-11"/>
        </w:rPr>
        <w:t> </w:t>
      </w:r>
      <w:r>
        <w:rPr/>
        <w:t>presentaron</w:t>
      </w:r>
      <w:r>
        <w:rPr>
          <w:spacing w:val="-10"/>
        </w:rPr>
        <w:t> </w:t>
      </w:r>
      <w:r>
        <w:rPr/>
        <w:t>tenencia</w:t>
      </w:r>
      <w:r>
        <w:rPr>
          <w:spacing w:val="-10"/>
        </w:rPr>
        <w:t> </w:t>
      </w:r>
      <w:r>
        <w:rPr/>
        <w:t>de</w:t>
      </w:r>
      <w:r>
        <w:rPr>
          <w:spacing w:val="-11"/>
        </w:rPr>
        <w:t> </w:t>
      </w:r>
      <w:r>
        <w:rPr/>
        <w:t>la</w:t>
      </w:r>
      <w:r>
        <w:rPr>
          <w:spacing w:val="-10"/>
        </w:rPr>
        <w:t> </w:t>
      </w:r>
      <w:r>
        <w:rPr/>
        <w:t>tierra),</w:t>
      </w:r>
      <w:r>
        <w:rPr>
          <w:spacing w:val="-8"/>
        </w:rPr>
        <w:t> </w:t>
      </w:r>
      <w:r>
        <w:rPr/>
        <w:t>arrendamiento</w:t>
      </w:r>
      <w:r>
        <w:rPr>
          <w:spacing w:val="-9"/>
        </w:rPr>
        <w:t> </w:t>
      </w:r>
      <w:r>
        <w:rPr/>
        <w:t>(incluye</w:t>
      </w:r>
      <w:r>
        <w:rPr>
          <w:spacing w:val="-11"/>
        </w:rPr>
        <w:t> </w:t>
      </w:r>
      <w:r>
        <w:rPr/>
        <w:t>los</w:t>
      </w:r>
      <w:r>
        <w:rPr>
          <w:spacing w:val="-9"/>
        </w:rPr>
        <w:t> </w:t>
      </w:r>
      <w:r>
        <w:rPr/>
        <w:t>ingresos por concepto de renta de tierra, sementales, así como maquinaria para el proceso de siembre o cosecha de los insumos) y depreciaciones (animales, ordeñadora y equipo necesario para la producción) en el proceso productivo de la</w:t>
      </w:r>
      <w:r>
        <w:rPr>
          <w:spacing w:val="-7"/>
        </w:rPr>
        <w:t> </w:t>
      </w:r>
      <w:r>
        <w:rPr/>
        <w:t>leche.</w:t>
      </w:r>
    </w:p>
    <w:p>
      <w:pPr>
        <w:pStyle w:val="BodyText"/>
      </w:pPr>
    </w:p>
    <w:p>
      <w:pPr>
        <w:pStyle w:val="BodyText"/>
      </w:pPr>
    </w:p>
    <w:p>
      <w:pPr>
        <w:pStyle w:val="BodyText"/>
        <w:spacing w:before="1"/>
        <w:rPr>
          <w:sz w:val="23"/>
        </w:rPr>
      </w:pPr>
    </w:p>
    <w:p>
      <w:pPr>
        <w:pStyle w:val="BodyText"/>
        <w:spacing w:line="360" w:lineRule="auto"/>
        <w:ind w:left="102" w:right="117"/>
        <w:jc w:val="both"/>
      </w:pPr>
      <w:r>
        <w:rPr/>
        <w:t>El precio económico de la mano de obra familiar para la producción de leche, se determinó en</w:t>
      </w:r>
      <w:r>
        <w:rPr>
          <w:spacing w:val="-5"/>
        </w:rPr>
        <w:t> </w:t>
      </w:r>
      <w:r>
        <w:rPr/>
        <w:t>función</w:t>
      </w:r>
      <w:r>
        <w:rPr>
          <w:spacing w:val="-4"/>
        </w:rPr>
        <w:t> </w:t>
      </w:r>
      <w:r>
        <w:rPr/>
        <w:t>al</w:t>
      </w:r>
      <w:r>
        <w:rPr>
          <w:spacing w:val="-4"/>
        </w:rPr>
        <w:t> </w:t>
      </w:r>
      <w:r>
        <w:rPr/>
        <w:t>costo</w:t>
      </w:r>
      <w:r>
        <w:rPr>
          <w:spacing w:val="-4"/>
        </w:rPr>
        <w:t> </w:t>
      </w:r>
      <w:r>
        <w:rPr/>
        <w:t>de</w:t>
      </w:r>
      <w:r>
        <w:rPr>
          <w:spacing w:val="-6"/>
        </w:rPr>
        <w:t> </w:t>
      </w:r>
      <w:r>
        <w:rPr/>
        <w:t>oportunidad</w:t>
      </w:r>
      <w:r>
        <w:rPr>
          <w:spacing w:val="-5"/>
        </w:rPr>
        <w:t> </w:t>
      </w:r>
      <w:r>
        <w:rPr/>
        <w:t>que</w:t>
      </w:r>
      <w:r>
        <w:rPr>
          <w:spacing w:val="-6"/>
        </w:rPr>
        <w:t> </w:t>
      </w:r>
      <w:r>
        <w:rPr/>
        <w:t>este</w:t>
      </w:r>
      <w:r>
        <w:rPr>
          <w:spacing w:val="-5"/>
        </w:rPr>
        <w:t> </w:t>
      </w:r>
      <w:r>
        <w:rPr/>
        <w:t>rubro</w:t>
      </w:r>
      <w:r>
        <w:rPr>
          <w:spacing w:val="-5"/>
        </w:rPr>
        <w:t> </w:t>
      </w:r>
      <w:r>
        <w:rPr/>
        <w:t>representó</w:t>
      </w:r>
      <w:r>
        <w:rPr>
          <w:spacing w:val="-4"/>
        </w:rPr>
        <w:t> </w:t>
      </w:r>
      <w:r>
        <w:rPr/>
        <w:t>por</w:t>
      </w:r>
      <w:r>
        <w:rPr>
          <w:spacing w:val="-6"/>
        </w:rPr>
        <w:t> </w:t>
      </w:r>
      <w:r>
        <w:rPr/>
        <w:t>estrato</w:t>
      </w:r>
      <w:r>
        <w:rPr>
          <w:spacing w:val="-4"/>
        </w:rPr>
        <w:t> </w:t>
      </w:r>
      <w:r>
        <w:rPr/>
        <w:t>productivo.</w:t>
      </w:r>
      <w:r>
        <w:rPr>
          <w:spacing w:val="-5"/>
        </w:rPr>
        <w:t> </w:t>
      </w:r>
      <w:r>
        <w:rPr/>
        <w:t>El</w:t>
      </w:r>
      <w:r>
        <w:rPr>
          <w:spacing w:val="-5"/>
        </w:rPr>
        <w:t> </w:t>
      </w:r>
      <w:r>
        <w:rPr/>
        <w:t>costo económico</w:t>
      </w:r>
      <w:r>
        <w:rPr>
          <w:spacing w:val="-6"/>
        </w:rPr>
        <w:t> </w:t>
      </w:r>
      <w:r>
        <w:rPr/>
        <w:t>del</w:t>
      </w:r>
      <w:r>
        <w:rPr>
          <w:spacing w:val="-6"/>
        </w:rPr>
        <w:t> </w:t>
      </w:r>
      <w:r>
        <w:rPr/>
        <w:t>agua</w:t>
      </w:r>
      <w:r>
        <w:rPr>
          <w:spacing w:val="-7"/>
        </w:rPr>
        <w:t> </w:t>
      </w:r>
      <w:r>
        <w:rPr/>
        <w:t>consideró</w:t>
      </w:r>
      <w:r>
        <w:rPr>
          <w:spacing w:val="-6"/>
        </w:rPr>
        <w:t> </w:t>
      </w:r>
      <w:r>
        <w:rPr/>
        <w:t>la</w:t>
      </w:r>
      <w:r>
        <w:rPr>
          <w:spacing w:val="-5"/>
        </w:rPr>
        <w:t> </w:t>
      </w:r>
      <w:r>
        <w:rPr/>
        <w:t>cuota</w:t>
      </w:r>
      <w:r>
        <w:rPr>
          <w:spacing w:val="-5"/>
        </w:rPr>
        <w:t> </w:t>
      </w:r>
      <w:r>
        <w:rPr/>
        <w:t>anual</w:t>
      </w:r>
      <w:r>
        <w:rPr>
          <w:spacing w:val="-4"/>
        </w:rPr>
        <w:t> </w:t>
      </w:r>
      <w:r>
        <w:rPr/>
        <w:t>cobrada</w:t>
      </w:r>
      <w:r>
        <w:rPr>
          <w:spacing w:val="-7"/>
        </w:rPr>
        <w:t> </w:t>
      </w:r>
      <w:r>
        <w:rPr/>
        <w:t>por</w:t>
      </w:r>
      <w:r>
        <w:rPr>
          <w:spacing w:val="-7"/>
        </w:rPr>
        <w:t> </w:t>
      </w:r>
      <w:r>
        <w:rPr/>
        <w:t>el</w:t>
      </w:r>
      <w:r>
        <w:rPr>
          <w:spacing w:val="-4"/>
        </w:rPr>
        <w:t> </w:t>
      </w:r>
      <w:r>
        <w:rPr/>
        <w:t>municipio</w:t>
      </w:r>
      <w:r>
        <w:rPr>
          <w:spacing w:val="-6"/>
        </w:rPr>
        <w:t> </w:t>
      </w:r>
      <w:r>
        <w:rPr/>
        <w:t>para</w:t>
      </w:r>
      <w:r>
        <w:rPr>
          <w:spacing w:val="-5"/>
        </w:rPr>
        <w:t> </w:t>
      </w:r>
      <w:r>
        <w:rPr/>
        <w:t>el</w:t>
      </w:r>
      <w:r>
        <w:rPr>
          <w:spacing w:val="-6"/>
        </w:rPr>
        <w:t> </w:t>
      </w:r>
      <w:r>
        <w:rPr/>
        <w:t>periodo</w:t>
      </w:r>
      <w:r>
        <w:rPr>
          <w:spacing w:val="-6"/>
        </w:rPr>
        <w:t> </w:t>
      </w:r>
      <w:r>
        <w:rPr/>
        <w:t>2010- 2011.</w:t>
      </w:r>
    </w:p>
    <w:p>
      <w:pPr>
        <w:pStyle w:val="BodyText"/>
      </w:pPr>
    </w:p>
    <w:p>
      <w:pPr>
        <w:pStyle w:val="BodyText"/>
      </w:pPr>
    </w:p>
    <w:p>
      <w:pPr>
        <w:pStyle w:val="BodyText"/>
        <w:spacing w:before="3"/>
        <w:rPr>
          <w:sz w:val="23"/>
        </w:rPr>
      </w:pPr>
    </w:p>
    <w:p>
      <w:pPr>
        <w:pStyle w:val="BodyText"/>
        <w:spacing w:line="360" w:lineRule="auto"/>
        <w:ind w:left="102" w:right="120"/>
        <w:jc w:val="both"/>
      </w:pPr>
      <w:r>
        <w:rPr/>
        <w:t>Un beneficio positivo en la rentabilidad privada indica que los productores emplean sus recursos eficientemente y tiene una ventaja comparativa, pero un valor negativo indica un costo mayor de la producción interna frente a las importaciones, por lo que este sistema de producción no subsistirá sin transferencias del gobierno (Barrera-Rodríguez </w:t>
      </w:r>
      <w:r>
        <w:rPr>
          <w:i/>
        </w:rPr>
        <w:t>et al., </w:t>
      </w:r>
      <w:r>
        <w:rPr/>
        <w:t>2011).</w:t>
      </w:r>
    </w:p>
    <w:p>
      <w:pPr>
        <w:pStyle w:val="BodyText"/>
      </w:pPr>
    </w:p>
    <w:p>
      <w:pPr>
        <w:pStyle w:val="BodyText"/>
        <w:spacing w:before="2"/>
        <w:rPr>
          <w:sz w:val="30"/>
        </w:rPr>
      </w:pPr>
    </w:p>
    <w:p>
      <w:pPr>
        <w:pStyle w:val="Heading1"/>
        <w:spacing w:before="0"/>
      </w:pPr>
      <w:r>
        <w:rPr/>
        <w:t>RESULTADOS Y DISCUSIÓN</w:t>
      </w:r>
    </w:p>
    <w:p>
      <w:pPr>
        <w:pStyle w:val="BodyText"/>
        <w:rPr>
          <w:b/>
        </w:rPr>
      </w:pPr>
    </w:p>
    <w:p>
      <w:pPr>
        <w:pStyle w:val="BodyText"/>
        <w:rPr>
          <w:b/>
        </w:rPr>
      </w:pPr>
    </w:p>
    <w:p>
      <w:pPr>
        <w:spacing w:before="0"/>
        <w:ind w:left="102" w:right="0" w:firstLine="0"/>
        <w:jc w:val="both"/>
        <w:rPr>
          <w:b/>
          <w:sz w:val="24"/>
        </w:rPr>
      </w:pPr>
      <w:r>
        <w:rPr>
          <w:b/>
          <w:sz w:val="24"/>
        </w:rPr>
        <w:t>Rentabilidad privada y ventaja competitiva</w:t>
      </w:r>
    </w:p>
    <w:p>
      <w:pPr>
        <w:pStyle w:val="BodyText"/>
        <w:rPr>
          <w:b/>
        </w:rPr>
      </w:pPr>
    </w:p>
    <w:p>
      <w:pPr>
        <w:pStyle w:val="BodyText"/>
        <w:spacing w:before="6"/>
        <w:rPr>
          <w:b/>
          <w:sz w:val="23"/>
        </w:rPr>
      </w:pPr>
    </w:p>
    <w:p>
      <w:pPr>
        <w:pStyle w:val="BodyText"/>
        <w:spacing w:line="357" w:lineRule="auto"/>
        <w:ind w:left="102" w:right="118"/>
        <w:jc w:val="both"/>
      </w:pPr>
      <w:r>
        <w:rPr/>
        <w:t>La integración del presupuesto privado permitió calcular el costo total, el ingreso neto y las ganancias de las UPLPE por estrato productivo. El análisis de los resultados indica que los tres estratos analizados son rentables, al presentar un coeficiente de rentabilidad privada (CRP) por cada peso invertido de 7.64, 30.96 y 45.86% (Tabla 3). No obstante, al no contabilizar el costo económico de la mano de obra familiar (MOF), el CRP se incrementó drásticamente, sobre todo para el estrato I, el cual presentó aumentos de 518.58% por litro</w:t>
      </w:r>
      <w:r>
        <w:rPr>
          <w:position w:val="9"/>
          <w:sz w:val="16"/>
        </w:rPr>
        <w:t>-1 </w:t>
      </w:r>
      <w:r>
        <w:rPr/>
        <w:t>de leche, estrato II (83.59%) y estrato III (44.41%). Este comportamiento esta explicado porque el 96.8% de la fuerza laboral en la producción de un litro de leche para el estrato   I,</w:t>
      </w:r>
    </w:p>
    <w:p>
      <w:pPr>
        <w:spacing w:after="0" w:line="357" w:lineRule="auto"/>
        <w:jc w:val="both"/>
        <w:sectPr>
          <w:pgSz w:w="12240" w:h="15840"/>
          <w:pgMar w:header="0" w:footer="657" w:top="1360" w:bottom="840" w:left="1600" w:right="1580"/>
        </w:sectPr>
      </w:pPr>
    </w:p>
    <w:p>
      <w:pPr>
        <w:pStyle w:val="BodyText"/>
        <w:spacing w:line="362" w:lineRule="auto" w:before="50"/>
        <w:ind w:left="102" w:right="274"/>
      </w:pPr>
      <w:r>
        <w:rPr/>
        <w:t>proviene del núcleo familiar, estrato II (52.5%) y estrato III (43.3%) apuntalándose como una las fortalezas en este sector productivo.</w:t>
      </w:r>
    </w:p>
    <w:p>
      <w:pPr>
        <w:pStyle w:val="BodyText"/>
      </w:pPr>
    </w:p>
    <w:p>
      <w:pPr>
        <w:pStyle w:val="BodyText"/>
        <w:spacing w:line="360" w:lineRule="auto" w:before="140" w:after="34"/>
        <w:ind w:left="226"/>
      </w:pPr>
      <w:r>
        <w:rPr>
          <w:b/>
        </w:rPr>
        <w:t>Tabla 3</w:t>
      </w:r>
      <w:r>
        <w:rPr/>
        <w:t>. Indicadores de rentabilidad privada de los sistemas de producción lecheros de pequeña escala</w:t>
      </w:r>
    </w:p>
    <w:tbl>
      <w:tblPr>
        <w:tblW w:w="0" w:type="auto"/>
        <w:jc w:val="left"/>
        <w:tblInd w:w="15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985"/>
        <w:gridCol w:w="1471"/>
        <w:gridCol w:w="1191"/>
        <w:gridCol w:w="1196"/>
      </w:tblGrid>
      <w:tr>
        <w:trPr>
          <w:trHeight w:val="458" w:hRule="exact"/>
        </w:trPr>
        <w:tc>
          <w:tcPr>
            <w:tcW w:w="4985" w:type="dxa"/>
            <w:tcBorders>
              <w:left w:val="nil"/>
              <w:right w:val="nil"/>
            </w:tcBorders>
          </w:tcPr>
          <w:p>
            <w:pPr>
              <w:pStyle w:val="TableParagraph"/>
              <w:spacing w:line="273" w:lineRule="exact"/>
              <w:ind w:left="69"/>
              <w:jc w:val="left"/>
              <w:rPr>
                <w:sz w:val="24"/>
              </w:rPr>
            </w:pPr>
            <w:r>
              <w:rPr>
                <w:sz w:val="24"/>
              </w:rPr>
              <w:t>Sistema de producción por estrato</w:t>
            </w:r>
          </w:p>
        </w:tc>
        <w:tc>
          <w:tcPr>
            <w:tcW w:w="1471" w:type="dxa"/>
            <w:tcBorders>
              <w:left w:val="nil"/>
              <w:right w:val="nil"/>
            </w:tcBorders>
          </w:tcPr>
          <w:p>
            <w:pPr>
              <w:pStyle w:val="TableParagraph"/>
              <w:spacing w:line="273" w:lineRule="exact"/>
              <w:ind w:right="142"/>
              <w:rPr>
                <w:sz w:val="24"/>
              </w:rPr>
            </w:pPr>
            <w:r>
              <w:rPr>
                <w:sz w:val="24"/>
              </w:rPr>
              <w:t>Estrato I</w:t>
            </w:r>
          </w:p>
        </w:tc>
        <w:tc>
          <w:tcPr>
            <w:tcW w:w="1191" w:type="dxa"/>
            <w:tcBorders>
              <w:left w:val="nil"/>
              <w:right w:val="nil"/>
            </w:tcBorders>
          </w:tcPr>
          <w:p>
            <w:pPr>
              <w:pStyle w:val="TableParagraph"/>
              <w:spacing w:line="273" w:lineRule="exact"/>
              <w:ind w:right="142"/>
              <w:rPr>
                <w:sz w:val="24"/>
              </w:rPr>
            </w:pPr>
            <w:r>
              <w:rPr>
                <w:sz w:val="24"/>
              </w:rPr>
              <w:t>Estrato II</w:t>
            </w:r>
          </w:p>
        </w:tc>
        <w:tc>
          <w:tcPr>
            <w:tcW w:w="1196" w:type="dxa"/>
            <w:tcBorders>
              <w:left w:val="nil"/>
              <w:right w:val="nil"/>
            </w:tcBorders>
          </w:tcPr>
          <w:p>
            <w:pPr>
              <w:pStyle w:val="TableParagraph"/>
              <w:spacing w:line="273" w:lineRule="exact"/>
              <w:ind w:right="69"/>
              <w:rPr>
                <w:sz w:val="24"/>
              </w:rPr>
            </w:pPr>
            <w:r>
              <w:rPr>
                <w:sz w:val="24"/>
              </w:rPr>
              <w:t>Estrato III</w:t>
            </w:r>
          </w:p>
        </w:tc>
      </w:tr>
      <w:tr>
        <w:trPr>
          <w:trHeight w:val="376" w:hRule="exact"/>
        </w:trPr>
        <w:tc>
          <w:tcPr>
            <w:tcW w:w="4985" w:type="dxa"/>
            <w:tcBorders>
              <w:left w:val="nil"/>
              <w:bottom w:val="nil"/>
              <w:right w:val="nil"/>
            </w:tcBorders>
          </w:tcPr>
          <w:p>
            <w:pPr>
              <w:pStyle w:val="TableParagraph"/>
              <w:spacing w:line="273" w:lineRule="exact"/>
              <w:ind w:left="69"/>
              <w:jc w:val="left"/>
              <w:rPr>
                <w:sz w:val="24"/>
              </w:rPr>
            </w:pPr>
            <w:r>
              <w:rPr>
                <w:sz w:val="24"/>
              </w:rPr>
              <w:t>Costo total incluyendo MOF ($/litro)</w:t>
            </w:r>
          </w:p>
        </w:tc>
        <w:tc>
          <w:tcPr>
            <w:tcW w:w="1471" w:type="dxa"/>
            <w:tcBorders>
              <w:left w:val="nil"/>
              <w:bottom w:val="nil"/>
              <w:right w:val="nil"/>
            </w:tcBorders>
          </w:tcPr>
          <w:p>
            <w:pPr>
              <w:pStyle w:val="TableParagraph"/>
              <w:spacing w:line="273" w:lineRule="exact"/>
              <w:ind w:right="143"/>
              <w:rPr>
                <w:sz w:val="24"/>
              </w:rPr>
            </w:pPr>
            <w:r>
              <w:rPr>
                <w:sz w:val="24"/>
              </w:rPr>
              <w:t>4.65</w:t>
            </w:r>
          </w:p>
        </w:tc>
        <w:tc>
          <w:tcPr>
            <w:tcW w:w="1191" w:type="dxa"/>
            <w:tcBorders>
              <w:left w:val="nil"/>
              <w:bottom w:val="nil"/>
              <w:right w:val="nil"/>
            </w:tcBorders>
          </w:tcPr>
          <w:p>
            <w:pPr>
              <w:pStyle w:val="TableParagraph"/>
              <w:spacing w:line="273" w:lineRule="exact"/>
              <w:ind w:right="144"/>
              <w:rPr>
                <w:sz w:val="24"/>
              </w:rPr>
            </w:pPr>
            <w:r>
              <w:rPr>
                <w:sz w:val="24"/>
              </w:rPr>
              <w:t>3.82</w:t>
            </w:r>
          </w:p>
        </w:tc>
        <w:tc>
          <w:tcPr>
            <w:tcW w:w="1196" w:type="dxa"/>
            <w:tcBorders>
              <w:left w:val="nil"/>
              <w:bottom w:val="nil"/>
              <w:right w:val="nil"/>
            </w:tcBorders>
          </w:tcPr>
          <w:p>
            <w:pPr>
              <w:pStyle w:val="TableParagraph"/>
              <w:spacing w:line="273" w:lineRule="exact"/>
              <w:ind w:right="71"/>
              <w:rPr>
                <w:sz w:val="24"/>
              </w:rPr>
            </w:pPr>
            <w:r>
              <w:rPr>
                <w:sz w:val="24"/>
              </w:rPr>
              <w:t>3.43</w:t>
            </w:r>
          </w:p>
        </w:tc>
      </w:tr>
      <w:tr>
        <w:trPr>
          <w:trHeight w:val="414" w:hRule="exact"/>
        </w:trPr>
        <w:tc>
          <w:tcPr>
            <w:tcW w:w="4985" w:type="dxa"/>
            <w:tcBorders>
              <w:top w:val="nil"/>
              <w:left w:val="nil"/>
              <w:bottom w:val="nil"/>
              <w:right w:val="nil"/>
            </w:tcBorders>
          </w:tcPr>
          <w:p>
            <w:pPr>
              <w:pStyle w:val="TableParagraph"/>
              <w:spacing w:before="55"/>
              <w:ind w:left="69"/>
              <w:jc w:val="left"/>
              <w:rPr>
                <w:sz w:val="24"/>
              </w:rPr>
            </w:pPr>
            <w:r>
              <w:rPr>
                <w:sz w:val="24"/>
              </w:rPr>
              <w:t>Ganancia neta incluyendo MOF ($/litro)</w:t>
            </w:r>
          </w:p>
        </w:tc>
        <w:tc>
          <w:tcPr>
            <w:tcW w:w="1471" w:type="dxa"/>
            <w:tcBorders>
              <w:top w:val="nil"/>
              <w:left w:val="nil"/>
              <w:bottom w:val="nil"/>
              <w:right w:val="nil"/>
            </w:tcBorders>
          </w:tcPr>
          <w:p>
            <w:pPr>
              <w:pStyle w:val="TableParagraph"/>
              <w:spacing w:before="55"/>
              <w:ind w:right="143"/>
              <w:rPr>
                <w:sz w:val="24"/>
              </w:rPr>
            </w:pPr>
            <w:r>
              <w:rPr>
                <w:sz w:val="24"/>
              </w:rPr>
              <w:t>0.36</w:t>
            </w:r>
          </w:p>
        </w:tc>
        <w:tc>
          <w:tcPr>
            <w:tcW w:w="1191" w:type="dxa"/>
            <w:tcBorders>
              <w:top w:val="nil"/>
              <w:left w:val="nil"/>
              <w:bottom w:val="nil"/>
              <w:right w:val="nil"/>
            </w:tcBorders>
          </w:tcPr>
          <w:p>
            <w:pPr>
              <w:pStyle w:val="TableParagraph"/>
              <w:spacing w:before="55"/>
              <w:ind w:right="144"/>
              <w:rPr>
                <w:sz w:val="24"/>
              </w:rPr>
            </w:pPr>
            <w:r>
              <w:rPr>
                <w:sz w:val="24"/>
              </w:rPr>
              <w:t>1.18</w:t>
            </w:r>
          </w:p>
        </w:tc>
        <w:tc>
          <w:tcPr>
            <w:tcW w:w="1196" w:type="dxa"/>
            <w:tcBorders>
              <w:top w:val="nil"/>
              <w:left w:val="nil"/>
              <w:bottom w:val="nil"/>
              <w:right w:val="nil"/>
            </w:tcBorders>
          </w:tcPr>
          <w:p>
            <w:pPr>
              <w:pStyle w:val="TableParagraph"/>
              <w:spacing w:before="55"/>
              <w:ind w:right="71"/>
              <w:rPr>
                <w:sz w:val="24"/>
              </w:rPr>
            </w:pPr>
            <w:r>
              <w:rPr>
                <w:sz w:val="24"/>
              </w:rPr>
              <w:t>1.57</w:t>
            </w:r>
          </w:p>
        </w:tc>
      </w:tr>
      <w:tr>
        <w:trPr>
          <w:trHeight w:val="414" w:hRule="exact"/>
        </w:trPr>
        <w:tc>
          <w:tcPr>
            <w:tcW w:w="4985" w:type="dxa"/>
            <w:tcBorders>
              <w:top w:val="nil"/>
              <w:left w:val="nil"/>
              <w:bottom w:val="nil"/>
              <w:right w:val="nil"/>
            </w:tcBorders>
          </w:tcPr>
          <w:p>
            <w:pPr>
              <w:pStyle w:val="TableParagraph"/>
              <w:spacing w:before="57"/>
              <w:ind w:left="69"/>
              <w:jc w:val="left"/>
              <w:rPr>
                <w:sz w:val="24"/>
              </w:rPr>
            </w:pPr>
            <w:r>
              <w:rPr>
                <w:sz w:val="24"/>
              </w:rPr>
              <w:t>CRP incluyendo MOF (%/peso invertido)</w:t>
            </w:r>
          </w:p>
        </w:tc>
        <w:tc>
          <w:tcPr>
            <w:tcW w:w="1471" w:type="dxa"/>
            <w:tcBorders>
              <w:top w:val="nil"/>
              <w:left w:val="nil"/>
              <w:bottom w:val="nil"/>
              <w:right w:val="nil"/>
            </w:tcBorders>
          </w:tcPr>
          <w:p>
            <w:pPr>
              <w:pStyle w:val="TableParagraph"/>
              <w:spacing w:before="57"/>
              <w:ind w:right="143"/>
              <w:rPr>
                <w:sz w:val="24"/>
              </w:rPr>
            </w:pPr>
            <w:r>
              <w:rPr>
                <w:sz w:val="24"/>
              </w:rPr>
              <w:t>7.64</w:t>
            </w:r>
          </w:p>
        </w:tc>
        <w:tc>
          <w:tcPr>
            <w:tcW w:w="1191" w:type="dxa"/>
            <w:tcBorders>
              <w:top w:val="nil"/>
              <w:left w:val="nil"/>
              <w:bottom w:val="nil"/>
              <w:right w:val="nil"/>
            </w:tcBorders>
          </w:tcPr>
          <w:p>
            <w:pPr>
              <w:pStyle w:val="TableParagraph"/>
              <w:spacing w:before="57"/>
              <w:ind w:right="144"/>
              <w:rPr>
                <w:sz w:val="24"/>
              </w:rPr>
            </w:pPr>
            <w:r>
              <w:rPr>
                <w:sz w:val="24"/>
              </w:rPr>
              <w:t>30.96</w:t>
            </w:r>
          </w:p>
        </w:tc>
        <w:tc>
          <w:tcPr>
            <w:tcW w:w="1196" w:type="dxa"/>
            <w:tcBorders>
              <w:top w:val="nil"/>
              <w:left w:val="nil"/>
              <w:bottom w:val="nil"/>
              <w:right w:val="nil"/>
            </w:tcBorders>
          </w:tcPr>
          <w:p>
            <w:pPr>
              <w:pStyle w:val="TableParagraph"/>
              <w:spacing w:before="57"/>
              <w:ind w:right="71"/>
              <w:rPr>
                <w:sz w:val="24"/>
              </w:rPr>
            </w:pPr>
            <w:r>
              <w:rPr>
                <w:sz w:val="24"/>
              </w:rPr>
              <w:t>45.86</w:t>
            </w:r>
          </w:p>
        </w:tc>
      </w:tr>
      <w:tr>
        <w:trPr>
          <w:trHeight w:val="414" w:hRule="exact"/>
        </w:trPr>
        <w:tc>
          <w:tcPr>
            <w:tcW w:w="4985" w:type="dxa"/>
            <w:tcBorders>
              <w:top w:val="nil"/>
              <w:left w:val="nil"/>
              <w:bottom w:val="nil"/>
              <w:right w:val="nil"/>
            </w:tcBorders>
          </w:tcPr>
          <w:p>
            <w:pPr>
              <w:pStyle w:val="TableParagraph"/>
              <w:spacing w:before="55"/>
              <w:ind w:left="69"/>
              <w:jc w:val="left"/>
              <w:rPr>
                <w:sz w:val="24"/>
              </w:rPr>
            </w:pPr>
            <w:r>
              <w:rPr>
                <w:sz w:val="24"/>
              </w:rPr>
              <w:t>Retorno sobre la inversión (%)</w:t>
            </w:r>
          </w:p>
        </w:tc>
        <w:tc>
          <w:tcPr>
            <w:tcW w:w="1471" w:type="dxa"/>
            <w:tcBorders>
              <w:top w:val="nil"/>
              <w:left w:val="nil"/>
              <w:bottom w:val="nil"/>
              <w:right w:val="nil"/>
            </w:tcBorders>
          </w:tcPr>
          <w:p>
            <w:pPr>
              <w:pStyle w:val="TableParagraph"/>
              <w:spacing w:before="55"/>
              <w:ind w:right="143"/>
              <w:rPr>
                <w:sz w:val="24"/>
              </w:rPr>
            </w:pPr>
            <w:r>
              <w:rPr>
                <w:sz w:val="24"/>
              </w:rPr>
              <w:t>1.60</w:t>
            </w:r>
          </w:p>
        </w:tc>
        <w:tc>
          <w:tcPr>
            <w:tcW w:w="1191" w:type="dxa"/>
            <w:tcBorders>
              <w:top w:val="nil"/>
              <w:left w:val="nil"/>
              <w:bottom w:val="nil"/>
              <w:right w:val="nil"/>
            </w:tcBorders>
          </w:tcPr>
          <w:p>
            <w:pPr>
              <w:pStyle w:val="TableParagraph"/>
              <w:spacing w:before="55"/>
              <w:ind w:right="144"/>
              <w:rPr>
                <w:sz w:val="24"/>
              </w:rPr>
            </w:pPr>
            <w:r>
              <w:rPr>
                <w:sz w:val="24"/>
              </w:rPr>
              <w:t>8.10</w:t>
            </w:r>
          </w:p>
        </w:tc>
        <w:tc>
          <w:tcPr>
            <w:tcW w:w="1196" w:type="dxa"/>
            <w:tcBorders>
              <w:top w:val="nil"/>
              <w:left w:val="nil"/>
              <w:bottom w:val="nil"/>
              <w:right w:val="nil"/>
            </w:tcBorders>
          </w:tcPr>
          <w:p>
            <w:pPr>
              <w:pStyle w:val="TableParagraph"/>
              <w:spacing w:before="55"/>
              <w:ind w:right="71"/>
              <w:rPr>
                <w:sz w:val="24"/>
              </w:rPr>
            </w:pPr>
            <w:r>
              <w:rPr>
                <w:sz w:val="24"/>
              </w:rPr>
              <w:t>13.4</w:t>
            </w:r>
          </w:p>
        </w:tc>
      </w:tr>
      <w:tr>
        <w:trPr>
          <w:trHeight w:val="414" w:hRule="exact"/>
        </w:trPr>
        <w:tc>
          <w:tcPr>
            <w:tcW w:w="4985" w:type="dxa"/>
            <w:tcBorders>
              <w:top w:val="nil"/>
              <w:left w:val="nil"/>
              <w:bottom w:val="nil"/>
              <w:right w:val="nil"/>
            </w:tcBorders>
          </w:tcPr>
          <w:p>
            <w:pPr>
              <w:pStyle w:val="TableParagraph"/>
              <w:spacing w:before="56"/>
              <w:ind w:left="69"/>
              <w:jc w:val="left"/>
              <w:rPr>
                <w:sz w:val="24"/>
              </w:rPr>
            </w:pPr>
            <w:r>
              <w:rPr>
                <w:sz w:val="24"/>
              </w:rPr>
              <w:t>Costo de los factores domésticos</w:t>
            </w:r>
          </w:p>
        </w:tc>
        <w:tc>
          <w:tcPr>
            <w:tcW w:w="1471" w:type="dxa"/>
            <w:tcBorders>
              <w:top w:val="nil"/>
              <w:left w:val="nil"/>
              <w:bottom w:val="nil"/>
              <w:right w:val="nil"/>
            </w:tcBorders>
          </w:tcPr>
          <w:p>
            <w:pPr>
              <w:pStyle w:val="TableParagraph"/>
              <w:spacing w:before="56"/>
              <w:ind w:right="143"/>
              <w:rPr>
                <w:sz w:val="24"/>
              </w:rPr>
            </w:pPr>
            <w:r>
              <w:rPr>
                <w:sz w:val="24"/>
              </w:rPr>
              <w:t>1.70</w:t>
            </w:r>
          </w:p>
        </w:tc>
        <w:tc>
          <w:tcPr>
            <w:tcW w:w="1191" w:type="dxa"/>
            <w:tcBorders>
              <w:top w:val="nil"/>
              <w:left w:val="nil"/>
              <w:bottom w:val="nil"/>
              <w:right w:val="nil"/>
            </w:tcBorders>
          </w:tcPr>
          <w:p>
            <w:pPr>
              <w:pStyle w:val="TableParagraph"/>
              <w:spacing w:before="56"/>
              <w:ind w:right="144"/>
              <w:rPr>
                <w:sz w:val="24"/>
              </w:rPr>
            </w:pPr>
            <w:r>
              <w:rPr>
                <w:sz w:val="24"/>
              </w:rPr>
              <w:t>1.50</w:t>
            </w:r>
          </w:p>
        </w:tc>
        <w:tc>
          <w:tcPr>
            <w:tcW w:w="1196" w:type="dxa"/>
            <w:tcBorders>
              <w:top w:val="nil"/>
              <w:left w:val="nil"/>
              <w:bottom w:val="nil"/>
              <w:right w:val="nil"/>
            </w:tcBorders>
          </w:tcPr>
          <w:p>
            <w:pPr>
              <w:pStyle w:val="TableParagraph"/>
              <w:spacing w:before="56"/>
              <w:ind w:right="71"/>
              <w:rPr>
                <w:sz w:val="24"/>
              </w:rPr>
            </w:pPr>
            <w:r>
              <w:rPr>
                <w:sz w:val="24"/>
              </w:rPr>
              <w:t>1.10</w:t>
            </w:r>
          </w:p>
        </w:tc>
      </w:tr>
      <w:tr>
        <w:trPr>
          <w:trHeight w:val="414" w:hRule="exact"/>
        </w:trPr>
        <w:tc>
          <w:tcPr>
            <w:tcW w:w="4985" w:type="dxa"/>
            <w:tcBorders>
              <w:top w:val="nil"/>
              <w:left w:val="nil"/>
              <w:bottom w:val="nil"/>
              <w:right w:val="nil"/>
            </w:tcBorders>
          </w:tcPr>
          <w:p>
            <w:pPr>
              <w:pStyle w:val="TableParagraph"/>
              <w:spacing w:before="55"/>
              <w:ind w:left="69"/>
              <w:jc w:val="left"/>
              <w:rPr>
                <w:sz w:val="24"/>
              </w:rPr>
            </w:pPr>
            <w:r>
              <w:rPr>
                <w:sz w:val="24"/>
              </w:rPr>
              <w:t>Costo total excluyendo MOF ($/litro)</w:t>
            </w:r>
          </w:p>
        </w:tc>
        <w:tc>
          <w:tcPr>
            <w:tcW w:w="1471" w:type="dxa"/>
            <w:tcBorders>
              <w:top w:val="nil"/>
              <w:left w:val="nil"/>
              <w:bottom w:val="nil"/>
              <w:right w:val="nil"/>
            </w:tcBorders>
          </w:tcPr>
          <w:p>
            <w:pPr>
              <w:pStyle w:val="TableParagraph"/>
              <w:spacing w:before="55"/>
              <w:ind w:right="143"/>
              <w:rPr>
                <w:sz w:val="24"/>
              </w:rPr>
            </w:pPr>
            <w:r>
              <w:rPr>
                <w:sz w:val="24"/>
              </w:rPr>
              <w:t>3.40</w:t>
            </w:r>
          </w:p>
        </w:tc>
        <w:tc>
          <w:tcPr>
            <w:tcW w:w="1191" w:type="dxa"/>
            <w:tcBorders>
              <w:top w:val="nil"/>
              <w:left w:val="nil"/>
              <w:bottom w:val="nil"/>
              <w:right w:val="nil"/>
            </w:tcBorders>
          </w:tcPr>
          <w:p>
            <w:pPr>
              <w:pStyle w:val="TableParagraph"/>
              <w:spacing w:before="55"/>
              <w:ind w:right="144"/>
              <w:rPr>
                <w:sz w:val="24"/>
              </w:rPr>
            </w:pPr>
            <w:r>
              <w:rPr>
                <w:sz w:val="24"/>
              </w:rPr>
              <w:t>3.19</w:t>
            </w:r>
          </w:p>
        </w:tc>
        <w:tc>
          <w:tcPr>
            <w:tcW w:w="1196" w:type="dxa"/>
            <w:tcBorders>
              <w:top w:val="nil"/>
              <w:left w:val="nil"/>
              <w:bottom w:val="nil"/>
              <w:right w:val="nil"/>
            </w:tcBorders>
          </w:tcPr>
          <w:p>
            <w:pPr>
              <w:pStyle w:val="TableParagraph"/>
              <w:spacing w:before="55"/>
              <w:ind w:right="71"/>
              <w:rPr>
                <w:sz w:val="24"/>
              </w:rPr>
            </w:pPr>
            <w:r>
              <w:rPr>
                <w:sz w:val="24"/>
              </w:rPr>
              <w:t>3.01</w:t>
            </w:r>
          </w:p>
        </w:tc>
      </w:tr>
      <w:tr>
        <w:trPr>
          <w:trHeight w:val="414" w:hRule="exact"/>
        </w:trPr>
        <w:tc>
          <w:tcPr>
            <w:tcW w:w="4985" w:type="dxa"/>
            <w:tcBorders>
              <w:top w:val="nil"/>
              <w:left w:val="nil"/>
              <w:bottom w:val="nil"/>
              <w:right w:val="nil"/>
            </w:tcBorders>
          </w:tcPr>
          <w:p>
            <w:pPr>
              <w:pStyle w:val="TableParagraph"/>
              <w:spacing w:before="56"/>
              <w:ind w:left="69"/>
              <w:jc w:val="left"/>
              <w:rPr>
                <w:sz w:val="24"/>
              </w:rPr>
            </w:pPr>
            <w:r>
              <w:rPr>
                <w:sz w:val="24"/>
              </w:rPr>
              <w:t>Ganancia neta excluyendo MOF ($/litro)</w:t>
            </w:r>
          </w:p>
        </w:tc>
        <w:tc>
          <w:tcPr>
            <w:tcW w:w="1471" w:type="dxa"/>
            <w:tcBorders>
              <w:top w:val="nil"/>
              <w:left w:val="nil"/>
              <w:bottom w:val="nil"/>
              <w:right w:val="nil"/>
            </w:tcBorders>
          </w:tcPr>
          <w:p>
            <w:pPr>
              <w:pStyle w:val="TableParagraph"/>
              <w:spacing w:before="56"/>
              <w:ind w:right="143"/>
              <w:rPr>
                <w:sz w:val="24"/>
              </w:rPr>
            </w:pPr>
            <w:r>
              <w:rPr>
                <w:sz w:val="24"/>
              </w:rPr>
              <w:t>1.61</w:t>
            </w:r>
          </w:p>
        </w:tc>
        <w:tc>
          <w:tcPr>
            <w:tcW w:w="1191" w:type="dxa"/>
            <w:tcBorders>
              <w:top w:val="nil"/>
              <w:left w:val="nil"/>
              <w:bottom w:val="nil"/>
              <w:right w:val="nil"/>
            </w:tcBorders>
          </w:tcPr>
          <w:p>
            <w:pPr>
              <w:pStyle w:val="TableParagraph"/>
              <w:spacing w:before="56"/>
              <w:ind w:right="144"/>
              <w:rPr>
                <w:sz w:val="24"/>
              </w:rPr>
            </w:pPr>
            <w:r>
              <w:rPr>
                <w:sz w:val="24"/>
              </w:rPr>
              <w:t>1.81</w:t>
            </w:r>
          </w:p>
        </w:tc>
        <w:tc>
          <w:tcPr>
            <w:tcW w:w="1196" w:type="dxa"/>
            <w:tcBorders>
              <w:top w:val="nil"/>
              <w:left w:val="nil"/>
              <w:bottom w:val="nil"/>
              <w:right w:val="nil"/>
            </w:tcBorders>
          </w:tcPr>
          <w:p>
            <w:pPr>
              <w:pStyle w:val="TableParagraph"/>
              <w:spacing w:before="56"/>
              <w:ind w:right="71"/>
              <w:rPr>
                <w:sz w:val="24"/>
              </w:rPr>
            </w:pPr>
            <w:r>
              <w:rPr>
                <w:sz w:val="24"/>
              </w:rPr>
              <w:t>1.99</w:t>
            </w:r>
          </w:p>
        </w:tc>
      </w:tr>
      <w:tr>
        <w:trPr>
          <w:trHeight w:val="414" w:hRule="exact"/>
        </w:trPr>
        <w:tc>
          <w:tcPr>
            <w:tcW w:w="4985" w:type="dxa"/>
            <w:tcBorders>
              <w:top w:val="nil"/>
              <w:left w:val="nil"/>
              <w:bottom w:val="nil"/>
              <w:right w:val="nil"/>
            </w:tcBorders>
          </w:tcPr>
          <w:p>
            <w:pPr>
              <w:pStyle w:val="TableParagraph"/>
              <w:spacing w:before="55"/>
              <w:ind w:left="69"/>
              <w:jc w:val="left"/>
              <w:rPr>
                <w:sz w:val="24"/>
              </w:rPr>
            </w:pPr>
            <w:r>
              <w:rPr>
                <w:sz w:val="24"/>
              </w:rPr>
              <w:t>CRP excluyendo MOF (%/peso invertido)</w:t>
            </w:r>
          </w:p>
        </w:tc>
        <w:tc>
          <w:tcPr>
            <w:tcW w:w="1471" w:type="dxa"/>
            <w:tcBorders>
              <w:top w:val="nil"/>
              <w:left w:val="nil"/>
              <w:bottom w:val="nil"/>
              <w:right w:val="nil"/>
            </w:tcBorders>
          </w:tcPr>
          <w:p>
            <w:pPr>
              <w:pStyle w:val="TableParagraph"/>
              <w:spacing w:before="55"/>
              <w:ind w:right="143"/>
              <w:rPr>
                <w:sz w:val="24"/>
              </w:rPr>
            </w:pPr>
            <w:r>
              <w:rPr>
                <w:sz w:val="24"/>
              </w:rPr>
              <w:t>47.28</w:t>
            </w:r>
          </w:p>
        </w:tc>
        <w:tc>
          <w:tcPr>
            <w:tcW w:w="1191" w:type="dxa"/>
            <w:tcBorders>
              <w:top w:val="nil"/>
              <w:left w:val="nil"/>
              <w:bottom w:val="nil"/>
              <w:right w:val="nil"/>
            </w:tcBorders>
          </w:tcPr>
          <w:p>
            <w:pPr>
              <w:pStyle w:val="TableParagraph"/>
              <w:spacing w:before="55"/>
              <w:ind w:right="144"/>
              <w:rPr>
                <w:sz w:val="24"/>
              </w:rPr>
            </w:pPr>
            <w:r>
              <w:rPr>
                <w:sz w:val="24"/>
              </w:rPr>
              <w:t>56.84</w:t>
            </w:r>
          </w:p>
        </w:tc>
        <w:tc>
          <w:tcPr>
            <w:tcW w:w="1196" w:type="dxa"/>
            <w:tcBorders>
              <w:top w:val="nil"/>
              <w:left w:val="nil"/>
              <w:bottom w:val="nil"/>
              <w:right w:val="nil"/>
            </w:tcBorders>
          </w:tcPr>
          <w:p>
            <w:pPr>
              <w:pStyle w:val="TableParagraph"/>
              <w:spacing w:before="55"/>
              <w:ind w:right="71"/>
              <w:rPr>
                <w:sz w:val="24"/>
              </w:rPr>
            </w:pPr>
            <w:r>
              <w:rPr>
                <w:sz w:val="24"/>
              </w:rPr>
              <w:t>66.23</w:t>
            </w:r>
          </w:p>
        </w:tc>
      </w:tr>
      <w:tr>
        <w:trPr>
          <w:trHeight w:val="497" w:hRule="exact"/>
        </w:trPr>
        <w:tc>
          <w:tcPr>
            <w:tcW w:w="4985" w:type="dxa"/>
            <w:tcBorders>
              <w:top w:val="nil"/>
              <w:left w:val="nil"/>
              <w:right w:val="nil"/>
            </w:tcBorders>
          </w:tcPr>
          <w:p>
            <w:pPr>
              <w:pStyle w:val="TableParagraph"/>
              <w:spacing w:before="56"/>
              <w:ind w:left="69"/>
              <w:jc w:val="left"/>
              <w:rPr>
                <w:sz w:val="24"/>
              </w:rPr>
            </w:pPr>
            <w:r>
              <w:rPr>
                <w:sz w:val="24"/>
              </w:rPr>
              <w:t>Retorno sobre la inversión (%)</w:t>
            </w:r>
          </w:p>
        </w:tc>
        <w:tc>
          <w:tcPr>
            <w:tcW w:w="1471" w:type="dxa"/>
            <w:tcBorders>
              <w:top w:val="nil"/>
              <w:left w:val="nil"/>
              <w:right w:val="nil"/>
            </w:tcBorders>
          </w:tcPr>
          <w:p>
            <w:pPr>
              <w:pStyle w:val="TableParagraph"/>
              <w:spacing w:before="56"/>
              <w:ind w:right="143"/>
              <w:rPr>
                <w:sz w:val="24"/>
              </w:rPr>
            </w:pPr>
            <w:r>
              <w:rPr>
                <w:sz w:val="24"/>
              </w:rPr>
              <w:t>13.90</w:t>
            </w:r>
          </w:p>
        </w:tc>
        <w:tc>
          <w:tcPr>
            <w:tcW w:w="1191" w:type="dxa"/>
            <w:tcBorders>
              <w:top w:val="nil"/>
              <w:left w:val="nil"/>
              <w:right w:val="nil"/>
            </w:tcBorders>
          </w:tcPr>
          <w:p>
            <w:pPr>
              <w:pStyle w:val="TableParagraph"/>
              <w:spacing w:before="56"/>
              <w:ind w:right="144"/>
              <w:rPr>
                <w:sz w:val="24"/>
              </w:rPr>
            </w:pPr>
            <w:r>
              <w:rPr>
                <w:sz w:val="24"/>
              </w:rPr>
              <w:t>17.80</w:t>
            </w:r>
          </w:p>
        </w:tc>
        <w:tc>
          <w:tcPr>
            <w:tcW w:w="1196" w:type="dxa"/>
            <w:tcBorders>
              <w:top w:val="nil"/>
              <w:left w:val="nil"/>
              <w:right w:val="nil"/>
            </w:tcBorders>
          </w:tcPr>
          <w:p>
            <w:pPr>
              <w:pStyle w:val="TableParagraph"/>
              <w:spacing w:before="56"/>
              <w:ind w:right="71"/>
              <w:rPr>
                <w:sz w:val="24"/>
              </w:rPr>
            </w:pPr>
            <w:r>
              <w:rPr>
                <w:sz w:val="24"/>
              </w:rPr>
              <w:t>22.0</w:t>
            </w:r>
          </w:p>
        </w:tc>
      </w:tr>
      <w:tr>
        <w:trPr>
          <w:trHeight w:val="343" w:hRule="exact"/>
        </w:trPr>
        <w:tc>
          <w:tcPr>
            <w:tcW w:w="4985" w:type="dxa"/>
            <w:tcBorders>
              <w:left w:val="nil"/>
              <w:bottom w:val="nil"/>
              <w:right w:val="nil"/>
            </w:tcBorders>
          </w:tcPr>
          <w:p>
            <w:pPr>
              <w:pStyle w:val="TableParagraph"/>
              <w:spacing w:line="226" w:lineRule="exact"/>
              <w:ind w:left="69"/>
              <w:jc w:val="left"/>
              <w:rPr>
                <w:sz w:val="20"/>
              </w:rPr>
            </w:pPr>
            <w:r>
              <w:rPr>
                <w:sz w:val="20"/>
              </w:rPr>
              <w:t>Fuente: Elaboración propia con información de campo.</w:t>
            </w:r>
          </w:p>
        </w:tc>
        <w:tc>
          <w:tcPr>
            <w:tcW w:w="1471" w:type="dxa"/>
            <w:tcBorders>
              <w:left w:val="nil"/>
              <w:bottom w:val="nil"/>
              <w:right w:val="nil"/>
            </w:tcBorders>
          </w:tcPr>
          <w:p>
            <w:pPr/>
          </w:p>
        </w:tc>
        <w:tc>
          <w:tcPr>
            <w:tcW w:w="1191" w:type="dxa"/>
            <w:tcBorders>
              <w:left w:val="nil"/>
              <w:bottom w:val="nil"/>
              <w:right w:val="nil"/>
            </w:tcBorders>
          </w:tcPr>
          <w:p>
            <w:pPr/>
          </w:p>
        </w:tc>
        <w:tc>
          <w:tcPr>
            <w:tcW w:w="1196" w:type="dxa"/>
            <w:tcBorders>
              <w:left w:val="nil"/>
              <w:bottom w:val="nil"/>
              <w:right w:val="nil"/>
            </w:tcBorders>
          </w:tcPr>
          <w:p>
            <w:pPr/>
          </w:p>
        </w:tc>
      </w:tr>
    </w:tbl>
    <w:p>
      <w:pPr>
        <w:pStyle w:val="BodyText"/>
        <w:rPr>
          <w:sz w:val="20"/>
        </w:rPr>
      </w:pPr>
    </w:p>
    <w:p>
      <w:pPr>
        <w:pStyle w:val="BodyText"/>
        <w:spacing w:line="357" w:lineRule="auto" w:before="204"/>
        <w:ind w:left="102" w:right="177"/>
        <w:jc w:val="both"/>
      </w:pPr>
      <w:r>
        <w:rPr/>
        <w:t>La estructura de costos de producción en las tres escalas de productores analizados estuvo compuesta principalmente por los insumos comercializables, los cuales participaron con el 62, 61 y 66% del costo por litro</w:t>
      </w:r>
      <w:r>
        <w:rPr>
          <w:position w:val="9"/>
          <w:sz w:val="16"/>
        </w:rPr>
        <w:t>-1 </w:t>
      </w:r>
      <w:r>
        <w:rPr/>
        <w:t>de leche. Este alto costo esta explicado por el componente del principal insumo en la producción (alimentación). Los factores internos integraron el segundo rubro de importancia al participar con el 29, 32 y 33%, el principal componente de valor en este rubro lo ocupó la mano de obra con el 27, 17 y 13%, no obstante al considerar solo los costos en efectivo que representan los desembolsos económicos de las tres escalas de productores, se observa un cambio en las ganancias netas por litro</w:t>
      </w:r>
      <w:r>
        <w:rPr>
          <w:position w:val="9"/>
          <w:sz w:val="16"/>
        </w:rPr>
        <w:t>-1 </w:t>
      </w:r>
      <w:r>
        <w:rPr/>
        <w:t>de leche puesto en el mercado</w:t>
      </w:r>
      <w:r>
        <w:rPr>
          <w:spacing w:val="-7"/>
        </w:rPr>
        <w:t> </w:t>
      </w:r>
      <w:r>
        <w:rPr/>
        <w:t>para</w:t>
      </w:r>
      <w:r>
        <w:rPr>
          <w:spacing w:val="-7"/>
        </w:rPr>
        <w:t> </w:t>
      </w:r>
      <w:r>
        <w:rPr/>
        <w:t>el</w:t>
      </w:r>
      <w:r>
        <w:rPr>
          <w:spacing w:val="-7"/>
        </w:rPr>
        <w:t> </w:t>
      </w:r>
      <w:r>
        <w:rPr/>
        <w:t>estrato</w:t>
      </w:r>
      <w:r>
        <w:rPr>
          <w:spacing w:val="-4"/>
        </w:rPr>
        <w:t> </w:t>
      </w:r>
      <w:r>
        <w:rPr/>
        <w:t>I,</w:t>
      </w:r>
      <w:r>
        <w:rPr>
          <w:spacing w:val="-5"/>
        </w:rPr>
        <w:t> </w:t>
      </w:r>
      <w:r>
        <w:rPr/>
        <w:t>(352.11%),</w:t>
      </w:r>
      <w:r>
        <w:rPr>
          <w:spacing w:val="-8"/>
        </w:rPr>
        <w:t> </w:t>
      </w:r>
      <w:r>
        <w:rPr/>
        <w:t>estrato</w:t>
      </w:r>
      <w:r>
        <w:rPr>
          <w:spacing w:val="-4"/>
        </w:rPr>
        <w:t> </w:t>
      </w:r>
      <w:r>
        <w:rPr/>
        <w:t>II</w:t>
      </w:r>
      <w:r>
        <w:rPr>
          <w:spacing w:val="-10"/>
        </w:rPr>
        <w:t> </w:t>
      </w:r>
      <w:r>
        <w:rPr/>
        <w:t>(53.30%)</w:t>
      </w:r>
      <w:r>
        <w:rPr>
          <w:spacing w:val="-2"/>
        </w:rPr>
        <w:t> </w:t>
      </w:r>
      <w:r>
        <w:rPr/>
        <w:t>y</w:t>
      </w:r>
      <w:r>
        <w:rPr>
          <w:spacing w:val="-12"/>
        </w:rPr>
        <w:t> </w:t>
      </w:r>
      <w:r>
        <w:rPr/>
        <w:t>estrato</w:t>
      </w:r>
      <w:r>
        <w:rPr>
          <w:spacing w:val="-2"/>
        </w:rPr>
        <w:t> </w:t>
      </w:r>
      <w:r>
        <w:rPr/>
        <w:t>III</w:t>
      </w:r>
      <w:r>
        <w:rPr>
          <w:spacing w:val="-9"/>
        </w:rPr>
        <w:t> </w:t>
      </w:r>
      <w:r>
        <w:rPr/>
        <w:t>(26.72%).</w:t>
      </w:r>
      <w:r>
        <w:rPr>
          <w:spacing w:val="-8"/>
        </w:rPr>
        <w:t> </w:t>
      </w:r>
      <w:r>
        <w:rPr/>
        <w:t>El</w:t>
      </w:r>
      <w:r>
        <w:rPr>
          <w:spacing w:val="-7"/>
        </w:rPr>
        <w:t> </w:t>
      </w:r>
      <w:r>
        <w:rPr/>
        <w:t>rubro</w:t>
      </w:r>
      <w:r>
        <w:rPr>
          <w:spacing w:val="-7"/>
        </w:rPr>
        <w:t> </w:t>
      </w:r>
      <w:r>
        <w:rPr/>
        <w:t>con menos participación en costo, lo obtuvo los insumos indirectamente comercializables, erogando 7, 6 y 0.5% del costo total, este comportamiento refleja la ventaja del estrato III, para</w:t>
      </w:r>
      <w:r>
        <w:rPr>
          <w:spacing w:val="-8"/>
        </w:rPr>
        <w:t> </w:t>
      </w:r>
      <w:r>
        <w:rPr/>
        <w:t>disminuir</w:t>
      </w:r>
      <w:r>
        <w:rPr>
          <w:spacing w:val="-7"/>
        </w:rPr>
        <w:t> </w:t>
      </w:r>
      <w:r>
        <w:rPr/>
        <w:t>costos</w:t>
      </w:r>
      <w:r>
        <w:rPr>
          <w:spacing w:val="-6"/>
        </w:rPr>
        <w:t> </w:t>
      </w:r>
      <w:r>
        <w:rPr/>
        <w:t>al</w:t>
      </w:r>
      <w:r>
        <w:rPr>
          <w:spacing w:val="-6"/>
        </w:rPr>
        <w:t> </w:t>
      </w:r>
      <w:r>
        <w:rPr/>
        <w:t>presentar</w:t>
      </w:r>
      <w:r>
        <w:rPr>
          <w:spacing w:val="-5"/>
        </w:rPr>
        <w:t> </w:t>
      </w:r>
      <w:r>
        <w:rPr/>
        <w:t>la</w:t>
      </w:r>
      <w:r>
        <w:rPr>
          <w:spacing w:val="-7"/>
        </w:rPr>
        <w:t> </w:t>
      </w:r>
      <w:r>
        <w:rPr/>
        <w:t>mayor</w:t>
      </w:r>
      <w:r>
        <w:rPr>
          <w:spacing w:val="-7"/>
        </w:rPr>
        <w:t> </w:t>
      </w:r>
      <w:r>
        <w:rPr/>
        <w:t>escala</w:t>
      </w:r>
      <w:r>
        <w:rPr>
          <w:spacing w:val="-4"/>
        </w:rPr>
        <w:t> </w:t>
      </w:r>
      <w:r>
        <w:rPr/>
        <w:t>de</w:t>
      </w:r>
      <w:r>
        <w:rPr>
          <w:spacing w:val="-7"/>
        </w:rPr>
        <w:t> </w:t>
      </w:r>
      <w:r>
        <w:rPr/>
        <w:t>vacas</w:t>
      </w:r>
      <w:r>
        <w:rPr>
          <w:spacing w:val="-6"/>
        </w:rPr>
        <w:t> </w:t>
      </w:r>
      <w:r>
        <w:rPr/>
        <w:t>en</w:t>
      </w:r>
      <w:r>
        <w:rPr>
          <w:spacing w:val="-6"/>
        </w:rPr>
        <w:t> </w:t>
      </w:r>
      <w:r>
        <w:rPr/>
        <w:t>línea</w:t>
      </w:r>
      <w:r>
        <w:rPr>
          <w:spacing w:val="-7"/>
        </w:rPr>
        <w:t> </w:t>
      </w:r>
      <w:r>
        <w:rPr/>
        <w:t>de</w:t>
      </w:r>
      <w:r>
        <w:rPr>
          <w:spacing w:val="-5"/>
        </w:rPr>
        <w:t> </w:t>
      </w:r>
      <w:r>
        <w:rPr/>
        <w:t>producción</w:t>
      </w:r>
      <w:r>
        <w:rPr>
          <w:spacing w:val="-6"/>
        </w:rPr>
        <w:t> </w:t>
      </w:r>
      <w:r>
        <w:rPr/>
        <w:t>(Tabla</w:t>
      </w:r>
      <w:r>
        <w:rPr>
          <w:spacing w:val="-7"/>
        </w:rPr>
        <w:t> </w:t>
      </w:r>
      <w:r>
        <w:rPr/>
        <w:t>4).</w:t>
      </w:r>
    </w:p>
    <w:p>
      <w:pPr>
        <w:spacing w:after="0" w:line="357" w:lineRule="auto"/>
        <w:jc w:val="both"/>
        <w:sectPr>
          <w:pgSz w:w="12240" w:h="15840"/>
          <w:pgMar w:header="0" w:footer="657" w:top="1360" w:bottom="840" w:left="1600" w:right="1520"/>
        </w:sectPr>
      </w:pPr>
    </w:p>
    <w:p>
      <w:pPr>
        <w:pStyle w:val="BodyText"/>
        <w:spacing w:line="362" w:lineRule="auto" w:before="50" w:after="29"/>
        <w:ind w:left="171"/>
      </w:pPr>
      <w:r>
        <w:rPr>
          <w:b/>
        </w:rPr>
        <w:t>Tabla 4. </w:t>
      </w:r>
      <w:r>
        <w:rPr/>
        <w:t>Estructura de los costos de producción en unidades lecheras de pequeña escala. Margen relativo (%)</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897"/>
        <w:gridCol w:w="1458"/>
        <w:gridCol w:w="1259"/>
        <w:gridCol w:w="1227"/>
      </w:tblGrid>
      <w:tr>
        <w:trPr>
          <w:trHeight w:val="461" w:hRule="exact"/>
        </w:trPr>
        <w:tc>
          <w:tcPr>
            <w:tcW w:w="4897" w:type="dxa"/>
            <w:tcBorders>
              <w:left w:val="nil"/>
              <w:right w:val="nil"/>
            </w:tcBorders>
          </w:tcPr>
          <w:p>
            <w:pPr>
              <w:pStyle w:val="TableParagraph"/>
              <w:spacing w:line="273" w:lineRule="exact"/>
              <w:ind w:left="69"/>
              <w:jc w:val="left"/>
              <w:rPr>
                <w:sz w:val="24"/>
              </w:rPr>
            </w:pPr>
            <w:r>
              <w:rPr>
                <w:sz w:val="24"/>
              </w:rPr>
              <w:t>Sistema de producción</w:t>
            </w:r>
          </w:p>
        </w:tc>
        <w:tc>
          <w:tcPr>
            <w:tcW w:w="1458" w:type="dxa"/>
            <w:tcBorders>
              <w:left w:val="nil"/>
              <w:right w:val="nil"/>
            </w:tcBorders>
          </w:tcPr>
          <w:p>
            <w:pPr>
              <w:pStyle w:val="TableParagraph"/>
              <w:spacing w:line="273" w:lineRule="exact"/>
              <w:ind w:right="179"/>
              <w:rPr>
                <w:sz w:val="24"/>
              </w:rPr>
            </w:pPr>
            <w:r>
              <w:rPr>
                <w:sz w:val="24"/>
              </w:rPr>
              <w:t>Estrato 1</w:t>
            </w:r>
          </w:p>
        </w:tc>
        <w:tc>
          <w:tcPr>
            <w:tcW w:w="1259" w:type="dxa"/>
            <w:tcBorders>
              <w:left w:val="nil"/>
              <w:right w:val="nil"/>
            </w:tcBorders>
          </w:tcPr>
          <w:p>
            <w:pPr>
              <w:pStyle w:val="TableParagraph"/>
              <w:spacing w:line="273" w:lineRule="exact"/>
              <w:ind w:right="174"/>
              <w:rPr>
                <w:sz w:val="24"/>
              </w:rPr>
            </w:pPr>
            <w:r>
              <w:rPr>
                <w:sz w:val="24"/>
              </w:rPr>
              <w:t>Estrato II</w:t>
            </w:r>
          </w:p>
        </w:tc>
        <w:tc>
          <w:tcPr>
            <w:tcW w:w="1227" w:type="dxa"/>
            <w:tcBorders>
              <w:left w:val="nil"/>
              <w:right w:val="nil"/>
            </w:tcBorders>
          </w:tcPr>
          <w:p>
            <w:pPr>
              <w:pStyle w:val="TableParagraph"/>
              <w:spacing w:line="273" w:lineRule="exact"/>
              <w:ind w:right="69"/>
              <w:rPr>
                <w:sz w:val="24"/>
              </w:rPr>
            </w:pPr>
            <w:r>
              <w:rPr>
                <w:sz w:val="24"/>
              </w:rPr>
              <w:t>Estrato III</w:t>
            </w:r>
          </w:p>
        </w:tc>
      </w:tr>
      <w:tr>
        <w:trPr>
          <w:trHeight w:val="374" w:hRule="exact"/>
        </w:trPr>
        <w:tc>
          <w:tcPr>
            <w:tcW w:w="4897" w:type="dxa"/>
            <w:tcBorders>
              <w:left w:val="nil"/>
              <w:bottom w:val="nil"/>
              <w:right w:val="nil"/>
            </w:tcBorders>
          </w:tcPr>
          <w:p>
            <w:pPr>
              <w:pStyle w:val="TableParagraph"/>
              <w:spacing w:line="270" w:lineRule="exact"/>
              <w:ind w:left="69"/>
              <w:jc w:val="left"/>
              <w:rPr>
                <w:sz w:val="24"/>
              </w:rPr>
            </w:pPr>
            <w:r>
              <w:rPr>
                <w:sz w:val="24"/>
              </w:rPr>
              <w:t>Insumos comercializables</w:t>
            </w:r>
          </w:p>
        </w:tc>
        <w:tc>
          <w:tcPr>
            <w:tcW w:w="1458" w:type="dxa"/>
            <w:tcBorders>
              <w:left w:val="nil"/>
              <w:bottom w:val="nil"/>
              <w:right w:val="nil"/>
            </w:tcBorders>
          </w:tcPr>
          <w:p>
            <w:pPr>
              <w:pStyle w:val="TableParagraph"/>
              <w:spacing w:line="270" w:lineRule="exact"/>
              <w:ind w:right="179"/>
              <w:rPr>
                <w:sz w:val="24"/>
              </w:rPr>
            </w:pPr>
            <w:r>
              <w:rPr>
                <w:sz w:val="24"/>
              </w:rPr>
              <w:t>62.60</w:t>
            </w:r>
          </w:p>
        </w:tc>
        <w:tc>
          <w:tcPr>
            <w:tcW w:w="1259" w:type="dxa"/>
            <w:tcBorders>
              <w:left w:val="nil"/>
              <w:bottom w:val="nil"/>
              <w:right w:val="nil"/>
            </w:tcBorders>
          </w:tcPr>
          <w:p>
            <w:pPr>
              <w:pStyle w:val="TableParagraph"/>
              <w:spacing w:line="270" w:lineRule="exact"/>
              <w:ind w:right="175"/>
              <w:rPr>
                <w:sz w:val="24"/>
              </w:rPr>
            </w:pPr>
            <w:r>
              <w:rPr>
                <w:sz w:val="24"/>
              </w:rPr>
              <w:t>60.79</w:t>
            </w:r>
          </w:p>
        </w:tc>
        <w:tc>
          <w:tcPr>
            <w:tcW w:w="1227" w:type="dxa"/>
            <w:tcBorders>
              <w:left w:val="nil"/>
              <w:bottom w:val="nil"/>
              <w:right w:val="nil"/>
            </w:tcBorders>
          </w:tcPr>
          <w:p>
            <w:pPr>
              <w:pStyle w:val="TableParagraph"/>
              <w:spacing w:line="270" w:lineRule="exact"/>
              <w:ind w:right="71"/>
              <w:rPr>
                <w:sz w:val="24"/>
              </w:rPr>
            </w:pPr>
            <w:r>
              <w:rPr>
                <w:sz w:val="24"/>
              </w:rPr>
              <w:t>66.54</w:t>
            </w:r>
          </w:p>
        </w:tc>
      </w:tr>
      <w:tr>
        <w:trPr>
          <w:trHeight w:val="414" w:hRule="exact"/>
        </w:trPr>
        <w:tc>
          <w:tcPr>
            <w:tcW w:w="4897" w:type="dxa"/>
            <w:tcBorders>
              <w:top w:val="nil"/>
              <w:left w:val="nil"/>
              <w:bottom w:val="nil"/>
              <w:right w:val="nil"/>
            </w:tcBorders>
          </w:tcPr>
          <w:p>
            <w:pPr>
              <w:pStyle w:val="TableParagraph"/>
              <w:spacing w:before="56"/>
              <w:ind w:left="69"/>
              <w:jc w:val="left"/>
              <w:rPr>
                <w:sz w:val="24"/>
              </w:rPr>
            </w:pPr>
            <w:r>
              <w:rPr>
                <w:sz w:val="24"/>
              </w:rPr>
              <w:t>Factores internos</w:t>
            </w:r>
          </w:p>
        </w:tc>
        <w:tc>
          <w:tcPr>
            <w:tcW w:w="1458" w:type="dxa"/>
            <w:tcBorders>
              <w:top w:val="nil"/>
              <w:left w:val="nil"/>
              <w:bottom w:val="nil"/>
              <w:right w:val="nil"/>
            </w:tcBorders>
          </w:tcPr>
          <w:p>
            <w:pPr>
              <w:pStyle w:val="TableParagraph"/>
              <w:spacing w:before="56"/>
              <w:ind w:right="179"/>
              <w:rPr>
                <w:sz w:val="24"/>
              </w:rPr>
            </w:pPr>
            <w:r>
              <w:rPr>
                <w:sz w:val="24"/>
              </w:rPr>
              <w:t>29.49</w:t>
            </w:r>
          </w:p>
        </w:tc>
        <w:tc>
          <w:tcPr>
            <w:tcW w:w="1259" w:type="dxa"/>
            <w:tcBorders>
              <w:top w:val="nil"/>
              <w:left w:val="nil"/>
              <w:bottom w:val="nil"/>
              <w:right w:val="nil"/>
            </w:tcBorders>
          </w:tcPr>
          <w:p>
            <w:pPr>
              <w:pStyle w:val="TableParagraph"/>
              <w:spacing w:before="56"/>
              <w:ind w:right="175"/>
              <w:rPr>
                <w:sz w:val="24"/>
              </w:rPr>
            </w:pPr>
            <w:r>
              <w:rPr>
                <w:sz w:val="24"/>
              </w:rPr>
              <w:t>32.48</w:t>
            </w:r>
          </w:p>
        </w:tc>
        <w:tc>
          <w:tcPr>
            <w:tcW w:w="1227" w:type="dxa"/>
            <w:tcBorders>
              <w:top w:val="nil"/>
              <w:left w:val="nil"/>
              <w:bottom w:val="nil"/>
              <w:right w:val="nil"/>
            </w:tcBorders>
          </w:tcPr>
          <w:p>
            <w:pPr>
              <w:pStyle w:val="TableParagraph"/>
              <w:spacing w:before="56"/>
              <w:ind w:right="71"/>
              <w:rPr>
                <w:sz w:val="24"/>
              </w:rPr>
            </w:pPr>
            <w:r>
              <w:rPr>
                <w:sz w:val="24"/>
              </w:rPr>
              <w:t>32.88</w:t>
            </w:r>
          </w:p>
        </w:tc>
      </w:tr>
      <w:tr>
        <w:trPr>
          <w:trHeight w:val="498" w:hRule="exact"/>
        </w:trPr>
        <w:tc>
          <w:tcPr>
            <w:tcW w:w="4897" w:type="dxa"/>
            <w:tcBorders>
              <w:top w:val="nil"/>
              <w:left w:val="nil"/>
              <w:right w:val="nil"/>
            </w:tcBorders>
          </w:tcPr>
          <w:p>
            <w:pPr>
              <w:pStyle w:val="TableParagraph"/>
              <w:spacing w:before="55"/>
              <w:ind w:left="69"/>
              <w:jc w:val="left"/>
              <w:rPr>
                <w:sz w:val="24"/>
              </w:rPr>
            </w:pPr>
            <w:r>
              <w:rPr>
                <w:sz w:val="24"/>
              </w:rPr>
              <w:t>Insumos indirectamente comercializables</w:t>
            </w:r>
          </w:p>
        </w:tc>
        <w:tc>
          <w:tcPr>
            <w:tcW w:w="1458" w:type="dxa"/>
            <w:tcBorders>
              <w:top w:val="nil"/>
              <w:left w:val="nil"/>
              <w:right w:val="nil"/>
            </w:tcBorders>
          </w:tcPr>
          <w:p>
            <w:pPr>
              <w:pStyle w:val="TableParagraph"/>
              <w:spacing w:before="55"/>
              <w:ind w:right="179"/>
              <w:rPr>
                <w:sz w:val="24"/>
              </w:rPr>
            </w:pPr>
            <w:r>
              <w:rPr>
                <w:sz w:val="24"/>
              </w:rPr>
              <w:t>7.86</w:t>
            </w:r>
          </w:p>
        </w:tc>
        <w:tc>
          <w:tcPr>
            <w:tcW w:w="1259" w:type="dxa"/>
            <w:tcBorders>
              <w:top w:val="nil"/>
              <w:left w:val="nil"/>
              <w:right w:val="nil"/>
            </w:tcBorders>
          </w:tcPr>
          <w:p>
            <w:pPr>
              <w:pStyle w:val="TableParagraph"/>
              <w:spacing w:before="55"/>
              <w:ind w:right="175"/>
              <w:rPr>
                <w:sz w:val="24"/>
              </w:rPr>
            </w:pPr>
            <w:r>
              <w:rPr>
                <w:sz w:val="24"/>
              </w:rPr>
              <w:t>6.73</w:t>
            </w:r>
          </w:p>
        </w:tc>
        <w:tc>
          <w:tcPr>
            <w:tcW w:w="1227" w:type="dxa"/>
            <w:tcBorders>
              <w:top w:val="nil"/>
              <w:left w:val="nil"/>
              <w:right w:val="nil"/>
            </w:tcBorders>
          </w:tcPr>
          <w:p>
            <w:pPr>
              <w:pStyle w:val="TableParagraph"/>
              <w:spacing w:before="55"/>
              <w:ind w:right="71"/>
              <w:rPr>
                <w:sz w:val="24"/>
              </w:rPr>
            </w:pPr>
            <w:r>
              <w:rPr>
                <w:sz w:val="24"/>
              </w:rPr>
              <w:t>0.58</w:t>
            </w:r>
          </w:p>
        </w:tc>
      </w:tr>
      <w:tr>
        <w:trPr>
          <w:trHeight w:val="343" w:hRule="exact"/>
        </w:trPr>
        <w:tc>
          <w:tcPr>
            <w:tcW w:w="4897" w:type="dxa"/>
            <w:tcBorders>
              <w:left w:val="nil"/>
              <w:bottom w:val="nil"/>
              <w:right w:val="nil"/>
            </w:tcBorders>
          </w:tcPr>
          <w:p>
            <w:pPr>
              <w:pStyle w:val="TableParagraph"/>
              <w:spacing w:line="226" w:lineRule="exact"/>
              <w:ind w:left="69"/>
              <w:jc w:val="left"/>
              <w:rPr>
                <w:sz w:val="20"/>
              </w:rPr>
            </w:pPr>
            <w:r>
              <w:rPr>
                <w:sz w:val="20"/>
              </w:rPr>
              <w:t>Fuente: Elaboración propia con información de campo.</w:t>
            </w:r>
          </w:p>
        </w:tc>
        <w:tc>
          <w:tcPr>
            <w:tcW w:w="1458" w:type="dxa"/>
            <w:tcBorders>
              <w:left w:val="nil"/>
              <w:bottom w:val="nil"/>
              <w:right w:val="nil"/>
            </w:tcBorders>
          </w:tcPr>
          <w:p>
            <w:pPr/>
          </w:p>
        </w:tc>
        <w:tc>
          <w:tcPr>
            <w:tcW w:w="1259" w:type="dxa"/>
            <w:tcBorders>
              <w:left w:val="nil"/>
              <w:bottom w:val="nil"/>
              <w:right w:val="nil"/>
            </w:tcBorders>
          </w:tcPr>
          <w:p>
            <w:pPr/>
          </w:p>
        </w:tc>
        <w:tc>
          <w:tcPr>
            <w:tcW w:w="1227" w:type="dxa"/>
            <w:tcBorders>
              <w:left w:val="nil"/>
              <w:bottom w:val="nil"/>
              <w:right w:val="nil"/>
            </w:tcBorders>
          </w:tcPr>
          <w:p>
            <w:pPr/>
          </w:p>
        </w:tc>
      </w:tr>
    </w:tbl>
    <w:p>
      <w:pPr>
        <w:pStyle w:val="BodyText"/>
        <w:rPr>
          <w:sz w:val="20"/>
        </w:rPr>
      </w:pPr>
    </w:p>
    <w:p>
      <w:pPr>
        <w:pStyle w:val="BodyText"/>
        <w:spacing w:line="360" w:lineRule="auto" w:before="204"/>
        <w:ind w:left="102" w:right="115"/>
        <w:jc w:val="both"/>
      </w:pPr>
      <w:r>
        <w:rPr/>
        <w:t>El ingreso que recibió el productor está integrado por el consumo intermedio y el valor agregado.</w:t>
      </w:r>
      <w:r>
        <w:rPr>
          <w:spacing w:val="-5"/>
        </w:rPr>
        <w:t> </w:t>
      </w:r>
      <w:r>
        <w:rPr/>
        <w:t>El</w:t>
      </w:r>
      <w:r>
        <w:rPr>
          <w:spacing w:val="-7"/>
        </w:rPr>
        <w:t> </w:t>
      </w:r>
      <w:r>
        <w:rPr/>
        <w:t>primero</w:t>
      </w:r>
      <w:r>
        <w:rPr>
          <w:spacing w:val="-8"/>
        </w:rPr>
        <w:t> </w:t>
      </w:r>
      <w:r>
        <w:rPr/>
        <w:t>valora</w:t>
      </w:r>
      <w:r>
        <w:rPr>
          <w:spacing w:val="-9"/>
        </w:rPr>
        <w:t> </w:t>
      </w:r>
      <w:r>
        <w:rPr/>
        <w:t>la</w:t>
      </w:r>
      <w:r>
        <w:rPr>
          <w:spacing w:val="-8"/>
        </w:rPr>
        <w:t> </w:t>
      </w:r>
      <w:r>
        <w:rPr/>
        <w:t>derrama</w:t>
      </w:r>
      <w:r>
        <w:rPr>
          <w:spacing w:val="-5"/>
        </w:rPr>
        <w:t> </w:t>
      </w:r>
      <w:r>
        <w:rPr/>
        <w:t>económica</w:t>
      </w:r>
      <w:r>
        <w:rPr>
          <w:spacing w:val="-8"/>
        </w:rPr>
        <w:t> </w:t>
      </w:r>
      <w:r>
        <w:rPr/>
        <w:t>de</w:t>
      </w:r>
      <w:r>
        <w:rPr>
          <w:spacing w:val="-8"/>
        </w:rPr>
        <w:t> </w:t>
      </w:r>
      <w:r>
        <w:rPr/>
        <w:t>la</w:t>
      </w:r>
      <w:r>
        <w:rPr>
          <w:spacing w:val="-8"/>
        </w:rPr>
        <w:t> </w:t>
      </w:r>
      <w:r>
        <w:rPr/>
        <w:t>actividad</w:t>
      </w:r>
      <w:r>
        <w:rPr>
          <w:spacing w:val="-8"/>
        </w:rPr>
        <w:t> </w:t>
      </w:r>
      <w:r>
        <w:rPr/>
        <w:t>agrícola</w:t>
      </w:r>
      <w:r>
        <w:rPr>
          <w:spacing w:val="-5"/>
        </w:rPr>
        <w:t> </w:t>
      </w:r>
      <w:r>
        <w:rPr/>
        <w:t>hacia</w:t>
      </w:r>
      <w:r>
        <w:rPr>
          <w:spacing w:val="-8"/>
        </w:rPr>
        <w:t> </w:t>
      </w:r>
      <w:r>
        <w:rPr/>
        <w:t>los</w:t>
      </w:r>
      <w:r>
        <w:rPr>
          <w:spacing w:val="-7"/>
        </w:rPr>
        <w:t> </w:t>
      </w:r>
      <w:r>
        <w:rPr/>
        <w:t>sectores secundario y terciario a través del pago de insumos comerciables e indirectamente comerciables. El segundo representa la contribución de la actividad pecuaria al ingreso del propio sector y está compuesto por el pago a los factores de la producción más la remuneración al trabajo del productor y la ganancia (Hernández-Martínez </w:t>
      </w:r>
      <w:r>
        <w:rPr>
          <w:i/>
        </w:rPr>
        <w:t>et al., </w:t>
      </w:r>
      <w:r>
        <w:rPr/>
        <w:t>2008; Rebollar-Rebollar </w:t>
      </w:r>
      <w:r>
        <w:rPr>
          <w:i/>
        </w:rPr>
        <w:t>et al.,</w:t>
      </w:r>
      <w:r>
        <w:rPr>
          <w:i/>
          <w:spacing w:val="-6"/>
        </w:rPr>
        <w:t> </w:t>
      </w:r>
      <w:r>
        <w:rPr/>
        <w:t>2011).</w:t>
      </w:r>
    </w:p>
    <w:p>
      <w:pPr>
        <w:pStyle w:val="BodyText"/>
      </w:pPr>
    </w:p>
    <w:p>
      <w:pPr>
        <w:pStyle w:val="Heading1"/>
        <w:spacing w:before="148"/>
      </w:pPr>
      <w:r>
        <w:rPr/>
        <w:t>Derrama económica de la actividad lechera hacia el resto de los sectores económicos</w:t>
      </w:r>
    </w:p>
    <w:p>
      <w:pPr>
        <w:pStyle w:val="BodyText"/>
        <w:rPr>
          <w:b/>
        </w:rPr>
      </w:pPr>
    </w:p>
    <w:p>
      <w:pPr>
        <w:pStyle w:val="BodyText"/>
        <w:spacing w:before="7"/>
        <w:rPr>
          <w:b/>
          <w:sz w:val="23"/>
        </w:rPr>
      </w:pPr>
    </w:p>
    <w:p>
      <w:pPr>
        <w:pStyle w:val="BodyText"/>
        <w:spacing w:line="360" w:lineRule="auto"/>
        <w:ind w:left="102" w:right="118"/>
        <w:jc w:val="both"/>
      </w:pPr>
      <w:r>
        <w:rPr/>
        <w:t>La</w:t>
      </w:r>
      <w:r>
        <w:rPr>
          <w:spacing w:val="-12"/>
        </w:rPr>
        <w:t> </w:t>
      </w:r>
      <w:r>
        <w:rPr/>
        <w:t>derrama</w:t>
      </w:r>
      <w:r>
        <w:rPr>
          <w:spacing w:val="-12"/>
        </w:rPr>
        <w:t> </w:t>
      </w:r>
      <w:r>
        <w:rPr/>
        <w:t>económica</w:t>
      </w:r>
      <w:r>
        <w:rPr>
          <w:spacing w:val="-12"/>
        </w:rPr>
        <w:t> </w:t>
      </w:r>
      <w:r>
        <w:rPr/>
        <w:t>de</w:t>
      </w:r>
      <w:r>
        <w:rPr>
          <w:spacing w:val="-10"/>
        </w:rPr>
        <w:t> </w:t>
      </w:r>
      <w:r>
        <w:rPr/>
        <w:t>la</w:t>
      </w:r>
      <w:r>
        <w:rPr>
          <w:spacing w:val="-12"/>
        </w:rPr>
        <w:t> </w:t>
      </w:r>
      <w:r>
        <w:rPr/>
        <w:t>actividad</w:t>
      </w:r>
      <w:r>
        <w:rPr>
          <w:spacing w:val="-11"/>
        </w:rPr>
        <w:t> </w:t>
      </w:r>
      <w:r>
        <w:rPr/>
        <w:t>lechera</w:t>
      </w:r>
      <w:r>
        <w:rPr>
          <w:spacing w:val="-12"/>
        </w:rPr>
        <w:t> </w:t>
      </w:r>
      <w:r>
        <w:rPr/>
        <w:t>de</w:t>
      </w:r>
      <w:r>
        <w:rPr>
          <w:spacing w:val="-12"/>
        </w:rPr>
        <w:t> </w:t>
      </w:r>
      <w:r>
        <w:rPr/>
        <w:t>pequeña</w:t>
      </w:r>
      <w:r>
        <w:rPr>
          <w:spacing w:val="-12"/>
        </w:rPr>
        <w:t> </w:t>
      </w:r>
      <w:r>
        <w:rPr/>
        <w:t>escala</w:t>
      </w:r>
      <w:r>
        <w:rPr>
          <w:spacing w:val="-12"/>
        </w:rPr>
        <w:t> </w:t>
      </w:r>
      <w:r>
        <w:rPr/>
        <w:t>hacia</w:t>
      </w:r>
      <w:r>
        <w:rPr>
          <w:spacing w:val="-12"/>
        </w:rPr>
        <w:t> </w:t>
      </w:r>
      <w:r>
        <w:rPr/>
        <w:t>el</w:t>
      </w:r>
      <w:r>
        <w:rPr>
          <w:spacing w:val="-11"/>
        </w:rPr>
        <w:t> </w:t>
      </w:r>
      <w:r>
        <w:rPr/>
        <w:t>resto</w:t>
      </w:r>
      <w:r>
        <w:rPr>
          <w:spacing w:val="-11"/>
        </w:rPr>
        <w:t> </w:t>
      </w:r>
      <w:r>
        <w:rPr/>
        <w:t>de</w:t>
      </w:r>
      <w:r>
        <w:rPr>
          <w:spacing w:val="-12"/>
        </w:rPr>
        <w:t> </w:t>
      </w:r>
      <w:r>
        <w:rPr/>
        <w:t>los</w:t>
      </w:r>
      <w:r>
        <w:rPr>
          <w:spacing w:val="-10"/>
        </w:rPr>
        <w:t> </w:t>
      </w:r>
      <w:r>
        <w:rPr/>
        <w:t>sectores de la economía, se midió a través del indicador Consumo Intermedio en el Ingreso Total (VPAP). Este indicador se ubicó entre 46 y 65% (Tabla 5), lo que señala que en promedio 55%</w:t>
      </w:r>
      <w:r>
        <w:rPr>
          <w:spacing w:val="-7"/>
        </w:rPr>
        <w:t> </w:t>
      </w:r>
      <w:r>
        <w:rPr/>
        <w:t>de</w:t>
      </w:r>
      <w:r>
        <w:rPr>
          <w:spacing w:val="-7"/>
        </w:rPr>
        <w:t> </w:t>
      </w:r>
      <w:r>
        <w:rPr/>
        <w:t>los</w:t>
      </w:r>
      <w:r>
        <w:rPr>
          <w:spacing w:val="-6"/>
        </w:rPr>
        <w:t> </w:t>
      </w:r>
      <w:r>
        <w:rPr/>
        <w:t>ingresos</w:t>
      </w:r>
      <w:r>
        <w:rPr>
          <w:spacing w:val="-3"/>
        </w:rPr>
        <w:t> </w:t>
      </w:r>
      <w:r>
        <w:rPr/>
        <w:t>generados</w:t>
      </w:r>
      <w:r>
        <w:rPr>
          <w:spacing w:val="-6"/>
        </w:rPr>
        <w:t> </w:t>
      </w:r>
      <w:r>
        <w:rPr/>
        <w:t>por</w:t>
      </w:r>
      <w:r>
        <w:rPr>
          <w:spacing w:val="-5"/>
        </w:rPr>
        <w:t> </w:t>
      </w:r>
      <w:r>
        <w:rPr/>
        <w:t>la</w:t>
      </w:r>
      <w:r>
        <w:rPr>
          <w:spacing w:val="-4"/>
        </w:rPr>
        <w:t> </w:t>
      </w:r>
      <w:r>
        <w:rPr/>
        <w:t>actividad</w:t>
      </w:r>
      <w:r>
        <w:rPr>
          <w:spacing w:val="-7"/>
        </w:rPr>
        <w:t> </w:t>
      </w:r>
      <w:r>
        <w:rPr/>
        <w:t>se</w:t>
      </w:r>
      <w:r>
        <w:rPr>
          <w:spacing w:val="-2"/>
        </w:rPr>
        <w:t> </w:t>
      </w:r>
      <w:r>
        <w:rPr/>
        <w:t>distribuyeron</w:t>
      </w:r>
      <w:r>
        <w:rPr>
          <w:spacing w:val="-5"/>
        </w:rPr>
        <w:t> </w:t>
      </w:r>
      <w:r>
        <w:rPr/>
        <w:t>hacia</w:t>
      </w:r>
      <w:r>
        <w:rPr>
          <w:spacing w:val="-7"/>
        </w:rPr>
        <w:t> </w:t>
      </w:r>
      <w:r>
        <w:rPr/>
        <w:t>el</w:t>
      </w:r>
      <w:r>
        <w:rPr>
          <w:spacing w:val="-3"/>
        </w:rPr>
        <w:t> </w:t>
      </w:r>
      <w:r>
        <w:rPr/>
        <w:t>resto</w:t>
      </w:r>
      <w:r>
        <w:rPr>
          <w:spacing w:val="-6"/>
        </w:rPr>
        <w:t> </w:t>
      </w:r>
      <w:r>
        <w:rPr/>
        <w:t>de</w:t>
      </w:r>
      <w:r>
        <w:rPr>
          <w:spacing w:val="-7"/>
        </w:rPr>
        <w:t> </w:t>
      </w:r>
      <w:r>
        <w:rPr/>
        <w:t>los</w:t>
      </w:r>
      <w:r>
        <w:rPr>
          <w:spacing w:val="-6"/>
        </w:rPr>
        <w:t> </w:t>
      </w:r>
      <w:r>
        <w:rPr/>
        <w:t>sectores económicos (secundario y terciario) que guardan una relación directa o indirecta con la producción</w:t>
      </w:r>
      <w:r>
        <w:rPr>
          <w:spacing w:val="-14"/>
        </w:rPr>
        <w:t> </w:t>
      </w:r>
      <w:r>
        <w:rPr/>
        <w:t>lechera.</w:t>
      </w:r>
      <w:r>
        <w:rPr>
          <w:spacing w:val="-14"/>
        </w:rPr>
        <w:t> </w:t>
      </w:r>
      <w:r>
        <w:rPr/>
        <w:t>El</w:t>
      </w:r>
      <w:r>
        <w:rPr>
          <w:spacing w:val="-14"/>
        </w:rPr>
        <w:t> </w:t>
      </w:r>
      <w:r>
        <w:rPr/>
        <w:t>promedio</w:t>
      </w:r>
      <w:r>
        <w:rPr>
          <w:spacing w:val="-14"/>
        </w:rPr>
        <w:t> </w:t>
      </w:r>
      <w:r>
        <w:rPr/>
        <w:t>del</w:t>
      </w:r>
      <w:r>
        <w:rPr>
          <w:spacing w:val="-14"/>
        </w:rPr>
        <w:t> </w:t>
      </w:r>
      <w:r>
        <w:rPr/>
        <w:t>VPAP</w:t>
      </w:r>
      <w:r>
        <w:rPr>
          <w:spacing w:val="-14"/>
        </w:rPr>
        <w:t> </w:t>
      </w:r>
      <w:r>
        <w:rPr/>
        <w:t>refleja</w:t>
      </w:r>
      <w:r>
        <w:rPr>
          <w:spacing w:val="-13"/>
        </w:rPr>
        <w:t> </w:t>
      </w:r>
      <w:r>
        <w:rPr/>
        <w:t>el</w:t>
      </w:r>
      <w:r>
        <w:rPr>
          <w:spacing w:val="-14"/>
        </w:rPr>
        <w:t> </w:t>
      </w:r>
      <w:r>
        <w:rPr/>
        <w:t>alto</w:t>
      </w:r>
      <w:r>
        <w:rPr>
          <w:spacing w:val="-14"/>
        </w:rPr>
        <w:t> </w:t>
      </w:r>
      <w:r>
        <w:rPr/>
        <w:t>porcentaje</w:t>
      </w:r>
      <w:r>
        <w:rPr>
          <w:spacing w:val="-13"/>
        </w:rPr>
        <w:t> </w:t>
      </w:r>
      <w:r>
        <w:rPr/>
        <w:t>generado</w:t>
      </w:r>
      <w:r>
        <w:rPr>
          <w:spacing w:val="-14"/>
        </w:rPr>
        <w:t> </w:t>
      </w:r>
      <w:r>
        <w:rPr/>
        <w:t>por</w:t>
      </w:r>
      <w:r>
        <w:rPr>
          <w:spacing w:val="-15"/>
        </w:rPr>
        <w:t> </w:t>
      </w:r>
      <w:r>
        <w:rPr/>
        <w:t>las</w:t>
      </w:r>
      <w:r>
        <w:rPr>
          <w:spacing w:val="-15"/>
        </w:rPr>
        <w:t> </w:t>
      </w:r>
      <w:r>
        <w:rPr/>
        <w:t>UPLPE en independencia de insumos externos estrato </w:t>
      </w:r>
      <w:r>
        <w:rPr>
          <w:spacing w:val="-3"/>
        </w:rPr>
        <w:t>I, </w:t>
      </w:r>
      <w:r>
        <w:rPr/>
        <w:t>(90%), estrato II (70) y estrato III (48%), lo cual es indicador de fortaleza del sistema y de economías que pueden alcanzar mayor grado de competitividad y rentabilidad sectorial, dado que su sistema productivo genera en promedio 70% de los insumos alimentarios que utilizan (rubro que eroga el mayor costo de producción 60-70%), esta fortaleza genera un amortiguamiento al cambio inmediato del precio corriente de los insumos para la</w:t>
      </w:r>
      <w:r>
        <w:rPr>
          <w:spacing w:val="-8"/>
        </w:rPr>
        <w:t> </w:t>
      </w:r>
      <w:r>
        <w:rPr/>
        <w:t>producción.</w:t>
      </w:r>
    </w:p>
    <w:p>
      <w:pPr>
        <w:spacing w:after="0" w:line="360" w:lineRule="auto"/>
        <w:jc w:val="both"/>
        <w:sectPr>
          <w:pgSz w:w="12240" w:h="15840"/>
          <w:pgMar w:header="0" w:footer="657" w:top="1360" w:bottom="840" w:left="1600" w:right="1580"/>
        </w:sectPr>
      </w:pPr>
    </w:p>
    <w:p>
      <w:pPr>
        <w:pStyle w:val="Heading1"/>
      </w:pPr>
      <w:r>
        <w:rPr/>
        <w:t>Contribución a la economía sectorial y regional</w:t>
      </w:r>
    </w:p>
    <w:p>
      <w:pPr>
        <w:pStyle w:val="BodyText"/>
        <w:rPr>
          <w:b/>
        </w:rPr>
      </w:pPr>
    </w:p>
    <w:p>
      <w:pPr>
        <w:pStyle w:val="BodyText"/>
        <w:spacing w:before="7"/>
        <w:rPr>
          <w:b/>
          <w:sz w:val="23"/>
        </w:rPr>
      </w:pPr>
    </w:p>
    <w:p>
      <w:pPr>
        <w:pStyle w:val="BodyText"/>
        <w:spacing w:line="360" w:lineRule="auto"/>
        <w:ind w:left="102" w:right="116"/>
        <w:jc w:val="both"/>
      </w:pPr>
      <w:r>
        <w:rPr/>
        <w:t>La contribución a la economía sectorial y regional se midió con el índice generado por el Valor</w:t>
      </w:r>
      <w:r>
        <w:rPr>
          <w:spacing w:val="-7"/>
        </w:rPr>
        <w:t> </w:t>
      </w:r>
      <w:r>
        <w:rPr/>
        <w:t>Agregado</w:t>
      </w:r>
      <w:r>
        <w:rPr>
          <w:spacing w:val="-4"/>
        </w:rPr>
        <w:t> </w:t>
      </w:r>
      <w:r>
        <w:rPr/>
        <w:t>en</w:t>
      </w:r>
      <w:r>
        <w:rPr>
          <w:spacing w:val="-6"/>
        </w:rPr>
        <w:t> </w:t>
      </w:r>
      <w:r>
        <w:rPr/>
        <w:t>el</w:t>
      </w:r>
      <w:r>
        <w:rPr>
          <w:spacing w:val="-3"/>
        </w:rPr>
        <w:t> </w:t>
      </w:r>
      <w:r>
        <w:rPr/>
        <w:t>Ingreso</w:t>
      </w:r>
      <w:r>
        <w:rPr>
          <w:spacing w:val="-6"/>
        </w:rPr>
        <w:t> </w:t>
      </w:r>
      <w:r>
        <w:rPr/>
        <w:t>Total</w:t>
      </w:r>
      <w:r>
        <w:rPr>
          <w:spacing w:val="-6"/>
        </w:rPr>
        <w:t> </w:t>
      </w:r>
      <w:r>
        <w:rPr/>
        <w:t>(PCIP),</w:t>
      </w:r>
      <w:r>
        <w:rPr>
          <w:spacing w:val="-7"/>
        </w:rPr>
        <w:t> </w:t>
      </w:r>
      <w:r>
        <w:rPr/>
        <w:t>el</w:t>
      </w:r>
      <w:r>
        <w:rPr>
          <w:spacing w:val="-6"/>
        </w:rPr>
        <w:t> </w:t>
      </w:r>
      <w:r>
        <w:rPr/>
        <w:t>cual</w:t>
      </w:r>
      <w:r>
        <w:rPr>
          <w:spacing w:val="-4"/>
        </w:rPr>
        <w:t> </w:t>
      </w:r>
      <w:r>
        <w:rPr/>
        <w:t>varió</w:t>
      </w:r>
      <w:r>
        <w:rPr>
          <w:spacing w:val="-6"/>
        </w:rPr>
        <w:t> </w:t>
      </w:r>
      <w:r>
        <w:rPr/>
        <w:t>de</w:t>
      </w:r>
      <w:r>
        <w:rPr>
          <w:spacing w:val="-7"/>
        </w:rPr>
        <w:t> </w:t>
      </w:r>
      <w:r>
        <w:rPr/>
        <w:t>35</w:t>
      </w:r>
      <w:r>
        <w:rPr>
          <w:spacing w:val="-4"/>
        </w:rPr>
        <w:t> </w:t>
      </w:r>
      <w:r>
        <w:rPr/>
        <w:t>a</w:t>
      </w:r>
      <w:r>
        <w:rPr>
          <w:spacing w:val="-7"/>
        </w:rPr>
        <w:t> </w:t>
      </w:r>
      <w:r>
        <w:rPr/>
        <w:t>54%</w:t>
      </w:r>
      <w:r>
        <w:rPr>
          <w:spacing w:val="-7"/>
        </w:rPr>
        <w:t> </w:t>
      </w:r>
      <w:r>
        <w:rPr/>
        <w:t>(Tabla</w:t>
      </w:r>
      <w:r>
        <w:rPr>
          <w:spacing w:val="-7"/>
        </w:rPr>
        <w:t> </w:t>
      </w:r>
      <w:r>
        <w:rPr/>
        <w:t>5)</w:t>
      </w:r>
      <w:r>
        <w:rPr>
          <w:spacing w:val="-7"/>
        </w:rPr>
        <w:t> </w:t>
      </w:r>
      <w:r>
        <w:rPr/>
        <w:t>con</w:t>
      </w:r>
      <w:r>
        <w:rPr>
          <w:spacing w:val="-4"/>
        </w:rPr>
        <w:t> </w:t>
      </w:r>
      <w:r>
        <w:rPr/>
        <w:t>respecto al</w:t>
      </w:r>
      <w:r>
        <w:rPr>
          <w:spacing w:val="-13"/>
        </w:rPr>
        <w:t> </w:t>
      </w:r>
      <w:r>
        <w:rPr/>
        <w:t>ingreso</w:t>
      </w:r>
      <w:r>
        <w:rPr>
          <w:spacing w:val="-11"/>
        </w:rPr>
        <w:t> </w:t>
      </w:r>
      <w:r>
        <w:rPr/>
        <w:t>total,</w:t>
      </w:r>
      <w:r>
        <w:rPr>
          <w:spacing w:val="-13"/>
        </w:rPr>
        <w:t> </w:t>
      </w:r>
      <w:r>
        <w:rPr/>
        <w:t>este</w:t>
      </w:r>
      <w:r>
        <w:rPr>
          <w:spacing w:val="-11"/>
        </w:rPr>
        <w:t> </w:t>
      </w:r>
      <w:r>
        <w:rPr/>
        <w:t>comportamiento</w:t>
      </w:r>
      <w:r>
        <w:rPr>
          <w:spacing w:val="-13"/>
        </w:rPr>
        <w:t> </w:t>
      </w:r>
      <w:r>
        <w:rPr/>
        <w:t>indica</w:t>
      </w:r>
      <w:r>
        <w:rPr>
          <w:spacing w:val="-12"/>
        </w:rPr>
        <w:t> </w:t>
      </w:r>
      <w:r>
        <w:rPr/>
        <w:t>la</w:t>
      </w:r>
      <w:r>
        <w:rPr>
          <w:spacing w:val="-12"/>
        </w:rPr>
        <w:t> </w:t>
      </w:r>
      <w:r>
        <w:rPr/>
        <w:t>capacidad</w:t>
      </w:r>
      <w:r>
        <w:rPr>
          <w:spacing w:val="-14"/>
        </w:rPr>
        <w:t> </w:t>
      </w:r>
      <w:r>
        <w:rPr/>
        <w:t>de</w:t>
      </w:r>
      <w:r>
        <w:rPr>
          <w:spacing w:val="-14"/>
        </w:rPr>
        <w:t> </w:t>
      </w:r>
      <w:r>
        <w:rPr/>
        <w:t>la</w:t>
      </w:r>
      <w:r>
        <w:rPr>
          <w:spacing w:val="-14"/>
        </w:rPr>
        <w:t> </w:t>
      </w:r>
      <w:r>
        <w:rPr/>
        <w:t>actividad</w:t>
      </w:r>
      <w:r>
        <w:rPr>
          <w:spacing w:val="-14"/>
        </w:rPr>
        <w:t> </w:t>
      </w:r>
      <w:r>
        <w:rPr/>
        <w:t>para</w:t>
      </w:r>
      <w:r>
        <w:rPr>
          <w:spacing w:val="-14"/>
        </w:rPr>
        <w:t> </w:t>
      </w:r>
      <w:r>
        <w:rPr/>
        <w:t>retribuir</w:t>
      </w:r>
      <w:r>
        <w:rPr>
          <w:spacing w:val="-14"/>
        </w:rPr>
        <w:t> </w:t>
      </w:r>
      <w:r>
        <w:rPr/>
        <w:t>el</w:t>
      </w:r>
      <w:r>
        <w:rPr>
          <w:spacing w:val="-11"/>
        </w:rPr>
        <w:t> </w:t>
      </w:r>
      <w:r>
        <w:rPr/>
        <w:t>pago de</w:t>
      </w:r>
      <w:r>
        <w:rPr>
          <w:spacing w:val="-10"/>
        </w:rPr>
        <w:t> </w:t>
      </w:r>
      <w:r>
        <w:rPr/>
        <w:t>los</w:t>
      </w:r>
      <w:r>
        <w:rPr>
          <w:spacing w:val="-8"/>
        </w:rPr>
        <w:t> </w:t>
      </w:r>
      <w:r>
        <w:rPr/>
        <w:t>factores</w:t>
      </w:r>
      <w:r>
        <w:rPr>
          <w:spacing w:val="-8"/>
        </w:rPr>
        <w:t> </w:t>
      </w:r>
      <w:r>
        <w:rPr/>
        <w:t>de</w:t>
      </w:r>
      <w:r>
        <w:rPr>
          <w:spacing w:val="-7"/>
        </w:rPr>
        <w:t> </w:t>
      </w:r>
      <w:r>
        <w:rPr/>
        <w:t>la</w:t>
      </w:r>
      <w:r>
        <w:rPr>
          <w:spacing w:val="-9"/>
        </w:rPr>
        <w:t> </w:t>
      </w:r>
      <w:r>
        <w:rPr/>
        <w:t>producción</w:t>
      </w:r>
      <w:r>
        <w:rPr>
          <w:spacing w:val="-3"/>
        </w:rPr>
        <w:t> </w:t>
      </w:r>
      <w:r>
        <w:rPr/>
        <w:t>y</w:t>
      </w:r>
      <w:r>
        <w:rPr>
          <w:spacing w:val="-11"/>
        </w:rPr>
        <w:t> </w:t>
      </w:r>
      <w:r>
        <w:rPr/>
        <w:t>generar</w:t>
      </w:r>
      <w:r>
        <w:rPr>
          <w:spacing w:val="-7"/>
        </w:rPr>
        <w:t> </w:t>
      </w:r>
      <w:r>
        <w:rPr/>
        <w:t>un</w:t>
      </w:r>
      <w:r>
        <w:rPr>
          <w:spacing w:val="-9"/>
        </w:rPr>
        <w:t> </w:t>
      </w:r>
      <w:r>
        <w:rPr/>
        <w:t>beneficio</w:t>
      </w:r>
      <w:r>
        <w:rPr>
          <w:spacing w:val="-8"/>
        </w:rPr>
        <w:t> </w:t>
      </w:r>
      <w:r>
        <w:rPr/>
        <w:t>para</w:t>
      </w:r>
      <w:r>
        <w:rPr>
          <w:spacing w:val="-7"/>
        </w:rPr>
        <w:t> </w:t>
      </w:r>
      <w:r>
        <w:rPr/>
        <w:t>el</w:t>
      </w:r>
      <w:r>
        <w:rPr>
          <w:spacing w:val="-8"/>
        </w:rPr>
        <w:t> </w:t>
      </w:r>
      <w:r>
        <w:rPr/>
        <w:t>productor.</w:t>
      </w:r>
      <w:r>
        <w:rPr>
          <w:spacing w:val="-9"/>
        </w:rPr>
        <w:t> </w:t>
      </w:r>
      <w:r>
        <w:rPr/>
        <w:t>El</w:t>
      </w:r>
      <w:r>
        <w:rPr>
          <w:spacing w:val="-6"/>
        </w:rPr>
        <w:t> </w:t>
      </w:r>
      <w:r>
        <w:rPr/>
        <w:t>comportamiento del PCIP, que se ubicó en un promedio de 45% reflejó el efecto del sistema de producción hacia la contribución sectorial y regional, basado; 1) en el aporte que genera la actividad en crear fuentes de autoempleo para personas económicamente inactivas (niños, adultos de la tercera edad y amas de casa) en hatos de 3 a 9 vacas en producción (estrato I), autoempleo</w:t>
      </w:r>
      <w:r>
        <w:rPr>
          <w:spacing w:val="-19"/>
        </w:rPr>
        <w:t> </w:t>
      </w:r>
      <w:r>
        <w:rPr/>
        <w:t>y empleos</w:t>
      </w:r>
      <w:r>
        <w:rPr>
          <w:spacing w:val="-5"/>
        </w:rPr>
        <w:t> </w:t>
      </w:r>
      <w:r>
        <w:rPr/>
        <w:t>temporales</w:t>
      </w:r>
      <w:r>
        <w:rPr>
          <w:spacing w:val="-5"/>
        </w:rPr>
        <w:t> </w:t>
      </w:r>
      <w:r>
        <w:rPr/>
        <w:t>en</w:t>
      </w:r>
      <w:r>
        <w:rPr>
          <w:spacing w:val="-5"/>
        </w:rPr>
        <w:t> </w:t>
      </w:r>
      <w:r>
        <w:rPr/>
        <w:t>hatos</w:t>
      </w:r>
      <w:r>
        <w:rPr>
          <w:spacing w:val="-4"/>
        </w:rPr>
        <w:t> </w:t>
      </w:r>
      <w:r>
        <w:rPr/>
        <w:t>de</w:t>
      </w:r>
      <w:r>
        <w:rPr>
          <w:spacing w:val="-6"/>
        </w:rPr>
        <w:t> </w:t>
      </w:r>
      <w:r>
        <w:rPr/>
        <w:t>10</w:t>
      </w:r>
      <w:r>
        <w:rPr>
          <w:spacing w:val="-5"/>
        </w:rPr>
        <w:t> </w:t>
      </w:r>
      <w:r>
        <w:rPr/>
        <w:t>a</w:t>
      </w:r>
      <w:r>
        <w:rPr>
          <w:spacing w:val="-5"/>
        </w:rPr>
        <w:t> </w:t>
      </w:r>
      <w:r>
        <w:rPr/>
        <w:t>19</w:t>
      </w:r>
      <w:r>
        <w:rPr>
          <w:spacing w:val="-5"/>
        </w:rPr>
        <w:t> </w:t>
      </w:r>
      <w:r>
        <w:rPr/>
        <w:t>vacas</w:t>
      </w:r>
      <w:r>
        <w:rPr>
          <w:spacing w:val="-5"/>
        </w:rPr>
        <w:t> </w:t>
      </w:r>
      <w:r>
        <w:rPr/>
        <w:t>(estrato</w:t>
      </w:r>
      <w:r>
        <w:rPr>
          <w:spacing w:val="-2"/>
        </w:rPr>
        <w:t> </w:t>
      </w:r>
      <w:r>
        <w:rPr/>
        <w:t>II)</w:t>
      </w:r>
      <w:r>
        <w:rPr>
          <w:spacing w:val="-1"/>
        </w:rPr>
        <w:t> </w:t>
      </w:r>
      <w:r>
        <w:rPr/>
        <w:t>y</w:t>
      </w:r>
      <w:r>
        <w:rPr>
          <w:spacing w:val="-10"/>
        </w:rPr>
        <w:t> </w:t>
      </w:r>
      <w:r>
        <w:rPr/>
        <w:t>autoempleo,</w:t>
      </w:r>
      <w:r>
        <w:rPr>
          <w:spacing w:val="-5"/>
        </w:rPr>
        <w:t> </w:t>
      </w:r>
      <w:r>
        <w:rPr/>
        <w:t>empleos</w:t>
      </w:r>
      <w:r>
        <w:rPr>
          <w:spacing w:val="-5"/>
        </w:rPr>
        <w:t> </w:t>
      </w:r>
      <w:r>
        <w:rPr/>
        <w:t>temporales y permanentes en hatos de 20 a 30 vacas (estrato III) </w:t>
      </w:r>
      <w:r>
        <w:rPr>
          <w:spacing w:val="-4"/>
        </w:rPr>
        <w:t>y; </w:t>
      </w:r>
      <w:r>
        <w:rPr/>
        <w:t>2) el aporte económico regional generado por la actividad, a través de la Cadena agroalimentaria; productor-acopiador- transformista-consumidor final, el funcionamiento de esta cadena genera fuentes de</w:t>
      </w:r>
      <w:r>
        <w:rPr>
          <w:spacing w:val="-23"/>
        </w:rPr>
        <w:t> </w:t>
      </w:r>
      <w:r>
        <w:rPr/>
        <w:t>empleo, adicionales a las creadas en el eslabón primario (en los eslabones de acopiadores y transformistas), reactiva la economía de la región al haber un flujo de productos y subproductos de la leche que generan entradas y salidas constantes de</w:t>
      </w:r>
      <w:r>
        <w:rPr>
          <w:spacing w:val="-13"/>
        </w:rPr>
        <w:t> </w:t>
      </w:r>
      <w:r>
        <w:rPr/>
        <w:t>dinero.</w:t>
      </w:r>
    </w:p>
    <w:p>
      <w:pPr>
        <w:pStyle w:val="BodyText"/>
      </w:pPr>
    </w:p>
    <w:p>
      <w:pPr>
        <w:pStyle w:val="Heading1"/>
        <w:spacing w:before="148"/>
      </w:pPr>
      <w:r>
        <w:rPr/>
        <w:t>Valor Agregado a Precios Privados (VAP)</w:t>
      </w:r>
    </w:p>
    <w:p>
      <w:pPr>
        <w:pStyle w:val="BodyText"/>
        <w:rPr>
          <w:b/>
        </w:rPr>
      </w:pPr>
    </w:p>
    <w:p>
      <w:pPr>
        <w:pStyle w:val="BodyText"/>
        <w:spacing w:before="6"/>
        <w:rPr>
          <w:b/>
          <w:sz w:val="23"/>
        </w:rPr>
      </w:pPr>
    </w:p>
    <w:p>
      <w:pPr>
        <w:pStyle w:val="BodyText"/>
        <w:spacing w:line="357" w:lineRule="auto"/>
        <w:ind w:left="102" w:right="119"/>
        <w:jc w:val="both"/>
      </w:pPr>
      <w:r>
        <w:rPr/>
        <w:t>Este</w:t>
      </w:r>
      <w:r>
        <w:rPr>
          <w:spacing w:val="-9"/>
        </w:rPr>
        <w:t> </w:t>
      </w:r>
      <w:r>
        <w:rPr/>
        <w:t>indicador</w:t>
      </w:r>
      <w:r>
        <w:rPr>
          <w:spacing w:val="-9"/>
        </w:rPr>
        <w:t> </w:t>
      </w:r>
      <w:r>
        <w:rPr/>
        <w:t>valoriza</w:t>
      </w:r>
      <w:r>
        <w:rPr>
          <w:spacing w:val="-10"/>
        </w:rPr>
        <w:t> </w:t>
      </w:r>
      <w:r>
        <w:rPr/>
        <w:t>la</w:t>
      </w:r>
      <w:r>
        <w:rPr>
          <w:spacing w:val="-7"/>
        </w:rPr>
        <w:t> </w:t>
      </w:r>
      <w:r>
        <w:rPr/>
        <w:t>retribución</w:t>
      </w:r>
      <w:r>
        <w:rPr>
          <w:spacing w:val="-8"/>
        </w:rPr>
        <w:t> </w:t>
      </w:r>
      <w:r>
        <w:rPr/>
        <w:t>de</w:t>
      </w:r>
      <w:r>
        <w:rPr>
          <w:spacing w:val="-10"/>
        </w:rPr>
        <w:t> </w:t>
      </w:r>
      <w:r>
        <w:rPr/>
        <w:t>los</w:t>
      </w:r>
      <w:r>
        <w:rPr>
          <w:spacing w:val="-8"/>
        </w:rPr>
        <w:t> </w:t>
      </w:r>
      <w:r>
        <w:rPr/>
        <w:t>factores</w:t>
      </w:r>
      <w:r>
        <w:rPr>
          <w:spacing w:val="-8"/>
        </w:rPr>
        <w:t> </w:t>
      </w:r>
      <w:r>
        <w:rPr/>
        <w:t>internos,</w:t>
      </w:r>
      <w:r>
        <w:rPr>
          <w:spacing w:val="-9"/>
        </w:rPr>
        <w:t> </w:t>
      </w:r>
      <w:r>
        <w:rPr/>
        <w:t>incluido</w:t>
      </w:r>
      <w:r>
        <w:rPr>
          <w:spacing w:val="-8"/>
        </w:rPr>
        <w:t> </w:t>
      </w:r>
      <w:r>
        <w:rPr/>
        <w:t>el</w:t>
      </w:r>
      <w:r>
        <w:rPr>
          <w:spacing w:val="-8"/>
        </w:rPr>
        <w:t> </w:t>
      </w:r>
      <w:r>
        <w:rPr/>
        <w:t>pago</w:t>
      </w:r>
      <w:r>
        <w:rPr>
          <w:spacing w:val="-9"/>
        </w:rPr>
        <w:t> </w:t>
      </w:r>
      <w:r>
        <w:rPr/>
        <w:t>del</w:t>
      </w:r>
      <w:r>
        <w:rPr>
          <w:spacing w:val="-8"/>
        </w:rPr>
        <w:t> </w:t>
      </w:r>
      <w:r>
        <w:rPr/>
        <w:t>trabajo</w:t>
      </w:r>
      <w:r>
        <w:rPr>
          <w:spacing w:val="-8"/>
        </w:rPr>
        <w:t> </w:t>
      </w:r>
      <w:r>
        <w:rPr/>
        <w:t>del productor. Los resultados en los tres estratos analizados muestran que los productores obtuvieron un remanente en el ingreso total, después de haber cubierto el costo de los insumos comerciables y no comerciables, expresado en términos monetarios por la venta de un litro</w:t>
      </w:r>
      <w:r>
        <w:rPr>
          <w:position w:val="9"/>
          <w:sz w:val="16"/>
        </w:rPr>
        <w:t>-1 </w:t>
      </w:r>
      <w:r>
        <w:rPr/>
        <w:t>de leche. Los valores del VAP confirman la importancia que guarda el rubro mano de obra principalmente para el estrato I (1.73), y en menor proporción para los estratos II (2.42)</w:t>
      </w:r>
      <w:r>
        <w:rPr>
          <w:spacing w:val="-1"/>
        </w:rPr>
        <w:t> </w:t>
      </w:r>
      <w:r>
        <w:rPr/>
        <w:t>y</w:t>
      </w:r>
      <w:r>
        <w:rPr>
          <w:spacing w:val="-7"/>
        </w:rPr>
        <w:t> </w:t>
      </w:r>
      <w:r>
        <w:rPr/>
        <w:t>III</w:t>
      </w:r>
      <w:r>
        <w:rPr>
          <w:spacing w:val="-5"/>
        </w:rPr>
        <w:t> </w:t>
      </w:r>
      <w:r>
        <w:rPr/>
        <w:t>(2.69)</w:t>
      </w:r>
      <w:r>
        <w:rPr>
          <w:spacing w:val="-5"/>
        </w:rPr>
        <w:t> </w:t>
      </w:r>
      <w:r>
        <w:rPr/>
        <w:t>(Tabla</w:t>
      </w:r>
      <w:r>
        <w:rPr>
          <w:spacing w:val="-1"/>
        </w:rPr>
        <w:t> </w:t>
      </w:r>
      <w:r>
        <w:rPr/>
        <w:t>5).</w:t>
      </w:r>
      <w:r>
        <w:rPr>
          <w:spacing w:val="-1"/>
        </w:rPr>
        <w:t> </w:t>
      </w:r>
      <w:r>
        <w:rPr>
          <w:spacing w:val="-3"/>
        </w:rPr>
        <w:t>La</w:t>
      </w:r>
      <w:r>
        <w:rPr>
          <w:spacing w:val="-5"/>
        </w:rPr>
        <w:t> </w:t>
      </w:r>
      <w:r>
        <w:rPr/>
        <w:t>diferencia</w:t>
      </w:r>
      <w:r>
        <w:rPr>
          <w:spacing w:val="-5"/>
        </w:rPr>
        <w:t> </w:t>
      </w:r>
      <w:r>
        <w:rPr/>
        <w:t>de</w:t>
      </w:r>
      <w:r>
        <w:rPr>
          <w:spacing w:val="-5"/>
        </w:rPr>
        <w:t> </w:t>
      </w:r>
      <w:r>
        <w:rPr/>
        <w:t>valores</w:t>
      </w:r>
      <w:r>
        <w:rPr>
          <w:spacing w:val="-4"/>
        </w:rPr>
        <w:t> </w:t>
      </w:r>
      <w:r>
        <w:rPr/>
        <w:t>obtenidos</w:t>
      </w:r>
      <w:r>
        <w:rPr>
          <w:spacing w:val="-4"/>
        </w:rPr>
        <w:t> </w:t>
      </w:r>
      <w:r>
        <w:rPr/>
        <w:t>entre</w:t>
      </w:r>
      <w:r>
        <w:rPr>
          <w:spacing w:val="-5"/>
        </w:rPr>
        <w:t> </w:t>
      </w:r>
      <w:r>
        <w:rPr/>
        <w:t>estratos</w:t>
      </w:r>
      <w:r>
        <w:rPr>
          <w:spacing w:val="-3"/>
        </w:rPr>
        <w:t> </w:t>
      </w:r>
      <w:r>
        <w:rPr/>
        <w:t>se</w:t>
      </w:r>
      <w:r>
        <w:rPr>
          <w:spacing w:val="-5"/>
        </w:rPr>
        <w:t> </w:t>
      </w:r>
      <w:r>
        <w:rPr/>
        <w:t>puede</w:t>
      </w:r>
      <w:r>
        <w:rPr>
          <w:spacing w:val="-5"/>
        </w:rPr>
        <w:t> </w:t>
      </w:r>
      <w:r>
        <w:rPr/>
        <w:t>deber al aumento gradual de vacas en producción presentadas por los estratos II y</w:t>
      </w:r>
      <w:r>
        <w:rPr>
          <w:spacing w:val="-15"/>
        </w:rPr>
        <w:t> </w:t>
      </w:r>
      <w:r>
        <w:rPr/>
        <w:t>III.</w:t>
      </w:r>
    </w:p>
    <w:p>
      <w:pPr>
        <w:spacing w:after="0" w:line="357" w:lineRule="auto"/>
        <w:jc w:val="both"/>
        <w:sectPr>
          <w:pgSz w:w="12240" w:h="15840"/>
          <w:pgMar w:header="0" w:footer="657" w:top="1360" w:bottom="840" w:left="1600" w:right="1580"/>
        </w:sectPr>
      </w:pPr>
    </w:p>
    <w:p>
      <w:pPr>
        <w:pStyle w:val="Heading1"/>
      </w:pPr>
      <w:r>
        <w:rPr/>
        <w:t>Relación de Costo Privado (RCP)</w:t>
      </w:r>
    </w:p>
    <w:p>
      <w:pPr>
        <w:pStyle w:val="BodyText"/>
        <w:rPr>
          <w:b/>
        </w:rPr>
      </w:pPr>
    </w:p>
    <w:p>
      <w:pPr>
        <w:pStyle w:val="BodyText"/>
        <w:spacing w:before="7"/>
        <w:rPr>
          <w:b/>
          <w:sz w:val="23"/>
        </w:rPr>
      </w:pPr>
    </w:p>
    <w:p>
      <w:pPr>
        <w:pStyle w:val="BodyText"/>
        <w:spacing w:line="360" w:lineRule="auto"/>
        <w:ind w:left="102" w:right="136"/>
        <w:jc w:val="both"/>
      </w:pPr>
      <w:r>
        <w:rPr/>
        <w:t>La competitividad se estimó con la relación del costo privado (RCP) que expresa la rentabilidad</w:t>
      </w:r>
      <w:r>
        <w:rPr>
          <w:spacing w:val="-4"/>
        </w:rPr>
        <w:t> </w:t>
      </w:r>
      <w:r>
        <w:rPr/>
        <w:t>evaluada</w:t>
      </w:r>
      <w:r>
        <w:rPr>
          <w:spacing w:val="-5"/>
        </w:rPr>
        <w:t> </w:t>
      </w:r>
      <w:r>
        <w:rPr/>
        <w:t>a</w:t>
      </w:r>
      <w:r>
        <w:rPr>
          <w:spacing w:val="-5"/>
        </w:rPr>
        <w:t> </w:t>
      </w:r>
      <w:r>
        <w:rPr/>
        <w:t>precios</w:t>
      </w:r>
      <w:r>
        <w:rPr>
          <w:spacing w:val="-3"/>
        </w:rPr>
        <w:t> </w:t>
      </w:r>
      <w:r>
        <w:rPr/>
        <w:t>privados</w:t>
      </w:r>
      <w:r>
        <w:rPr>
          <w:spacing w:val="1"/>
        </w:rPr>
        <w:t> </w:t>
      </w:r>
      <w:r>
        <w:rPr/>
        <w:t>y</w:t>
      </w:r>
      <w:r>
        <w:rPr>
          <w:spacing w:val="-9"/>
        </w:rPr>
        <w:t> </w:t>
      </w:r>
      <w:r>
        <w:rPr/>
        <w:t>mide</w:t>
      </w:r>
      <w:r>
        <w:rPr>
          <w:spacing w:val="-5"/>
        </w:rPr>
        <w:t> </w:t>
      </w:r>
      <w:r>
        <w:rPr/>
        <w:t>la</w:t>
      </w:r>
      <w:r>
        <w:rPr>
          <w:spacing w:val="-2"/>
        </w:rPr>
        <w:t> </w:t>
      </w:r>
      <w:r>
        <w:rPr/>
        <w:t>capacidad</w:t>
      </w:r>
      <w:r>
        <w:rPr>
          <w:spacing w:val="-4"/>
        </w:rPr>
        <w:t> </w:t>
      </w:r>
      <w:r>
        <w:rPr/>
        <w:t>del</w:t>
      </w:r>
      <w:r>
        <w:rPr>
          <w:spacing w:val="-3"/>
        </w:rPr>
        <w:t> </w:t>
      </w:r>
      <w:r>
        <w:rPr/>
        <w:t>sistema</w:t>
      </w:r>
      <w:r>
        <w:rPr>
          <w:spacing w:val="-5"/>
        </w:rPr>
        <w:t> </w:t>
      </w:r>
      <w:r>
        <w:rPr/>
        <w:t>de</w:t>
      </w:r>
      <w:r>
        <w:rPr>
          <w:spacing w:val="-3"/>
        </w:rPr>
        <w:t> </w:t>
      </w:r>
      <w:r>
        <w:rPr/>
        <w:t>producción</w:t>
      </w:r>
      <w:r>
        <w:rPr>
          <w:spacing w:val="-4"/>
        </w:rPr>
        <w:t> </w:t>
      </w:r>
      <w:r>
        <w:rPr/>
        <w:t>para pagar</w:t>
      </w:r>
      <w:r>
        <w:rPr>
          <w:spacing w:val="-15"/>
        </w:rPr>
        <w:t> </w:t>
      </w:r>
      <w:r>
        <w:rPr/>
        <w:t>los</w:t>
      </w:r>
      <w:r>
        <w:rPr>
          <w:spacing w:val="-14"/>
        </w:rPr>
        <w:t> </w:t>
      </w:r>
      <w:r>
        <w:rPr/>
        <w:t>recursos</w:t>
      </w:r>
      <w:r>
        <w:rPr>
          <w:spacing w:val="-15"/>
        </w:rPr>
        <w:t> </w:t>
      </w:r>
      <w:r>
        <w:rPr/>
        <w:t>domésticos</w:t>
      </w:r>
      <w:r>
        <w:rPr>
          <w:spacing w:val="-14"/>
        </w:rPr>
        <w:t> </w:t>
      </w:r>
      <w:r>
        <w:rPr/>
        <w:t>(mano</w:t>
      </w:r>
      <w:r>
        <w:rPr>
          <w:spacing w:val="-14"/>
        </w:rPr>
        <w:t> </w:t>
      </w:r>
      <w:r>
        <w:rPr/>
        <w:t>de</w:t>
      </w:r>
      <w:r>
        <w:rPr>
          <w:spacing w:val="-15"/>
        </w:rPr>
        <w:t> </w:t>
      </w:r>
      <w:r>
        <w:rPr/>
        <w:t>obra,</w:t>
      </w:r>
      <w:r>
        <w:rPr>
          <w:spacing w:val="-14"/>
        </w:rPr>
        <w:t> </w:t>
      </w:r>
      <w:r>
        <w:rPr/>
        <w:t>tierra</w:t>
      </w:r>
      <w:r>
        <w:rPr>
          <w:spacing w:val="-13"/>
        </w:rPr>
        <w:t> </w:t>
      </w:r>
      <w:r>
        <w:rPr/>
        <w:t>y</w:t>
      </w:r>
      <w:r>
        <w:rPr>
          <w:spacing w:val="-17"/>
        </w:rPr>
        <w:t> </w:t>
      </w:r>
      <w:r>
        <w:rPr/>
        <w:t>capital)</w:t>
      </w:r>
      <w:r>
        <w:rPr>
          <w:spacing w:val="-15"/>
        </w:rPr>
        <w:t> </w:t>
      </w:r>
      <w:r>
        <w:rPr/>
        <w:t>incluyendo</w:t>
      </w:r>
      <w:r>
        <w:rPr>
          <w:spacing w:val="-14"/>
        </w:rPr>
        <w:t> </w:t>
      </w:r>
      <w:r>
        <w:rPr/>
        <w:t>un</w:t>
      </w:r>
      <w:r>
        <w:rPr>
          <w:spacing w:val="-14"/>
        </w:rPr>
        <w:t> </w:t>
      </w:r>
      <w:r>
        <w:rPr/>
        <w:t>retorno</w:t>
      </w:r>
      <w:r>
        <w:rPr>
          <w:spacing w:val="-15"/>
        </w:rPr>
        <w:t> </w:t>
      </w:r>
      <w:r>
        <w:rPr/>
        <w:t>al</w:t>
      </w:r>
      <w:r>
        <w:rPr>
          <w:spacing w:val="-14"/>
        </w:rPr>
        <w:t> </w:t>
      </w:r>
      <w:r>
        <w:rPr/>
        <w:t>capital que representa la utilidad (Barrón-Aguilar </w:t>
      </w:r>
      <w:r>
        <w:rPr>
          <w:i/>
        </w:rPr>
        <w:t>et al</w:t>
      </w:r>
      <w:r>
        <w:rPr/>
        <w:t>., 2000; Rebollar </w:t>
      </w:r>
      <w:r>
        <w:rPr>
          <w:i/>
        </w:rPr>
        <w:t>et al., </w:t>
      </w:r>
      <w:r>
        <w:rPr/>
        <w:t>2011). En las tres escalas</w:t>
      </w:r>
      <w:r>
        <w:rPr>
          <w:spacing w:val="-14"/>
        </w:rPr>
        <w:t> </w:t>
      </w:r>
      <w:r>
        <w:rPr/>
        <w:t>de</w:t>
      </w:r>
      <w:r>
        <w:rPr>
          <w:spacing w:val="-14"/>
        </w:rPr>
        <w:t> </w:t>
      </w:r>
      <w:r>
        <w:rPr/>
        <w:t>productores</w:t>
      </w:r>
      <w:r>
        <w:rPr>
          <w:spacing w:val="-11"/>
        </w:rPr>
        <w:t> </w:t>
      </w:r>
      <w:r>
        <w:rPr/>
        <w:t>analizados</w:t>
      </w:r>
      <w:r>
        <w:rPr>
          <w:spacing w:val="-13"/>
        </w:rPr>
        <w:t> </w:t>
      </w:r>
      <w:r>
        <w:rPr/>
        <w:t>la</w:t>
      </w:r>
      <w:r>
        <w:rPr>
          <w:spacing w:val="-14"/>
        </w:rPr>
        <w:t> </w:t>
      </w:r>
      <w:r>
        <w:rPr/>
        <w:t>RCP</w:t>
      </w:r>
      <w:r>
        <w:rPr>
          <w:spacing w:val="-13"/>
        </w:rPr>
        <w:t> </w:t>
      </w:r>
      <w:r>
        <w:rPr/>
        <w:t>cuando</w:t>
      </w:r>
      <w:r>
        <w:rPr>
          <w:spacing w:val="-13"/>
        </w:rPr>
        <w:t> </w:t>
      </w:r>
      <w:r>
        <w:rPr/>
        <w:t>se</w:t>
      </w:r>
      <w:r>
        <w:rPr>
          <w:spacing w:val="-14"/>
        </w:rPr>
        <w:t> </w:t>
      </w:r>
      <w:r>
        <w:rPr/>
        <w:t>consideró</w:t>
      </w:r>
      <w:r>
        <w:rPr>
          <w:spacing w:val="-8"/>
        </w:rPr>
        <w:t> </w:t>
      </w:r>
      <w:r>
        <w:rPr/>
        <w:t>el</w:t>
      </w:r>
      <w:r>
        <w:rPr>
          <w:spacing w:val="-11"/>
        </w:rPr>
        <w:t> </w:t>
      </w:r>
      <w:r>
        <w:rPr/>
        <w:t>costo</w:t>
      </w:r>
      <w:r>
        <w:rPr>
          <w:spacing w:val="-13"/>
        </w:rPr>
        <w:t> </w:t>
      </w:r>
      <w:r>
        <w:rPr/>
        <w:t>económico</w:t>
      </w:r>
      <w:r>
        <w:rPr>
          <w:spacing w:val="-13"/>
        </w:rPr>
        <w:t> </w:t>
      </w:r>
      <w:r>
        <w:rPr/>
        <w:t>de</w:t>
      </w:r>
      <w:r>
        <w:rPr>
          <w:spacing w:val="-14"/>
        </w:rPr>
        <w:t> </w:t>
      </w:r>
      <w:r>
        <w:rPr/>
        <w:t>la</w:t>
      </w:r>
      <w:r>
        <w:rPr>
          <w:spacing w:val="-14"/>
        </w:rPr>
        <w:t> </w:t>
      </w:r>
      <w:r>
        <w:rPr/>
        <w:t>MOF fue</w:t>
      </w:r>
      <w:r>
        <w:rPr>
          <w:spacing w:val="-8"/>
        </w:rPr>
        <w:t> </w:t>
      </w:r>
      <w:r>
        <w:rPr/>
        <w:t>menor</w:t>
      </w:r>
      <w:r>
        <w:rPr>
          <w:spacing w:val="-7"/>
        </w:rPr>
        <w:t> </w:t>
      </w:r>
      <w:r>
        <w:rPr/>
        <w:t>a</w:t>
      </w:r>
      <w:r>
        <w:rPr>
          <w:spacing w:val="-5"/>
        </w:rPr>
        <w:t> </w:t>
      </w:r>
      <w:r>
        <w:rPr/>
        <w:t>uno,</w:t>
      </w:r>
      <w:r>
        <w:rPr>
          <w:spacing w:val="-6"/>
        </w:rPr>
        <w:t> </w:t>
      </w:r>
      <w:r>
        <w:rPr/>
        <w:t>es</w:t>
      </w:r>
      <w:r>
        <w:rPr>
          <w:spacing w:val="-6"/>
        </w:rPr>
        <w:t> </w:t>
      </w:r>
      <w:r>
        <w:rPr/>
        <w:t>decir,</w:t>
      </w:r>
      <w:r>
        <w:rPr>
          <w:spacing w:val="-6"/>
        </w:rPr>
        <w:t> </w:t>
      </w:r>
      <w:r>
        <w:rPr/>
        <w:t>el</w:t>
      </w:r>
      <w:r>
        <w:rPr>
          <w:spacing w:val="-6"/>
        </w:rPr>
        <w:t> </w:t>
      </w:r>
      <w:r>
        <w:rPr/>
        <w:t>costo</w:t>
      </w:r>
      <w:r>
        <w:rPr>
          <w:spacing w:val="-6"/>
        </w:rPr>
        <w:t> </w:t>
      </w:r>
      <w:r>
        <w:rPr/>
        <w:t>de</w:t>
      </w:r>
      <w:r>
        <w:rPr>
          <w:spacing w:val="-7"/>
        </w:rPr>
        <w:t> </w:t>
      </w:r>
      <w:r>
        <w:rPr/>
        <w:t>los</w:t>
      </w:r>
      <w:r>
        <w:rPr>
          <w:spacing w:val="-6"/>
        </w:rPr>
        <w:t> </w:t>
      </w:r>
      <w:r>
        <w:rPr/>
        <w:t>recursos</w:t>
      </w:r>
      <w:r>
        <w:rPr>
          <w:spacing w:val="-4"/>
        </w:rPr>
        <w:t> </w:t>
      </w:r>
      <w:r>
        <w:rPr/>
        <w:t>internos</w:t>
      </w:r>
      <w:r>
        <w:rPr>
          <w:spacing w:val="-7"/>
        </w:rPr>
        <w:t> </w:t>
      </w:r>
      <w:r>
        <w:rPr/>
        <w:t>representó</w:t>
      </w:r>
      <w:r>
        <w:rPr>
          <w:spacing w:val="-4"/>
        </w:rPr>
        <w:t> </w:t>
      </w:r>
      <w:r>
        <w:rPr/>
        <w:t>79,</w:t>
      </w:r>
      <w:r>
        <w:rPr>
          <w:spacing w:val="-6"/>
        </w:rPr>
        <w:t> </w:t>
      </w:r>
      <w:r>
        <w:rPr/>
        <w:t>51</w:t>
      </w:r>
      <w:r>
        <w:rPr>
          <w:spacing w:val="-2"/>
        </w:rPr>
        <w:t> </w:t>
      </w:r>
      <w:r>
        <w:rPr/>
        <w:t>y</w:t>
      </w:r>
      <w:r>
        <w:rPr>
          <w:spacing w:val="-9"/>
        </w:rPr>
        <w:t> </w:t>
      </w:r>
      <w:r>
        <w:rPr/>
        <w:t>42%</w:t>
      </w:r>
      <w:r>
        <w:rPr>
          <w:spacing w:val="-7"/>
        </w:rPr>
        <w:t> </w:t>
      </w:r>
      <w:r>
        <w:rPr/>
        <w:t>del</w:t>
      </w:r>
      <w:r>
        <w:rPr>
          <w:spacing w:val="-6"/>
        </w:rPr>
        <w:t> </w:t>
      </w:r>
      <w:r>
        <w:rPr/>
        <w:t>valor agregado y 21, 49 y 58% de las ganancias por litro</w:t>
      </w:r>
      <w:r>
        <w:rPr>
          <w:position w:val="9"/>
          <w:sz w:val="16"/>
        </w:rPr>
        <w:t>-1 </w:t>
      </w:r>
      <w:r>
        <w:rPr/>
        <w:t>de leche, por tanto, los tres estratos fueron rentables </w:t>
      </w:r>
      <w:r>
        <w:rPr>
          <w:spacing w:val="-3"/>
        </w:rPr>
        <w:t>ya </w:t>
      </w:r>
      <w:r>
        <w:rPr/>
        <w:t>que cubrieron los costos de producción y el productor obtuvo</w:t>
      </w:r>
      <w:r>
        <w:rPr>
          <w:spacing w:val="-12"/>
        </w:rPr>
        <w:t> </w:t>
      </w:r>
      <w:r>
        <w:rPr/>
        <w:t>ganancias, estos resultados indicaron una tendencia de mayor competitividad a medida que aumentó el número de vacas en producción. Sin embargo, la RCP cuando no se contabilizó el valor económico de la MOF, indico una tendencia inversa en la competitividad por grupo de productores, siendo el estrato I (0.07), el más competitivo seguido de los estratos II (0.25) y III (0.26). Este comportamiento evidencia que el tamaño no es un factor determinante para alcanzar economías de escala y eficiencia económica, en este estudio, la competitividad de las UPLPE presentó una fuerte correlación con el uso de ventajas comparativas (mano de obra</w:t>
      </w:r>
      <w:r>
        <w:rPr>
          <w:spacing w:val="-8"/>
        </w:rPr>
        <w:t> </w:t>
      </w:r>
      <w:r>
        <w:rPr/>
        <w:t>familiar)</w:t>
      </w:r>
      <w:r>
        <w:rPr>
          <w:spacing w:val="-8"/>
        </w:rPr>
        <w:t> </w:t>
      </w:r>
      <w:r>
        <w:rPr/>
        <w:t>la</w:t>
      </w:r>
      <w:r>
        <w:rPr>
          <w:spacing w:val="-4"/>
        </w:rPr>
        <w:t> </w:t>
      </w:r>
      <w:r>
        <w:rPr/>
        <w:t>cual</w:t>
      </w:r>
      <w:r>
        <w:rPr>
          <w:spacing w:val="-3"/>
        </w:rPr>
        <w:t> </w:t>
      </w:r>
      <w:r>
        <w:rPr/>
        <w:t>es</w:t>
      </w:r>
      <w:r>
        <w:rPr>
          <w:spacing w:val="-6"/>
        </w:rPr>
        <w:t> </w:t>
      </w:r>
      <w:r>
        <w:rPr/>
        <w:t>eficientemente</w:t>
      </w:r>
      <w:r>
        <w:rPr>
          <w:spacing w:val="-7"/>
        </w:rPr>
        <w:t> </w:t>
      </w:r>
      <w:r>
        <w:rPr/>
        <w:t>utilizada</w:t>
      </w:r>
      <w:r>
        <w:rPr>
          <w:spacing w:val="-7"/>
        </w:rPr>
        <w:t> </w:t>
      </w:r>
      <w:r>
        <w:rPr/>
        <w:t>para</w:t>
      </w:r>
      <w:r>
        <w:rPr>
          <w:spacing w:val="-8"/>
        </w:rPr>
        <w:t> </w:t>
      </w:r>
      <w:r>
        <w:rPr/>
        <w:t>incrementar</w:t>
      </w:r>
      <w:r>
        <w:rPr>
          <w:spacing w:val="-7"/>
        </w:rPr>
        <w:t> </w:t>
      </w:r>
      <w:r>
        <w:rPr/>
        <w:t>los</w:t>
      </w:r>
      <w:r>
        <w:rPr>
          <w:spacing w:val="-6"/>
        </w:rPr>
        <w:t> </w:t>
      </w:r>
      <w:r>
        <w:rPr/>
        <w:t>niveles</w:t>
      </w:r>
      <w:r>
        <w:rPr>
          <w:spacing w:val="-6"/>
        </w:rPr>
        <w:t> </w:t>
      </w:r>
      <w:r>
        <w:rPr/>
        <w:t>de</w:t>
      </w:r>
      <w:r>
        <w:rPr>
          <w:spacing w:val="-7"/>
        </w:rPr>
        <w:t> </w:t>
      </w:r>
      <w:r>
        <w:rPr/>
        <w:t>rentabilidad y competitividad entre estratos (Tabla</w:t>
      </w:r>
      <w:r>
        <w:rPr>
          <w:spacing w:val="-14"/>
        </w:rPr>
        <w:t> </w:t>
      </w:r>
      <w:r>
        <w:rPr/>
        <w:t>5).</w:t>
      </w:r>
    </w:p>
    <w:p>
      <w:pPr>
        <w:pStyle w:val="BodyText"/>
      </w:pPr>
    </w:p>
    <w:p>
      <w:pPr>
        <w:pStyle w:val="BodyText"/>
        <w:spacing w:before="143"/>
        <w:ind w:left="226" w:right="51"/>
      </w:pPr>
      <w:r>
        <w:rPr>
          <w:b/>
        </w:rPr>
        <w:t>Tabla 5</w:t>
      </w:r>
      <w:r>
        <w:rPr/>
        <w:t>. Resumen del presupuesto a precios privados o de mercado por estrato productivo</w:t>
      </w:r>
    </w:p>
    <w:p>
      <w:pPr>
        <w:pStyle w:val="BodyText"/>
        <w:spacing w:before="5"/>
        <w:rPr>
          <w:sz w:val="14"/>
        </w:rPr>
      </w:pPr>
    </w:p>
    <w:tbl>
      <w:tblPr>
        <w:tblW w:w="0" w:type="auto"/>
        <w:jc w:val="left"/>
        <w:tblInd w:w="15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352"/>
        <w:gridCol w:w="1070"/>
        <w:gridCol w:w="1160"/>
        <w:gridCol w:w="1227"/>
      </w:tblGrid>
      <w:tr>
        <w:trPr>
          <w:trHeight w:val="458" w:hRule="exact"/>
        </w:trPr>
        <w:tc>
          <w:tcPr>
            <w:tcW w:w="5352" w:type="dxa"/>
            <w:tcBorders>
              <w:left w:val="nil"/>
              <w:right w:val="nil"/>
            </w:tcBorders>
          </w:tcPr>
          <w:p>
            <w:pPr>
              <w:pStyle w:val="TableParagraph"/>
              <w:spacing w:line="270" w:lineRule="exact"/>
              <w:ind w:left="69"/>
              <w:jc w:val="left"/>
              <w:rPr>
                <w:sz w:val="24"/>
              </w:rPr>
            </w:pPr>
            <w:r>
              <w:rPr>
                <w:sz w:val="24"/>
              </w:rPr>
              <w:t>Sistema de producción por estratos</w:t>
            </w:r>
          </w:p>
        </w:tc>
        <w:tc>
          <w:tcPr>
            <w:tcW w:w="1070" w:type="dxa"/>
            <w:tcBorders>
              <w:left w:val="nil"/>
              <w:right w:val="nil"/>
            </w:tcBorders>
          </w:tcPr>
          <w:p>
            <w:pPr>
              <w:pStyle w:val="TableParagraph"/>
              <w:spacing w:line="270" w:lineRule="exact"/>
              <w:ind w:right="80"/>
              <w:rPr>
                <w:sz w:val="24"/>
              </w:rPr>
            </w:pPr>
            <w:r>
              <w:rPr>
                <w:sz w:val="24"/>
              </w:rPr>
              <w:t>Estrato I</w:t>
            </w:r>
          </w:p>
        </w:tc>
        <w:tc>
          <w:tcPr>
            <w:tcW w:w="1160" w:type="dxa"/>
            <w:tcBorders>
              <w:left w:val="nil"/>
              <w:right w:val="nil"/>
            </w:tcBorders>
          </w:tcPr>
          <w:p>
            <w:pPr>
              <w:pStyle w:val="TableParagraph"/>
              <w:spacing w:line="270" w:lineRule="exact"/>
              <w:ind w:right="174"/>
              <w:rPr>
                <w:sz w:val="24"/>
              </w:rPr>
            </w:pPr>
            <w:r>
              <w:rPr>
                <w:sz w:val="24"/>
              </w:rPr>
              <w:t>Estrato II</w:t>
            </w:r>
          </w:p>
        </w:tc>
        <w:tc>
          <w:tcPr>
            <w:tcW w:w="1227" w:type="dxa"/>
            <w:tcBorders>
              <w:left w:val="nil"/>
              <w:right w:val="nil"/>
            </w:tcBorders>
          </w:tcPr>
          <w:p>
            <w:pPr>
              <w:pStyle w:val="TableParagraph"/>
              <w:spacing w:line="270" w:lineRule="exact"/>
              <w:ind w:right="69"/>
              <w:rPr>
                <w:sz w:val="24"/>
              </w:rPr>
            </w:pPr>
            <w:r>
              <w:rPr>
                <w:sz w:val="24"/>
              </w:rPr>
              <w:t>Estrato III</w:t>
            </w:r>
          </w:p>
        </w:tc>
      </w:tr>
      <w:tr>
        <w:trPr>
          <w:trHeight w:val="376" w:hRule="exact"/>
        </w:trPr>
        <w:tc>
          <w:tcPr>
            <w:tcW w:w="5352" w:type="dxa"/>
            <w:tcBorders>
              <w:left w:val="nil"/>
              <w:bottom w:val="nil"/>
              <w:right w:val="nil"/>
            </w:tcBorders>
          </w:tcPr>
          <w:p>
            <w:pPr>
              <w:pStyle w:val="TableParagraph"/>
              <w:spacing w:line="273" w:lineRule="exact"/>
              <w:ind w:left="69"/>
              <w:jc w:val="left"/>
              <w:rPr>
                <w:sz w:val="24"/>
              </w:rPr>
            </w:pPr>
            <w:r>
              <w:rPr>
                <w:sz w:val="24"/>
              </w:rPr>
              <w:t>Relación del costo privado incluyendo MOF ($/litro)</w:t>
            </w:r>
          </w:p>
        </w:tc>
        <w:tc>
          <w:tcPr>
            <w:tcW w:w="1070" w:type="dxa"/>
            <w:tcBorders>
              <w:left w:val="nil"/>
              <w:bottom w:val="nil"/>
              <w:right w:val="nil"/>
            </w:tcBorders>
          </w:tcPr>
          <w:p>
            <w:pPr>
              <w:pStyle w:val="TableParagraph"/>
              <w:spacing w:line="273" w:lineRule="exact"/>
              <w:ind w:right="81"/>
              <w:rPr>
                <w:sz w:val="24"/>
              </w:rPr>
            </w:pPr>
            <w:r>
              <w:rPr>
                <w:sz w:val="24"/>
              </w:rPr>
              <w:t>0.79</w:t>
            </w:r>
          </w:p>
        </w:tc>
        <w:tc>
          <w:tcPr>
            <w:tcW w:w="1160" w:type="dxa"/>
            <w:tcBorders>
              <w:left w:val="nil"/>
              <w:bottom w:val="nil"/>
              <w:right w:val="nil"/>
            </w:tcBorders>
          </w:tcPr>
          <w:p>
            <w:pPr>
              <w:pStyle w:val="TableParagraph"/>
              <w:spacing w:line="273" w:lineRule="exact"/>
              <w:ind w:right="175"/>
              <w:rPr>
                <w:sz w:val="24"/>
              </w:rPr>
            </w:pPr>
            <w:r>
              <w:rPr>
                <w:sz w:val="24"/>
              </w:rPr>
              <w:t>0.51</w:t>
            </w:r>
          </w:p>
        </w:tc>
        <w:tc>
          <w:tcPr>
            <w:tcW w:w="1227" w:type="dxa"/>
            <w:tcBorders>
              <w:left w:val="nil"/>
              <w:bottom w:val="nil"/>
              <w:right w:val="nil"/>
            </w:tcBorders>
          </w:tcPr>
          <w:p>
            <w:pPr>
              <w:pStyle w:val="TableParagraph"/>
              <w:spacing w:line="273" w:lineRule="exact"/>
              <w:ind w:right="71"/>
              <w:rPr>
                <w:sz w:val="24"/>
              </w:rPr>
            </w:pPr>
            <w:r>
              <w:rPr>
                <w:sz w:val="24"/>
              </w:rPr>
              <w:t>0.42</w:t>
            </w:r>
          </w:p>
        </w:tc>
      </w:tr>
      <w:tr>
        <w:trPr>
          <w:trHeight w:val="414" w:hRule="exact"/>
        </w:trPr>
        <w:tc>
          <w:tcPr>
            <w:tcW w:w="5352" w:type="dxa"/>
            <w:tcBorders>
              <w:top w:val="nil"/>
              <w:left w:val="nil"/>
              <w:bottom w:val="nil"/>
              <w:right w:val="nil"/>
            </w:tcBorders>
          </w:tcPr>
          <w:p>
            <w:pPr>
              <w:pStyle w:val="TableParagraph"/>
              <w:spacing w:before="55"/>
              <w:ind w:left="69"/>
              <w:jc w:val="left"/>
              <w:rPr>
                <w:sz w:val="24"/>
              </w:rPr>
            </w:pPr>
            <w:r>
              <w:rPr>
                <w:sz w:val="24"/>
              </w:rPr>
              <w:t>Valor agregado a precios privados ($/litro)</w:t>
            </w:r>
          </w:p>
        </w:tc>
        <w:tc>
          <w:tcPr>
            <w:tcW w:w="1070" w:type="dxa"/>
            <w:tcBorders>
              <w:top w:val="nil"/>
              <w:left w:val="nil"/>
              <w:bottom w:val="nil"/>
              <w:right w:val="nil"/>
            </w:tcBorders>
          </w:tcPr>
          <w:p>
            <w:pPr>
              <w:pStyle w:val="TableParagraph"/>
              <w:spacing w:before="55"/>
              <w:ind w:right="81"/>
              <w:rPr>
                <w:sz w:val="24"/>
              </w:rPr>
            </w:pPr>
            <w:r>
              <w:rPr>
                <w:sz w:val="24"/>
              </w:rPr>
              <w:t>1.73</w:t>
            </w:r>
          </w:p>
        </w:tc>
        <w:tc>
          <w:tcPr>
            <w:tcW w:w="1160" w:type="dxa"/>
            <w:tcBorders>
              <w:top w:val="nil"/>
              <w:left w:val="nil"/>
              <w:bottom w:val="nil"/>
              <w:right w:val="nil"/>
            </w:tcBorders>
          </w:tcPr>
          <w:p>
            <w:pPr>
              <w:pStyle w:val="TableParagraph"/>
              <w:spacing w:before="55"/>
              <w:ind w:right="175"/>
              <w:rPr>
                <w:sz w:val="24"/>
              </w:rPr>
            </w:pPr>
            <w:r>
              <w:rPr>
                <w:sz w:val="24"/>
              </w:rPr>
              <w:t>2.42</w:t>
            </w:r>
          </w:p>
        </w:tc>
        <w:tc>
          <w:tcPr>
            <w:tcW w:w="1227" w:type="dxa"/>
            <w:tcBorders>
              <w:top w:val="nil"/>
              <w:left w:val="nil"/>
              <w:bottom w:val="nil"/>
              <w:right w:val="nil"/>
            </w:tcBorders>
          </w:tcPr>
          <w:p>
            <w:pPr>
              <w:pStyle w:val="TableParagraph"/>
              <w:spacing w:before="55"/>
              <w:ind w:right="71"/>
              <w:rPr>
                <w:sz w:val="24"/>
              </w:rPr>
            </w:pPr>
            <w:r>
              <w:rPr>
                <w:sz w:val="24"/>
              </w:rPr>
              <w:t>2.69</w:t>
            </w:r>
          </w:p>
        </w:tc>
      </w:tr>
      <w:tr>
        <w:trPr>
          <w:trHeight w:val="414" w:hRule="exact"/>
        </w:trPr>
        <w:tc>
          <w:tcPr>
            <w:tcW w:w="5352" w:type="dxa"/>
            <w:tcBorders>
              <w:top w:val="nil"/>
              <w:left w:val="nil"/>
              <w:bottom w:val="nil"/>
              <w:right w:val="nil"/>
            </w:tcBorders>
          </w:tcPr>
          <w:p>
            <w:pPr>
              <w:pStyle w:val="TableParagraph"/>
              <w:spacing w:before="56"/>
              <w:ind w:left="69"/>
              <w:jc w:val="left"/>
              <w:rPr>
                <w:sz w:val="24"/>
              </w:rPr>
            </w:pPr>
            <w:r>
              <w:rPr>
                <w:sz w:val="24"/>
              </w:rPr>
              <w:t>Consumo intermedio en el ingreso total (%)</w:t>
            </w:r>
          </w:p>
        </w:tc>
        <w:tc>
          <w:tcPr>
            <w:tcW w:w="1070" w:type="dxa"/>
            <w:tcBorders>
              <w:top w:val="nil"/>
              <w:left w:val="nil"/>
              <w:bottom w:val="nil"/>
              <w:right w:val="nil"/>
            </w:tcBorders>
          </w:tcPr>
          <w:p>
            <w:pPr>
              <w:pStyle w:val="TableParagraph"/>
              <w:spacing w:before="56"/>
              <w:ind w:right="81"/>
              <w:rPr>
                <w:sz w:val="24"/>
              </w:rPr>
            </w:pPr>
            <w:r>
              <w:rPr>
                <w:sz w:val="24"/>
              </w:rPr>
              <w:t>65.50</w:t>
            </w:r>
          </w:p>
        </w:tc>
        <w:tc>
          <w:tcPr>
            <w:tcW w:w="1160" w:type="dxa"/>
            <w:tcBorders>
              <w:top w:val="nil"/>
              <w:left w:val="nil"/>
              <w:bottom w:val="nil"/>
              <w:right w:val="nil"/>
            </w:tcBorders>
          </w:tcPr>
          <w:p>
            <w:pPr>
              <w:pStyle w:val="TableParagraph"/>
              <w:spacing w:before="56"/>
              <w:ind w:right="175"/>
              <w:rPr>
                <w:sz w:val="24"/>
              </w:rPr>
            </w:pPr>
            <w:r>
              <w:rPr>
                <w:sz w:val="24"/>
              </w:rPr>
              <w:t>51.56</w:t>
            </w:r>
          </w:p>
        </w:tc>
        <w:tc>
          <w:tcPr>
            <w:tcW w:w="1227" w:type="dxa"/>
            <w:tcBorders>
              <w:top w:val="nil"/>
              <w:left w:val="nil"/>
              <w:bottom w:val="nil"/>
              <w:right w:val="nil"/>
            </w:tcBorders>
          </w:tcPr>
          <w:p>
            <w:pPr>
              <w:pStyle w:val="TableParagraph"/>
              <w:spacing w:before="56"/>
              <w:ind w:right="71"/>
              <w:rPr>
                <w:sz w:val="24"/>
              </w:rPr>
            </w:pPr>
            <w:r>
              <w:rPr>
                <w:sz w:val="24"/>
              </w:rPr>
              <w:t>46.01</w:t>
            </w:r>
          </w:p>
        </w:tc>
      </w:tr>
      <w:tr>
        <w:trPr>
          <w:trHeight w:val="414" w:hRule="exact"/>
        </w:trPr>
        <w:tc>
          <w:tcPr>
            <w:tcW w:w="5352" w:type="dxa"/>
            <w:tcBorders>
              <w:top w:val="nil"/>
              <w:left w:val="nil"/>
              <w:bottom w:val="nil"/>
              <w:right w:val="nil"/>
            </w:tcBorders>
          </w:tcPr>
          <w:p>
            <w:pPr>
              <w:pStyle w:val="TableParagraph"/>
              <w:spacing w:before="55"/>
              <w:ind w:left="69"/>
              <w:jc w:val="left"/>
              <w:rPr>
                <w:sz w:val="24"/>
              </w:rPr>
            </w:pPr>
            <w:r>
              <w:rPr>
                <w:sz w:val="24"/>
              </w:rPr>
              <w:t>Valor agregado en el ingreso total (%)</w:t>
            </w:r>
          </w:p>
        </w:tc>
        <w:tc>
          <w:tcPr>
            <w:tcW w:w="1070" w:type="dxa"/>
            <w:tcBorders>
              <w:top w:val="nil"/>
              <w:left w:val="nil"/>
              <w:bottom w:val="nil"/>
              <w:right w:val="nil"/>
            </w:tcBorders>
          </w:tcPr>
          <w:p>
            <w:pPr>
              <w:pStyle w:val="TableParagraph"/>
              <w:spacing w:before="55"/>
              <w:ind w:right="81"/>
              <w:rPr>
                <w:sz w:val="24"/>
              </w:rPr>
            </w:pPr>
            <w:r>
              <w:rPr>
                <w:sz w:val="24"/>
              </w:rPr>
              <w:t>34.50</w:t>
            </w:r>
          </w:p>
        </w:tc>
        <w:tc>
          <w:tcPr>
            <w:tcW w:w="1160" w:type="dxa"/>
            <w:tcBorders>
              <w:top w:val="nil"/>
              <w:left w:val="nil"/>
              <w:bottom w:val="nil"/>
              <w:right w:val="nil"/>
            </w:tcBorders>
          </w:tcPr>
          <w:p>
            <w:pPr>
              <w:pStyle w:val="TableParagraph"/>
              <w:spacing w:before="55"/>
              <w:ind w:right="175"/>
              <w:rPr>
                <w:sz w:val="24"/>
              </w:rPr>
            </w:pPr>
            <w:r>
              <w:rPr>
                <w:sz w:val="24"/>
              </w:rPr>
              <w:t>48.44</w:t>
            </w:r>
          </w:p>
        </w:tc>
        <w:tc>
          <w:tcPr>
            <w:tcW w:w="1227" w:type="dxa"/>
            <w:tcBorders>
              <w:top w:val="nil"/>
              <w:left w:val="nil"/>
              <w:bottom w:val="nil"/>
              <w:right w:val="nil"/>
            </w:tcBorders>
          </w:tcPr>
          <w:p>
            <w:pPr>
              <w:pStyle w:val="TableParagraph"/>
              <w:spacing w:before="55"/>
              <w:ind w:right="71"/>
              <w:rPr>
                <w:sz w:val="24"/>
              </w:rPr>
            </w:pPr>
            <w:r>
              <w:rPr>
                <w:sz w:val="24"/>
              </w:rPr>
              <w:t>53.98</w:t>
            </w:r>
          </w:p>
        </w:tc>
      </w:tr>
      <w:tr>
        <w:trPr>
          <w:trHeight w:val="497" w:hRule="exact"/>
        </w:trPr>
        <w:tc>
          <w:tcPr>
            <w:tcW w:w="5352" w:type="dxa"/>
            <w:tcBorders>
              <w:top w:val="nil"/>
              <w:left w:val="nil"/>
              <w:right w:val="nil"/>
            </w:tcBorders>
          </w:tcPr>
          <w:p>
            <w:pPr>
              <w:pStyle w:val="TableParagraph"/>
              <w:spacing w:before="56"/>
              <w:ind w:left="69"/>
              <w:jc w:val="left"/>
              <w:rPr>
                <w:sz w:val="24"/>
              </w:rPr>
            </w:pPr>
            <w:r>
              <w:rPr>
                <w:sz w:val="24"/>
              </w:rPr>
              <w:t>Relación del costo privado excluyendo MOF ($/litro)</w:t>
            </w:r>
          </w:p>
        </w:tc>
        <w:tc>
          <w:tcPr>
            <w:tcW w:w="1070" w:type="dxa"/>
            <w:tcBorders>
              <w:top w:val="nil"/>
              <w:left w:val="nil"/>
              <w:right w:val="nil"/>
            </w:tcBorders>
          </w:tcPr>
          <w:p>
            <w:pPr>
              <w:pStyle w:val="TableParagraph"/>
              <w:spacing w:before="56"/>
              <w:ind w:right="81"/>
              <w:rPr>
                <w:sz w:val="24"/>
              </w:rPr>
            </w:pPr>
            <w:r>
              <w:rPr>
                <w:sz w:val="24"/>
              </w:rPr>
              <w:t>0.07</w:t>
            </w:r>
          </w:p>
        </w:tc>
        <w:tc>
          <w:tcPr>
            <w:tcW w:w="1160" w:type="dxa"/>
            <w:tcBorders>
              <w:top w:val="nil"/>
              <w:left w:val="nil"/>
              <w:right w:val="nil"/>
            </w:tcBorders>
          </w:tcPr>
          <w:p>
            <w:pPr>
              <w:pStyle w:val="TableParagraph"/>
              <w:spacing w:before="56"/>
              <w:ind w:right="175"/>
              <w:rPr>
                <w:sz w:val="24"/>
              </w:rPr>
            </w:pPr>
            <w:r>
              <w:rPr>
                <w:sz w:val="24"/>
              </w:rPr>
              <w:t>0.25</w:t>
            </w:r>
          </w:p>
        </w:tc>
        <w:tc>
          <w:tcPr>
            <w:tcW w:w="1227" w:type="dxa"/>
            <w:tcBorders>
              <w:top w:val="nil"/>
              <w:left w:val="nil"/>
              <w:right w:val="nil"/>
            </w:tcBorders>
          </w:tcPr>
          <w:p>
            <w:pPr>
              <w:pStyle w:val="TableParagraph"/>
              <w:spacing w:before="56"/>
              <w:ind w:right="71"/>
              <w:rPr>
                <w:sz w:val="24"/>
              </w:rPr>
            </w:pPr>
            <w:r>
              <w:rPr>
                <w:sz w:val="24"/>
              </w:rPr>
              <w:t>0.26</w:t>
            </w:r>
          </w:p>
        </w:tc>
      </w:tr>
      <w:tr>
        <w:trPr>
          <w:trHeight w:val="353" w:hRule="exact"/>
        </w:trPr>
        <w:tc>
          <w:tcPr>
            <w:tcW w:w="5352" w:type="dxa"/>
            <w:tcBorders>
              <w:left w:val="nil"/>
              <w:bottom w:val="nil"/>
              <w:right w:val="nil"/>
            </w:tcBorders>
          </w:tcPr>
          <w:p>
            <w:pPr>
              <w:pStyle w:val="TableParagraph"/>
              <w:spacing w:before="5"/>
              <w:ind w:left="69"/>
              <w:jc w:val="left"/>
              <w:rPr>
                <w:sz w:val="20"/>
              </w:rPr>
            </w:pPr>
            <w:r>
              <w:rPr>
                <w:sz w:val="20"/>
              </w:rPr>
              <w:t>Fuente: Elaboración propia con información de campo.</w:t>
            </w:r>
          </w:p>
        </w:tc>
        <w:tc>
          <w:tcPr>
            <w:tcW w:w="1070" w:type="dxa"/>
            <w:tcBorders>
              <w:left w:val="nil"/>
              <w:bottom w:val="nil"/>
              <w:right w:val="nil"/>
            </w:tcBorders>
          </w:tcPr>
          <w:p>
            <w:pPr/>
          </w:p>
        </w:tc>
        <w:tc>
          <w:tcPr>
            <w:tcW w:w="1160" w:type="dxa"/>
            <w:tcBorders>
              <w:left w:val="nil"/>
              <w:bottom w:val="nil"/>
              <w:right w:val="nil"/>
            </w:tcBorders>
          </w:tcPr>
          <w:p>
            <w:pPr/>
          </w:p>
        </w:tc>
        <w:tc>
          <w:tcPr>
            <w:tcW w:w="1227" w:type="dxa"/>
            <w:tcBorders>
              <w:left w:val="nil"/>
              <w:bottom w:val="nil"/>
              <w:right w:val="nil"/>
            </w:tcBorders>
          </w:tcPr>
          <w:p>
            <w:pPr/>
          </w:p>
        </w:tc>
      </w:tr>
    </w:tbl>
    <w:p>
      <w:pPr>
        <w:spacing w:after="0"/>
        <w:sectPr>
          <w:pgSz w:w="12240" w:h="15840"/>
          <w:pgMar w:header="0" w:footer="657" w:top="1360" w:bottom="840" w:left="1600" w:right="1560"/>
        </w:sectPr>
      </w:pPr>
    </w:p>
    <w:p>
      <w:pPr>
        <w:pStyle w:val="Heading1"/>
      </w:pPr>
      <w:r>
        <w:rPr/>
        <w:t>Análisis de rentabilidad económica y ventaja comparativa</w:t>
      </w:r>
    </w:p>
    <w:p>
      <w:pPr>
        <w:pStyle w:val="BodyText"/>
        <w:rPr>
          <w:b/>
        </w:rPr>
      </w:pPr>
    </w:p>
    <w:p>
      <w:pPr>
        <w:pStyle w:val="BodyText"/>
        <w:spacing w:before="7"/>
        <w:rPr>
          <w:b/>
          <w:sz w:val="23"/>
        </w:rPr>
      </w:pPr>
    </w:p>
    <w:p>
      <w:pPr>
        <w:pStyle w:val="BodyText"/>
        <w:spacing w:line="360" w:lineRule="auto"/>
        <w:ind w:left="102" w:right="116"/>
        <w:jc w:val="both"/>
      </w:pPr>
      <w:r>
        <w:rPr/>
        <w:t>La interrogante de analizar si hay o no ventajas comparativas en la producción lechera de pequeña</w:t>
      </w:r>
      <w:r>
        <w:rPr>
          <w:spacing w:val="-12"/>
        </w:rPr>
        <w:t> </w:t>
      </w:r>
      <w:r>
        <w:rPr/>
        <w:t>escala,</w:t>
      </w:r>
      <w:r>
        <w:rPr>
          <w:spacing w:val="-14"/>
        </w:rPr>
        <w:t> </w:t>
      </w:r>
      <w:r>
        <w:rPr/>
        <w:t>da</w:t>
      </w:r>
      <w:r>
        <w:rPr>
          <w:spacing w:val="-14"/>
        </w:rPr>
        <w:t> </w:t>
      </w:r>
      <w:r>
        <w:rPr/>
        <w:t>respuesta</w:t>
      </w:r>
      <w:r>
        <w:rPr>
          <w:spacing w:val="-14"/>
        </w:rPr>
        <w:t> </w:t>
      </w:r>
      <w:r>
        <w:rPr/>
        <w:t>a</w:t>
      </w:r>
      <w:r>
        <w:rPr>
          <w:spacing w:val="-14"/>
        </w:rPr>
        <w:t> </w:t>
      </w:r>
      <w:r>
        <w:rPr/>
        <w:t>la</w:t>
      </w:r>
      <w:r>
        <w:rPr>
          <w:spacing w:val="-14"/>
        </w:rPr>
        <w:t> </w:t>
      </w:r>
      <w:r>
        <w:rPr/>
        <w:t>incógnita</w:t>
      </w:r>
      <w:r>
        <w:rPr>
          <w:spacing w:val="-14"/>
        </w:rPr>
        <w:t> </w:t>
      </w:r>
      <w:r>
        <w:rPr/>
        <w:t>de</w:t>
      </w:r>
      <w:r>
        <w:rPr>
          <w:spacing w:val="-14"/>
        </w:rPr>
        <w:t> </w:t>
      </w:r>
      <w:r>
        <w:rPr/>
        <w:t>si</w:t>
      </w:r>
      <w:r>
        <w:rPr>
          <w:spacing w:val="-13"/>
        </w:rPr>
        <w:t> </w:t>
      </w:r>
      <w:r>
        <w:rPr/>
        <w:t>para</w:t>
      </w:r>
      <w:r>
        <w:rPr>
          <w:spacing w:val="-14"/>
        </w:rPr>
        <w:t> </w:t>
      </w:r>
      <w:r>
        <w:rPr/>
        <w:t>el</w:t>
      </w:r>
      <w:r>
        <w:rPr>
          <w:spacing w:val="-13"/>
        </w:rPr>
        <w:t> </w:t>
      </w:r>
      <w:r>
        <w:rPr/>
        <w:t>país</w:t>
      </w:r>
      <w:r>
        <w:rPr>
          <w:spacing w:val="-13"/>
        </w:rPr>
        <w:t> </w:t>
      </w:r>
      <w:r>
        <w:rPr/>
        <w:t>es</w:t>
      </w:r>
      <w:r>
        <w:rPr>
          <w:spacing w:val="-13"/>
        </w:rPr>
        <w:t> </w:t>
      </w:r>
      <w:r>
        <w:rPr/>
        <w:t>más</w:t>
      </w:r>
      <w:r>
        <w:rPr>
          <w:spacing w:val="-11"/>
        </w:rPr>
        <w:t> </w:t>
      </w:r>
      <w:r>
        <w:rPr/>
        <w:t>económico</w:t>
      </w:r>
      <w:r>
        <w:rPr>
          <w:spacing w:val="-13"/>
        </w:rPr>
        <w:t> </w:t>
      </w:r>
      <w:r>
        <w:rPr/>
        <w:t>importar</w:t>
      </w:r>
      <w:r>
        <w:rPr>
          <w:spacing w:val="-14"/>
        </w:rPr>
        <w:t> </w:t>
      </w:r>
      <w:r>
        <w:rPr/>
        <w:t>leche o</w:t>
      </w:r>
      <w:r>
        <w:rPr>
          <w:spacing w:val="-6"/>
        </w:rPr>
        <w:t> </w:t>
      </w:r>
      <w:r>
        <w:rPr/>
        <w:t>producirla</w:t>
      </w:r>
      <w:r>
        <w:rPr>
          <w:spacing w:val="-7"/>
        </w:rPr>
        <w:t> </w:t>
      </w:r>
      <w:r>
        <w:rPr/>
        <w:t>internamente</w:t>
      </w:r>
      <w:r>
        <w:rPr>
          <w:spacing w:val="-7"/>
        </w:rPr>
        <w:t> </w:t>
      </w:r>
      <w:r>
        <w:rPr/>
        <w:t>(Romo</w:t>
      </w:r>
      <w:r>
        <w:rPr>
          <w:spacing w:val="-3"/>
        </w:rPr>
        <w:t> </w:t>
      </w:r>
      <w:r>
        <w:rPr/>
        <w:t>y</w:t>
      </w:r>
      <w:r>
        <w:rPr>
          <w:spacing w:val="-9"/>
        </w:rPr>
        <w:t> </w:t>
      </w:r>
      <w:r>
        <w:rPr/>
        <w:t>Andel,</w:t>
      </w:r>
      <w:r>
        <w:rPr>
          <w:spacing w:val="-6"/>
        </w:rPr>
        <w:t> </w:t>
      </w:r>
      <w:r>
        <w:rPr/>
        <w:t>2005).</w:t>
      </w:r>
      <w:r>
        <w:rPr>
          <w:spacing w:val="-5"/>
        </w:rPr>
        <w:t> </w:t>
      </w:r>
      <w:r>
        <w:rPr/>
        <w:t>Los</w:t>
      </w:r>
      <w:r>
        <w:rPr>
          <w:spacing w:val="-6"/>
        </w:rPr>
        <w:t> </w:t>
      </w:r>
      <w:r>
        <w:rPr/>
        <w:t>resultados</w:t>
      </w:r>
      <w:r>
        <w:rPr>
          <w:spacing w:val="-6"/>
        </w:rPr>
        <w:t> </w:t>
      </w:r>
      <w:r>
        <w:rPr/>
        <w:t>obtenidos</w:t>
      </w:r>
      <w:r>
        <w:rPr>
          <w:spacing w:val="-4"/>
        </w:rPr>
        <w:t> </w:t>
      </w:r>
      <w:r>
        <w:rPr/>
        <w:t>muestran</w:t>
      </w:r>
      <w:r>
        <w:rPr>
          <w:spacing w:val="-6"/>
        </w:rPr>
        <w:t> </w:t>
      </w:r>
      <w:r>
        <w:rPr/>
        <w:t>que</w:t>
      </w:r>
      <w:r>
        <w:rPr>
          <w:spacing w:val="-7"/>
        </w:rPr>
        <w:t> </w:t>
      </w:r>
      <w:r>
        <w:rPr/>
        <w:t>las tres escalas de productores analizados hacen uso eficiente de los factores internos de producción,</w:t>
      </w:r>
      <w:r>
        <w:rPr>
          <w:spacing w:val="-9"/>
        </w:rPr>
        <w:t> </w:t>
      </w:r>
      <w:r>
        <w:rPr/>
        <w:t>y</w:t>
      </w:r>
      <w:r>
        <w:rPr>
          <w:spacing w:val="-18"/>
        </w:rPr>
        <w:t> </w:t>
      </w:r>
      <w:r>
        <w:rPr/>
        <w:t>que</w:t>
      </w:r>
      <w:r>
        <w:rPr>
          <w:spacing w:val="-14"/>
        </w:rPr>
        <w:t> </w:t>
      </w:r>
      <w:r>
        <w:rPr/>
        <w:t>el</w:t>
      </w:r>
      <w:r>
        <w:rPr>
          <w:spacing w:val="-11"/>
        </w:rPr>
        <w:t> </w:t>
      </w:r>
      <w:r>
        <w:rPr/>
        <w:t>aprovechamiento</w:t>
      </w:r>
      <w:r>
        <w:rPr>
          <w:spacing w:val="-13"/>
        </w:rPr>
        <w:t> </w:t>
      </w:r>
      <w:r>
        <w:rPr/>
        <w:t>de</w:t>
      </w:r>
      <w:r>
        <w:rPr>
          <w:spacing w:val="-12"/>
        </w:rPr>
        <w:t> </w:t>
      </w:r>
      <w:r>
        <w:rPr/>
        <w:t>esta</w:t>
      </w:r>
      <w:r>
        <w:rPr>
          <w:spacing w:val="-14"/>
        </w:rPr>
        <w:t> </w:t>
      </w:r>
      <w:r>
        <w:rPr/>
        <w:t>ventaja</w:t>
      </w:r>
      <w:r>
        <w:rPr>
          <w:spacing w:val="-14"/>
        </w:rPr>
        <w:t> </w:t>
      </w:r>
      <w:r>
        <w:rPr/>
        <w:t>comparativa</w:t>
      </w:r>
      <w:r>
        <w:rPr>
          <w:spacing w:val="-14"/>
        </w:rPr>
        <w:t> </w:t>
      </w:r>
      <w:r>
        <w:rPr/>
        <w:t>es</w:t>
      </w:r>
      <w:r>
        <w:rPr>
          <w:spacing w:val="-13"/>
        </w:rPr>
        <w:t> </w:t>
      </w:r>
      <w:r>
        <w:rPr/>
        <w:t>un</w:t>
      </w:r>
      <w:r>
        <w:rPr>
          <w:spacing w:val="-13"/>
        </w:rPr>
        <w:t> </w:t>
      </w:r>
      <w:r>
        <w:rPr/>
        <w:t>factor</w:t>
      </w:r>
      <w:r>
        <w:rPr>
          <w:spacing w:val="-14"/>
        </w:rPr>
        <w:t> </w:t>
      </w:r>
      <w:r>
        <w:rPr/>
        <w:t>que</w:t>
      </w:r>
      <w:r>
        <w:rPr>
          <w:spacing w:val="-14"/>
        </w:rPr>
        <w:t> </w:t>
      </w:r>
      <w:r>
        <w:rPr/>
        <w:t>determina económicamente</w:t>
      </w:r>
      <w:r>
        <w:rPr>
          <w:spacing w:val="-3"/>
        </w:rPr>
        <w:t> </w:t>
      </w:r>
      <w:r>
        <w:rPr/>
        <w:t>el</w:t>
      </w:r>
      <w:r>
        <w:rPr>
          <w:spacing w:val="-2"/>
        </w:rPr>
        <w:t> </w:t>
      </w:r>
      <w:r>
        <w:rPr/>
        <w:t>grado</w:t>
      </w:r>
      <w:r>
        <w:rPr>
          <w:spacing w:val="-5"/>
        </w:rPr>
        <w:t> </w:t>
      </w:r>
      <w:r>
        <w:rPr/>
        <w:t>de</w:t>
      </w:r>
      <w:r>
        <w:rPr>
          <w:spacing w:val="-6"/>
        </w:rPr>
        <w:t> </w:t>
      </w:r>
      <w:r>
        <w:rPr/>
        <w:t>competitividad</w:t>
      </w:r>
      <w:r>
        <w:rPr>
          <w:spacing w:val="-5"/>
        </w:rPr>
        <w:t> </w:t>
      </w:r>
      <w:r>
        <w:rPr/>
        <w:t>en</w:t>
      </w:r>
      <w:r>
        <w:rPr>
          <w:spacing w:val="-5"/>
        </w:rPr>
        <w:t> </w:t>
      </w:r>
      <w:r>
        <w:rPr/>
        <w:t>cada</w:t>
      </w:r>
      <w:r>
        <w:rPr>
          <w:spacing w:val="-6"/>
        </w:rPr>
        <w:t> </w:t>
      </w:r>
      <w:r>
        <w:rPr/>
        <w:t>estrato y</w:t>
      </w:r>
      <w:r>
        <w:rPr>
          <w:spacing w:val="-10"/>
        </w:rPr>
        <w:t> </w:t>
      </w:r>
      <w:r>
        <w:rPr/>
        <w:t>en</w:t>
      </w:r>
      <w:r>
        <w:rPr>
          <w:spacing w:val="-2"/>
        </w:rPr>
        <w:t> </w:t>
      </w:r>
      <w:r>
        <w:rPr/>
        <w:t>general</w:t>
      </w:r>
      <w:r>
        <w:rPr>
          <w:spacing w:val="-4"/>
        </w:rPr>
        <w:t> </w:t>
      </w:r>
      <w:r>
        <w:rPr/>
        <w:t>del</w:t>
      </w:r>
      <w:r>
        <w:rPr>
          <w:spacing w:val="-4"/>
        </w:rPr>
        <w:t> </w:t>
      </w:r>
      <w:r>
        <w:rPr/>
        <w:t>sistema</w:t>
      </w:r>
      <w:r>
        <w:rPr>
          <w:spacing w:val="-6"/>
        </w:rPr>
        <w:t> </w:t>
      </w:r>
      <w:r>
        <w:rPr/>
        <w:t>lechero de pequeña escala. Esta argumentación puede sustentarse en los costos de producción obtenidos por escala de productores, los cuales se comportaron de manera creciente cuando se consideró el costo económico de la MOF, sobre todo para los estratos I y II, sin embargo, tanto</w:t>
      </w:r>
      <w:r>
        <w:rPr>
          <w:spacing w:val="-5"/>
        </w:rPr>
        <w:t> </w:t>
      </w:r>
      <w:r>
        <w:rPr/>
        <w:t>la</w:t>
      </w:r>
      <w:r>
        <w:rPr>
          <w:spacing w:val="-6"/>
        </w:rPr>
        <w:t> </w:t>
      </w:r>
      <w:r>
        <w:rPr/>
        <w:t>CRP</w:t>
      </w:r>
      <w:r>
        <w:rPr>
          <w:spacing w:val="-5"/>
        </w:rPr>
        <w:t> </w:t>
      </w:r>
      <w:r>
        <w:rPr/>
        <w:t>como</w:t>
      </w:r>
      <w:r>
        <w:rPr>
          <w:spacing w:val="-5"/>
        </w:rPr>
        <w:t> </w:t>
      </w:r>
      <w:r>
        <w:rPr/>
        <w:t>la</w:t>
      </w:r>
      <w:r>
        <w:rPr>
          <w:spacing w:val="-6"/>
        </w:rPr>
        <w:t> </w:t>
      </w:r>
      <w:r>
        <w:rPr/>
        <w:t>ganancia</w:t>
      </w:r>
      <w:r>
        <w:rPr>
          <w:spacing w:val="-6"/>
        </w:rPr>
        <w:t> </w:t>
      </w:r>
      <w:r>
        <w:rPr/>
        <w:t>neta</w:t>
      </w:r>
      <w:r>
        <w:rPr>
          <w:spacing w:val="-6"/>
        </w:rPr>
        <w:t> </w:t>
      </w:r>
      <w:r>
        <w:rPr/>
        <w:t>por</w:t>
      </w:r>
      <w:r>
        <w:rPr>
          <w:spacing w:val="-6"/>
        </w:rPr>
        <w:t> </w:t>
      </w:r>
      <w:r>
        <w:rPr/>
        <w:t>litro</w:t>
      </w:r>
      <w:r>
        <w:rPr>
          <w:spacing w:val="-6"/>
        </w:rPr>
        <w:t> </w:t>
      </w:r>
      <w:r>
        <w:rPr/>
        <w:t>de</w:t>
      </w:r>
      <w:r>
        <w:rPr>
          <w:spacing w:val="-6"/>
        </w:rPr>
        <w:t> </w:t>
      </w:r>
      <w:r>
        <w:rPr/>
        <w:t>leche</w:t>
      </w:r>
      <w:r>
        <w:rPr>
          <w:spacing w:val="-6"/>
        </w:rPr>
        <w:t> </w:t>
      </w:r>
      <w:r>
        <w:rPr/>
        <w:t>aumentaron</w:t>
      </w:r>
      <w:r>
        <w:rPr>
          <w:spacing w:val="-6"/>
        </w:rPr>
        <w:t> </w:t>
      </w:r>
      <w:r>
        <w:rPr/>
        <w:t>significativamente</w:t>
      </w:r>
      <w:r>
        <w:rPr>
          <w:spacing w:val="-6"/>
        </w:rPr>
        <w:t> </w:t>
      </w:r>
      <w:r>
        <w:rPr/>
        <w:t>cuando no</w:t>
      </w:r>
      <w:r>
        <w:rPr>
          <w:spacing w:val="-6"/>
        </w:rPr>
        <w:t> </w:t>
      </w:r>
      <w:r>
        <w:rPr/>
        <w:t>se</w:t>
      </w:r>
      <w:r>
        <w:rPr>
          <w:spacing w:val="-7"/>
        </w:rPr>
        <w:t> </w:t>
      </w:r>
      <w:r>
        <w:rPr/>
        <w:t>contabilizó</w:t>
      </w:r>
      <w:r>
        <w:rPr>
          <w:spacing w:val="-6"/>
        </w:rPr>
        <w:t> </w:t>
      </w:r>
      <w:r>
        <w:rPr/>
        <w:t>el</w:t>
      </w:r>
      <w:r>
        <w:rPr>
          <w:spacing w:val="-6"/>
        </w:rPr>
        <w:t> </w:t>
      </w:r>
      <w:r>
        <w:rPr/>
        <w:t>costo</w:t>
      </w:r>
      <w:r>
        <w:rPr>
          <w:spacing w:val="-3"/>
        </w:rPr>
        <w:t> </w:t>
      </w:r>
      <w:r>
        <w:rPr/>
        <w:t>de</w:t>
      </w:r>
      <w:r>
        <w:rPr>
          <w:spacing w:val="-7"/>
        </w:rPr>
        <w:t> </w:t>
      </w:r>
      <w:r>
        <w:rPr/>
        <w:t>la</w:t>
      </w:r>
      <w:r>
        <w:rPr>
          <w:spacing w:val="-7"/>
        </w:rPr>
        <w:t> </w:t>
      </w:r>
      <w:r>
        <w:rPr/>
        <w:t>MOF</w:t>
      </w:r>
      <w:r>
        <w:rPr>
          <w:spacing w:val="-8"/>
        </w:rPr>
        <w:t> </w:t>
      </w:r>
      <w:r>
        <w:rPr/>
        <w:t>(Tabla</w:t>
      </w:r>
      <w:r>
        <w:rPr>
          <w:spacing w:val="-7"/>
        </w:rPr>
        <w:t> </w:t>
      </w:r>
      <w:r>
        <w:rPr/>
        <w:t>3),</w:t>
      </w:r>
      <w:r>
        <w:rPr>
          <w:spacing w:val="-5"/>
        </w:rPr>
        <w:t> </w:t>
      </w:r>
      <w:r>
        <w:rPr/>
        <w:t>este</w:t>
      </w:r>
      <w:r>
        <w:rPr>
          <w:spacing w:val="-7"/>
        </w:rPr>
        <w:t> </w:t>
      </w:r>
      <w:r>
        <w:rPr/>
        <w:t>aprovechamiento</w:t>
      </w:r>
      <w:r>
        <w:rPr>
          <w:spacing w:val="-6"/>
        </w:rPr>
        <w:t> </w:t>
      </w:r>
      <w:r>
        <w:rPr/>
        <w:t>de</w:t>
      </w:r>
      <w:r>
        <w:rPr>
          <w:spacing w:val="-7"/>
        </w:rPr>
        <w:t> </w:t>
      </w:r>
      <w:r>
        <w:rPr/>
        <w:t>capital</w:t>
      </w:r>
      <w:r>
        <w:rPr>
          <w:spacing w:val="-6"/>
        </w:rPr>
        <w:t> </w:t>
      </w:r>
      <w:r>
        <w:rPr/>
        <w:t>humano</w:t>
      </w:r>
      <w:r>
        <w:rPr>
          <w:spacing w:val="-7"/>
        </w:rPr>
        <w:t> </w:t>
      </w:r>
      <w:r>
        <w:rPr/>
        <w:t>con el que cuentan los sistemas de pequeña escala (Perea </w:t>
      </w:r>
      <w:r>
        <w:rPr>
          <w:i/>
        </w:rPr>
        <w:t>et al, </w:t>
      </w:r>
      <w:r>
        <w:rPr/>
        <w:t>2011) es coincidente con resultados reportados en la ganadería lechera de pequeña escala en el oriente del Estado de México, los cuales mencionan que el costo de producir un litro de leche disminuye hasta en 30%</w:t>
      </w:r>
      <w:r>
        <w:rPr>
          <w:spacing w:val="-17"/>
        </w:rPr>
        <w:t> </w:t>
      </w:r>
      <w:r>
        <w:rPr/>
        <w:t>cuando</w:t>
      </w:r>
      <w:r>
        <w:rPr>
          <w:spacing w:val="-16"/>
        </w:rPr>
        <w:t> </w:t>
      </w:r>
      <w:r>
        <w:rPr/>
        <w:t>no</w:t>
      </w:r>
      <w:r>
        <w:rPr>
          <w:spacing w:val="-16"/>
        </w:rPr>
        <w:t> </w:t>
      </w:r>
      <w:r>
        <w:rPr/>
        <w:t>se</w:t>
      </w:r>
      <w:r>
        <w:rPr>
          <w:spacing w:val="-17"/>
        </w:rPr>
        <w:t> </w:t>
      </w:r>
      <w:r>
        <w:rPr/>
        <w:t>considera</w:t>
      </w:r>
      <w:r>
        <w:rPr>
          <w:spacing w:val="-15"/>
        </w:rPr>
        <w:t> </w:t>
      </w:r>
      <w:r>
        <w:rPr/>
        <w:t>el</w:t>
      </w:r>
      <w:r>
        <w:rPr>
          <w:spacing w:val="-15"/>
        </w:rPr>
        <w:t> </w:t>
      </w:r>
      <w:r>
        <w:rPr/>
        <w:t>desembolso</w:t>
      </w:r>
      <w:r>
        <w:rPr>
          <w:spacing w:val="-16"/>
        </w:rPr>
        <w:t> </w:t>
      </w:r>
      <w:r>
        <w:rPr/>
        <w:t>efectivo</w:t>
      </w:r>
      <w:r>
        <w:rPr>
          <w:spacing w:val="-16"/>
        </w:rPr>
        <w:t> </w:t>
      </w:r>
      <w:r>
        <w:rPr/>
        <w:t>que</w:t>
      </w:r>
      <w:r>
        <w:rPr>
          <w:spacing w:val="-17"/>
        </w:rPr>
        <w:t> </w:t>
      </w:r>
      <w:r>
        <w:rPr/>
        <w:t>representa</w:t>
      </w:r>
      <w:r>
        <w:rPr>
          <w:spacing w:val="-14"/>
        </w:rPr>
        <w:t> </w:t>
      </w:r>
      <w:r>
        <w:rPr/>
        <w:t>el</w:t>
      </w:r>
      <w:r>
        <w:rPr>
          <w:spacing w:val="-15"/>
        </w:rPr>
        <w:t> </w:t>
      </w:r>
      <w:r>
        <w:rPr/>
        <w:t>rubro</w:t>
      </w:r>
      <w:r>
        <w:rPr>
          <w:spacing w:val="-13"/>
        </w:rPr>
        <w:t> </w:t>
      </w:r>
      <w:r>
        <w:rPr/>
        <w:t>de</w:t>
      </w:r>
      <w:r>
        <w:rPr>
          <w:spacing w:val="-17"/>
        </w:rPr>
        <w:t> </w:t>
      </w:r>
      <w:r>
        <w:rPr/>
        <w:t>MOF</w:t>
      </w:r>
      <w:r>
        <w:rPr>
          <w:spacing w:val="-15"/>
        </w:rPr>
        <w:t> </w:t>
      </w:r>
      <w:r>
        <w:rPr/>
        <w:t>(Salinas- Martínez </w:t>
      </w:r>
      <w:r>
        <w:rPr>
          <w:i/>
        </w:rPr>
        <w:t>et al., </w:t>
      </w:r>
      <w:r>
        <w:rPr/>
        <w:t>2010), en este sentido, en la pequeña lechería del centro-norte de México se reporta, que el costo por litro de leche presenta aumentos crecientes al contabilizar el costo de oportunidad de la MOF, creando así un balance negativo en la utilidad </w:t>
      </w:r>
      <w:r>
        <w:rPr>
          <w:spacing w:val="-3"/>
        </w:rPr>
        <w:t>ya </w:t>
      </w:r>
      <w:r>
        <w:rPr/>
        <w:t>que el costo marginal de producir un litro de leche supera al ingreso marginal (Eneida </w:t>
      </w:r>
      <w:r>
        <w:rPr>
          <w:i/>
        </w:rPr>
        <w:t>et al., </w:t>
      </w:r>
      <w:r>
        <w:rPr/>
        <w:t>2011). El comportamiento similar en el costo económico atribuido a la MOF que se da en la lechería de pequeña escala en varias regiones de México y en particular en esta investigación es indicador de que este sistema productivo aprovecha de manera eficiente la ventaja comparativa que le brinda el capital humano para disminuir el costo de los factores internos de producción y así aumentar el grado de rentabilidad y competitividad</w:t>
      </w:r>
      <w:r>
        <w:rPr>
          <w:spacing w:val="-13"/>
        </w:rPr>
        <w:t> </w:t>
      </w:r>
      <w:r>
        <w:rPr/>
        <w:t>sectorial.</w:t>
      </w:r>
    </w:p>
    <w:p>
      <w:pPr>
        <w:pStyle w:val="BodyText"/>
      </w:pPr>
    </w:p>
    <w:p>
      <w:pPr>
        <w:pStyle w:val="BodyText"/>
        <w:spacing w:line="360" w:lineRule="auto" w:before="143"/>
        <w:ind w:left="102" w:right="119"/>
        <w:jc w:val="both"/>
      </w:pPr>
      <w:r>
        <w:rPr/>
        <w:t>En las tres escalas de productores analizados se incrementó el valor agregado en términos económicos, lo cual se debe a las transferencias positivas de los insumos comerciables creadas mediante la independencia de insumos alimenticios que genera el sistema (en promedio 70% de los insumos requeridos para producir un litro de leche, son obtenidos   de</w:t>
      </w:r>
    </w:p>
    <w:p>
      <w:pPr>
        <w:spacing w:after="0" w:line="360" w:lineRule="auto"/>
        <w:jc w:val="both"/>
        <w:sectPr>
          <w:pgSz w:w="12240" w:h="15840"/>
          <w:pgMar w:header="0" w:footer="657" w:top="1360" w:bottom="840" w:left="1600" w:right="1580"/>
        </w:sectPr>
      </w:pPr>
    </w:p>
    <w:p>
      <w:pPr>
        <w:pStyle w:val="BodyText"/>
        <w:spacing w:line="360" w:lineRule="auto" w:before="50"/>
        <w:ind w:left="102" w:right="118"/>
        <w:jc w:val="both"/>
      </w:pPr>
      <w:r>
        <w:rPr/>
        <w:t>las siembras de los productores). La combinación en el uso de MOF, e independencia de insumos</w:t>
      </w:r>
      <w:r>
        <w:rPr>
          <w:spacing w:val="-6"/>
        </w:rPr>
        <w:t> </w:t>
      </w:r>
      <w:r>
        <w:rPr/>
        <w:t>representó</w:t>
      </w:r>
      <w:r>
        <w:rPr>
          <w:spacing w:val="-6"/>
        </w:rPr>
        <w:t> </w:t>
      </w:r>
      <w:r>
        <w:rPr/>
        <w:t>el</w:t>
      </w:r>
      <w:r>
        <w:rPr>
          <w:spacing w:val="-6"/>
        </w:rPr>
        <w:t> </w:t>
      </w:r>
      <w:r>
        <w:rPr/>
        <w:t>incremento</w:t>
      </w:r>
      <w:r>
        <w:rPr>
          <w:spacing w:val="-6"/>
        </w:rPr>
        <w:t> </w:t>
      </w:r>
      <w:r>
        <w:rPr/>
        <w:t>de</w:t>
      </w:r>
      <w:r>
        <w:rPr>
          <w:spacing w:val="-7"/>
        </w:rPr>
        <w:t> </w:t>
      </w:r>
      <w:r>
        <w:rPr/>
        <w:t>valor</w:t>
      </w:r>
      <w:r>
        <w:rPr>
          <w:spacing w:val="-7"/>
        </w:rPr>
        <w:t> </w:t>
      </w:r>
      <w:r>
        <w:rPr/>
        <w:t>agregado</w:t>
      </w:r>
      <w:r>
        <w:rPr>
          <w:spacing w:val="-4"/>
        </w:rPr>
        <w:t> </w:t>
      </w:r>
      <w:r>
        <w:rPr>
          <w:spacing w:val="-3"/>
        </w:rPr>
        <w:t>ya</w:t>
      </w:r>
      <w:r>
        <w:rPr>
          <w:spacing w:val="-7"/>
        </w:rPr>
        <w:t> </w:t>
      </w:r>
      <w:r>
        <w:rPr/>
        <w:t>que</w:t>
      </w:r>
      <w:r>
        <w:rPr>
          <w:spacing w:val="-7"/>
        </w:rPr>
        <w:t> </w:t>
      </w:r>
      <w:r>
        <w:rPr/>
        <w:t>se</w:t>
      </w:r>
      <w:r>
        <w:rPr>
          <w:spacing w:val="-7"/>
        </w:rPr>
        <w:t> </w:t>
      </w:r>
      <w:r>
        <w:rPr/>
        <w:t>disminuyó</w:t>
      </w:r>
      <w:r>
        <w:rPr>
          <w:spacing w:val="-6"/>
        </w:rPr>
        <w:t> </w:t>
      </w:r>
      <w:r>
        <w:rPr/>
        <w:t>el</w:t>
      </w:r>
      <w:r>
        <w:rPr>
          <w:spacing w:val="-6"/>
        </w:rPr>
        <w:t> </w:t>
      </w:r>
      <w:r>
        <w:rPr/>
        <w:t>costo,</w:t>
      </w:r>
      <w:r>
        <w:rPr>
          <w:spacing w:val="-6"/>
        </w:rPr>
        <w:t> </w:t>
      </w:r>
      <w:r>
        <w:rPr/>
        <w:t>de</w:t>
      </w:r>
      <w:r>
        <w:rPr>
          <w:spacing w:val="-7"/>
        </w:rPr>
        <w:t> </w:t>
      </w:r>
      <w:r>
        <w:rPr/>
        <w:t>los</w:t>
      </w:r>
      <w:r>
        <w:rPr>
          <w:spacing w:val="-6"/>
        </w:rPr>
        <w:t> </w:t>
      </w:r>
      <w:r>
        <w:rPr/>
        <w:t>dos principales rubros para la producción de un litro de leche, insumos comercializables y los factores internos de</w:t>
      </w:r>
      <w:r>
        <w:rPr>
          <w:spacing w:val="-7"/>
        </w:rPr>
        <w:t> </w:t>
      </w:r>
      <w:r>
        <w:rPr/>
        <w:t>producción.</w:t>
      </w:r>
    </w:p>
    <w:p>
      <w:pPr>
        <w:pStyle w:val="BodyText"/>
      </w:pPr>
    </w:p>
    <w:p>
      <w:pPr>
        <w:pStyle w:val="BodyText"/>
        <w:spacing w:line="360" w:lineRule="auto" w:before="143"/>
        <w:ind w:left="102" w:right="118"/>
        <w:jc w:val="both"/>
      </w:pPr>
      <w:r>
        <w:rPr/>
        <w:t>La RCP indica el grado de competitividad de la producción para la economía y mide la eficiencia económica del sistema (Hernández </w:t>
      </w:r>
      <w:r>
        <w:rPr>
          <w:i/>
        </w:rPr>
        <w:t>et al., </w:t>
      </w:r>
      <w:r>
        <w:rPr/>
        <w:t>2008; Rebollar </w:t>
      </w:r>
      <w:r>
        <w:rPr>
          <w:i/>
        </w:rPr>
        <w:t>et al., </w:t>
      </w:r>
      <w:r>
        <w:rPr/>
        <w:t>2011). Las tres escalas de productores analizados registraron una RCP menor a uno, lo que indica que son económicamente eficientes (cuentan con ventaja comparativa), es decir, con este sistema al productor le cuesta 26, 32 y 33 centavos producir un peso de valor agregado (Tabla 4), y al país le conviene producir leche bajo este sistema pues ahorraría 74, 68 y 67% de las divisas invertidas en la importación de leche. Estos resultados pueden estar explicados por las ventajas que presentan los sistemas lecheros de pequeña escala, las cuales, hacen de este un sistema</w:t>
      </w:r>
      <w:r>
        <w:rPr>
          <w:spacing w:val="-6"/>
        </w:rPr>
        <w:t> </w:t>
      </w:r>
      <w:r>
        <w:rPr/>
        <w:t>productivo</w:t>
      </w:r>
      <w:r>
        <w:rPr>
          <w:spacing w:val="-5"/>
        </w:rPr>
        <w:t> </w:t>
      </w:r>
      <w:r>
        <w:rPr/>
        <w:t>con</w:t>
      </w:r>
      <w:r>
        <w:rPr>
          <w:spacing w:val="-5"/>
        </w:rPr>
        <w:t> </w:t>
      </w:r>
      <w:r>
        <w:rPr/>
        <w:t>características</w:t>
      </w:r>
      <w:r>
        <w:rPr>
          <w:spacing w:val="-5"/>
        </w:rPr>
        <w:t> </w:t>
      </w:r>
      <w:r>
        <w:rPr/>
        <w:t>endógenas</w:t>
      </w:r>
      <w:r>
        <w:rPr>
          <w:spacing w:val="-5"/>
        </w:rPr>
        <w:t> </w:t>
      </w:r>
      <w:r>
        <w:rPr/>
        <w:t>propias,</w:t>
      </w:r>
      <w:r>
        <w:rPr>
          <w:spacing w:val="-5"/>
        </w:rPr>
        <w:t> </w:t>
      </w:r>
      <w:r>
        <w:rPr/>
        <w:t>con</w:t>
      </w:r>
      <w:r>
        <w:rPr>
          <w:spacing w:val="-5"/>
        </w:rPr>
        <w:t> </w:t>
      </w:r>
      <w:r>
        <w:rPr/>
        <w:t>un</w:t>
      </w:r>
      <w:r>
        <w:rPr>
          <w:spacing w:val="-5"/>
        </w:rPr>
        <w:t> </w:t>
      </w:r>
      <w:r>
        <w:rPr/>
        <w:t>nicho</w:t>
      </w:r>
      <w:r>
        <w:rPr>
          <w:spacing w:val="-5"/>
        </w:rPr>
        <w:t> </w:t>
      </w:r>
      <w:r>
        <w:rPr/>
        <w:t>de</w:t>
      </w:r>
      <w:r>
        <w:rPr>
          <w:spacing w:val="-8"/>
        </w:rPr>
        <w:t> </w:t>
      </w:r>
      <w:r>
        <w:rPr/>
        <w:t>mercado</w:t>
      </w:r>
      <w:r>
        <w:rPr>
          <w:spacing w:val="-5"/>
        </w:rPr>
        <w:t> </w:t>
      </w:r>
      <w:r>
        <w:rPr/>
        <w:t>limitado pero con gran capacidad para aprovechar ventajas comparativas que se reflejan en mayor grado de competitividad y rentabilidad</w:t>
      </w:r>
      <w:r>
        <w:rPr>
          <w:spacing w:val="-10"/>
        </w:rPr>
        <w:t> </w:t>
      </w:r>
      <w:r>
        <w:rPr/>
        <w:t>privada.</w:t>
      </w:r>
    </w:p>
    <w:p>
      <w:pPr>
        <w:pStyle w:val="BodyText"/>
      </w:pPr>
    </w:p>
    <w:p>
      <w:pPr>
        <w:pStyle w:val="Heading1"/>
        <w:spacing w:before="148"/>
      </w:pPr>
      <w:r>
        <w:rPr/>
        <w:t>CONCLUSIONES</w:t>
      </w:r>
    </w:p>
    <w:p>
      <w:pPr>
        <w:pStyle w:val="BodyText"/>
        <w:rPr>
          <w:b/>
        </w:rPr>
      </w:pPr>
    </w:p>
    <w:p>
      <w:pPr>
        <w:pStyle w:val="BodyText"/>
        <w:spacing w:before="6"/>
        <w:rPr>
          <w:b/>
          <w:sz w:val="23"/>
        </w:rPr>
      </w:pPr>
    </w:p>
    <w:p>
      <w:pPr>
        <w:pStyle w:val="BodyText"/>
        <w:spacing w:line="360" w:lineRule="auto"/>
        <w:ind w:left="102" w:right="114"/>
        <w:jc w:val="both"/>
      </w:pPr>
      <w:r>
        <w:rPr/>
        <w:t>Los resultados muestran que bajo las actuales labores de producción y manejo, los sistemas lecheros de pequeña escala son rentables para el productor y presentan ventaja comparativa. La rentabilidad y competitividad privada fue positiva cuando se consideró el costo de todos los factores internos de la producción, sin embargo, se evidencia que los productores mejoraron sustancialmente el CRP y la RCP cuando optimizaron eficientemente el costo económico de los factores internos de producción, dado que hay un uso intensivo de MOF que</w:t>
      </w:r>
      <w:r>
        <w:rPr>
          <w:spacing w:val="-5"/>
        </w:rPr>
        <w:t> </w:t>
      </w:r>
      <w:r>
        <w:rPr/>
        <w:t>genera</w:t>
      </w:r>
      <w:r>
        <w:rPr>
          <w:spacing w:val="-5"/>
        </w:rPr>
        <w:t> </w:t>
      </w:r>
      <w:r>
        <w:rPr/>
        <w:t>un</w:t>
      </w:r>
      <w:r>
        <w:rPr>
          <w:spacing w:val="-4"/>
        </w:rPr>
        <w:t> </w:t>
      </w:r>
      <w:r>
        <w:rPr/>
        <w:t>alto</w:t>
      </w:r>
      <w:r>
        <w:rPr>
          <w:spacing w:val="-4"/>
        </w:rPr>
        <w:t> </w:t>
      </w:r>
      <w:r>
        <w:rPr/>
        <w:t>valor</w:t>
      </w:r>
      <w:r>
        <w:rPr>
          <w:spacing w:val="-2"/>
        </w:rPr>
        <w:t> </w:t>
      </w:r>
      <w:r>
        <w:rPr/>
        <w:t>agregado</w:t>
      </w:r>
      <w:r>
        <w:rPr>
          <w:spacing w:val="-1"/>
        </w:rPr>
        <w:t> </w:t>
      </w:r>
      <w:r>
        <w:rPr/>
        <w:t>en</w:t>
      </w:r>
      <w:r>
        <w:rPr>
          <w:spacing w:val="-4"/>
        </w:rPr>
        <w:t> </w:t>
      </w:r>
      <w:r>
        <w:rPr/>
        <w:t>la</w:t>
      </w:r>
      <w:r>
        <w:rPr>
          <w:spacing w:val="-4"/>
        </w:rPr>
        <w:t> </w:t>
      </w:r>
      <w:r>
        <w:rPr/>
        <w:t>región.</w:t>
      </w:r>
      <w:r>
        <w:rPr>
          <w:spacing w:val="-2"/>
        </w:rPr>
        <w:t> </w:t>
      </w:r>
      <w:r>
        <w:rPr>
          <w:spacing w:val="-3"/>
        </w:rPr>
        <w:t>Lo</w:t>
      </w:r>
      <w:r>
        <w:rPr>
          <w:spacing w:val="-2"/>
        </w:rPr>
        <w:t> </w:t>
      </w:r>
      <w:r>
        <w:rPr/>
        <w:t>anterior</w:t>
      </w:r>
      <w:r>
        <w:rPr>
          <w:spacing w:val="-4"/>
        </w:rPr>
        <w:t> </w:t>
      </w:r>
      <w:r>
        <w:rPr/>
        <w:t>puede</w:t>
      </w:r>
      <w:r>
        <w:rPr>
          <w:spacing w:val="-5"/>
        </w:rPr>
        <w:t> </w:t>
      </w:r>
      <w:r>
        <w:rPr/>
        <w:t>convertirse</w:t>
      </w:r>
      <w:r>
        <w:rPr>
          <w:spacing w:val="-5"/>
        </w:rPr>
        <w:t> </w:t>
      </w:r>
      <w:r>
        <w:rPr/>
        <w:t>en</w:t>
      </w:r>
      <w:r>
        <w:rPr>
          <w:spacing w:val="-4"/>
        </w:rPr>
        <w:t> </w:t>
      </w:r>
      <w:r>
        <w:rPr/>
        <w:t>un</w:t>
      </w:r>
      <w:r>
        <w:rPr>
          <w:spacing w:val="-4"/>
        </w:rPr>
        <w:t> </w:t>
      </w:r>
      <w:r>
        <w:rPr/>
        <w:t>estímulo económico para continuar la actividad lechera, sobre todo si el productor no tiene alguna alternativa</w:t>
      </w:r>
      <w:r>
        <w:rPr>
          <w:spacing w:val="-13"/>
        </w:rPr>
        <w:t> </w:t>
      </w:r>
      <w:r>
        <w:rPr/>
        <w:t>de</w:t>
      </w:r>
      <w:r>
        <w:rPr>
          <w:spacing w:val="-13"/>
        </w:rPr>
        <w:t> </w:t>
      </w:r>
      <w:r>
        <w:rPr/>
        <w:t>negocio</w:t>
      </w:r>
      <w:r>
        <w:rPr>
          <w:spacing w:val="-12"/>
        </w:rPr>
        <w:t> </w:t>
      </w:r>
      <w:r>
        <w:rPr/>
        <w:t>que</w:t>
      </w:r>
      <w:r>
        <w:rPr>
          <w:spacing w:val="-13"/>
        </w:rPr>
        <w:t> </w:t>
      </w:r>
      <w:r>
        <w:rPr/>
        <w:t>genere</w:t>
      </w:r>
      <w:r>
        <w:rPr>
          <w:spacing w:val="-14"/>
        </w:rPr>
        <w:t> </w:t>
      </w:r>
      <w:r>
        <w:rPr/>
        <w:t>los</w:t>
      </w:r>
      <w:r>
        <w:rPr>
          <w:spacing w:val="-11"/>
        </w:rPr>
        <w:t> </w:t>
      </w:r>
      <w:r>
        <w:rPr/>
        <w:t>mismos</w:t>
      </w:r>
      <w:r>
        <w:rPr>
          <w:spacing w:val="-11"/>
        </w:rPr>
        <w:t> </w:t>
      </w:r>
      <w:r>
        <w:rPr/>
        <w:t>ingresos.</w:t>
      </w:r>
      <w:r>
        <w:rPr>
          <w:spacing w:val="-12"/>
        </w:rPr>
        <w:t> </w:t>
      </w:r>
      <w:r>
        <w:rPr/>
        <w:t>Así</w:t>
      </w:r>
      <w:r>
        <w:rPr>
          <w:spacing w:val="-12"/>
        </w:rPr>
        <w:t> </w:t>
      </w:r>
      <w:r>
        <w:rPr/>
        <w:t>mismo,</w:t>
      </w:r>
      <w:r>
        <w:rPr>
          <w:spacing w:val="-14"/>
        </w:rPr>
        <w:t> </w:t>
      </w:r>
      <w:r>
        <w:rPr/>
        <w:t>cabe</w:t>
      </w:r>
      <w:r>
        <w:rPr>
          <w:spacing w:val="-13"/>
        </w:rPr>
        <w:t> </w:t>
      </w:r>
      <w:r>
        <w:rPr/>
        <w:t>destacar</w:t>
      </w:r>
      <w:r>
        <w:rPr>
          <w:spacing w:val="-13"/>
        </w:rPr>
        <w:t> </w:t>
      </w:r>
      <w:r>
        <w:rPr/>
        <w:t>el</w:t>
      </w:r>
      <w:r>
        <w:rPr>
          <w:spacing w:val="-12"/>
        </w:rPr>
        <w:t> </w:t>
      </w:r>
      <w:r>
        <w:rPr/>
        <w:t>potencial de la MAP para aportar información provechosa, la cual puede ser utilizada en términos de política</w:t>
      </w:r>
      <w:r>
        <w:rPr>
          <w:spacing w:val="-5"/>
        </w:rPr>
        <w:t> </w:t>
      </w:r>
      <w:r>
        <w:rPr/>
        <w:t>pública</w:t>
      </w:r>
      <w:r>
        <w:rPr>
          <w:spacing w:val="-5"/>
        </w:rPr>
        <w:t> </w:t>
      </w:r>
      <w:r>
        <w:rPr/>
        <w:t>para</w:t>
      </w:r>
      <w:r>
        <w:rPr>
          <w:spacing w:val="-6"/>
        </w:rPr>
        <w:t> </w:t>
      </w:r>
      <w:r>
        <w:rPr/>
        <w:t>apuntalar</w:t>
      </w:r>
      <w:r>
        <w:rPr>
          <w:spacing w:val="-5"/>
        </w:rPr>
        <w:t> </w:t>
      </w:r>
      <w:r>
        <w:rPr/>
        <w:t>los</w:t>
      </w:r>
      <w:r>
        <w:rPr>
          <w:spacing w:val="-3"/>
        </w:rPr>
        <w:t> </w:t>
      </w:r>
      <w:r>
        <w:rPr/>
        <w:t>apoyos</w:t>
      </w:r>
      <w:r>
        <w:rPr>
          <w:spacing w:val="-4"/>
        </w:rPr>
        <w:t> </w:t>
      </w:r>
      <w:r>
        <w:rPr/>
        <w:t>productivos</w:t>
      </w:r>
      <w:r>
        <w:rPr>
          <w:spacing w:val="-3"/>
        </w:rPr>
        <w:t> </w:t>
      </w:r>
      <w:r>
        <w:rPr/>
        <w:t>sectoriales</w:t>
      </w:r>
      <w:r>
        <w:rPr>
          <w:spacing w:val="-4"/>
        </w:rPr>
        <w:t> </w:t>
      </w:r>
      <w:r>
        <w:rPr/>
        <w:t>en</w:t>
      </w:r>
      <w:r>
        <w:rPr>
          <w:spacing w:val="-4"/>
        </w:rPr>
        <w:t> </w:t>
      </w:r>
      <w:r>
        <w:rPr/>
        <w:t>beneficio</w:t>
      </w:r>
      <w:r>
        <w:rPr>
          <w:spacing w:val="-3"/>
        </w:rPr>
        <w:t> </w:t>
      </w:r>
      <w:r>
        <w:rPr/>
        <w:t>del</w:t>
      </w:r>
      <w:r>
        <w:rPr>
          <w:spacing w:val="-3"/>
        </w:rPr>
        <w:t> </w:t>
      </w:r>
      <w:r>
        <w:rPr/>
        <w:t>sistema,</w:t>
      </w:r>
      <w:r>
        <w:rPr>
          <w:spacing w:val="-1"/>
        </w:rPr>
        <w:t> </w:t>
      </w:r>
      <w:r>
        <w:rPr/>
        <w:t>y</w:t>
      </w:r>
    </w:p>
    <w:p>
      <w:pPr>
        <w:spacing w:after="0" w:line="360" w:lineRule="auto"/>
        <w:jc w:val="both"/>
        <w:sectPr>
          <w:footerReference w:type="default" r:id="rId114"/>
          <w:pgSz w:w="12240" w:h="15840"/>
          <w:pgMar w:footer="657" w:header="0" w:top="1360" w:bottom="840" w:left="1600" w:right="1580"/>
          <w:pgNumType w:start="120"/>
        </w:sectPr>
      </w:pPr>
    </w:p>
    <w:p>
      <w:pPr>
        <w:pStyle w:val="BodyText"/>
        <w:spacing w:line="362" w:lineRule="auto" w:before="50"/>
        <w:ind w:left="102"/>
      </w:pPr>
      <w:r>
        <w:rPr/>
        <w:t>con ello, se pueda potenciar el desarrollo y permeancia del sistema en el mercado de competencia actual.</w:t>
      </w:r>
    </w:p>
    <w:p>
      <w:pPr>
        <w:pStyle w:val="BodyText"/>
      </w:pPr>
    </w:p>
    <w:p>
      <w:pPr>
        <w:pStyle w:val="Heading1"/>
        <w:spacing w:before="145"/>
        <w:jc w:val="left"/>
      </w:pPr>
      <w:r>
        <w:rPr/>
        <w:t>BIBLIOGRAFÍA</w:t>
      </w:r>
    </w:p>
    <w:p>
      <w:pPr>
        <w:pStyle w:val="BodyText"/>
        <w:rPr>
          <w:b/>
        </w:rPr>
      </w:pPr>
    </w:p>
    <w:p>
      <w:pPr>
        <w:pStyle w:val="BodyText"/>
        <w:spacing w:before="6"/>
        <w:rPr>
          <w:b/>
          <w:sz w:val="23"/>
        </w:rPr>
      </w:pPr>
    </w:p>
    <w:p>
      <w:pPr>
        <w:pStyle w:val="BodyText"/>
        <w:spacing w:line="360" w:lineRule="auto"/>
        <w:ind w:left="810" w:right="117" w:hanging="708"/>
        <w:jc w:val="both"/>
      </w:pPr>
      <w:r>
        <w:rPr/>
        <w:t>Arriaga-Jordán C.M., Albarrán-Portillo B., Espinoza-Ortega A., García-Martínez A., Castelán-Ortega O.A. 2002. On-farm comparison of feeding strategies base on forages for small-scale dairy production systems in the highlands of central Mexico. Expl Agric. (38): 475-388.</w:t>
      </w:r>
    </w:p>
    <w:p>
      <w:pPr>
        <w:pStyle w:val="BodyText"/>
        <w:spacing w:line="360" w:lineRule="auto" w:before="7"/>
        <w:ind w:left="810" w:right="120" w:hanging="708"/>
        <w:jc w:val="both"/>
      </w:pPr>
      <w:r>
        <w:rPr/>
        <w:t>BANXICO (Banco Central de México). 2011. Informe Anual que se rinde al Ejecutivo Federal y al Congreso de la Unión en cumplimiento de lo dispuesto en la fracción</w:t>
      </w:r>
      <w:r>
        <w:rPr>
          <w:spacing w:val="-22"/>
        </w:rPr>
        <w:t> </w:t>
      </w:r>
      <w:r>
        <w:rPr/>
        <w:t>III del  artículo 51 de la Ley del Banco de México. 135</w:t>
      </w:r>
      <w:r>
        <w:rPr>
          <w:spacing w:val="-7"/>
        </w:rPr>
        <w:t> </w:t>
      </w:r>
      <w:r>
        <w:rPr/>
        <w:t>Pp.</w:t>
      </w:r>
    </w:p>
    <w:p>
      <w:pPr>
        <w:pStyle w:val="BodyText"/>
        <w:spacing w:before="4"/>
        <w:ind w:right="118"/>
        <w:jc w:val="right"/>
      </w:pPr>
      <w:r>
        <w:rPr/>
        <w:t>Barrera-Rodríguez I.A., Jaramillo-Villanueva L.J., Escobedo-Garrido J.S., Herrera-Cabrera</w:t>
      </w:r>
    </w:p>
    <w:p>
      <w:pPr>
        <w:pStyle w:val="BodyText"/>
        <w:spacing w:line="360" w:lineRule="auto" w:before="139"/>
        <w:ind w:left="102" w:right="110" w:firstLine="707"/>
        <w:jc w:val="right"/>
      </w:pPr>
      <w:r>
        <w:rPr/>
        <w:t>B.E. 2011. Rentabilidad y competitividad de los sistemas de producción</w:t>
      </w:r>
      <w:r>
        <w:rPr>
          <w:spacing w:val="59"/>
        </w:rPr>
        <w:t> </w:t>
      </w:r>
      <w:r>
        <w:rPr/>
        <w:t>de vainilla (</w:t>
      </w:r>
      <w:r>
        <w:rPr>
          <w:i/>
        </w:rPr>
        <w:t>vanilla planifolia</w:t>
      </w:r>
      <w:r>
        <w:rPr/>
        <w:t>) en la región del Totonacapan, México. Agrociencia. 45: 625-638.</w:t>
      </w:r>
      <w:r>
        <w:rPr>
          <w:w w:val="99"/>
        </w:rPr>
        <w:t> </w:t>
      </w:r>
      <w:r>
        <w:rPr/>
        <w:t>Barrón-Aguilar J.F.R., García-Mata J.S., Mora-Flores S., López-Díaz A., Pró-Martínez, y</w:t>
      </w:r>
      <w:r>
        <w:rPr>
          <w:w w:val="99"/>
        </w:rPr>
        <w:t> </w:t>
      </w:r>
      <w:r>
        <w:rPr/>
        <w:t>García-Sánchez R.C. 2000. Competitividad y efectos de política económica en la producción de cerdo en pie de 13 granjas porcícolas en el estado de Michoacán, 1995.</w:t>
      </w:r>
    </w:p>
    <w:p>
      <w:pPr>
        <w:pStyle w:val="BodyText"/>
        <w:spacing w:before="4"/>
        <w:ind w:left="810"/>
      </w:pPr>
      <w:r>
        <w:rPr/>
        <w:t>Agrociencia. 34 (3): 369-377.</w:t>
      </w:r>
    </w:p>
    <w:p>
      <w:pPr>
        <w:pStyle w:val="BodyText"/>
        <w:spacing w:line="360" w:lineRule="auto" w:before="139"/>
        <w:ind w:left="810" w:right="121" w:hanging="708"/>
        <w:jc w:val="both"/>
      </w:pPr>
      <w:r>
        <w:rPr/>
        <w:t>Cesín V.A., Aliphat F.M., Ramírez V.B., Herrera H.J.G., Martínez C.D. 2007. Ganadería lechera familiar y producción de queso. Estudio en tres comunidades del municipio de Tetlatlahuca en el estado de Tlaxcala, México. Téc Pecu Méx. 45 (1): 61-67.</w:t>
      </w:r>
    </w:p>
    <w:p>
      <w:pPr>
        <w:pStyle w:val="BodyText"/>
        <w:spacing w:line="360" w:lineRule="auto" w:before="4"/>
        <w:ind w:left="810" w:right="120" w:hanging="708"/>
        <w:jc w:val="both"/>
      </w:pPr>
      <w:r>
        <w:rPr/>
        <w:t>Eneida R.G.R., Herrera C.J., Tzintzun R.R., Ramírez G. M., y de la Tejera H.B.G. 2011. Caracterización de los sistemas lecheros a pequeña escala en la región centro norte del estado de Michoacán, México. (Cavallotti VBA, Ramírez VB, Martínez CFE, Marcof ACF, Cesín VA. Editores). En: La ganadería ante el agotamiento de los paradigmas dominantes. 1era ed. Vol. 2. Departamento de Zootecnia CIESTAAM. Universidad Autónoma de Chapingo. Chapingo México, Méx: 69-80.</w:t>
      </w:r>
    </w:p>
    <w:p>
      <w:pPr>
        <w:spacing w:after="0" w:line="360" w:lineRule="auto"/>
        <w:jc w:val="both"/>
        <w:sectPr>
          <w:pgSz w:w="12240" w:h="15840"/>
          <w:pgMar w:header="0" w:footer="657" w:top="1360" w:bottom="840" w:left="1600" w:right="1580"/>
        </w:sectPr>
      </w:pPr>
    </w:p>
    <w:p>
      <w:pPr>
        <w:pStyle w:val="BodyText"/>
        <w:spacing w:line="360" w:lineRule="auto" w:before="50"/>
        <w:ind w:left="810" w:right="118" w:hanging="708"/>
        <w:jc w:val="both"/>
      </w:pPr>
      <w:r>
        <w:rPr/>
        <w:t>Espinoza-Ortega A., Espinosa-Ayala E., Bastida-López J., Castañeda-Martínez T., and Arriaga-Jordán C.M. 2007. Small-scale dairy farming in the Highlands of central Mexico: Technical, economic and social aspects and their impact on poverty. Expl Agric. (43): 241-256.</w:t>
      </w:r>
    </w:p>
    <w:p>
      <w:pPr>
        <w:pStyle w:val="BodyText"/>
        <w:spacing w:before="4"/>
        <w:ind w:left="102"/>
      </w:pPr>
      <w:r>
        <w:rPr/>
        <w:t>Hernández</w:t>
      </w:r>
      <w:r>
        <w:rPr>
          <w:spacing w:val="-11"/>
        </w:rPr>
        <w:t> </w:t>
      </w:r>
      <w:r>
        <w:rPr/>
        <w:t>M.J.,</w:t>
      </w:r>
      <w:r>
        <w:rPr>
          <w:spacing w:val="-14"/>
        </w:rPr>
        <w:t> </w:t>
      </w:r>
      <w:r>
        <w:rPr/>
        <w:t>Rebollar</w:t>
      </w:r>
      <w:r>
        <w:rPr>
          <w:spacing w:val="-13"/>
        </w:rPr>
        <w:t> </w:t>
      </w:r>
      <w:r>
        <w:rPr/>
        <w:t>R.S.,</w:t>
      </w:r>
      <w:r>
        <w:rPr>
          <w:spacing w:val="-12"/>
        </w:rPr>
        <w:t> </w:t>
      </w:r>
      <w:r>
        <w:rPr/>
        <w:t>Rojo</w:t>
      </w:r>
      <w:r>
        <w:rPr>
          <w:spacing w:val="-12"/>
        </w:rPr>
        <w:t> </w:t>
      </w:r>
      <w:r>
        <w:rPr/>
        <w:t>R.R.,</w:t>
      </w:r>
      <w:r>
        <w:rPr>
          <w:spacing w:val="-12"/>
        </w:rPr>
        <w:t> </w:t>
      </w:r>
      <w:r>
        <w:rPr/>
        <w:t>García</w:t>
      </w:r>
      <w:r>
        <w:rPr>
          <w:spacing w:val="-13"/>
        </w:rPr>
        <w:t> </w:t>
      </w:r>
      <w:r>
        <w:rPr/>
        <w:t>S.J.A.,</w:t>
      </w:r>
      <w:r>
        <w:rPr>
          <w:spacing w:val="-13"/>
        </w:rPr>
        <w:t> </w:t>
      </w:r>
      <w:r>
        <w:rPr/>
        <w:t>Guzmán</w:t>
      </w:r>
      <w:r>
        <w:rPr>
          <w:spacing w:val="-13"/>
        </w:rPr>
        <w:t> </w:t>
      </w:r>
      <w:r>
        <w:rPr/>
        <w:t>S.E.,</w:t>
      </w:r>
      <w:r>
        <w:rPr>
          <w:spacing w:val="-12"/>
        </w:rPr>
        <w:t> </w:t>
      </w:r>
      <w:r>
        <w:rPr/>
        <w:t>Martínez</w:t>
      </w:r>
      <w:r>
        <w:rPr>
          <w:spacing w:val="-11"/>
        </w:rPr>
        <w:t> </w:t>
      </w:r>
      <w:r>
        <w:rPr/>
        <w:t>T.J.J.,</w:t>
      </w:r>
      <w:r>
        <w:rPr>
          <w:spacing w:val="-12"/>
        </w:rPr>
        <w:t> </w:t>
      </w:r>
      <w:r>
        <w:rPr/>
        <w:t>Díaz</w:t>
      </w:r>
    </w:p>
    <w:p>
      <w:pPr>
        <w:pStyle w:val="BodyText"/>
        <w:spacing w:line="360" w:lineRule="auto" w:before="139"/>
        <w:ind w:left="810"/>
      </w:pPr>
      <w:r>
        <w:rPr/>
        <w:t>C.M. A. 2008. Rentabilidad privada de las granjas porcinas en el sur del Estado de México. Universidad y Ciencia. 24 (2): 117-124.</w:t>
      </w:r>
    </w:p>
    <w:p>
      <w:pPr>
        <w:pStyle w:val="BodyText"/>
        <w:spacing w:line="360" w:lineRule="auto" w:before="6"/>
        <w:ind w:left="810" w:right="121" w:hanging="708"/>
        <w:jc w:val="both"/>
      </w:pPr>
      <w:r>
        <w:rPr/>
        <w:t>INEGI (Instituto Nacional de Estadística, Geografía e Informática). 2003. Anuario Estadístico del Estado de México. Aguascalientes, Ags. México.</w:t>
      </w:r>
    </w:p>
    <w:p>
      <w:pPr>
        <w:pStyle w:val="BodyText"/>
        <w:spacing w:before="7"/>
        <w:ind w:left="102"/>
      </w:pPr>
      <w:r>
        <w:rPr/>
        <w:t>Monke E., and Pearson S. 1989. The Policy Analysis Matrix for Agricultural Development.</w:t>
      </w:r>
    </w:p>
    <w:p>
      <w:pPr>
        <w:pStyle w:val="BodyText"/>
        <w:spacing w:before="137"/>
        <w:ind w:left="810"/>
      </w:pPr>
      <w:r>
        <w:rPr/>
        <w:t>Cornell University Press. Ithaca and London. 220 Pp.</w:t>
      </w:r>
    </w:p>
    <w:p>
      <w:pPr>
        <w:pStyle w:val="BodyText"/>
        <w:spacing w:line="360" w:lineRule="auto" w:before="139"/>
        <w:ind w:left="810" w:right="122" w:hanging="708"/>
        <w:jc w:val="both"/>
      </w:pPr>
      <w:r>
        <w:rPr/>
        <w:t>Morrison J., and Balcombe K. 2002. Policy analysis matrices beyond simple sensitivity. Journal of International Development. Pp: 459-471. Published online in Wiley Inter Science (www.interscience.wiley.com). DOI: 10.1002/jid.887.</w:t>
      </w:r>
    </w:p>
    <w:p>
      <w:pPr>
        <w:pStyle w:val="BodyText"/>
        <w:spacing w:line="360" w:lineRule="auto" w:before="4"/>
        <w:ind w:left="810" w:right="119" w:hanging="708"/>
        <w:jc w:val="both"/>
      </w:pPr>
      <w:r>
        <w:rPr/>
        <w:t>Orozco H.M.E., y López A.D. 2008. Estrategia de supervivencia familiar en una</w:t>
      </w:r>
      <w:r>
        <w:rPr>
          <w:spacing w:val="-19"/>
        </w:rPr>
        <w:t> </w:t>
      </w:r>
      <w:r>
        <w:rPr/>
        <w:t>comunidad campesina del Estado de México. </w:t>
      </w:r>
      <w:r>
        <w:rPr>
          <w:i/>
        </w:rPr>
        <w:t>Ciencia Ergo Sum. </w:t>
      </w:r>
      <w:r>
        <w:rPr/>
        <w:t>14 (003):</w:t>
      </w:r>
      <w:r>
        <w:rPr>
          <w:spacing w:val="-7"/>
        </w:rPr>
        <w:t> </w:t>
      </w:r>
      <w:r>
        <w:rPr/>
        <w:t>246-254.</w:t>
      </w:r>
    </w:p>
    <w:p>
      <w:pPr>
        <w:pStyle w:val="BodyText"/>
        <w:spacing w:line="360" w:lineRule="auto" w:before="4"/>
        <w:ind w:left="810" w:right="121" w:hanging="708"/>
        <w:jc w:val="both"/>
      </w:pPr>
      <w:r>
        <w:rPr/>
        <w:t>Perea P.M., Espinoza O.A., y Sánchez V.E. 2011. Los capitales social, humano y físico en los procesos de innovación tecnológica de los sistemas campesinos de producción ovina en Michoacán. (Cavallotti VBA, Ramírez VB, Martínez CFE, Marcof ACF, Cesín VA. Editores). En: La ganadería ante el agotamiento de los paradigmas dominantes. 1era ed. Vol. 2. Departamento de Zootecnia CIESTAAM. Universidad Autónoma de Chapingo. Chapingo México, Méx: 101-112.</w:t>
      </w:r>
    </w:p>
    <w:p>
      <w:pPr>
        <w:pStyle w:val="BodyText"/>
        <w:spacing w:line="360" w:lineRule="auto" w:before="4"/>
        <w:ind w:left="810" w:right="117" w:hanging="708"/>
        <w:jc w:val="both"/>
      </w:pPr>
      <w:r>
        <w:rPr/>
        <w:t>Rebollar-Rebollar A., Hernández-Martínez J., Rebollar-Rebollar S., Guzmán-Soria E., García-Martínez A., González-Razo F.J. 2011. Competitividad y rentabilidad de bovinos en corral en el sur del Estado de México. Trop and Sup Agroecosystems. 14 (2): 691-698.</w:t>
      </w:r>
    </w:p>
    <w:p>
      <w:pPr>
        <w:pStyle w:val="BodyText"/>
        <w:spacing w:line="360" w:lineRule="auto" w:before="4"/>
        <w:ind w:left="810" w:right="117" w:hanging="708"/>
        <w:jc w:val="both"/>
      </w:pPr>
      <w:r>
        <w:rPr/>
        <w:t>Romo M.D., y Andel M.G. 2005. Sobre el concepto de competitividad. Comercio Exterior 55(3): 15-58.</w:t>
      </w:r>
    </w:p>
    <w:p>
      <w:pPr>
        <w:spacing w:after="0" w:line="360" w:lineRule="auto"/>
        <w:jc w:val="both"/>
        <w:sectPr>
          <w:pgSz w:w="12240" w:h="15840"/>
          <w:pgMar w:header="0" w:footer="657" w:top="1360" w:bottom="840" w:left="1600" w:right="1580"/>
        </w:sectPr>
      </w:pPr>
    </w:p>
    <w:p>
      <w:pPr>
        <w:pStyle w:val="BodyText"/>
        <w:spacing w:line="360" w:lineRule="auto" w:before="50"/>
        <w:ind w:left="810" w:right="119" w:hanging="708"/>
        <w:jc w:val="both"/>
      </w:pPr>
      <w:r>
        <w:rPr/>
        <w:t>Salinas</w:t>
      </w:r>
      <w:r>
        <w:rPr>
          <w:spacing w:val="-14"/>
        </w:rPr>
        <w:t> </w:t>
      </w:r>
      <w:r>
        <w:rPr/>
        <w:t>M.J.A.,</w:t>
      </w:r>
      <w:r>
        <w:rPr>
          <w:spacing w:val="-17"/>
        </w:rPr>
        <w:t> </w:t>
      </w:r>
      <w:r>
        <w:rPr/>
        <w:t>Peñuelas</w:t>
      </w:r>
      <w:r>
        <w:rPr>
          <w:spacing w:val="-15"/>
        </w:rPr>
        <w:t> </w:t>
      </w:r>
      <w:r>
        <w:rPr/>
        <w:t>R.C.J.,</w:t>
      </w:r>
      <w:r>
        <w:rPr>
          <w:spacing w:val="-14"/>
        </w:rPr>
        <w:t> </w:t>
      </w:r>
      <w:r>
        <w:rPr/>
        <w:t>Espinoza</w:t>
      </w:r>
      <w:r>
        <w:rPr>
          <w:spacing w:val="-15"/>
        </w:rPr>
        <w:t> </w:t>
      </w:r>
      <w:r>
        <w:rPr/>
        <w:t>O.A.,</w:t>
      </w:r>
      <w:r>
        <w:rPr>
          <w:spacing w:val="-14"/>
        </w:rPr>
        <w:t> </w:t>
      </w:r>
      <w:r>
        <w:rPr/>
        <w:t>Martínez</w:t>
      </w:r>
      <w:r>
        <w:rPr>
          <w:spacing w:val="-13"/>
        </w:rPr>
        <w:t> </w:t>
      </w:r>
      <w:r>
        <w:rPr/>
        <w:t>C.F.E.</w:t>
      </w:r>
      <w:r>
        <w:rPr>
          <w:spacing w:val="-15"/>
        </w:rPr>
        <w:t> </w:t>
      </w:r>
      <w:r>
        <w:rPr/>
        <w:t>2010.</w:t>
      </w:r>
      <w:r>
        <w:rPr>
          <w:spacing w:val="-14"/>
        </w:rPr>
        <w:t> </w:t>
      </w:r>
      <w:r>
        <w:rPr/>
        <w:t>Costos</w:t>
      </w:r>
      <w:r>
        <w:rPr>
          <w:spacing w:val="-14"/>
        </w:rPr>
        <w:t> </w:t>
      </w:r>
      <w:r>
        <w:rPr/>
        <w:t>de</w:t>
      </w:r>
      <w:r>
        <w:rPr>
          <w:spacing w:val="-15"/>
        </w:rPr>
        <w:t> </w:t>
      </w:r>
      <w:r>
        <w:rPr/>
        <w:t>producción en</w:t>
      </w:r>
      <w:r>
        <w:rPr>
          <w:spacing w:val="-6"/>
        </w:rPr>
        <w:t> </w:t>
      </w:r>
      <w:r>
        <w:rPr/>
        <w:t>sistemas</w:t>
      </w:r>
      <w:r>
        <w:rPr>
          <w:spacing w:val="-6"/>
        </w:rPr>
        <w:t> </w:t>
      </w:r>
      <w:r>
        <w:rPr/>
        <w:t>campesinos</w:t>
      </w:r>
      <w:r>
        <w:rPr>
          <w:spacing w:val="-6"/>
        </w:rPr>
        <w:t> </w:t>
      </w:r>
      <w:r>
        <w:rPr/>
        <w:t>de</w:t>
      </w:r>
      <w:r>
        <w:rPr>
          <w:spacing w:val="-7"/>
        </w:rPr>
        <w:t> </w:t>
      </w:r>
      <w:r>
        <w:rPr/>
        <w:t>producción</w:t>
      </w:r>
      <w:r>
        <w:rPr>
          <w:spacing w:val="-6"/>
        </w:rPr>
        <w:t> </w:t>
      </w:r>
      <w:r>
        <w:rPr/>
        <w:t>de</w:t>
      </w:r>
      <w:r>
        <w:rPr>
          <w:spacing w:val="-7"/>
        </w:rPr>
        <w:t> </w:t>
      </w:r>
      <w:r>
        <w:rPr/>
        <w:t>leche</w:t>
      </w:r>
      <w:r>
        <w:rPr>
          <w:spacing w:val="-7"/>
        </w:rPr>
        <w:t> </w:t>
      </w:r>
      <w:r>
        <w:rPr/>
        <w:t>de</w:t>
      </w:r>
      <w:r>
        <w:rPr>
          <w:spacing w:val="-5"/>
        </w:rPr>
        <w:t> </w:t>
      </w:r>
      <w:r>
        <w:rPr/>
        <w:t>vaca.</w:t>
      </w:r>
      <w:r>
        <w:rPr>
          <w:spacing w:val="-6"/>
        </w:rPr>
        <w:t> </w:t>
      </w:r>
      <w:r>
        <w:rPr/>
        <w:t>En</w:t>
      </w:r>
      <w:r>
        <w:rPr>
          <w:spacing w:val="-2"/>
        </w:rPr>
        <w:t> </w:t>
      </w:r>
      <w:r>
        <w:rPr/>
        <w:t>Los</w:t>
      </w:r>
      <w:r>
        <w:rPr>
          <w:spacing w:val="-4"/>
        </w:rPr>
        <w:t> </w:t>
      </w:r>
      <w:r>
        <w:rPr/>
        <w:t>grandes</w:t>
      </w:r>
      <w:r>
        <w:rPr>
          <w:spacing w:val="-6"/>
        </w:rPr>
        <w:t> </w:t>
      </w:r>
      <w:r>
        <w:rPr/>
        <w:t>retos</w:t>
      </w:r>
      <w:r>
        <w:rPr>
          <w:spacing w:val="-6"/>
        </w:rPr>
        <w:t> </w:t>
      </w:r>
      <w:r>
        <w:rPr/>
        <w:t>para</w:t>
      </w:r>
      <w:r>
        <w:rPr>
          <w:spacing w:val="-8"/>
        </w:rPr>
        <w:t> </w:t>
      </w:r>
      <w:r>
        <w:rPr/>
        <w:t>la ganadería: Hambre, Pobreza y crisis Ambiental. (Cavallotti V.B.A., Marcof, A.C.F., Ramírez, V.B. Editores). Departamento de Zootecnia CIESTAAM. Universidad Autónoma de Chapingo. Chapingo Méx:</w:t>
      </w:r>
      <w:r>
        <w:rPr>
          <w:spacing w:val="-5"/>
        </w:rPr>
        <w:t> </w:t>
      </w:r>
      <w:r>
        <w:rPr/>
        <w:t>291-298.</w:t>
      </w:r>
    </w:p>
    <w:p>
      <w:pPr>
        <w:pStyle w:val="BodyText"/>
        <w:tabs>
          <w:tab w:pos="2206" w:val="left" w:leader="none"/>
          <w:tab w:pos="4559" w:val="left" w:leader="none"/>
          <w:tab w:pos="5499" w:val="left" w:leader="none"/>
          <w:tab w:pos="7191" w:val="left" w:leader="none"/>
          <w:tab w:pos="8325" w:val="left" w:leader="none"/>
        </w:tabs>
        <w:spacing w:line="360" w:lineRule="auto" w:before="6"/>
        <w:ind w:left="810" w:right="118" w:hanging="708"/>
      </w:pPr>
      <w:r>
        <w:rPr/>
        <w:t>SIAP (Sistema de Información Agroalimentaria y Pesquera). 2011. Indicadores básicos del sector</w:t>
        <w:tab/>
        <w:t>agroalimentario</w:t>
        <w:tab/>
        <w:t>y</w:t>
        <w:tab/>
        <w:t>pesquero</w:t>
        <w:tab/>
        <w:t>[en</w:t>
        <w:tab/>
        <w:t>línea]: </w:t>
      </w:r>
      <w:hyperlink r:id="rId112">
        <w:r>
          <w:rPr/>
          <w:t>http://www.campomexicano.gob.mx/portal_siap/Integracion/EstadisticaDerivada/In</w:t>
        </w:r>
      </w:hyperlink>
      <w:r>
        <w:rPr/>
        <w:t> formaciondeMercados/Mercados/modelos/Indicadoresbasicos2009.pdf. Consultado Abril,</w:t>
      </w:r>
      <w:r>
        <w:rPr>
          <w:spacing w:val="-3"/>
        </w:rPr>
        <w:t> </w:t>
      </w:r>
      <w:r>
        <w:rPr/>
        <w:t>2012.</w:t>
      </w:r>
    </w:p>
    <w:p>
      <w:pPr>
        <w:pStyle w:val="BodyText"/>
        <w:spacing w:line="360" w:lineRule="auto" w:before="4"/>
        <w:ind w:left="810" w:right="116" w:hanging="708"/>
        <w:jc w:val="both"/>
      </w:pPr>
      <w:r>
        <w:rPr/>
        <w:t>SIAP</w:t>
      </w:r>
      <w:r>
        <w:rPr>
          <w:spacing w:val="-14"/>
        </w:rPr>
        <w:t> </w:t>
      </w:r>
      <w:r>
        <w:rPr/>
        <w:t>(Sistema</w:t>
      </w:r>
      <w:r>
        <w:rPr>
          <w:spacing w:val="-15"/>
        </w:rPr>
        <w:t> </w:t>
      </w:r>
      <w:r>
        <w:rPr/>
        <w:t>de</w:t>
      </w:r>
      <w:r>
        <w:rPr>
          <w:spacing w:val="-13"/>
        </w:rPr>
        <w:t> </w:t>
      </w:r>
      <w:r>
        <w:rPr/>
        <w:t>Información</w:t>
      </w:r>
      <w:r>
        <w:rPr>
          <w:spacing w:val="-14"/>
        </w:rPr>
        <w:t> </w:t>
      </w:r>
      <w:r>
        <w:rPr/>
        <w:t>Agroalimentaria</w:t>
      </w:r>
      <w:r>
        <w:rPr>
          <w:spacing w:val="-13"/>
        </w:rPr>
        <w:t> </w:t>
      </w:r>
      <w:r>
        <w:rPr/>
        <w:t>y</w:t>
      </w:r>
      <w:r>
        <w:rPr>
          <w:spacing w:val="-17"/>
        </w:rPr>
        <w:t> </w:t>
      </w:r>
      <w:r>
        <w:rPr/>
        <w:t>Pesquera).</w:t>
      </w:r>
      <w:r>
        <w:rPr>
          <w:spacing w:val="-15"/>
        </w:rPr>
        <w:t> </w:t>
      </w:r>
      <w:r>
        <w:rPr/>
        <w:t>2012.</w:t>
      </w:r>
      <w:r>
        <w:rPr>
          <w:spacing w:val="-14"/>
        </w:rPr>
        <w:t> </w:t>
      </w:r>
      <w:r>
        <w:rPr/>
        <w:t>Base</w:t>
      </w:r>
      <w:r>
        <w:rPr>
          <w:spacing w:val="-15"/>
        </w:rPr>
        <w:t> </w:t>
      </w:r>
      <w:r>
        <w:rPr/>
        <w:t>de</w:t>
      </w:r>
      <w:r>
        <w:rPr>
          <w:spacing w:val="-13"/>
        </w:rPr>
        <w:t> </w:t>
      </w:r>
      <w:r>
        <w:rPr/>
        <w:t>datos</w:t>
      </w:r>
      <w:r>
        <w:rPr>
          <w:spacing w:val="-14"/>
        </w:rPr>
        <w:t> </w:t>
      </w:r>
      <w:r>
        <w:rPr/>
        <w:t>estadísticos con relación a la producción pecuaria [en línea]: </w:t>
      </w:r>
      <w:hyperlink r:id="rId111">
        <w:r>
          <w:rPr/>
          <w:t>http://www.siap.gob.mx/index.php?option=com_wrapper&amp;view=wrapper&amp;Itemid=</w:t>
        </w:r>
      </w:hyperlink>
    </w:p>
    <w:p>
      <w:pPr>
        <w:pStyle w:val="BodyText"/>
        <w:spacing w:before="6"/>
        <w:ind w:left="810"/>
      </w:pPr>
      <w:hyperlink r:id="rId111">
        <w:r>
          <w:rPr/>
          <w:t>369</w:t>
        </w:r>
      </w:hyperlink>
      <w:r>
        <w:rPr/>
        <w:t>. Consultado Enero, 2012.</w:t>
      </w:r>
    </w:p>
    <w:p>
      <w:pPr>
        <w:pStyle w:val="BodyText"/>
        <w:spacing w:line="360" w:lineRule="auto" w:before="137"/>
        <w:ind w:left="810" w:hanging="708"/>
      </w:pPr>
      <w:r>
        <w:rPr/>
        <w:t>Villamar</w:t>
      </w:r>
      <w:r>
        <w:rPr>
          <w:spacing w:val="-15"/>
        </w:rPr>
        <w:t> </w:t>
      </w:r>
      <w:r>
        <w:rPr/>
        <w:t>A.L.,</w:t>
      </w:r>
      <w:r>
        <w:rPr>
          <w:spacing w:val="-9"/>
        </w:rPr>
        <w:t> </w:t>
      </w:r>
      <w:r>
        <w:rPr/>
        <w:t>y</w:t>
      </w:r>
      <w:r>
        <w:rPr>
          <w:spacing w:val="-16"/>
        </w:rPr>
        <w:t> </w:t>
      </w:r>
      <w:r>
        <w:rPr/>
        <w:t>Olivera</w:t>
      </w:r>
      <w:r>
        <w:rPr>
          <w:spacing w:val="-10"/>
        </w:rPr>
        <w:t> </w:t>
      </w:r>
      <w:r>
        <w:rPr/>
        <w:t>C.E.</w:t>
      </w:r>
      <w:r>
        <w:rPr>
          <w:spacing w:val="-14"/>
        </w:rPr>
        <w:t> </w:t>
      </w:r>
      <w:r>
        <w:rPr/>
        <w:t>2005.</w:t>
      </w:r>
      <w:r>
        <w:rPr>
          <w:spacing w:val="-13"/>
        </w:rPr>
        <w:t> </w:t>
      </w:r>
      <w:r>
        <w:rPr/>
        <w:t>Situación</w:t>
      </w:r>
      <w:r>
        <w:rPr>
          <w:spacing w:val="-13"/>
        </w:rPr>
        <w:t> </w:t>
      </w:r>
      <w:r>
        <w:rPr/>
        <w:t>Actual</w:t>
      </w:r>
      <w:r>
        <w:rPr>
          <w:spacing w:val="-11"/>
        </w:rPr>
        <w:t> </w:t>
      </w:r>
      <w:r>
        <w:rPr/>
        <w:t>y</w:t>
      </w:r>
      <w:r>
        <w:rPr>
          <w:spacing w:val="-18"/>
        </w:rPr>
        <w:t> </w:t>
      </w:r>
      <w:r>
        <w:rPr/>
        <w:t>Perspectiva</w:t>
      </w:r>
      <w:r>
        <w:rPr>
          <w:spacing w:val="-14"/>
        </w:rPr>
        <w:t> </w:t>
      </w:r>
      <w:r>
        <w:rPr/>
        <w:t>de</w:t>
      </w:r>
      <w:r>
        <w:rPr>
          <w:spacing w:val="-12"/>
        </w:rPr>
        <w:t> </w:t>
      </w:r>
      <w:r>
        <w:rPr/>
        <w:t>la</w:t>
      </w:r>
      <w:r>
        <w:rPr>
          <w:spacing w:val="-14"/>
        </w:rPr>
        <w:t> </w:t>
      </w:r>
      <w:r>
        <w:rPr/>
        <w:t>Producción</w:t>
      </w:r>
      <w:r>
        <w:rPr>
          <w:spacing w:val="-13"/>
        </w:rPr>
        <w:t> </w:t>
      </w:r>
      <w:r>
        <w:rPr/>
        <w:t>de</w:t>
      </w:r>
      <w:r>
        <w:rPr>
          <w:spacing w:val="-14"/>
        </w:rPr>
        <w:t> </w:t>
      </w:r>
      <w:r>
        <w:rPr/>
        <w:t>leche de Bovino en México. Coordinación General de Ganadería. México, D.F. 39 Pp. [en línea]: </w:t>
      </w:r>
      <w:hyperlink r:id="rId115">
        <w:r>
          <w:rPr>
            <w:u w:val="single"/>
          </w:rPr>
          <w:t>http://www.financierarural.gob.mx/informacionsectorrural/Documents/SAGARPA/</w:t>
        </w:r>
      </w:hyperlink>
      <w:r>
        <w:rPr>
          <w:u w:val="single"/>
        </w:rPr>
        <w:t> </w:t>
      </w:r>
      <w:hyperlink r:id="rId115">
        <w:r>
          <w:rPr>
            <w:u w:val="single"/>
          </w:rPr>
          <w:t>PerspectivaLeche2005.pdf</w:t>
        </w:r>
        <w:r>
          <w:rPr/>
          <w:t>.</w:t>
        </w:r>
      </w:hyperlink>
      <w:r>
        <w:rPr/>
        <w:t> Consultado Mayo,</w:t>
      </w:r>
      <w:r>
        <w:rPr>
          <w:spacing w:val="-8"/>
        </w:rPr>
        <w:t> </w:t>
      </w:r>
      <w:r>
        <w:rPr/>
        <w:t>2012.</w:t>
      </w:r>
    </w:p>
    <w:p>
      <w:pPr>
        <w:spacing w:after="0" w:line="360" w:lineRule="auto"/>
        <w:sectPr>
          <w:pgSz w:w="12240" w:h="15840"/>
          <w:pgMar w:header="0" w:footer="657" w:top="1360" w:bottom="840" w:left="1600" w:right="1580"/>
        </w:sectPr>
      </w:pPr>
    </w:p>
    <w:p>
      <w:pPr>
        <w:pStyle w:val="Heading1"/>
        <w:numPr>
          <w:ilvl w:val="1"/>
          <w:numId w:val="23"/>
        </w:numPr>
        <w:tabs>
          <w:tab w:pos="455" w:val="left" w:leader="none"/>
        </w:tabs>
        <w:spacing w:line="465" w:lineRule="auto" w:before="55" w:after="0"/>
        <w:ind w:left="462" w:right="114" w:hanging="360"/>
        <w:jc w:val="left"/>
      </w:pPr>
      <w:r>
        <w:rPr/>
        <w:t>Contribution</w:t>
      </w:r>
      <w:r>
        <w:rPr>
          <w:spacing w:val="-9"/>
        </w:rPr>
        <w:t> </w:t>
      </w:r>
      <w:r>
        <w:rPr/>
        <w:t>of</w:t>
      </w:r>
      <w:r>
        <w:rPr>
          <w:spacing w:val="-8"/>
        </w:rPr>
        <w:t> </w:t>
      </w:r>
      <w:r>
        <w:rPr/>
        <w:t>family</w:t>
      </w:r>
      <w:r>
        <w:rPr>
          <w:spacing w:val="-10"/>
        </w:rPr>
        <w:t> </w:t>
      </w:r>
      <w:r>
        <w:rPr/>
        <w:t>labour</w:t>
      </w:r>
      <w:r>
        <w:rPr>
          <w:spacing w:val="-11"/>
        </w:rPr>
        <w:t> </w:t>
      </w:r>
      <w:r>
        <w:rPr/>
        <w:t>to</w:t>
      </w:r>
      <w:r>
        <w:rPr>
          <w:spacing w:val="-10"/>
        </w:rPr>
        <w:t> </w:t>
      </w:r>
      <w:r>
        <w:rPr/>
        <w:t>the</w:t>
      </w:r>
      <w:r>
        <w:rPr>
          <w:spacing w:val="-10"/>
        </w:rPr>
        <w:t> </w:t>
      </w:r>
      <w:r>
        <w:rPr/>
        <w:t>profitability</w:t>
      </w:r>
      <w:r>
        <w:rPr>
          <w:spacing w:val="-10"/>
        </w:rPr>
        <w:t> </w:t>
      </w:r>
      <w:r>
        <w:rPr/>
        <w:t>and</w:t>
      </w:r>
      <w:r>
        <w:rPr>
          <w:spacing w:val="-9"/>
        </w:rPr>
        <w:t> </w:t>
      </w:r>
      <w:r>
        <w:rPr/>
        <w:t>competitiveness</w:t>
      </w:r>
      <w:r>
        <w:rPr>
          <w:spacing w:val="-9"/>
        </w:rPr>
        <w:t> </w:t>
      </w:r>
      <w:r>
        <w:rPr/>
        <w:t>of</w:t>
      </w:r>
      <w:r>
        <w:rPr>
          <w:spacing w:val="-8"/>
        </w:rPr>
        <w:t> </w:t>
      </w:r>
      <w:r>
        <w:rPr/>
        <w:t>small-scale dairy production systems in central</w:t>
      </w:r>
      <w:r>
        <w:rPr>
          <w:spacing w:val="-11"/>
        </w:rPr>
        <w:t> </w:t>
      </w:r>
      <w:r>
        <w:rPr/>
        <w:t>Mexico</w:t>
      </w:r>
    </w:p>
    <w:p>
      <w:pPr>
        <w:pStyle w:val="BodyText"/>
        <w:rPr>
          <w:b/>
        </w:rPr>
      </w:pPr>
    </w:p>
    <w:p>
      <w:pPr>
        <w:pStyle w:val="BodyText"/>
        <w:spacing w:before="4"/>
        <w:rPr>
          <w:b/>
          <w:sz w:val="21"/>
        </w:rPr>
      </w:pPr>
    </w:p>
    <w:p>
      <w:pPr>
        <w:pStyle w:val="BodyText"/>
        <w:ind w:left="102"/>
      </w:pPr>
      <w:r>
        <w:rPr/>
        <w:t>Posadas-Domínguez R.R</w:t>
      </w:r>
      <w:r>
        <w:rPr>
          <w:position w:val="9"/>
          <w:sz w:val="16"/>
        </w:rPr>
        <w:t>1</w:t>
      </w:r>
      <w:r>
        <w:rPr/>
        <w:t>., Arriaga-Jordán C.M</w:t>
      </w:r>
      <w:r>
        <w:rPr>
          <w:position w:val="9"/>
          <w:sz w:val="16"/>
        </w:rPr>
        <w:t>1</w:t>
      </w:r>
      <w:r>
        <w:rPr/>
        <w:t>., and Martínez-Castañeda F.E</w:t>
      </w:r>
      <w:r>
        <w:rPr>
          <w:position w:val="9"/>
          <w:sz w:val="16"/>
        </w:rPr>
        <w:t>1</w:t>
      </w:r>
      <w:r>
        <w:rPr/>
        <w:t>.</w:t>
      </w:r>
    </w:p>
    <w:p>
      <w:pPr>
        <w:pStyle w:val="BodyText"/>
        <w:rPr>
          <w:sz w:val="21"/>
        </w:rPr>
      </w:pPr>
    </w:p>
    <w:p>
      <w:pPr>
        <w:pStyle w:val="BodyText"/>
        <w:ind w:left="102"/>
      </w:pPr>
      <w:r>
        <w:rPr>
          <w:position w:val="9"/>
          <w:sz w:val="16"/>
        </w:rPr>
        <w:t>1</w:t>
      </w:r>
      <w:r>
        <w:rPr/>
        <w:t>Instituto de Ciencias Agropecuarias y Rurales (ICAR).</w:t>
      </w:r>
    </w:p>
    <w:p>
      <w:pPr>
        <w:pStyle w:val="BodyText"/>
        <w:rPr>
          <w:sz w:val="26"/>
        </w:rPr>
      </w:pPr>
    </w:p>
    <w:p>
      <w:pPr>
        <w:pStyle w:val="BodyText"/>
        <w:rPr>
          <w:sz w:val="26"/>
        </w:rPr>
      </w:pPr>
    </w:p>
    <w:p>
      <w:pPr>
        <w:pStyle w:val="BodyText"/>
        <w:spacing w:before="194"/>
        <w:ind w:left="102"/>
      </w:pPr>
      <w:r>
        <w:rPr/>
        <w:t>Universidad Autónoma del Estado de México (UAEM)</w:t>
      </w:r>
    </w:p>
    <w:p>
      <w:pPr>
        <w:pStyle w:val="BodyText"/>
        <w:spacing w:before="6"/>
        <w:rPr>
          <w:sz w:val="22"/>
        </w:rPr>
      </w:pPr>
    </w:p>
    <w:p>
      <w:pPr>
        <w:pStyle w:val="BodyText"/>
        <w:spacing w:before="1"/>
        <w:ind w:left="102"/>
      </w:pPr>
      <w:r>
        <w:rPr/>
        <w:t>Instituto Literario # 100, CP 50000 Toluca, Estado de México, México.</w:t>
      </w:r>
    </w:p>
    <w:p>
      <w:pPr>
        <w:pStyle w:val="BodyText"/>
      </w:pPr>
    </w:p>
    <w:p>
      <w:pPr>
        <w:pStyle w:val="BodyText"/>
      </w:pPr>
    </w:p>
    <w:p>
      <w:pPr>
        <w:pStyle w:val="BodyText"/>
        <w:spacing w:before="10"/>
        <w:rPr>
          <w:sz w:val="20"/>
        </w:rPr>
      </w:pPr>
    </w:p>
    <w:p>
      <w:pPr>
        <w:pStyle w:val="BodyText"/>
        <w:ind w:left="102"/>
      </w:pPr>
      <w:r>
        <w:rPr/>
        <w:t>Corresponding author:</w:t>
      </w:r>
    </w:p>
    <w:p>
      <w:pPr>
        <w:pStyle w:val="BodyText"/>
        <w:spacing w:before="3"/>
        <w:rPr>
          <w:sz w:val="22"/>
        </w:rPr>
      </w:pPr>
    </w:p>
    <w:p>
      <w:pPr>
        <w:pStyle w:val="BodyText"/>
        <w:spacing w:before="1"/>
        <w:ind w:left="102"/>
      </w:pPr>
      <w:r>
        <w:rPr/>
        <w:t>Dr. F.E. Martínez-Castañeda</w:t>
      </w:r>
    </w:p>
    <w:p>
      <w:pPr>
        <w:pStyle w:val="BodyText"/>
        <w:spacing w:before="6"/>
        <w:rPr>
          <w:sz w:val="22"/>
        </w:rPr>
      </w:pPr>
    </w:p>
    <w:p>
      <w:pPr>
        <w:pStyle w:val="BodyText"/>
        <w:spacing w:line="465" w:lineRule="auto"/>
        <w:ind w:left="102" w:right="3559"/>
      </w:pPr>
      <w:r>
        <w:rPr/>
        <w:t>Instituto de Ciencias Agropecuarias y Rurales (ICAR), Universidad Autónoma del Estado de México (UAEM), Instituto Literario # 100,</w:t>
      </w:r>
    </w:p>
    <w:p>
      <w:pPr>
        <w:pStyle w:val="BodyText"/>
        <w:spacing w:line="465" w:lineRule="auto" w:before="7"/>
        <w:ind w:left="102" w:right="6371"/>
      </w:pPr>
      <w:r>
        <w:rPr/>
        <w:t>C.P. 50000, Toluca, Estado de México,</w:t>
      </w:r>
      <w:r>
        <w:rPr>
          <w:spacing w:val="-7"/>
        </w:rPr>
        <w:t> </w:t>
      </w:r>
      <w:r>
        <w:rPr/>
        <w:t>México</w:t>
      </w:r>
    </w:p>
    <w:p>
      <w:pPr>
        <w:pStyle w:val="BodyText"/>
        <w:spacing w:before="7"/>
        <w:ind w:left="102"/>
      </w:pPr>
      <w:r>
        <w:rPr/>
        <w:t>Tel. and fax: +52 (722) 296 5552</w:t>
      </w:r>
    </w:p>
    <w:p>
      <w:pPr>
        <w:pStyle w:val="BodyText"/>
        <w:spacing w:before="6"/>
        <w:rPr>
          <w:sz w:val="22"/>
        </w:rPr>
      </w:pPr>
    </w:p>
    <w:p>
      <w:pPr>
        <w:pStyle w:val="BodyText"/>
        <w:ind w:left="102"/>
      </w:pPr>
      <w:r>
        <w:rPr/>
        <w:t>e-mail: </w:t>
      </w:r>
      <w:hyperlink r:id="rId105">
        <w:r>
          <w:rPr>
            <w:u w:val="single"/>
          </w:rPr>
          <w:t>femartinezc@uaemex.mx </w:t>
        </w:r>
      </w:hyperlink>
      <w:r>
        <w:rPr/>
        <w:t>and </w:t>
      </w:r>
      <w:hyperlink r:id="rId106">
        <w:r>
          <w:rPr>
            <w:u w:val="single"/>
          </w:rPr>
          <w:t>fernestom@yahoo.com.mx</w:t>
        </w:r>
      </w:hyperlink>
    </w:p>
    <w:p>
      <w:pPr>
        <w:pStyle w:val="BodyText"/>
        <w:rPr>
          <w:sz w:val="20"/>
        </w:rPr>
      </w:pPr>
    </w:p>
    <w:p>
      <w:pPr>
        <w:pStyle w:val="BodyText"/>
        <w:rPr>
          <w:sz w:val="20"/>
        </w:rPr>
      </w:pPr>
    </w:p>
    <w:p>
      <w:pPr>
        <w:pStyle w:val="BodyText"/>
        <w:spacing w:before="10"/>
        <w:rPr>
          <w:sz w:val="22"/>
        </w:rPr>
      </w:pPr>
    </w:p>
    <w:p>
      <w:pPr>
        <w:pStyle w:val="BodyText"/>
        <w:spacing w:before="69"/>
        <w:ind w:left="102"/>
      </w:pPr>
      <w:r>
        <w:rPr/>
        <w:t>Publicado En: Revista Tropical Animal Health and Production. 2014. 46 (1): 235-240</w:t>
      </w:r>
    </w:p>
    <w:p>
      <w:pPr>
        <w:pStyle w:val="BodyText"/>
        <w:spacing w:before="137"/>
        <w:ind w:left="102"/>
      </w:pPr>
      <w:r>
        <w:rPr/>
        <w:t>(Anexo 5).</w:t>
      </w:r>
    </w:p>
    <w:p>
      <w:pPr>
        <w:spacing w:after="0"/>
        <w:sectPr>
          <w:pgSz w:w="12240" w:h="15840"/>
          <w:pgMar w:header="0" w:footer="657" w:top="1360" w:bottom="840" w:left="1600" w:right="1580"/>
        </w:sectPr>
      </w:pPr>
    </w:p>
    <w:p>
      <w:pPr>
        <w:pStyle w:val="Heading1"/>
        <w:spacing w:line="362" w:lineRule="auto"/>
        <w:ind w:right="119"/>
      </w:pPr>
      <w:r>
        <w:rPr/>
        <w:t>Contribution of family labour to the profitability and competitiveness of small-scale dairy production systems in central Mexico</w:t>
      </w:r>
    </w:p>
    <w:p>
      <w:pPr>
        <w:pStyle w:val="BodyText"/>
        <w:rPr>
          <w:b/>
        </w:rPr>
      </w:pPr>
    </w:p>
    <w:p>
      <w:pPr>
        <w:pStyle w:val="BodyText"/>
        <w:spacing w:before="1"/>
        <w:rPr>
          <w:b/>
          <w:sz w:val="33"/>
        </w:rPr>
      </w:pPr>
    </w:p>
    <w:p>
      <w:pPr>
        <w:spacing w:before="0"/>
        <w:ind w:left="102" w:right="0" w:firstLine="0"/>
        <w:jc w:val="both"/>
        <w:rPr>
          <w:b/>
          <w:sz w:val="24"/>
        </w:rPr>
      </w:pPr>
      <w:r>
        <w:rPr>
          <w:b/>
          <w:sz w:val="24"/>
        </w:rPr>
        <w:t>Abstract</w:t>
      </w:r>
    </w:p>
    <w:p>
      <w:pPr>
        <w:pStyle w:val="BodyText"/>
        <w:rPr>
          <w:b/>
        </w:rPr>
      </w:pPr>
    </w:p>
    <w:p>
      <w:pPr>
        <w:pStyle w:val="BodyText"/>
        <w:rPr>
          <w:b/>
        </w:rPr>
      </w:pPr>
    </w:p>
    <w:p>
      <w:pPr>
        <w:pStyle w:val="BodyText"/>
        <w:spacing w:before="5"/>
        <w:rPr>
          <w:b/>
          <w:sz w:val="20"/>
        </w:rPr>
      </w:pPr>
    </w:p>
    <w:p>
      <w:pPr>
        <w:pStyle w:val="BodyText"/>
        <w:spacing w:line="360" w:lineRule="auto"/>
        <w:ind w:left="102" w:right="115"/>
        <w:jc w:val="both"/>
      </w:pPr>
      <w:r>
        <w:rPr/>
        <w:t>The objective of this work was to determine the effect of family labour on the profitability and</w:t>
      </w:r>
      <w:r>
        <w:rPr>
          <w:spacing w:val="-16"/>
        </w:rPr>
        <w:t> </w:t>
      </w:r>
      <w:r>
        <w:rPr/>
        <w:t>competitiveness</w:t>
      </w:r>
      <w:r>
        <w:rPr>
          <w:spacing w:val="-15"/>
        </w:rPr>
        <w:t> </w:t>
      </w:r>
      <w:r>
        <w:rPr/>
        <w:t>of</w:t>
      </w:r>
      <w:r>
        <w:rPr>
          <w:spacing w:val="-17"/>
        </w:rPr>
        <w:t> </w:t>
      </w:r>
      <w:r>
        <w:rPr/>
        <w:t>small-scale</w:t>
      </w:r>
      <w:r>
        <w:rPr>
          <w:spacing w:val="-16"/>
        </w:rPr>
        <w:t> </w:t>
      </w:r>
      <w:r>
        <w:rPr/>
        <w:t>dairy</w:t>
      </w:r>
      <w:r>
        <w:rPr>
          <w:spacing w:val="-21"/>
        </w:rPr>
        <w:t> </w:t>
      </w:r>
      <w:r>
        <w:rPr/>
        <w:t>farms</w:t>
      </w:r>
      <w:r>
        <w:rPr>
          <w:spacing w:val="-16"/>
        </w:rPr>
        <w:t> </w:t>
      </w:r>
      <w:r>
        <w:rPr/>
        <w:t>in</w:t>
      </w:r>
      <w:r>
        <w:rPr>
          <w:spacing w:val="-15"/>
        </w:rPr>
        <w:t> </w:t>
      </w:r>
      <w:r>
        <w:rPr/>
        <w:t>the</w:t>
      </w:r>
      <w:r>
        <w:rPr>
          <w:spacing w:val="-16"/>
        </w:rPr>
        <w:t> </w:t>
      </w:r>
      <w:r>
        <w:rPr/>
        <w:t>highlands</w:t>
      </w:r>
      <w:r>
        <w:rPr>
          <w:spacing w:val="-16"/>
        </w:rPr>
        <w:t> </w:t>
      </w:r>
      <w:r>
        <w:rPr/>
        <w:t>of</w:t>
      </w:r>
      <w:r>
        <w:rPr>
          <w:spacing w:val="-17"/>
        </w:rPr>
        <w:t> </w:t>
      </w:r>
      <w:r>
        <w:rPr/>
        <w:t>Central</w:t>
      </w:r>
      <w:r>
        <w:rPr>
          <w:spacing w:val="-13"/>
        </w:rPr>
        <w:t> </w:t>
      </w:r>
      <w:r>
        <w:rPr/>
        <w:t>Mexico.</w:t>
      </w:r>
      <w:r>
        <w:rPr>
          <w:spacing w:val="-16"/>
        </w:rPr>
        <w:t> </w:t>
      </w:r>
      <w:r>
        <w:rPr/>
        <w:t>Economic data from 37 farms were analysed from a stratified statistical sampling with a Neyman assignment. Three strata were defined taking herd size as criterion. Stratum 1: herds from 3 to</w:t>
      </w:r>
      <w:r>
        <w:rPr>
          <w:spacing w:val="-6"/>
        </w:rPr>
        <w:t> </w:t>
      </w:r>
      <w:r>
        <w:rPr/>
        <w:t>9</w:t>
      </w:r>
      <w:r>
        <w:rPr>
          <w:spacing w:val="-6"/>
        </w:rPr>
        <w:t> </w:t>
      </w:r>
      <w:r>
        <w:rPr/>
        <w:t>cows</w:t>
      </w:r>
      <w:r>
        <w:rPr>
          <w:spacing w:val="-7"/>
        </w:rPr>
        <w:t> </w:t>
      </w:r>
      <w:r>
        <w:rPr/>
        <w:t>plus</w:t>
      </w:r>
      <w:r>
        <w:rPr>
          <w:spacing w:val="-6"/>
        </w:rPr>
        <w:t> </w:t>
      </w:r>
      <w:r>
        <w:rPr/>
        <w:t>replacements,</w:t>
      </w:r>
      <w:r>
        <w:rPr>
          <w:spacing w:val="-6"/>
        </w:rPr>
        <w:t> </w:t>
      </w:r>
      <w:r>
        <w:rPr/>
        <w:t>Stratum</w:t>
      </w:r>
      <w:r>
        <w:rPr>
          <w:spacing w:val="-6"/>
        </w:rPr>
        <w:t> </w:t>
      </w:r>
      <w:r>
        <w:rPr/>
        <w:t>2:</w:t>
      </w:r>
      <w:r>
        <w:rPr>
          <w:spacing w:val="-6"/>
        </w:rPr>
        <w:t> </w:t>
      </w:r>
      <w:r>
        <w:rPr/>
        <w:t>herds</w:t>
      </w:r>
      <w:r>
        <w:rPr>
          <w:spacing w:val="-7"/>
        </w:rPr>
        <w:t> </w:t>
      </w:r>
      <w:r>
        <w:rPr/>
        <w:t>from</w:t>
      </w:r>
      <w:r>
        <w:rPr>
          <w:spacing w:val="-6"/>
        </w:rPr>
        <w:t> </w:t>
      </w:r>
      <w:r>
        <w:rPr/>
        <w:t>10</w:t>
      </w:r>
      <w:r>
        <w:rPr>
          <w:spacing w:val="-6"/>
        </w:rPr>
        <w:t> </w:t>
      </w:r>
      <w:r>
        <w:rPr/>
        <w:t>to</w:t>
      </w:r>
      <w:r>
        <w:rPr>
          <w:spacing w:val="-6"/>
        </w:rPr>
        <w:t> </w:t>
      </w:r>
      <w:r>
        <w:rPr/>
        <w:t>19</w:t>
      </w:r>
      <w:r>
        <w:rPr>
          <w:spacing w:val="-6"/>
        </w:rPr>
        <w:t> </w:t>
      </w:r>
      <w:r>
        <w:rPr/>
        <w:t>cows</w:t>
      </w:r>
      <w:r>
        <w:rPr>
          <w:spacing w:val="-7"/>
        </w:rPr>
        <w:t> </w:t>
      </w:r>
      <w:r>
        <w:rPr/>
        <w:t>and</w:t>
      </w:r>
      <w:r>
        <w:rPr>
          <w:spacing w:val="-6"/>
        </w:rPr>
        <w:t> </w:t>
      </w:r>
      <w:r>
        <w:rPr/>
        <w:t>Stratum</w:t>
      </w:r>
      <w:r>
        <w:rPr>
          <w:spacing w:val="-6"/>
        </w:rPr>
        <w:t> </w:t>
      </w:r>
      <w:r>
        <w:rPr/>
        <w:t>3:</w:t>
      </w:r>
      <w:r>
        <w:rPr>
          <w:spacing w:val="-6"/>
        </w:rPr>
        <w:t> </w:t>
      </w:r>
      <w:r>
        <w:rPr/>
        <w:t>herds</w:t>
      </w:r>
      <w:r>
        <w:rPr>
          <w:spacing w:val="-7"/>
        </w:rPr>
        <w:t> </w:t>
      </w:r>
      <w:r>
        <w:rPr/>
        <w:t>from 20 to 30 cows. The policy analysis matrix was used as the method to determine profitability and competitiveness. The coefficient of private profitability (CPP) when the economic cost of family labour is included in the cost structure was 8.0 %, 31.0 % and 46.0 %. When the economic cost of family labour is not included, CPP increase to 47.0 %, 57.0 % and 66.0 % for</w:t>
      </w:r>
      <w:r>
        <w:rPr>
          <w:spacing w:val="-13"/>
        </w:rPr>
        <w:t> </w:t>
      </w:r>
      <w:r>
        <w:rPr/>
        <w:t>each</w:t>
      </w:r>
      <w:r>
        <w:rPr>
          <w:spacing w:val="-9"/>
        </w:rPr>
        <w:t> </w:t>
      </w:r>
      <w:r>
        <w:rPr/>
        <w:t>strata,</w:t>
      </w:r>
      <w:r>
        <w:rPr>
          <w:spacing w:val="-9"/>
        </w:rPr>
        <w:t> </w:t>
      </w:r>
      <w:r>
        <w:rPr/>
        <w:t>respectively.</w:t>
      </w:r>
      <w:r>
        <w:rPr>
          <w:spacing w:val="-11"/>
        </w:rPr>
        <w:t> </w:t>
      </w:r>
      <w:r>
        <w:rPr/>
        <w:t>The</w:t>
      </w:r>
      <w:r>
        <w:rPr>
          <w:spacing w:val="-12"/>
        </w:rPr>
        <w:t> </w:t>
      </w:r>
      <w:r>
        <w:rPr/>
        <w:t>private</w:t>
      </w:r>
      <w:r>
        <w:rPr>
          <w:spacing w:val="-9"/>
        </w:rPr>
        <w:t> </w:t>
      </w:r>
      <w:r>
        <w:rPr/>
        <w:t>cost</w:t>
      </w:r>
      <w:r>
        <w:rPr>
          <w:spacing w:val="-10"/>
        </w:rPr>
        <w:t> </w:t>
      </w:r>
      <w:r>
        <w:rPr/>
        <w:t>ratio</w:t>
      </w:r>
      <w:r>
        <w:rPr>
          <w:spacing w:val="-11"/>
        </w:rPr>
        <w:t> </w:t>
      </w:r>
      <w:r>
        <w:rPr/>
        <w:t>(PCR)</w:t>
      </w:r>
      <w:r>
        <w:rPr>
          <w:spacing w:val="-12"/>
        </w:rPr>
        <w:t> </w:t>
      </w:r>
      <w:r>
        <w:rPr/>
        <w:t>when</w:t>
      </w:r>
      <w:r>
        <w:rPr>
          <w:spacing w:val="-11"/>
        </w:rPr>
        <w:t> </w:t>
      </w:r>
      <w:r>
        <w:rPr/>
        <w:t>family</w:t>
      </w:r>
      <w:r>
        <w:rPr>
          <w:spacing w:val="-16"/>
        </w:rPr>
        <w:t> </w:t>
      </w:r>
      <w:r>
        <w:rPr/>
        <w:t>labour</w:t>
      </w:r>
      <w:r>
        <w:rPr>
          <w:spacing w:val="-10"/>
        </w:rPr>
        <w:t> </w:t>
      </w:r>
      <w:r>
        <w:rPr/>
        <w:t>is</w:t>
      </w:r>
      <w:r>
        <w:rPr>
          <w:spacing w:val="-10"/>
        </w:rPr>
        <w:t> </w:t>
      </w:r>
      <w:r>
        <w:rPr/>
        <w:t>included</w:t>
      </w:r>
      <w:r>
        <w:rPr>
          <w:spacing w:val="-9"/>
        </w:rPr>
        <w:t> </w:t>
      </w:r>
      <w:r>
        <w:rPr/>
        <w:t>was 0.79, 0.51 and 0.42 for strata 1, 2 and 3, respectively. When family labour is not included, the PCR was 0.07, 0.25 and 0.26. Net profit per litre of milk including family labour was US$0.03 l-1 for Stratum 1, US$0.09 for Stratum 2 and US$0.12 l-1 for Stratum 3; but increased to $0.12, 0.14 and 0.15, respectively, when the economic cost of family labour is not included. It is concluded that family labour is a crucial factor in the profitability and competitiveness of small-scale dairy</w:t>
      </w:r>
      <w:r>
        <w:rPr>
          <w:spacing w:val="-9"/>
        </w:rPr>
        <w:t> </w:t>
      </w:r>
      <w:r>
        <w:rPr/>
        <w:t>production.</w:t>
      </w:r>
    </w:p>
    <w:p>
      <w:pPr>
        <w:pStyle w:val="BodyText"/>
      </w:pPr>
    </w:p>
    <w:p>
      <w:pPr>
        <w:pStyle w:val="BodyText"/>
        <w:spacing w:before="3"/>
        <w:rPr>
          <w:sz w:val="33"/>
        </w:rPr>
      </w:pPr>
    </w:p>
    <w:p>
      <w:pPr>
        <w:pStyle w:val="BodyText"/>
        <w:spacing w:line="362" w:lineRule="auto"/>
        <w:ind w:left="102" w:right="117"/>
        <w:jc w:val="both"/>
      </w:pPr>
      <w:r>
        <w:rPr>
          <w:b/>
        </w:rPr>
        <w:t>Keywords: </w:t>
      </w:r>
      <w:r>
        <w:rPr/>
        <w:t>Small-scale dairy systems, Peri-urban production, Profitability, Competitiveness, Mexico.</w:t>
      </w:r>
    </w:p>
    <w:p>
      <w:pPr>
        <w:spacing w:after="0" w:line="362" w:lineRule="auto"/>
        <w:jc w:val="both"/>
        <w:sectPr>
          <w:pgSz w:w="12240" w:h="15840"/>
          <w:pgMar w:header="0" w:footer="657" w:top="1360" w:bottom="840" w:left="1600" w:right="1580"/>
        </w:sectPr>
      </w:pPr>
    </w:p>
    <w:p>
      <w:pPr>
        <w:pStyle w:val="Heading1"/>
      </w:pPr>
      <w:r>
        <w:rPr/>
        <w:t>Introduction</w:t>
      </w:r>
    </w:p>
    <w:p>
      <w:pPr>
        <w:pStyle w:val="BodyText"/>
        <w:rPr>
          <w:b/>
        </w:rPr>
      </w:pPr>
    </w:p>
    <w:p>
      <w:pPr>
        <w:pStyle w:val="BodyText"/>
        <w:rPr>
          <w:b/>
        </w:rPr>
      </w:pPr>
    </w:p>
    <w:p>
      <w:pPr>
        <w:pStyle w:val="BodyText"/>
        <w:spacing w:before="5"/>
        <w:rPr>
          <w:b/>
          <w:sz w:val="20"/>
        </w:rPr>
      </w:pPr>
    </w:p>
    <w:p>
      <w:pPr>
        <w:pStyle w:val="BodyText"/>
        <w:spacing w:line="360" w:lineRule="auto"/>
        <w:ind w:left="102" w:right="119"/>
        <w:jc w:val="both"/>
      </w:pPr>
      <w:r>
        <w:rPr/>
        <w:t>Small-scale</w:t>
      </w:r>
      <w:r>
        <w:rPr>
          <w:spacing w:val="-16"/>
        </w:rPr>
        <w:t> </w:t>
      </w:r>
      <w:r>
        <w:rPr/>
        <w:t>family</w:t>
      </w:r>
      <w:r>
        <w:rPr>
          <w:spacing w:val="-21"/>
        </w:rPr>
        <w:t> </w:t>
      </w:r>
      <w:r>
        <w:rPr/>
        <w:t>livestock</w:t>
      </w:r>
      <w:r>
        <w:rPr>
          <w:spacing w:val="-16"/>
        </w:rPr>
        <w:t> </w:t>
      </w:r>
      <w:r>
        <w:rPr/>
        <w:t>farming</w:t>
      </w:r>
      <w:r>
        <w:rPr>
          <w:spacing w:val="-16"/>
        </w:rPr>
        <w:t> </w:t>
      </w:r>
      <w:r>
        <w:rPr/>
        <w:t>systems</w:t>
      </w:r>
      <w:r>
        <w:rPr>
          <w:spacing w:val="-15"/>
        </w:rPr>
        <w:t> </w:t>
      </w:r>
      <w:r>
        <w:rPr/>
        <w:t>have</w:t>
      </w:r>
      <w:r>
        <w:rPr>
          <w:spacing w:val="-17"/>
        </w:rPr>
        <w:t> </w:t>
      </w:r>
      <w:r>
        <w:rPr/>
        <w:t>a</w:t>
      </w:r>
      <w:r>
        <w:rPr>
          <w:spacing w:val="-17"/>
        </w:rPr>
        <w:t> </w:t>
      </w:r>
      <w:r>
        <w:rPr/>
        <w:t>number</w:t>
      </w:r>
      <w:r>
        <w:rPr>
          <w:spacing w:val="-17"/>
        </w:rPr>
        <w:t> </w:t>
      </w:r>
      <w:r>
        <w:rPr/>
        <w:t>of</w:t>
      </w:r>
      <w:r>
        <w:rPr>
          <w:spacing w:val="-14"/>
        </w:rPr>
        <w:t> </w:t>
      </w:r>
      <w:r>
        <w:rPr/>
        <w:t>characteristics</w:t>
      </w:r>
      <w:r>
        <w:rPr>
          <w:spacing w:val="-16"/>
        </w:rPr>
        <w:t> </w:t>
      </w:r>
      <w:r>
        <w:rPr/>
        <w:t>that</w:t>
      </w:r>
      <w:r>
        <w:rPr>
          <w:spacing w:val="-16"/>
        </w:rPr>
        <w:t> </w:t>
      </w:r>
      <w:r>
        <w:rPr/>
        <w:t>contribute to sustainable rural development since they provide high value marketable products, substantially contribute to increase nutrition levels, increase agricultural productivity, improve the livelihoods of the rural population, and contribute to the growth of the world economy. Therefore, they have been considered as a key element to reduce poverty and hunger (Hemme and Otte</w:t>
      </w:r>
      <w:r>
        <w:rPr>
          <w:spacing w:val="-6"/>
        </w:rPr>
        <w:t> </w:t>
      </w:r>
      <w:r>
        <w:rPr/>
        <w:t>2010).</w:t>
      </w:r>
    </w:p>
    <w:p>
      <w:pPr>
        <w:pStyle w:val="BodyText"/>
      </w:pPr>
    </w:p>
    <w:p>
      <w:pPr>
        <w:pStyle w:val="BodyText"/>
        <w:spacing w:before="4"/>
        <w:rPr>
          <w:sz w:val="33"/>
        </w:rPr>
      </w:pPr>
    </w:p>
    <w:p>
      <w:pPr>
        <w:pStyle w:val="BodyText"/>
        <w:spacing w:line="360" w:lineRule="auto"/>
        <w:ind w:left="102" w:right="117"/>
        <w:jc w:val="both"/>
      </w:pPr>
      <w:r>
        <w:rPr/>
        <w:t>In Latina America and the Caribbean, small-scale family agriculture represents over 80.0% of farms and provides between 27.0 and 67.0% of food production; occupies between 12.0 and 65.0% of agricultural land, and generates between 57.0 and 77.0% of agricultural employment</w:t>
      </w:r>
      <w:r>
        <w:rPr>
          <w:spacing w:val="-11"/>
        </w:rPr>
        <w:t> </w:t>
      </w:r>
      <w:r>
        <w:rPr/>
        <w:t>in</w:t>
      </w:r>
      <w:r>
        <w:rPr>
          <w:spacing w:val="-11"/>
        </w:rPr>
        <w:t> </w:t>
      </w:r>
      <w:r>
        <w:rPr/>
        <w:t>the</w:t>
      </w:r>
      <w:r>
        <w:rPr>
          <w:spacing w:val="-12"/>
        </w:rPr>
        <w:t> </w:t>
      </w:r>
      <w:r>
        <w:rPr/>
        <w:t>region,</w:t>
      </w:r>
      <w:r>
        <w:rPr>
          <w:spacing w:val="-11"/>
        </w:rPr>
        <w:t> </w:t>
      </w:r>
      <w:r>
        <w:rPr/>
        <w:t>equivalent</w:t>
      </w:r>
      <w:r>
        <w:rPr>
          <w:spacing w:val="-11"/>
        </w:rPr>
        <w:t> </w:t>
      </w:r>
      <w:r>
        <w:rPr/>
        <w:t>to</w:t>
      </w:r>
      <w:r>
        <w:rPr>
          <w:spacing w:val="-11"/>
        </w:rPr>
        <w:t> </w:t>
      </w:r>
      <w:r>
        <w:rPr/>
        <w:t>60.00</w:t>
      </w:r>
      <w:r>
        <w:rPr>
          <w:spacing w:val="-9"/>
        </w:rPr>
        <w:t> </w:t>
      </w:r>
      <w:r>
        <w:rPr/>
        <w:t>million</w:t>
      </w:r>
      <w:r>
        <w:rPr>
          <w:spacing w:val="-11"/>
        </w:rPr>
        <w:t> </w:t>
      </w:r>
      <w:r>
        <w:rPr/>
        <w:t>people</w:t>
      </w:r>
      <w:r>
        <w:rPr>
          <w:spacing w:val="-11"/>
        </w:rPr>
        <w:t> </w:t>
      </w:r>
      <w:r>
        <w:rPr/>
        <w:t>linked</w:t>
      </w:r>
      <w:r>
        <w:rPr>
          <w:spacing w:val="-9"/>
        </w:rPr>
        <w:t> </w:t>
      </w:r>
      <w:r>
        <w:rPr/>
        <w:t>to</w:t>
      </w:r>
      <w:r>
        <w:rPr>
          <w:spacing w:val="-11"/>
        </w:rPr>
        <w:t> </w:t>
      </w:r>
      <w:r>
        <w:rPr/>
        <w:t>this</w:t>
      </w:r>
      <w:r>
        <w:rPr>
          <w:spacing w:val="-11"/>
        </w:rPr>
        <w:t> </w:t>
      </w:r>
      <w:r>
        <w:rPr/>
        <w:t>sector</w:t>
      </w:r>
      <w:r>
        <w:rPr>
          <w:spacing w:val="-9"/>
        </w:rPr>
        <w:t> </w:t>
      </w:r>
      <w:r>
        <w:rPr/>
        <w:t>(FAO-BID 2007). Small-scale family dairy farms represent approximately 52.0% of total milk production in Brazil, 40.0% in Chile (FAO 2011), and 35.0% in Mexico (SIAP-SAGARPA 2011).</w:t>
      </w:r>
    </w:p>
    <w:p>
      <w:pPr>
        <w:pStyle w:val="BodyText"/>
      </w:pPr>
    </w:p>
    <w:p>
      <w:pPr>
        <w:pStyle w:val="BodyText"/>
        <w:spacing w:before="4"/>
        <w:rPr>
          <w:sz w:val="33"/>
        </w:rPr>
      </w:pPr>
    </w:p>
    <w:p>
      <w:pPr>
        <w:pStyle w:val="BodyText"/>
        <w:spacing w:line="360" w:lineRule="auto"/>
        <w:ind w:left="102" w:right="116"/>
        <w:jc w:val="both"/>
      </w:pPr>
      <w:r>
        <w:rPr/>
        <w:t>In the economic context, small-scale dairy systems (SSDS) have efficiently taken</w:t>
      </w:r>
      <w:r>
        <w:rPr>
          <w:spacing w:val="-25"/>
        </w:rPr>
        <w:t> </w:t>
      </w:r>
      <w:r>
        <w:rPr/>
        <w:t>advantage of</w:t>
      </w:r>
      <w:r>
        <w:rPr>
          <w:spacing w:val="-13"/>
        </w:rPr>
        <w:t> </w:t>
      </w:r>
      <w:r>
        <w:rPr/>
        <w:t>the</w:t>
      </w:r>
      <w:r>
        <w:rPr>
          <w:spacing w:val="-13"/>
        </w:rPr>
        <w:t> </w:t>
      </w:r>
      <w:r>
        <w:rPr/>
        <w:t>human</w:t>
      </w:r>
      <w:r>
        <w:rPr>
          <w:spacing w:val="-13"/>
        </w:rPr>
        <w:t> </w:t>
      </w:r>
      <w:r>
        <w:rPr/>
        <w:t>capital</w:t>
      </w:r>
      <w:r>
        <w:rPr>
          <w:spacing w:val="-12"/>
        </w:rPr>
        <w:t> </w:t>
      </w:r>
      <w:r>
        <w:rPr/>
        <w:t>provided</w:t>
      </w:r>
      <w:r>
        <w:rPr>
          <w:spacing w:val="-13"/>
        </w:rPr>
        <w:t> </w:t>
      </w:r>
      <w:r>
        <w:rPr/>
        <w:t>by</w:t>
      </w:r>
      <w:r>
        <w:rPr>
          <w:spacing w:val="-17"/>
        </w:rPr>
        <w:t> </w:t>
      </w:r>
      <w:r>
        <w:rPr/>
        <w:t>the</w:t>
      </w:r>
      <w:r>
        <w:rPr>
          <w:spacing w:val="-13"/>
        </w:rPr>
        <w:t> </w:t>
      </w:r>
      <w:r>
        <w:rPr/>
        <w:t>family</w:t>
      </w:r>
      <w:r>
        <w:rPr>
          <w:spacing w:val="-17"/>
        </w:rPr>
        <w:t> </w:t>
      </w:r>
      <w:r>
        <w:rPr/>
        <w:t>household</w:t>
      </w:r>
      <w:r>
        <w:rPr>
          <w:spacing w:val="-12"/>
        </w:rPr>
        <w:t> </w:t>
      </w:r>
      <w:r>
        <w:rPr/>
        <w:t>as</w:t>
      </w:r>
      <w:r>
        <w:rPr>
          <w:spacing w:val="-12"/>
        </w:rPr>
        <w:t> </w:t>
      </w:r>
      <w:r>
        <w:rPr/>
        <w:t>a</w:t>
      </w:r>
      <w:r>
        <w:rPr>
          <w:spacing w:val="-13"/>
        </w:rPr>
        <w:t> </w:t>
      </w:r>
      <w:r>
        <w:rPr/>
        <w:t>provider</w:t>
      </w:r>
      <w:r>
        <w:rPr>
          <w:spacing w:val="-13"/>
        </w:rPr>
        <w:t> </w:t>
      </w:r>
      <w:r>
        <w:rPr/>
        <w:t>of</w:t>
      </w:r>
      <w:r>
        <w:rPr>
          <w:spacing w:val="-13"/>
        </w:rPr>
        <w:t> </w:t>
      </w:r>
      <w:r>
        <w:rPr/>
        <w:t>labour,</w:t>
      </w:r>
      <w:r>
        <w:rPr>
          <w:spacing w:val="-13"/>
        </w:rPr>
        <w:t> </w:t>
      </w:r>
      <w:r>
        <w:rPr/>
        <w:t>the</w:t>
      </w:r>
      <w:r>
        <w:rPr>
          <w:spacing w:val="-13"/>
        </w:rPr>
        <w:t> </w:t>
      </w:r>
      <w:r>
        <w:rPr/>
        <w:t>intensively managed small size of their farm holding, and the peri-urban areas where their activity is undertaken which enables reduced marketing costs. The efficient use of these advantages is the motor which enables them to generate higher profits and competitiveness (Carranza y Trinidad 2007; Ndambi et al. 2008; Torres-Lima and Rodríguez-Sánchez 2008) mitigate the volatility in the cost of inputs, and to generate economic benefits to the</w:t>
      </w:r>
      <w:r>
        <w:rPr>
          <w:spacing w:val="-42"/>
        </w:rPr>
        <w:t> </w:t>
      </w:r>
      <w:r>
        <w:rPr/>
        <w:t>household members.</w:t>
      </w:r>
    </w:p>
    <w:p>
      <w:pPr>
        <w:pStyle w:val="BodyText"/>
      </w:pPr>
    </w:p>
    <w:p>
      <w:pPr>
        <w:pStyle w:val="BodyText"/>
        <w:spacing w:before="3"/>
        <w:rPr>
          <w:sz w:val="33"/>
        </w:rPr>
      </w:pPr>
    </w:p>
    <w:p>
      <w:pPr>
        <w:pStyle w:val="BodyText"/>
        <w:spacing w:line="360" w:lineRule="auto"/>
        <w:ind w:left="102" w:right="120"/>
        <w:jc w:val="both"/>
      </w:pPr>
      <w:r>
        <w:rPr/>
        <w:t>Family</w:t>
      </w:r>
      <w:r>
        <w:rPr>
          <w:spacing w:val="-10"/>
        </w:rPr>
        <w:t> </w:t>
      </w:r>
      <w:r>
        <w:rPr/>
        <w:t>labour</w:t>
      </w:r>
      <w:r>
        <w:rPr>
          <w:spacing w:val="-6"/>
        </w:rPr>
        <w:t> </w:t>
      </w:r>
      <w:r>
        <w:rPr/>
        <w:t>(FL)</w:t>
      </w:r>
      <w:r>
        <w:rPr>
          <w:spacing w:val="-3"/>
        </w:rPr>
        <w:t> </w:t>
      </w:r>
      <w:r>
        <w:rPr/>
        <w:t>is</w:t>
      </w:r>
      <w:r>
        <w:rPr>
          <w:spacing w:val="-4"/>
        </w:rPr>
        <w:t> </w:t>
      </w:r>
      <w:r>
        <w:rPr/>
        <w:t>the</w:t>
      </w:r>
      <w:r>
        <w:rPr>
          <w:spacing w:val="-5"/>
        </w:rPr>
        <w:t> </w:t>
      </w:r>
      <w:r>
        <w:rPr/>
        <w:t>second</w:t>
      </w:r>
      <w:r>
        <w:rPr>
          <w:spacing w:val="-5"/>
        </w:rPr>
        <w:t> </w:t>
      </w:r>
      <w:r>
        <w:rPr/>
        <w:t>item</w:t>
      </w:r>
      <w:r>
        <w:rPr>
          <w:spacing w:val="-4"/>
        </w:rPr>
        <w:t> </w:t>
      </w:r>
      <w:r>
        <w:rPr/>
        <w:t>in</w:t>
      </w:r>
      <w:r>
        <w:rPr>
          <w:spacing w:val="-4"/>
        </w:rPr>
        <w:t> </w:t>
      </w:r>
      <w:r>
        <w:rPr/>
        <w:t>total</w:t>
      </w:r>
      <w:r>
        <w:rPr>
          <w:spacing w:val="-4"/>
        </w:rPr>
        <w:t> </w:t>
      </w:r>
      <w:r>
        <w:rPr/>
        <w:t>production</w:t>
      </w:r>
      <w:r>
        <w:rPr>
          <w:spacing w:val="-5"/>
        </w:rPr>
        <w:t> </w:t>
      </w:r>
      <w:r>
        <w:rPr/>
        <w:t>costs</w:t>
      </w:r>
      <w:r>
        <w:rPr>
          <w:spacing w:val="-4"/>
        </w:rPr>
        <w:t> </w:t>
      </w:r>
      <w:r>
        <w:rPr/>
        <w:t>in</w:t>
      </w:r>
      <w:r>
        <w:rPr>
          <w:spacing w:val="-4"/>
        </w:rPr>
        <w:t> </w:t>
      </w:r>
      <w:r>
        <w:rPr/>
        <w:t>SSDS</w:t>
      </w:r>
      <w:r>
        <w:rPr>
          <w:spacing w:val="-4"/>
        </w:rPr>
        <w:t> </w:t>
      </w:r>
      <w:r>
        <w:rPr/>
        <w:t>(Espinoza-Ortega</w:t>
      </w:r>
      <w:r>
        <w:rPr>
          <w:spacing w:val="-6"/>
        </w:rPr>
        <w:t> </w:t>
      </w:r>
      <w:r>
        <w:rPr/>
        <w:t>et al. 2007; Ndambi and Hemme 2009; Hemme and Otte 2010); and is therefore very relevant in total cost structure. Studies in different places and faming systems as pear production in China</w:t>
      </w:r>
      <w:r>
        <w:rPr>
          <w:spacing w:val="-6"/>
        </w:rPr>
        <w:t> </w:t>
      </w:r>
      <w:r>
        <w:rPr/>
        <w:t>(Zhou</w:t>
      </w:r>
      <w:r>
        <w:rPr>
          <w:spacing w:val="-3"/>
        </w:rPr>
        <w:t> </w:t>
      </w:r>
      <w:r>
        <w:rPr/>
        <w:t>et</w:t>
      </w:r>
      <w:r>
        <w:rPr>
          <w:spacing w:val="-5"/>
        </w:rPr>
        <w:t> </w:t>
      </w:r>
      <w:r>
        <w:rPr/>
        <w:t>al.</w:t>
      </w:r>
      <w:r>
        <w:rPr>
          <w:spacing w:val="-5"/>
        </w:rPr>
        <w:t> </w:t>
      </w:r>
      <w:r>
        <w:rPr/>
        <w:t>2013)</w:t>
      </w:r>
      <w:r>
        <w:rPr>
          <w:spacing w:val="-4"/>
        </w:rPr>
        <w:t> </w:t>
      </w:r>
      <w:r>
        <w:rPr/>
        <w:t>and</w:t>
      </w:r>
      <w:r>
        <w:rPr>
          <w:spacing w:val="-5"/>
        </w:rPr>
        <w:t> </w:t>
      </w:r>
      <w:r>
        <w:rPr/>
        <w:t>dairy</w:t>
      </w:r>
      <w:r>
        <w:rPr>
          <w:spacing w:val="-8"/>
        </w:rPr>
        <w:t> </w:t>
      </w:r>
      <w:r>
        <w:rPr/>
        <w:t>farms</w:t>
      </w:r>
      <w:r>
        <w:rPr>
          <w:spacing w:val="-5"/>
        </w:rPr>
        <w:t> </w:t>
      </w:r>
      <w:r>
        <w:rPr/>
        <w:t>in</w:t>
      </w:r>
      <w:r>
        <w:rPr>
          <w:spacing w:val="-5"/>
        </w:rPr>
        <w:t> </w:t>
      </w:r>
      <w:r>
        <w:rPr/>
        <w:t>Wisconsin</w:t>
      </w:r>
      <w:r>
        <w:rPr>
          <w:spacing w:val="-5"/>
        </w:rPr>
        <w:t> </w:t>
      </w:r>
      <w:r>
        <w:rPr/>
        <w:t>(Cabrera</w:t>
      </w:r>
      <w:r>
        <w:rPr>
          <w:spacing w:val="-5"/>
        </w:rPr>
        <w:t> </w:t>
      </w:r>
      <w:r>
        <w:rPr/>
        <w:t>et</w:t>
      </w:r>
      <w:r>
        <w:rPr>
          <w:spacing w:val="-5"/>
        </w:rPr>
        <w:t> </w:t>
      </w:r>
      <w:r>
        <w:rPr/>
        <w:t>al.,</w:t>
      </w:r>
      <w:r>
        <w:rPr>
          <w:spacing w:val="-3"/>
        </w:rPr>
        <w:t> </w:t>
      </w:r>
      <w:r>
        <w:rPr/>
        <w:t>2010)</w:t>
      </w:r>
      <w:r>
        <w:rPr>
          <w:spacing w:val="-6"/>
        </w:rPr>
        <w:t> </w:t>
      </w:r>
      <w:r>
        <w:rPr/>
        <w:t>have</w:t>
      </w:r>
      <w:r>
        <w:rPr>
          <w:spacing w:val="-6"/>
        </w:rPr>
        <w:t> </w:t>
      </w:r>
      <w:r>
        <w:rPr/>
        <w:t>pointed</w:t>
      </w:r>
      <w:r>
        <w:rPr>
          <w:spacing w:val="-5"/>
        </w:rPr>
        <w:t> </w:t>
      </w:r>
      <w:r>
        <w:rPr/>
        <w:t>to</w:t>
      </w:r>
    </w:p>
    <w:p>
      <w:pPr>
        <w:spacing w:after="0" w:line="360" w:lineRule="auto"/>
        <w:jc w:val="both"/>
        <w:sectPr>
          <w:pgSz w:w="12240" w:h="15840"/>
          <w:pgMar w:header="0" w:footer="657" w:top="1360" w:bottom="840" w:left="1600" w:right="1580"/>
        </w:sectPr>
      </w:pPr>
    </w:p>
    <w:p>
      <w:pPr>
        <w:pStyle w:val="BodyText"/>
        <w:spacing w:line="362" w:lineRule="auto" w:before="50"/>
        <w:ind w:left="102" w:right="115"/>
        <w:jc w:val="both"/>
      </w:pPr>
      <w:r>
        <w:rPr/>
        <w:t>the importance of studies on the contribution of labour costs and family labour to the economic performance and viability of farming systems in changing scenarios.</w:t>
      </w:r>
    </w:p>
    <w:p>
      <w:pPr>
        <w:pStyle w:val="BodyText"/>
      </w:pPr>
    </w:p>
    <w:p>
      <w:pPr>
        <w:pStyle w:val="BodyText"/>
        <w:spacing w:before="1"/>
        <w:rPr>
          <w:sz w:val="33"/>
        </w:rPr>
      </w:pPr>
    </w:p>
    <w:p>
      <w:pPr>
        <w:pStyle w:val="BodyText"/>
        <w:spacing w:line="360" w:lineRule="auto"/>
        <w:ind w:left="102" w:right="118"/>
        <w:jc w:val="both"/>
      </w:pPr>
      <w:r>
        <w:rPr/>
        <w:t>In African countries, family labour item represents between 80.0 and 100.0% of total labour costs and plays a fundamental role in the profits obtained in dairy farms (Hemme and Otte 2010). The intensive participation of family labour is totally related with herds between 2 and 5 dairy cows (Ndambi and Hemme 2009). In Peru, family labour represents 50.0% of total labour costs, noting the role that women play by providing 22.0% of family labour, mainly in milking and cleaning activities (Gómez et al. 2007).</w:t>
      </w:r>
    </w:p>
    <w:p>
      <w:pPr>
        <w:pStyle w:val="BodyText"/>
      </w:pPr>
    </w:p>
    <w:p>
      <w:pPr>
        <w:pStyle w:val="BodyText"/>
        <w:spacing w:before="3"/>
        <w:rPr>
          <w:sz w:val="33"/>
        </w:rPr>
      </w:pPr>
    </w:p>
    <w:p>
      <w:pPr>
        <w:pStyle w:val="BodyText"/>
        <w:spacing w:line="360" w:lineRule="auto"/>
        <w:ind w:left="102" w:right="121"/>
        <w:jc w:val="both"/>
      </w:pPr>
      <w:r>
        <w:rPr/>
        <w:t>In Mexico, studies have reported family labour as a determinant factor in generating profits and in the increase in profitability of small-scale dairy systems with herds between 3 and 20 cows (Espinoza-Ortega et al. 2007).</w:t>
      </w:r>
    </w:p>
    <w:p>
      <w:pPr>
        <w:pStyle w:val="BodyText"/>
      </w:pPr>
    </w:p>
    <w:p>
      <w:pPr>
        <w:pStyle w:val="BodyText"/>
        <w:spacing w:before="3"/>
        <w:rPr>
          <w:sz w:val="33"/>
        </w:rPr>
      </w:pPr>
    </w:p>
    <w:p>
      <w:pPr>
        <w:pStyle w:val="BodyText"/>
        <w:spacing w:line="360" w:lineRule="auto"/>
        <w:ind w:left="102" w:right="119"/>
        <w:jc w:val="both"/>
      </w:pPr>
      <w:r>
        <w:rPr/>
        <w:t>Given the importance and the role played by family labour as a key economic element in small-scale dairy production systems, the objective of this work was to assess the effect of family labour on the profitability and competitiveness of small-scale dairy systems in the highlands of central Mexico.</w:t>
      </w:r>
    </w:p>
    <w:p>
      <w:pPr>
        <w:pStyle w:val="BodyText"/>
      </w:pPr>
    </w:p>
    <w:p>
      <w:pPr>
        <w:pStyle w:val="BodyText"/>
        <w:spacing w:before="8"/>
        <w:rPr>
          <w:sz w:val="33"/>
        </w:rPr>
      </w:pPr>
    </w:p>
    <w:p>
      <w:pPr>
        <w:pStyle w:val="Heading1"/>
        <w:spacing w:before="0"/>
      </w:pPr>
      <w:r>
        <w:rPr/>
        <w:t>Materials and methods</w:t>
      </w:r>
    </w:p>
    <w:p>
      <w:pPr>
        <w:pStyle w:val="BodyText"/>
        <w:rPr>
          <w:b/>
        </w:rPr>
      </w:pPr>
    </w:p>
    <w:p>
      <w:pPr>
        <w:pStyle w:val="BodyText"/>
        <w:rPr>
          <w:b/>
        </w:rPr>
      </w:pPr>
    </w:p>
    <w:p>
      <w:pPr>
        <w:pStyle w:val="BodyText"/>
        <w:spacing w:before="5"/>
        <w:rPr>
          <w:b/>
          <w:sz w:val="20"/>
        </w:rPr>
      </w:pPr>
    </w:p>
    <w:p>
      <w:pPr>
        <w:pStyle w:val="BodyText"/>
        <w:ind w:left="102"/>
        <w:jc w:val="both"/>
      </w:pPr>
      <w:r>
        <w:rPr/>
        <w:t>Study area</w:t>
      </w:r>
    </w:p>
    <w:p>
      <w:pPr>
        <w:pStyle w:val="BodyText"/>
      </w:pPr>
    </w:p>
    <w:p>
      <w:pPr>
        <w:pStyle w:val="BodyText"/>
      </w:pPr>
    </w:p>
    <w:p>
      <w:pPr>
        <w:pStyle w:val="BodyText"/>
        <w:spacing w:before="10"/>
        <w:rPr>
          <w:sz w:val="20"/>
        </w:rPr>
      </w:pPr>
    </w:p>
    <w:p>
      <w:pPr>
        <w:pStyle w:val="BodyText"/>
        <w:spacing w:line="357" w:lineRule="auto"/>
        <w:ind w:left="102" w:right="116"/>
        <w:jc w:val="both"/>
      </w:pPr>
      <w:r>
        <w:rPr/>
        <w:t>The</w:t>
      </w:r>
      <w:r>
        <w:rPr>
          <w:spacing w:val="-17"/>
        </w:rPr>
        <w:t> </w:t>
      </w:r>
      <w:r>
        <w:rPr/>
        <w:t>work</w:t>
      </w:r>
      <w:r>
        <w:rPr>
          <w:spacing w:val="-16"/>
        </w:rPr>
        <w:t> </w:t>
      </w:r>
      <w:r>
        <w:rPr/>
        <w:t>took</w:t>
      </w:r>
      <w:r>
        <w:rPr>
          <w:spacing w:val="-15"/>
        </w:rPr>
        <w:t> </w:t>
      </w:r>
      <w:r>
        <w:rPr/>
        <w:t>place</w:t>
      </w:r>
      <w:r>
        <w:rPr>
          <w:spacing w:val="-17"/>
        </w:rPr>
        <w:t> </w:t>
      </w:r>
      <w:r>
        <w:rPr/>
        <w:t>in</w:t>
      </w:r>
      <w:r>
        <w:rPr>
          <w:spacing w:val="-15"/>
        </w:rPr>
        <w:t> </w:t>
      </w:r>
      <w:r>
        <w:rPr/>
        <w:t>the</w:t>
      </w:r>
      <w:r>
        <w:rPr>
          <w:spacing w:val="-16"/>
        </w:rPr>
        <w:t> </w:t>
      </w:r>
      <w:r>
        <w:rPr/>
        <w:t>district</w:t>
      </w:r>
      <w:r>
        <w:rPr>
          <w:spacing w:val="-15"/>
        </w:rPr>
        <w:t> </w:t>
      </w:r>
      <w:r>
        <w:rPr/>
        <w:t>of</w:t>
      </w:r>
      <w:r>
        <w:rPr>
          <w:spacing w:val="-17"/>
        </w:rPr>
        <w:t> </w:t>
      </w:r>
      <w:r>
        <w:rPr/>
        <w:t>Texcoco,</w:t>
      </w:r>
      <w:r>
        <w:rPr>
          <w:spacing w:val="-16"/>
        </w:rPr>
        <w:t> </w:t>
      </w:r>
      <w:r>
        <w:rPr/>
        <w:t>located</w:t>
      </w:r>
      <w:r>
        <w:rPr>
          <w:spacing w:val="-16"/>
        </w:rPr>
        <w:t> </w:t>
      </w:r>
      <w:r>
        <w:rPr/>
        <w:t>in</w:t>
      </w:r>
      <w:r>
        <w:rPr>
          <w:spacing w:val="-15"/>
        </w:rPr>
        <w:t> </w:t>
      </w:r>
      <w:r>
        <w:rPr/>
        <w:t>the</w:t>
      </w:r>
      <w:r>
        <w:rPr>
          <w:spacing w:val="-16"/>
        </w:rPr>
        <w:t> </w:t>
      </w:r>
      <w:r>
        <w:rPr/>
        <w:t>north-east</w:t>
      </w:r>
      <w:r>
        <w:rPr>
          <w:spacing w:val="-15"/>
        </w:rPr>
        <w:t> </w:t>
      </w:r>
      <w:r>
        <w:rPr/>
        <w:t>of</w:t>
      </w:r>
      <w:r>
        <w:rPr>
          <w:spacing w:val="-17"/>
        </w:rPr>
        <w:t> </w:t>
      </w:r>
      <w:r>
        <w:rPr/>
        <w:t>the</w:t>
      </w:r>
      <w:r>
        <w:rPr>
          <w:spacing w:val="-14"/>
        </w:rPr>
        <w:t> </w:t>
      </w:r>
      <w:r>
        <w:rPr/>
        <w:t>State</w:t>
      </w:r>
      <w:r>
        <w:rPr>
          <w:spacing w:val="-17"/>
        </w:rPr>
        <w:t> </w:t>
      </w:r>
      <w:r>
        <w:rPr/>
        <w:t>of</w:t>
      </w:r>
      <w:r>
        <w:rPr>
          <w:spacing w:val="-17"/>
        </w:rPr>
        <w:t> </w:t>
      </w:r>
      <w:r>
        <w:rPr/>
        <w:t>Mexico and</w:t>
      </w:r>
      <w:r>
        <w:rPr>
          <w:spacing w:val="-5"/>
        </w:rPr>
        <w:t> </w:t>
      </w:r>
      <w:r>
        <w:rPr/>
        <w:t>north-east</w:t>
      </w:r>
      <w:r>
        <w:rPr>
          <w:spacing w:val="-5"/>
        </w:rPr>
        <w:t> </w:t>
      </w:r>
      <w:r>
        <w:rPr/>
        <w:t>of</w:t>
      </w:r>
      <w:r>
        <w:rPr>
          <w:spacing w:val="-4"/>
        </w:rPr>
        <w:t> </w:t>
      </w:r>
      <w:r>
        <w:rPr/>
        <w:t>Mexico</w:t>
      </w:r>
      <w:r>
        <w:rPr>
          <w:spacing w:val="-6"/>
        </w:rPr>
        <w:t> </w:t>
      </w:r>
      <w:r>
        <w:rPr/>
        <w:t>City.</w:t>
      </w:r>
      <w:r>
        <w:rPr>
          <w:spacing w:val="-5"/>
        </w:rPr>
        <w:t> </w:t>
      </w:r>
      <w:r>
        <w:rPr/>
        <w:t>The</w:t>
      </w:r>
      <w:r>
        <w:rPr>
          <w:spacing w:val="-6"/>
        </w:rPr>
        <w:t> </w:t>
      </w:r>
      <w:r>
        <w:rPr/>
        <w:t>State</w:t>
      </w:r>
      <w:r>
        <w:rPr>
          <w:spacing w:val="-6"/>
        </w:rPr>
        <w:t> </w:t>
      </w:r>
      <w:r>
        <w:rPr/>
        <w:t>of</w:t>
      </w:r>
      <w:r>
        <w:rPr>
          <w:spacing w:val="-6"/>
        </w:rPr>
        <w:t> </w:t>
      </w:r>
      <w:r>
        <w:rPr/>
        <w:t>Mexico,</w:t>
      </w:r>
      <w:r>
        <w:rPr>
          <w:spacing w:val="-6"/>
        </w:rPr>
        <w:t> </w:t>
      </w:r>
      <w:r>
        <w:rPr/>
        <w:t>which</w:t>
      </w:r>
      <w:r>
        <w:rPr>
          <w:spacing w:val="-5"/>
        </w:rPr>
        <w:t> </w:t>
      </w:r>
      <w:r>
        <w:rPr/>
        <w:t>surrounds</w:t>
      </w:r>
      <w:r>
        <w:rPr>
          <w:spacing w:val="-5"/>
        </w:rPr>
        <w:t> </w:t>
      </w:r>
      <w:r>
        <w:rPr/>
        <w:t>Mexico</w:t>
      </w:r>
      <w:r>
        <w:rPr>
          <w:spacing w:val="-6"/>
        </w:rPr>
        <w:t> </w:t>
      </w:r>
      <w:r>
        <w:rPr/>
        <w:t>City,</w:t>
      </w:r>
      <w:r>
        <w:rPr>
          <w:spacing w:val="-5"/>
        </w:rPr>
        <w:t> </w:t>
      </w:r>
      <w:r>
        <w:rPr/>
        <w:t>is</w:t>
      </w:r>
      <w:r>
        <w:rPr>
          <w:spacing w:val="-2"/>
        </w:rPr>
        <w:t> </w:t>
      </w:r>
      <w:r>
        <w:rPr/>
        <w:t>the</w:t>
      </w:r>
      <w:r>
        <w:rPr>
          <w:spacing w:val="-6"/>
        </w:rPr>
        <w:t> </w:t>
      </w:r>
      <w:r>
        <w:rPr/>
        <w:t>7</w:t>
      </w:r>
      <w:r>
        <w:rPr>
          <w:position w:val="9"/>
          <w:sz w:val="16"/>
        </w:rPr>
        <w:t>th </w:t>
      </w:r>
      <w:r>
        <w:rPr/>
        <w:t>state in national milk production, the district of Texcoco occupies the second place in milk production in the state (SIAP 2012), and historically has been characterised by its dairy production, predominating at  present  SSDS  based on crops of lucerne (</w:t>
      </w:r>
      <w:r>
        <w:rPr>
          <w:i/>
        </w:rPr>
        <w:t>Medicago  </w:t>
      </w:r>
      <w:r>
        <w:rPr>
          <w:i/>
          <w:spacing w:val="20"/>
        </w:rPr>
        <w:t> </w:t>
      </w:r>
      <w:r>
        <w:rPr>
          <w:i/>
        </w:rPr>
        <w:t>sativa</w:t>
      </w:r>
      <w:r>
        <w:rPr/>
        <w:t>)</w:t>
      </w:r>
    </w:p>
    <w:p>
      <w:pPr>
        <w:spacing w:after="0" w:line="357" w:lineRule="auto"/>
        <w:jc w:val="both"/>
        <w:sectPr>
          <w:pgSz w:w="12240" w:h="15840"/>
          <w:pgMar w:header="0" w:footer="657" w:top="1360" w:bottom="840" w:left="1600" w:right="1580"/>
        </w:sectPr>
      </w:pPr>
    </w:p>
    <w:p>
      <w:pPr>
        <w:pStyle w:val="BodyText"/>
        <w:spacing w:line="360" w:lineRule="auto" w:before="50"/>
        <w:ind w:left="102" w:right="117"/>
        <w:jc w:val="both"/>
      </w:pPr>
      <w:r>
        <w:rPr/>
        <w:t>(Zaragoza-Esparza et al. 2009), maize (</w:t>
      </w:r>
      <w:r>
        <w:rPr>
          <w:i/>
        </w:rPr>
        <w:t>Zea mays</w:t>
      </w:r>
      <w:r>
        <w:rPr/>
        <w:t>) (Anaya-Ortega et al. 2009), and oats (</w:t>
      </w:r>
      <w:r>
        <w:rPr>
          <w:i/>
        </w:rPr>
        <w:t>Avena sativa</w:t>
      </w:r>
      <w:r>
        <w:rPr/>
        <w:t>) (Alfonso-Ávila et al. 2012), with Holstein cattle as the main dairy breed (95.0% of dairy cows).</w:t>
      </w:r>
    </w:p>
    <w:p>
      <w:pPr>
        <w:pStyle w:val="BodyText"/>
      </w:pPr>
    </w:p>
    <w:p>
      <w:pPr>
        <w:pStyle w:val="BodyText"/>
        <w:spacing w:before="3"/>
        <w:rPr>
          <w:sz w:val="33"/>
        </w:rPr>
      </w:pPr>
    </w:p>
    <w:p>
      <w:pPr>
        <w:pStyle w:val="BodyText"/>
        <w:spacing w:line="360" w:lineRule="auto"/>
        <w:ind w:left="102" w:right="118"/>
        <w:jc w:val="both"/>
      </w:pPr>
      <w:r>
        <w:rPr/>
        <w:t>The main city of the district is Texcoco located at 19°30’43” N and 98°52’54” W, at an altitude</w:t>
      </w:r>
      <w:r>
        <w:rPr>
          <w:spacing w:val="-5"/>
        </w:rPr>
        <w:t> </w:t>
      </w:r>
      <w:r>
        <w:rPr/>
        <w:t>of</w:t>
      </w:r>
      <w:r>
        <w:rPr>
          <w:spacing w:val="-5"/>
        </w:rPr>
        <w:t> </w:t>
      </w:r>
      <w:r>
        <w:rPr/>
        <w:t>2,250</w:t>
      </w:r>
      <w:r>
        <w:rPr>
          <w:spacing w:val="-4"/>
        </w:rPr>
        <w:t> </w:t>
      </w:r>
      <w:r>
        <w:rPr/>
        <w:t>m,</w:t>
      </w:r>
      <w:r>
        <w:rPr>
          <w:spacing w:val="-3"/>
        </w:rPr>
        <w:t> </w:t>
      </w:r>
      <w:r>
        <w:rPr/>
        <w:t>a</w:t>
      </w:r>
      <w:r>
        <w:rPr>
          <w:spacing w:val="-5"/>
        </w:rPr>
        <w:t> </w:t>
      </w:r>
      <w:r>
        <w:rPr/>
        <w:t>semi-dry</w:t>
      </w:r>
      <w:r>
        <w:rPr>
          <w:spacing w:val="-9"/>
        </w:rPr>
        <w:t> </w:t>
      </w:r>
      <w:r>
        <w:rPr/>
        <w:t>temperate</w:t>
      </w:r>
      <w:r>
        <w:rPr>
          <w:spacing w:val="-1"/>
        </w:rPr>
        <w:t> </w:t>
      </w:r>
      <w:r>
        <w:rPr/>
        <w:t>climate</w:t>
      </w:r>
      <w:r>
        <w:rPr>
          <w:spacing w:val="-3"/>
        </w:rPr>
        <w:t> </w:t>
      </w:r>
      <w:r>
        <w:rPr/>
        <w:t>with</w:t>
      </w:r>
      <w:r>
        <w:rPr>
          <w:spacing w:val="-3"/>
        </w:rPr>
        <w:t> </w:t>
      </w:r>
      <w:r>
        <w:rPr/>
        <w:t>a</w:t>
      </w:r>
      <w:r>
        <w:rPr>
          <w:spacing w:val="-5"/>
        </w:rPr>
        <w:t> </w:t>
      </w:r>
      <w:r>
        <w:rPr/>
        <w:t>mean</w:t>
      </w:r>
      <w:r>
        <w:rPr>
          <w:spacing w:val="-4"/>
        </w:rPr>
        <w:t> </w:t>
      </w:r>
      <w:r>
        <w:rPr/>
        <w:t>annual</w:t>
      </w:r>
      <w:r>
        <w:rPr>
          <w:spacing w:val="-3"/>
        </w:rPr>
        <w:t> </w:t>
      </w:r>
      <w:r>
        <w:rPr/>
        <w:t>temperature</w:t>
      </w:r>
      <w:r>
        <w:rPr>
          <w:spacing w:val="-5"/>
        </w:rPr>
        <w:t> </w:t>
      </w:r>
      <w:r>
        <w:rPr/>
        <w:t>of</w:t>
      </w:r>
      <w:r>
        <w:rPr>
          <w:spacing w:val="-5"/>
        </w:rPr>
        <w:t> </w:t>
      </w:r>
      <w:r>
        <w:rPr/>
        <w:t>15.9°C and a mean rainfall of 686 mm/year (INEGI</w:t>
      </w:r>
      <w:r>
        <w:rPr>
          <w:spacing w:val="-14"/>
        </w:rPr>
        <w:t> </w:t>
      </w:r>
      <w:r>
        <w:rPr/>
        <w:t>2012).</w:t>
      </w:r>
    </w:p>
    <w:p>
      <w:pPr>
        <w:pStyle w:val="BodyText"/>
      </w:pPr>
    </w:p>
    <w:p>
      <w:pPr>
        <w:pStyle w:val="BodyText"/>
        <w:spacing w:before="4"/>
        <w:rPr>
          <w:sz w:val="33"/>
        </w:rPr>
      </w:pPr>
    </w:p>
    <w:p>
      <w:pPr>
        <w:pStyle w:val="BodyText"/>
        <w:ind w:left="102"/>
        <w:jc w:val="both"/>
      </w:pPr>
      <w:r>
        <w:rPr/>
        <w:t>Sample size</w:t>
      </w:r>
    </w:p>
    <w:p>
      <w:pPr>
        <w:pStyle w:val="BodyText"/>
      </w:pPr>
    </w:p>
    <w:p>
      <w:pPr>
        <w:pStyle w:val="BodyText"/>
      </w:pPr>
    </w:p>
    <w:p>
      <w:pPr>
        <w:pStyle w:val="BodyText"/>
        <w:spacing w:before="10"/>
        <w:rPr>
          <w:sz w:val="20"/>
        </w:rPr>
      </w:pPr>
    </w:p>
    <w:p>
      <w:pPr>
        <w:pStyle w:val="BodyText"/>
        <w:spacing w:line="360" w:lineRule="auto"/>
        <w:ind w:left="102" w:right="118"/>
        <w:jc w:val="both"/>
      </w:pPr>
      <w:r>
        <w:rPr/>
        <w:t>A</w:t>
      </w:r>
      <w:r>
        <w:rPr>
          <w:spacing w:val="-5"/>
        </w:rPr>
        <w:t> </w:t>
      </w:r>
      <w:r>
        <w:rPr/>
        <w:t>stratified</w:t>
      </w:r>
      <w:r>
        <w:rPr>
          <w:spacing w:val="-5"/>
        </w:rPr>
        <w:t> </w:t>
      </w:r>
      <w:r>
        <w:rPr/>
        <w:t>sampling</w:t>
      </w:r>
      <w:r>
        <w:rPr>
          <w:spacing w:val="-7"/>
        </w:rPr>
        <w:t> </w:t>
      </w:r>
      <w:r>
        <w:rPr/>
        <w:t>with</w:t>
      </w:r>
      <w:r>
        <w:rPr>
          <w:spacing w:val="-4"/>
        </w:rPr>
        <w:t> </w:t>
      </w:r>
      <w:r>
        <w:rPr/>
        <w:t>the</w:t>
      </w:r>
      <w:r>
        <w:rPr>
          <w:spacing w:val="-5"/>
        </w:rPr>
        <w:t> </w:t>
      </w:r>
      <w:r>
        <w:rPr/>
        <w:t>Neyman</w:t>
      </w:r>
      <w:r>
        <w:rPr>
          <w:spacing w:val="-5"/>
        </w:rPr>
        <w:t> </w:t>
      </w:r>
      <w:r>
        <w:rPr/>
        <w:t>assignation</w:t>
      </w:r>
      <w:r>
        <w:rPr>
          <w:spacing w:val="-5"/>
        </w:rPr>
        <w:t> </w:t>
      </w:r>
      <w:r>
        <w:rPr/>
        <w:t>was</w:t>
      </w:r>
      <w:r>
        <w:rPr>
          <w:spacing w:val="-5"/>
        </w:rPr>
        <w:t> </w:t>
      </w:r>
      <w:r>
        <w:rPr/>
        <w:t>done</w:t>
      </w:r>
      <w:r>
        <w:rPr>
          <w:spacing w:val="-6"/>
        </w:rPr>
        <w:t> </w:t>
      </w:r>
      <w:r>
        <w:rPr/>
        <w:t>taking</w:t>
      </w:r>
      <w:r>
        <w:rPr>
          <w:spacing w:val="-7"/>
        </w:rPr>
        <w:t> </w:t>
      </w:r>
      <w:r>
        <w:rPr/>
        <w:t>after</w:t>
      </w:r>
      <w:r>
        <w:rPr>
          <w:spacing w:val="-6"/>
        </w:rPr>
        <w:t> </w:t>
      </w:r>
      <w:r>
        <w:rPr/>
        <w:t>Álvarez-Fuentes</w:t>
      </w:r>
      <w:r>
        <w:rPr>
          <w:spacing w:val="-5"/>
        </w:rPr>
        <w:t> </w:t>
      </w:r>
      <w:r>
        <w:rPr/>
        <w:t>et al. (2004) using the registry of the Local Livestock Farmers Association in the municipality of Texcoco with a total of 245.00 dairy farming members as the sampling frame,  </w:t>
      </w:r>
      <w:r>
        <w:rPr>
          <w:spacing w:val="36"/>
        </w:rPr>
        <w:t> </w:t>
      </w:r>
      <w:r>
        <w:rPr/>
        <w:t>selecting</w:t>
      </w:r>
    </w:p>
    <w:p>
      <w:pPr>
        <w:pStyle w:val="BodyText"/>
        <w:spacing w:line="360" w:lineRule="auto" w:before="6"/>
        <w:ind w:left="102" w:right="117"/>
        <w:jc w:val="both"/>
      </w:pPr>
      <w:r>
        <w:rPr/>
        <w:t>37.00</w:t>
      </w:r>
      <w:r>
        <w:rPr>
          <w:spacing w:val="-5"/>
        </w:rPr>
        <w:t> </w:t>
      </w:r>
      <w:r>
        <w:rPr/>
        <w:t>farms,</w:t>
      </w:r>
      <w:r>
        <w:rPr>
          <w:spacing w:val="-5"/>
        </w:rPr>
        <w:t> </w:t>
      </w:r>
      <w:r>
        <w:rPr/>
        <w:t>establishing</w:t>
      </w:r>
      <w:r>
        <w:rPr>
          <w:spacing w:val="-4"/>
        </w:rPr>
        <w:t> </w:t>
      </w:r>
      <w:r>
        <w:rPr/>
        <w:t>as</w:t>
      </w:r>
      <w:r>
        <w:rPr>
          <w:spacing w:val="-5"/>
        </w:rPr>
        <w:t> </w:t>
      </w:r>
      <w:r>
        <w:rPr/>
        <w:t>sampling</w:t>
      </w:r>
      <w:r>
        <w:rPr>
          <w:spacing w:val="-7"/>
        </w:rPr>
        <w:t> </w:t>
      </w:r>
      <w:r>
        <w:rPr/>
        <w:t>criterion</w:t>
      </w:r>
      <w:r>
        <w:rPr>
          <w:spacing w:val="-5"/>
        </w:rPr>
        <w:t> </w:t>
      </w:r>
      <w:r>
        <w:rPr/>
        <w:t>herd</w:t>
      </w:r>
      <w:r>
        <w:rPr>
          <w:spacing w:val="-6"/>
        </w:rPr>
        <w:t> </w:t>
      </w:r>
      <w:r>
        <w:rPr/>
        <w:t>size.</w:t>
      </w:r>
      <w:r>
        <w:rPr>
          <w:spacing w:val="-7"/>
        </w:rPr>
        <w:t> </w:t>
      </w:r>
      <w:r>
        <w:rPr/>
        <w:t>Precision</w:t>
      </w:r>
      <w:r>
        <w:rPr>
          <w:spacing w:val="-5"/>
        </w:rPr>
        <w:t> </w:t>
      </w:r>
      <w:r>
        <w:rPr/>
        <w:t>was</w:t>
      </w:r>
      <w:r>
        <w:rPr>
          <w:spacing w:val="-5"/>
        </w:rPr>
        <w:t> </w:t>
      </w:r>
      <w:r>
        <w:rPr/>
        <w:t>10.0%</w:t>
      </w:r>
      <w:r>
        <w:rPr>
          <w:spacing w:val="-6"/>
        </w:rPr>
        <w:t> </w:t>
      </w:r>
      <w:r>
        <w:rPr/>
        <w:t>of</w:t>
      </w:r>
      <w:r>
        <w:rPr>
          <w:spacing w:val="-6"/>
        </w:rPr>
        <w:t> </w:t>
      </w:r>
      <w:r>
        <w:rPr/>
        <w:t>the</w:t>
      </w:r>
      <w:r>
        <w:rPr>
          <w:spacing w:val="-5"/>
        </w:rPr>
        <w:t> </w:t>
      </w:r>
      <w:r>
        <w:rPr/>
        <w:t>sample mean, with a confidence level of 95.0%. Three strata were established (Table 1). Stratum 1 had between 3 and 9 dairy cows plus replacements, Stratum 2 with herds between 10 and</w:t>
      </w:r>
      <w:r>
        <w:rPr>
          <w:spacing w:val="-38"/>
        </w:rPr>
        <w:t> </w:t>
      </w:r>
      <w:r>
        <w:rPr/>
        <w:t>19 cows and Stratum 3 with herds between 20 and 30 dairy cows plus</w:t>
      </w:r>
      <w:r>
        <w:rPr>
          <w:spacing w:val="-14"/>
        </w:rPr>
        <w:t> </w:t>
      </w:r>
      <w:r>
        <w:rPr/>
        <w:t>replacements.</w:t>
      </w:r>
    </w:p>
    <w:p>
      <w:pPr>
        <w:pStyle w:val="BodyText"/>
      </w:pPr>
    </w:p>
    <w:p>
      <w:pPr>
        <w:pStyle w:val="BodyText"/>
        <w:spacing w:before="3"/>
        <w:rPr>
          <w:sz w:val="33"/>
        </w:rPr>
      </w:pPr>
    </w:p>
    <w:p>
      <w:pPr>
        <w:pStyle w:val="BodyText"/>
        <w:ind w:left="102"/>
        <w:jc w:val="both"/>
      </w:pPr>
      <w:r>
        <w:rPr>
          <w:rFonts w:ascii="Symbol" w:hAnsi="Symbol"/>
        </w:rPr>
        <w:t></w:t>
      </w:r>
      <w:r>
        <w:rPr/>
        <w:t> Please insert Table 1 here.</w:t>
      </w:r>
    </w:p>
    <w:p>
      <w:pPr>
        <w:pStyle w:val="BodyText"/>
      </w:pPr>
    </w:p>
    <w:p>
      <w:pPr>
        <w:pStyle w:val="BodyText"/>
      </w:pPr>
    </w:p>
    <w:p>
      <w:pPr>
        <w:pStyle w:val="BodyText"/>
        <w:spacing w:before="7"/>
        <w:rPr>
          <w:sz w:val="21"/>
        </w:rPr>
      </w:pPr>
    </w:p>
    <w:p>
      <w:pPr>
        <w:pStyle w:val="BodyText"/>
        <w:ind w:left="102"/>
        <w:jc w:val="both"/>
      </w:pPr>
      <w:r>
        <w:rPr/>
        <w:t>Method</w:t>
      </w:r>
    </w:p>
    <w:p>
      <w:pPr>
        <w:pStyle w:val="BodyText"/>
      </w:pPr>
    </w:p>
    <w:p>
      <w:pPr>
        <w:pStyle w:val="BodyText"/>
      </w:pPr>
    </w:p>
    <w:p>
      <w:pPr>
        <w:pStyle w:val="BodyText"/>
        <w:spacing w:before="10"/>
        <w:rPr>
          <w:sz w:val="20"/>
        </w:rPr>
      </w:pPr>
    </w:p>
    <w:p>
      <w:pPr>
        <w:pStyle w:val="BodyText"/>
        <w:spacing w:line="360" w:lineRule="auto"/>
        <w:ind w:left="102" w:right="116"/>
        <w:jc w:val="both"/>
      </w:pPr>
      <w:r>
        <w:rPr/>
        <w:t>The</w:t>
      </w:r>
      <w:r>
        <w:rPr>
          <w:spacing w:val="-17"/>
        </w:rPr>
        <w:t> </w:t>
      </w:r>
      <w:r>
        <w:rPr/>
        <w:t>Policy</w:t>
      </w:r>
      <w:r>
        <w:rPr>
          <w:spacing w:val="-18"/>
        </w:rPr>
        <w:t> </w:t>
      </w:r>
      <w:r>
        <w:rPr/>
        <w:t>Analysis</w:t>
      </w:r>
      <w:r>
        <w:rPr>
          <w:spacing w:val="-15"/>
        </w:rPr>
        <w:t> </w:t>
      </w:r>
      <w:r>
        <w:rPr/>
        <w:t>Matrix</w:t>
      </w:r>
      <w:r>
        <w:rPr>
          <w:spacing w:val="-13"/>
        </w:rPr>
        <w:t> </w:t>
      </w:r>
      <w:r>
        <w:rPr/>
        <w:t>(PAM)</w:t>
      </w:r>
      <w:r>
        <w:rPr>
          <w:spacing w:val="-17"/>
        </w:rPr>
        <w:t> </w:t>
      </w:r>
      <w:r>
        <w:rPr/>
        <w:t>for</w:t>
      </w:r>
      <w:r>
        <w:rPr>
          <w:spacing w:val="-17"/>
        </w:rPr>
        <w:t> </w:t>
      </w:r>
      <w:r>
        <w:rPr/>
        <w:t>Agricultural</w:t>
      </w:r>
      <w:r>
        <w:rPr>
          <w:spacing w:val="-15"/>
        </w:rPr>
        <w:t> </w:t>
      </w:r>
      <w:r>
        <w:rPr/>
        <w:t>Development</w:t>
      </w:r>
      <w:r>
        <w:rPr>
          <w:spacing w:val="-15"/>
        </w:rPr>
        <w:t> </w:t>
      </w:r>
      <w:r>
        <w:rPr/>
        <w:t>(Monke</w:t>
      </w:r>
      <w:r>
        <w:rPr>
          <w:spacing w:val="-17"/>
        </w:rPr>
        <w:t> </w:t>
      </w:r>
      <w:r>
        <w:rPr/>
        <w:t>and</w:t>
      </w:r>
      <w:r>
        <w:rPr>
          <w:spacing w:val="-16"/>
        </w:rPr>
        <w:t> </w:t>
      </w:r>
      <w:r>
        <w:rPr/>
        <w:t>Pearson</w:t>
      </w:r>
      <w:r>
        <w:rPr>
          <w:spacing w:val="-16"/>
        </w:rPr>
        <w:t> </w:t>
      </w:r>
      <w:r>
        <w:rPr/>
        <w:t>1989) has</w:t>
      </w:r>
      <w:r>
        <w:rPr>
          <w:spacing w:val="-10"/>
        </w:rPr>
        <w:t> </w:t>
      </w:r>
      <w:r>
        <w:rPr/>
        <w:t>been</w:t>
      </w:r>
      <w:r>
        <w:rPr>
          <w:spacing w:val="-10"/>
        </w:rPr>
        <w:t> </w:t>
      </w:r>
      <w:r>
        <w:rPr/>
        <w:t>recently</w:t>
      </w:r>
      <w:r>
        <w:rPr>
          <w:spacing w:val="-13"/>
        </w:rPr>
        <w:t> </w:t>
      </w:r>
      <w:r>
        <w:rPr/>
        <w:t>used</w:t>
      </w:r>
      <w:r>
        <w:rPr>
          <w:spacing w:val="-10"/>
        </w:rPr>
        <w:t> </w:t>
      </w:r>
      <w:r>
        <w:rPr/>
        <w:t>by</w:t>
      </w:r>
      <w:r>
        <w:rPr>
          <w:spacing w:val="-11"/>
        </w:rPr>
        <w:t> </w:t>
      </w:r>
      <w:r>
        <w:rPr/>
        <w:t>Antriyandarti</w:t>
      </w:r>
      <w:r>
        <w:rPr>
          <w:spacing w:val="-9"/>
        </w:rPr>
        <w:t> </w:t>
      </w:r>
      <w:r>
        <w:rPr/>
        <w:t>et</w:t>
      </w:r>
      <w:r>
        <w:rPr>
          <w:spacing w:val="-9"/>
        </w:rPr>
        <w:t> </w:t>
      </w:r>
      <w:r>
        <w:rPr/>
        <w:t>al.</w:t>
      </w:r>
      <w:r>
        <w:rPr>
          <w:spacing w:val="-9"/>
        </w:rPr>
        <w:t> </w:t>
      </w:r>
      <w:r>
        <w:rPr/>
        <w:t>(2013)</w:t>
      </w:r>
      <w:r>
        <w:rPr>
          <w:spacing w:val="-10"/>
        </w:rPr>
        <w:t> </w:t>
      </w:r>
      <w:r>
        <w:rPr/>
        <w:t>to</w:t>
      </w:r>
      <w:r>
        <w:rPr>
          <w:spacing w:val="-7"/>
        </w:rPr>
        <w:t> </w:t>
      </w:r>
      <w:r>
        <w:rPr/>
        <w:t>determine</w:t>
      </w:r>
      <w:r>
        <w:rPr>
          <w:spacing w:val="-10"/>
        </w:rPr>
        <w:t> </w:t>
      </w:r>
      <w:r>
        <w:rPr/>
        <w:t>the</w:t>
      </w:r>
      <w:r>
        <w:rPr>
          <w:spacing w:val="-10"/>
        </w:rPr>
        <w:t> </w:t>
      </w:r>
      <w:r>
        <w:rPr/>
        <w:t>comparative</w:t>
      </w:r>
      <w:r>
        <w:rPr>
          <w:spacing w:val="-10"/>
        </w:rPr>
        <w:t> </w:t>
      </w:r>
      <w:r>
        <w:rPr/>
        <w:t>advantage of selected horticultural commodities in Indonesia; Katic et al. (2013) to assess the role of investment in water management and of public policies in enhancing production in West African countries. PAM is an equilibrium model that integrates micro-economics, trade and public</w:t>
      </w:r>
      <w:r>
        <w:rPr>
          <w:spacing w:val="-5"/>
        </w:rPr>
        <w:t> </w:t>
      </w:r>
      <w:r>
        <w:rPr/>
        <w:t>policy</w:t>
      </w:r>
      <w:r>
        <w:rPr>
          <w:spacing w:val="-9"/>
        </w:rPr>
        <w:t> </w:t>
      </w:r>
      <w:r>
        <w:rPr/>
        <w:t>and</w:t>
      </w:r>
      <w:r>
        <w:rPr>
          <w:spacing w:val="-4"/>
        </w:rPr>
        <w:t> </w:t>
      </w:r>
      <w:r>
        <w:rPr/>
        <w:t>that</w:t>
      </w:r>
      <w:r>
        <w:rPr>
          <w:spacing w:val="-1"/>
        </w:rPr>
        <w:t> </w:t>
      </w:r>
      <w:r>
        <w:rPr/>
        <w:t>enables</w:t>
      </w:r>
      <w:r>
        <w:rPr>
          <w:spacing w:val="-4"/>
        </w:rPr>
        <w:t> </w:t>
      </w:r>
      <w:r>
        <w:rPr/>
        <w:t>the</w:t>
      </w:r>
      <w:r>
        <w:rPr>
          <w:spacing w:val="-4"/>
        </w:rPr>
        <w:t> </w:t>
      </w:r>
      <w:r>
        <w:rPr/>
        <w:t>identification</w:t>
      </w:r>
      <w:r>
        <w:rPr>
          <w:spacing w:val="-4"/>
        </w:rPr>
        <w:t> </w:t>
      </w:r>
      <w:r>
        <w:rPr/>
        <w:t>and</w:t>
      </w:r>
      <w:r>
        <w:rPr>
          <w:spacing w:val="-4"/>
        </w:rPr>
        <w:t> </w:t>
      </w:r>
      <w:r>
        <w:rPr/>
        <w:t>measurement</w:t>
      </w:r>
      <w:r>
        <w:rPr>
          <w:spacing w:val="-4"/>
        </w:rPr>
        <w:t> </w:t>
      </w:r>
      <w:r>
        <w:rPr/>
        <w:t>of</w:t>
      </w:r>
      <w:r>
        <w:rPr>
          <w:spacing w:val="-5"/>
        </w:rPr>
        <w:t> </w:t>
      </w:r>
      <w:r>
        <w:rPr/>
        <w:t>the</w:t>
      </w:r>
      <w:r>
        <w:rPr>
          <w:spacing w:val="-5"/>
        </w:rPr>
        <w:t> </w:t>
      </w:r>
      <w:r>
        <w:rPr/>
        <w:t>effects</w:t>
      </w:r>
      <w:r>
        <w:rPr>
          <w:spacing w:val="-3"/>
        </w:rPr>
        <w:t> </w:t>
      </w:r>
      <w:r>
        <w:rPr/>
        <w:t>of</w:t>
      </w:r>
      <w:r>
        <w:rPr>
          <w:spacing w:val="-5"/>
        </w:rPr>
        <w:t> </w:t>
      </w:r>
      <w:r>
        <w:rPr/>
        <w:t>economic</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policy on the profitability and competitiveness of agricultural systems, the impact of investments in the economic efficiency and the comparative advantages in a competitive market for products and inputs (Barrera-Rodríguez et al. 2011).</w:t>
      </w:r>
    </w:p>
    <w:p>
      <w:pPr>
        <w:pStyle w:val="BodyText"/>
      </w:pPr>
    </w:p>
    <w:p>
      <w:pPr>
        <w:pStyle w:val="BodyText"/>
        <w:spacing w:before="3"/>
        <w:rPr>
          <w:sz w:val="33"/>
        </w:rPr>
      </w:pPr>
    </w:p>
    <w:p>
      <w:pPr>
        <w:pStyle w:val="BodyText"/>
        <w:spacing w:line="360" w:lineRule="auto"/>
        <w:ind w:left="102" w:right="116"/>
        <w:jc w:val="both"/>
      </w:pPr>
      <w:r>
        <w:rPr/>
        <w:t>The PAM is a product of two accounting identities: the profitability identity and the divergences identity. The first row provides a measure of private profitability by accounting observed revenues and costs that reflect actual market prices (private budget) received or paid</w:t>
      </w:r>
      <w:r>
        <w:rPr>
          <w:spacing w:val="-3"/>
        </w:rPr>
        <w:t> </w:t>
      </w:r>
      <w:r>
        <w:rPr/>
        <w:t>by</w:t>
      </w:r>
      <w:r>
        <w:rPr>
          <w:spacing w:val="-9"/>
        </w:rPr>
        <w:t> </w:t>
      </w:r>
      <w:r>
        <w:rPr/>
        <w:t>farmers,</w:t>
      </w:r>
      <w:r>
        <w:rPr>
          <w:spacing w:val="-4"/>
        </w:rPr>
        <w:t> </w:t>
      </w:r>
      <w:r>
        <w:rPr/>
        <w:t>merchants</w:t>
      </w:r>
      <w:r>
        <w:rPr>
          <w:spacing w:val="-3"/>
        </w:rPr>
        <w:t> </w:t>
      </w:r>
      <w:r>
        <w:rPr/>
        <w:t>or</w:t>
      </w:r>
      <w:r>
        <w:rPr>
          <w:spacing w:val="-5"/>
        </w:rPr>
        <w:t> </w:t>
      </w:r>
      <w:r>
        <w:rPr/>
        <w:t>processors</w:t>
      </w:r>
      <w:r>
        <w:rPr>
          <w:spacing w:val="-4"/>
        </w:rPr>
        <w:t> </w:t>
      </w:r>
      <w:r>
        <w:rPr/>
        <w:t>in</w:t>
      </w:r>
      <w:r>
        <w:rPr>
          <w:spacing w:val="-3"/>
        </w:rPr>
        <w:t> </w:t>
      </w:r>
      <w:r>
        <w:rPr/>
        <w:t>the</w:t>
      </w:r>
      <w:r>
        <w:rPr>
          <w:spacing w:val="-4"/>
        </w:rPr>
        <w:t> </w:t>
      </w:r>
      <w:r>
        <w:rPr/>
        <w:t>system.</w:t>
      </w:r>
      <w:r>
        <w:rPr>
          <w:spacing w:val="-4"/>
        </w:rPr>
        <w:t> </w:t>
      </w:r>
      <w:r>
        <w:rPr/>
        <w:t>This</w:t>
      </w:r>
      <w:r>
        <w:rPr>
          <w:spacing w:val="-1"/>
        </w:rPr>
        <w:t> </w:t>
      </w:r>
      <w:r>
        <w:rPr/>
        <w:t>row</w:t>
      </w:r>
      <w:r>
        <w:rPr>
          <w:spacing w:val="-5"/>
        </w:rPr>
        <w:t> </w:t>
      </w:r>
      <w:r>
        <w:rPr/>
        <w:t>shows</w:t>
      </w:r>
      <w:r>
        <w:rPr>
          <w:spacing w:val="-4"/>
        </w:rPr>
        <w:t> </w:t>
      </w:r>
      <w:r>
        <w:rPr/>
        <w:t>the</w:t>
      </w:r>
      <w:r>
        <w:rPr>
          <w:spacing w:val="-4"/>
        </w:rPr>
        <w:t> </w:t>
      </w:r>
      <w:r>
        <w:rPr/>
        <w:t>competitiveness of the agricultural system, given current technologies, output values, input costs and policy transfers (Katic et al.</w:t>
      </w:r>
      <w:r>
        <w:rPr>
          <w:spacing w:val="-5"/>
        </w:rPr>
        <w:t> </w:t>
      </w:r>
      <w:r>
        <w:rPr/>
        <w:t>2013).</w:t>
      </w:r>
    </w:p>
    <w:p>
      <w:pPr>
        <w:pStyle w:val="BodyText"/>
      </w:pPr>
    </w:p>
    <w:p>
      <w:pPr>
        <w:pStyle w:val="BodyText"/>
        <w:spacing w:before="3"/>
        <w:rPr>
          <w:sz w:val="33"/>
        </w:rPr>
      </w:pPr>
    </w:p>
    <w:p>
      <w:pPr>
        <w:pStyle w:val="BodyText"/>
        <w:spacing w:line="360" w:lineRule="auto"/>
        <w:ind w:left="102" w:right="119"/>
        <w:jc w:val="both"/>
      </w:pPr>
      <w:r>
        <w:rPr/>
        <w:t>In</w:t>
      </w:r>
      <w:r>
        <w:rPr>
          <w:spacing w:val="-3"/>
        </w:rPr>
        <w:t> </w:t>
      </w:r>
      <w:r>
        <w:rPr/>
        <w:t>this</w:t>
      </w:r>
      <w:r>
        <w:rPr>
          <w:spacing w:val="-3"/>
        </w:rPr>
        <w:t> </w:t>
      </w:r>
      <w:r>
        <w:rPr/>
        <w:t>study</w:t>
      </w:r>
      <w:r>
        <w:rPr>
          <w:spacing w:val="-8"/>
        </w:rPr>
        <w:t> </w:t>
      </w:r>
      <w:r>
        <w:rPr/>
        <w:t>only</w:t>
      </w:r>
      <w:r>
        <w:rPr>
          <w:spacing w:val="-8"/>
        </w:rPr>
        <w:t> </w:t>
      </w:r>
      <w:r>
        <w:rPr/>
        <w:t>the</w:t>
      </w:r>
      <w:r>
        <w:rPr>
          <w:spacing w:val="-4"/>
        </w:rPr>
        <w:t> </w:t>
      </w:r>
      <w:r>
        <w:rPr/>
        <w:t>first</w:t>
      </w:r>
      <w:r>
        <w:rPr>
          <w:spacing w:val="-2"/>
        </w:rPr>
        <w:t> </w:t>
      </w:r>
      <w:r>
        <w:rPr/>
        <w:t>row</w:t>
      </w:r>
      <w:r>
        <w:rPr>
          <w:spacing w:val="-4"/>
        </w:rPr>
        <w:t> </w:t>
      </w:r>
      <w:r>
        <w:rPr/>
        <w:t>of</w:t>
      </w:r>
      <w:r>
        <w:rPr>
          <w:spacing w:val="-4"/>
        </w:rPr>
        <w:t> </w:t>
      </w:r>
      <w:r>
        <w:rPr/>
        <w:t>the</w:t>
      </w:r>
      <w:r>
        <w:rPr>
          <w:spacing w:val="-3"/>
        </w:rPr>
        <w:t> </w:t>
      </w:r>
      <w:r>
        <w:rPr/>
        <w:t>PAM</w:t>
      </w:r>
      <w:r>
        <w:rPr>
          <w:spacing w:val="-3"/>
        </w:rPr>
        <w:t> </w:t>
      </w:r>
      <w:r>
        <w:rPr/>
        <w:t>was</w:t>
      </w:r>
      <w:r>
        <w:rPr>
          <w:spacing w:val="-3"/>
        </w:rPr>
        <w:t> </w:t>
      </w:r>
      <w:r>
        <w:rPr/>
        <w:t>used,</w:t>
      </w:r>
      <w:r>
        <w:rPr>
          <w:spacing w:val="-3"/>
        </w:rPr>
        <w:t> </w:t>
      </w:r>
      <w:r>
        <w:rPr/>
        <w:t>where</w:t>
      </w:r>
      <w:r>
        <w:rPr>
          <w:spacing w:val="-4"/>
        </w:rPr>
        <w:t> </w:t>
      </w:r>
      <w:r>
        <w:rPr/>
        <w:t>family</w:t>
      </w:r>
      <w:r>
        <w:rPr>
          <w:spacing w:val="-8"/>
        </w:rPr>
        <w:t> </w:t>
      </w:r>
      <w:r>
        <w:rPr/>
        <w:t>labour</w:t>
      </w:r>
      <w:r>
        <w:rPr>
          <w:spacing w:val="-4"/>
        </w:rPr>
        <w:t> </w:t>
      </w:r>
      <w:r>
        <w:rPr/>
        <w:t>is</w:t>
      </w:r>
      <w:r>
        <w:rPr>
          <w:spacing w:val="-3"/>
        </w:rPr>
        <w:t> </w:t>
      </w:r>
      <w:r>
        <w:rPr/>
        <w:t>included</w:t>
      </w:r>
      <w:r>
        <w:rPr>
          <w:spacing w:val="-3"/>
        </w:rPr>
        <w:t> </w:t>
      </w:r>
      <w:r>
        <w:rPr/>
        <w:t>within the internal (or domestic) factors of production, enabling the calculation of its economic impact by including or excluding its economic (opportunity)</w:t>
      </w:r>
      <w:r>
        <w:rPr>
          <w:spacing w:val="-13"/>
        </w:rPr>
        <w:t> </w:t>
      </w:r>
      <w:r>
        <w:rPr/>
        <w:t>cost.</w:t>
      </w:r>
    </w:p>
    <w:p>
      <w:pPr>
        <w:pStyle w:val="BodyText"/>
      </w:pPr>
    </w:p>
    <w:p>
      <w:pPr>
        <w:pStyle w:val="BodyText"/>
        <w:spacing w:before="4"/>
        <w:rPr>
          <w:sz w:val="33"/>
        </w:rPr>
      </w:pPr>
    </w:p>
    <w:p>
      <w:pPr>
        <w:pStyle w:val="BodyText"/>
        <w:spacing w:line="360" w:lineRule="auto"/>
        <w:ind w:left="102" w:right="116"/>
        <w:jc w:val="both"/>
      </w:pPr>
      <w:r>
        <w:rPr/>
        <w:t>A positive return on private profitability shows that farmers are utilising their resources efficiently and profits are attractive, but a negative value will discourage farmers since it indicates</w:t>
      </w:r>
      <w:r>
        <w:rPr>
          <w:spacing w:val="-10"/>
        </w:rPr>
        <w:t> </w:t>
      </w:r>
      <w:r>
        <w:rPr/>
        <w:t>a</w:t>
      </w:r>
      <w:r>
        <w:rPr>
          <w:spacing w:val="-11"/>
        </w:rPr>
        <w:t> </w:t>
      </w:r>
      <w:r>
        <w:rPr/>
        <w:t>higher</w:t>
      </w:r>
      <w:r>
        <w:rPr>
          <w:spacing w:val="-10"/>
        </w:rPr>
        <w:t> </w:t>
      </w:r>
      <w:r>
        <w:rPr/>
        <w:t>cost</w:t>
      </w:r>
      <w:r>
        <w:rPr>
          <w:spacing w:val="-9"/>
        </w:rPr>
        <w:t> </w:t>
      </w:r>
      <w:r>
        <w:rPr/>
        <w:t>than</w:t>
      </w:r>
      <w:r>
        <w:rPr>
          <w:spacing w:val="-10"/>
        </w:rPr>
        <w:t> </w:t>
      </w:r>
      <w:r>
        <w:rPr/>
        <w:t>the</w:t>
      </w:r>
      <w:r>
        <w:rPr>
          <w:spacing w:val="-10"/>
        </w:rPr>
        <w:t> </w:t>
      </w:r>
      <w:r>
        <w:rPr/>
        <w:t>internal</w:t>
      </w:r>
      <w:r>
        <w:rPr>
          <w:spacing w:val="-9"/>
        </w:rPr>
        <w:t> </w:t>
      </w:r>
      <w:r>
        <w:rPr/>
        <w:t>production</w:t>
      </w:r>
      <w:r>
        <w:rPr>
          <w:spacing w:val="-8"/>
        </w:rPr>
        <w:t> </w:t>
      </w:r>
      <w:r>
        <w:rPr/>
        <w:t>against</w:t>
      </w:r>
      <w:r>
        <w:rPr>
          <w:spacing w:val="-9"/>
        </w:rPr>
        <w:t> </w:t>
      </w:r>
      <w:r>
        <w:rPr/>
        <w:t>the</w:t>
      </w:r>
      <w:r>
        <w:rPr>
          <w:spacing w:val="-10"/>
        </w:rPr>
        <w:t> </w:t>
      </w:r>
      <w:r>
        <w:rPr/>
        <w:t>returns</w:t>
      </w:r>
      <w:r>
        <w:rPr>
          <w:spacing w:val="-10"/>
        </w:rPr>
        <w:t> </w:t>
      </w:r>
      <w:r>
        <w:rPr/>
        <w:t>from</w:t>
      </w:r>
      <w:r>
        <w:rPr>
          <w:spacing w:val="-9"/>
        </w:rPr>
        <w:t> </w:t>
      </w:r>
      <w:r>
        <w:rPr/>
        <w:t>their</w:t>
      </w:r>
      <w:r>
        <w:rPr>
          <w:spacing w:val="-10"/>
        </w:rPr>
        <w:t> </w:t>
      </w:r>
      <w:r>
        <w:rPr/>
        <w:t>sale</w:t>
      </w:r>
      <w:r>
        <w:rPr>
          <w:spacing w:val="-10"/>
        </w:rPr>
        <w:t> </w:t>
      </w:r>
      <w:r>
        <w:rPr/>
        <w:t>(IFIPRI 2008), so that the farming system will not subsist unless subsidised by</w:t>
      </w:r>
      <w:r>
        <w:rPr>
          <w:spacing w:val="-8"/>
        </w:rPr>
        <w:t> </w:t>
      </w:r>
      <w:r>
        <w:rPr/>
        <w:t>government.</w:t>
      </w:r>
    </w:p>
    <w:p>
      <w:pPr>
        <w:pStyle w:val="BodyText"/>
      </w:pPr>
    </w:p>
    <w:p>
      <w:pPr>
        <w:pStyle w:val="BodyText"/>
        <w:spacing w:before="3"/>
        <w:rPr>
          <w:sz w:val="33"/>
        </w:rPr>
      </w:pPr>
    </w:p>
    <w:p>
      <w:pPr>
        <w:pStyle w:val="BodyText"/>
        <w:spacing w:line="360" w:lineRule="auto"/>
        <w:ind w:left="102" w:right="114"/>
        <w:jc w:val="both"/>
      </w:pPr>
      <w:r>
        <w:rPr/>
        <w:t>The private (farm) budget was integrated by the revenues, costs, and profits matrices; calculated</w:t>
      </w:r>
      <w:r>
        <w:rPr>
          <w:spacing w:val="-9"/>
        </w:rPr>
        <w:t> </w:t>
      </w:r>
      <w:r>
        <w:rPr/>
        <w:t>at</w:t>
      </w:r>
      <w:r>
        <w:rPr>
          <w:spacing w:val="-11"/>
        </w:rPr>
        <w:t> </w:t>
      </w:r>
      <w:r>
        <w:rPr/>
        <w:t>market</w:t>
      </w:r>
      <w:r>
        <w:rPr>
          <w:spacing w:val="-11"/>
        </w:rPr>
        <w:t> </w:t>
      </w:r>
      <w:r>
        <w:rPr/>
        <w:t>prices</w:t>
      </w:r>
      <w:r>
        <w:rPr>
          <w:spacing w:val="-11"/>
        </w:rPr>
        <w:t> </w:t>
      </w:r>
      <w:r>
        <w:rPr/>
        <w:t>in</w:t>
      </w:r>
      <w:r>
        <w:rPr>
          <w:spacing w:val="-11"/>
        </w:rPr>
        <w:t> </w:t>
      </w:r>
      <w:r>
        <w:rPr/>
        <w:t>two</w:t>
      </w:r>
      <w:r>
        <w:rPr>
          <w:spacing w:val="-11"/>
        </w:rPr>
        <w:t> </w:t>
      </w:r>
      <w:r>
        <w:rPr/>
        <w:t>stages:</w:t>
      </w:r>
      <w:r>
        <w:rPr>
          <w:spacing w:val="-8"/>
        </w:rPr>
        <w:t> </w:t>
      </w:r>
      <w:r>
        <w:rPr/>
        <w:t>a)</w:t>
      </w:r>
      <w:r>
        <w:rPr>
          <w:spacing w:val="-10"/>
        </w:rPr>
        <w:t> </w:t>
      </w:r>
      <w:r>
        <w:rPr/>
        <w:t>considering</w:t>
      </w:r>
      <w:r>
        <w:rPr>
          <w:spacing w:val="-11"/>
        </w:rPr>
        <w:t> </w:t>
      </w:r>
      <w:r>
        <w:rPr/>
        <w:t>the</w:t>
      </w:r>
      <w:r>
        <w:rPr>
          <w:spacing w:val="-9"/>
        </w:rPr>
        <w:t> </w:t>
      </w:r>
      <w:r>
        <w:rPr/>
        <w:t>economic</w:t>
      </w:r>
      <w:r>
        <w:rPr>
          <w:spacing w:val="-10"/>
        </w:rPr>
        <w:t> </w:t>
      </w:r>
      <w:r>
        <w:rPr/>
        <w:t>cost</w:t>
      </w:r>
      <w:r>
        <w:rPr>
          <w:spacing w:val="-10"/>
        </w:rPr>
        <w:t> </w:t>
      </w:r>
      <w:r>
        <w:rPr/>
        <w:t>(opportunity</w:t>
      </w:r>
      <w:r>
        <w:rPr>
          <w:spacing w:val="-16"/>
        </w:rPr>
        <w:t> </w:t>
      </w:r>
      <w:r>
        <w:rPr/>
        <w:t>cost) of</w:t>
      </w:r>
      <w:r>
        <w:rPr>
          <w:spacing w:val="-4"/>
        </w:rPr>
        <w:t> </w:t>
      </w:r>
      <w:r>
        <w:rPr/>
        <w:t>family</w:t>
      </w:r>
      <w:r>
        <w:rPr>
          <w:spacing w:val="-8"/>
        </w:rPr>
        <w:t> </w:t>
      </w:r>
      <w:r>
        <w:rPr/>
        <w:t>labour;</w:t>
      </w:r>
      <w:r>
        <w:rPr>
          <w:spacing w:val="-3"/>
        </w:rPr>
        <w:t> </w:t>
      </w:r>
      <w:r>
        <w:rPr/>
        <w:t>and</w:t>
      </w:r>
      <w:r>
        <w:rPr>
          <w:spacing w:val="-3"/>
        </w:rPr>
        <w:t> </w:t>
      </w:r>
      <w:r>
        <w:rPr/>
        <w:t>b)</w:t>
      </w:r>
      <w:r>
        <w:rPr>
          <w:spacing w:val="-4"/>
        </w:rPr>
        <w:t> </w:t>
      </w:r>
      <w:r>
        <w:rPr/>
        <w:t>considering</w:t>
      </w:r>
      <w:r>
        <w:rPr>
          <w:spacing w:val="-5"/>
        </w:rPr>
        <w:t> </w:t>
      </w:r>
      <w:r>
        <w:rPr/>
        <w:t>only</w:t>
      </w:r>
      <w:r>
        <w:rPr>
          <w:spacing w:val="-8"/>
        </w:rPr>
        <w:t> </w:t>
      </w:r>
      <w:r>
        <w:rPr/>
        <w:t>effective</w:t>
      </w:r>
      <w:r>
        <w:rPr>
          <w:spacing w:val="-1"/>
        </w:rPr>
        <w:t> </w:t>
      </w:r>
      <w:r>
        <w:rPr/>
        <w:t>costs</w:t>
      </w:r>
      <w:r>
        <w:rPr>
          <w:spacing w:val="-2"/>
        </w:rPr>
        <w:t> </w:t>
      </w:r>
      <w:r>
        <w:rPr/>
        <w:t>of</w:t>
      </w:r>
      <w:r>
        <w:rPr>
          <w:spacing w:val="-4"/>
        </w:rPr>
        <w:t> </w:t>
      </w:r>
      <w:r>
        <w:rPr/>
        <w:t>dairy</w:t>
      </w:r>
      <w:r>
        <w:rPr>
          <w:spacing w:val="-4"/>
        </w:rPr>
        <w:t> </w:t>
      </w:r>
      <w:r>
        <w:rPr/>
        <w:t>production (without</w:t>
      </w:r>
      <w:r>
        <w:rPr>
          <w:spacing w:val="-2"/>
        </w:rPr>
        <w:t> </w:t>
      </w:r>
      <w:r>
        <w:rPr/>
        <w:t>family labour). The matrices of technical coefficients were integrated to the private budget, identifying both manual and mechanised activities (milking, cropping, etc.), inputs, utilised and generated products for each stratum. The end result of the private budget is the product of multiplying the technical coefficients by the price of inputs, cost of labour in the local market, and the accounting depreciation of animals, milking machine and other machinery, buildings and equipment necessary for operating the</w:t>
      </w:r>
      <w:r>
        <w:rPr>
          <w:spacing w:val="-12"/>
        </w:rPr>
        <w:t> </w:t>
      </w:r>
      <w:r>
        <w:rPr/>
        <w:t>farm.</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The PAM integrates three items: 1) Tradable inputs: feed, medicines, livestock, replacements,</w:t>
      </w:r>
      <w:r>
        <w:rPr>
          <w:spacing w:val="-15"/>
        </w:rPr>
        <w:t> </w:t>
      </w:r>
      <w:r>
        <w:rPr/>
        <w:t>fuels,</w:t>
      </w:r>
      <w:r>
        <w:rPr>
          <w:spacing w:val="-15"/>
        </w:rPr>
        <w:t> </w:t>
      </w:r>
      <w:r>
        <w:rPr/>
        <w:t>detergents,</w:t>
      </w:r>
      <w:r>
        <w:rPr>
          <w:spacing w:val="-15"/>
        </w:rPr>
        <w:t> </w:t>
      </w:r>
      <w:r>
        <w:rPr/>
        <w:t>disinfectants,</w:t>
      </w:r>
      <w:r>
        <w:rPr>
          <w:spacing w:val="-15"/>
        </w:rPr>
        <w:t> </w:t>
      </w:r>
      <w:r>
        <w:rPr/>
        <w:t>minor</w:t>
      </w:r>
      <w:r>
        <w:rPr>
          <w:spacing w:val="-16"/>
        </w:rPr>
        <w:t> </w:t>
      </w:r>
      <w:r>
        <w:rPr/>
        <w:t>equipment,</w:t>
      </w:r>
      <w:r>
        <w:rPr>
          <w:spacing w:val="-15"/>
        </w:rPr>
        <w:t> </w:t>
      </w:r>
      <w:r>
        <w:rPr/>
        <w:t>etc;</w:t>
      </w:r>
      <w:r>
        <w:rPr>
          <w:spacing w:val="-15"/>
        </w:rPr>
        <w:t> </w:t>
      </w:r>
      <w:r>
        <w:rPr/>
        <w:t>2)</w:t>
      </w:r>
      <w:r>
        <w:rPr>
          <w:spacing w:val="-16"/>
        </w:rPr>
        <w:t> </w:t>
      </w:r>
      <w:r>
        <w:rPr/>
        <w:t>Tradable</w:t>
      </w:r>
      <w:r>
        <w:rPr>
          <w:spacing w:val="-16"/>
        </w:rPr>
        <w:t> </w:t>
      </w:r>
      <w:r>
        <w:rPr/>
        <w:t>intermediate inputs:</w:t>
      </w:r>
      <w:r>
        <w:rPr>
          <w:spacing w:val="-15"/>
        </w:rPr>
        <w:t> </w:t>
      </w:r>
      <w:r>
        <w:rPr/>
        <w:t>vehicles,</w:t>
      </w:r>
      <w:r>
        <w:rPr>
          <w:spacing w:val="-16"/>
        </w:rPr>
        <w:t> </w:t>
      </w:r>
      <w:r>
        <w:rPr/>
        <w:t>equipment,</w:t>
      </w:r>
      <w:r>
        <w:rPr>
          <w:spacing w:val="-15"/>
        </w:rPr>
        <w:t> </w:t>
      </w:r>
      <w:r>
        <w:rPr/>
        <w:t>electricity</w:t>
      </w:r>
      <w:r>
        <w:rPr>
          <w:spacing w:val="-21"/>
        </w:rPr>
        <w:t> </w:t>
      </w:r>
      <w:r>
        <w:rPr/>
        <w:t>supply,</w:t>
      </w:r>
      <w:r>
        <w:rPr>
          <w:spacing w:val="-16"/>
        </w:rPr>
        <w:t> </w:t>
      </w:r>
      <w:r>
        <w:rPr/>
        <w:t>water</w:t>
      </w:r>
      <w:r>
        <w:rPr>
          <w:spacing w:val="-17"/>
        </w:rPr>
        <w:t> </w:t>
      </w:r>
      <w:r>
        <w:rPr/>
        <w:t>permits;</w:t>
      </w:r>
      <w:r>
        <w:rPr>
          <w:spacing w:val="-15"/>
        </w:rPr>
        <w:t> </w:t>
      </w:r>
      <w:r>
        <w:rPr/>
        <w:t>3)</w:t>
      </w:r>
      <w:r>
        <w:rPr>
          <w:spacing w:val="-14"/>
        </w:rPr>
        <w:t> </w:t>
      </w:r>
      <w:r>
        <w:rPr/>
        <w:t>Internal</w:t>
      </w:r>
      <w:r>
        <w:rPr>
          <w:spacing w:val="-15"/>
        </w:rPr>
        <w:t> </w:t>
      </w:r>
      <w:r>
        <w:rPr/>
        <w:t>factors:</w:t>
      </w:r>
      <w:r>
        <w:rPr>
          <w:spacing w:val="-15"/>
        </w:rPr>
        <w:t> </w:t>
      </w:r>
      <w:r>
        <w:rPr/>
        <w:t>labour</w:t>
      </w:r>
      <w:r>
        <w:rPr>
          <w:spacing w:val="-17"/>
        </w:rPr>
        <w:t> </w:t>
      </w:r>
      <w:r>
        <w:rPr/>
        <w:t>(both family and hired), management, technical assistance, membership fees, depreciation of equipment and</w:t>
      </w:r>
      <w:r>
        <w:rPr>
          <w:spacing w:val="-6"/>
        </w:rPr>
        <w:t> </w:t>
      </w:r>
      <w:r>
        <w:rPr/>
        <w:t>buildings.</w:t>
      </w:r>
    </w:p>
    <w:p>
      <w:pPr>
        <w:pStyle w:val="BodyText"/>
      </w:pPr>
    </w:p>
    <w:p>
      <w:pPr>
        <w:pStyle w:val="BodyText"/>
        <w:spacing w:before="3"/>
        <w:rPr>
          <w:sz w:val="33"/>
        </w:rPr>
      </w:pPr>
    </w:p>
    <w:p>
      <w:pPr>
        <w:pStyle w:val="BodyText"/>
        <w:spacing w:line="360" w:lineRule="auto"/>
        <w:ind w:left="102" w:right="118"/>
        <w:jc w:val="both"/>
      </w:pPr>
      <w:r>
        <w:rPr/>
        <w:t>Profitability or profits</w:t>
      </w:r>
      <w:r>
        <w:rPr>
          <w:i/>
        </w:rPr>
        <w:t>: </w:t>
      </w:r>
      <w:r>
        <w:rPr/>
        <w:t>Profit is the difference between private revenue and the cost of tradable</w:t>
      </w:r>
      <w:r>
        <w:rPr>
          <w:spacing w:val="-15"/>
        </w:rPr>
        <w:t> </w:t>
      </w:r>
      <w:r>
        <w:rPr/>
        <w:t>and</w:t>
      </w:r>
      <w:r>
        <w:rPr>
          <w:spacing w:val="-14"/>
        </w:rPr>
        <w:t> </w:t>
      </w:r>
      <w:r>
        <w:rPr/>
        <w:t>non-tradable</w:t>
      </w:r>
      <w:r>
        <w:rPr>
          <w:spacing w:val="-13"/>
        </w:rPr>
        <w:t> </w:t>
      </w:r>
      <w:r>
        <w:rPr/>
        <w:t>inputs</w:t>
      </w:r>
      <w:r>
        <w:rPr>
          <w:spacing w:val="-14"/>
        </w:rPr>
        <w:t> </w:t>
      </w:r>
      <w:r>
        <w:rPr/>
        <w:t>as</w:t>
      </w:r>
      <w:r>
        <w:rPr>
          <w:spacing w:val="-14"/>
        </w:rPr>
        <w:t> </w:t>
      </w:r>
      <w:r>
        <w:rPr/>
        <w:t>well</w:t>
      </w:r>
      <w:r>
        <w:rPr>
          <w:spacing w:val="-14"/>
        </w:rPr>
        <w:t> </w:t>
      </w:r>
      <w:r>
        <w:rPr/>
        <w:t>as</w:t>
      </w:r>
      <w:r>
        <w:rPr>
          <w:spacing w:val="-14"/>
        </w:rPr>
        <w:t> </w:t>
      </w:r>
      <w:r>
        <w:rPr/>
        <w:t>internal</w:t>
      </w:r>
      <w:r>
        <w:rPr>
          <w:spacing w:val="-14"/>
        </w:rPr>
        <w:t> </w:t>
      </w:r>
      <w:r>
        <w:rPr/>
        <w:t>factors</w:t>
      </w:r>
      <w:r>
        <w:rPr>
          <w:spacing w:val="-15"/>
        </w:rPr>
        <w:t> </w:t>
      </w:r>
      <w:r>
        <w:rPr/>
        <w:t>at</w:t>
      </w:r>
      <w:r>
        <w:rPr>
          <w:spacing w:val="-14"/>
        </w:rPr>
        <w:t> </w:t>
      </w:r>
      <w:r>
        <w:rPr/>
        <w:t>private</w:t>
      </w:r>
      <w:r>
        <w:rPr>
          <w:spacing w:val="-15"/>
        </w:rPr>
        <w:t> </w:t>
      </w:r>
      <w:r>
        <w:rPr/>
        <w:t>prices</w:t>
      </w:r>
      <w:r>
        <w:rPr>
          <w:spacing w:val="-12"/>
        </w:rPr>
        <w:t> </w:t>
      </w:r>
      <w:r>
        <w:rPr/>
        <w:t>and</w:t>
      </w:r>
      <w:r>
        <w:rPr>
          <w:spacing w:val="-14"/>
        </w:rPr>
        <w:t> </w:t>
      </w:r>
      <w:r>
        <w:rPr/>
        <w:t>was</w:t>
      </w:r>
      <w:r>
        <w:rPr>
          <w:spacing w:val="-14"/>
        </w:rPr>
        <w:t> </w:t>
      </w:r>
      <w:r>
        <w:rPr/>
        <w:t>estimated at market</w:t>
      </w:r>
      <w:r>
        <w:rPr>
          <w:spacing w:val="-5"/>
        </w:rPr>
        <w:t> </w:t>
      </w:r>
      <w:r>
        <w:rPr/>
        <w:t>prices.</w:t>
      </w:r>
    </w:p>
    <w:p>
      <w:pPr>
        <w:pStyle w:val="BodyText"/>
      </w:pPr>
    </w:p>
    <w:p>
      <w:pPr>
        <w:pStyle w:val="BodyText"/>
        <w:spacing w:before="3"/>
        <w:rPr>
          <w:sz w:val="33"/>
        </w:rPr>
      </w:pPr>
    </w:p>
    <w:p>
      <w:pPr>
        <w:pStyle w:val="BodyText"/>
        <w:spacing w:line="360" w:lineRule="auto"/>
        <w:ind w:left="102" w:right="121"/>
        <w:jc w:val="both"/>
      </w:pPr>
      <w:r>
        <w:rPr/>
        <w:t>Private profitability coefficient (PPC)</w:t>
      </w:r>
      <w:r>
        <w:rPr>
          <w:i/>
        </w:rPr>
        <w:t>: </w:t>
      </w:r>
      <w:r>
        <w:rPr/>
        <w:t>Values the percentage of income received by the farmer for each dollar invested. It is expressed as a percentage.</w:t>
      </w:r>
    </w:p>
    <w:p>
      <w:pPr>
        <w:pStyle w:val="BodyText"/>
      </w:pPr>
    </w:p>
    <w:p>
      <w:pPr>
        <w:pStyle w:val="BodyText"/>
        <w:spacing w:before="3"/>
        <w:rPr>
          <w:sz w:val="33"/>
        </w:rPr>
      </w:pPr>
    </w:p>
    <w:p>
      <w:pPr>
        <w:pStyle w:val="BodyText"/>
        <w:spacing w:line="360" w:lineRule="auto"/>
        <w:ind w:left="102" w:right="120"/>
        <w:jc w:val="both"/>
      </w:pPr>
      <w:r>
        <w:rPr/>
        <w:t>Value</w:t>
      </w:r>
      <w:r>
        <w:rPr>
          <w:spacing w:val="-8"/>
        </w:rPr>
        <w:t> </w:t>
      </w:r>
      <w:r>
        <w:rPr/>
        <w:t>Added</w:t>
      </w:r>
      <w:r>
        <w:rPr>
          <w:spacing w:val="-7"/>
        </w:rPr>
        <w:t> </w:t>
      </w:r>
      <w:r>
        <w:rPr/>
        <w:t>at</w:t>
      </w:r>
      <w:r>
        <w:rPr>
          <w:spacing w:val="-7"/>
        </w:rPr>
        <w:t> </w:t>
      </w:r>
      <w:r>
        <w:rPr/>
        <w:t>Private</w:t>
      </w:r>
      <w:r>
        <w:rPr>
          <w:spacing w:val="-8"/>
        </w:rPr>
        <w:t> </w:t>
      </w:r>
      <w:r>
        <w:rPr/>
        <w:t>Prices</w:t>
      </w:r>
      <w:r>
        <w:rPr>
          <w:spacing w:val="-7"/>
        </w:rPr>
        <w:t> </w:t>
      </w:r>
      <w:r>
        <w:rPr/>
        <w:t>(VAP):</w:t>
      </w:r>
      <w:r>
        <w:rPr>
          <w:spacing w:val="-6"/>
        </w:rPr>
        <w:t> </w:t>
      </w:r>
      <w:r>
        <w:rPr/>
        <w:t>This</w:t>
      </w:r>
      <w:r>
        <w:rPr>
          <w:spacing w:val="-7"/>
        </w:rPr>
        <w:t> </w:t>
      </w:r>
      <w:r>
        <w:rPr/>
        <w:t>indicator</w:t>
      </w:r>
      <w:r>
        <w:rPr>
          <w:spacing w:val="-8"/>
        </w:rPr>
        <w:t> </w:t>
      </w:r>
      <w:r>
        <w:rPr/>
        <w:t>refers</w:t>
      </w:r>
      <w:r>
        <w:rPr>
          <w:spacing w:val="-8"/>
        </w:rPr>
        <w:t> </w:t>
      </w:r>
      <w:r>
        <w:rPr/>
        <w:t>to</w:t>
      </w:r>
      <w:r>
        <w:rPr>
          <w:spacing w:val="-7"/>
        </w:rPr>
        <w:t> </w:t>
      </w:r>
      <w:r>
        <w:rPr/>
        <w:t>the</w:t>
      </w:r>
      <w:r>
        <w:rPr>
          <w:spacing w:val="-8"/>
        </w:rPr>
        <w:t> </w:t>
      </w:r>
      <w:r>
        <w:rPr/>
        <w:t>economic</w:t>
      </w:r>
      <w:r>
        <w:rPr>
          <w:spacing w:val="-8"/>
        </w:rPr>
        <w:t> </w:t>
      </w:r>
      <w:r>
        <w:rPr/>
        <w:t>amount</w:t>
      </w:r>
      <w:r>
        <w:rPr>
          <w:spacing w:val="-7"/>
        </w:rPr>
        <w:t> </w:t>
      </w:r>
      <w:r>
        <w:rPr/>
        <w:t>received by</w:t>
      </w:r>
      <w:r>
        <w:rPr>
          <w:spacing w:val="-9"/>
        </w:rPr>
        <w:t> </w:t>
      </w:r>
      <w:r>
        <w:rPr/>
        <w:t>the</w:t>
      </w:r>
      <w:r>
        <w:rPr>
          <w:spacing w:val="-2"/>
        </w:rPr>
        <w:t> </w:t>
      </w:r>
      <w:r>
        <w:rPr/>
        <w:t>farmer,</w:t>
      </w:r>
      <w:r>
        <w:rPr>
          <w:spacing w:val="-1"/>
        </w:rPr>
        <w:t> </w:t>
      </w:r>
      <w:r>
        <w:rPr/>
        <w:t>after</w:t>
      </w:r>
      <w:r>
        <w:rPr>
          <w:spacing w:val="-5"/>
        </w:rPr>
        <w:t> </w:t>
      </w:r>
      <w:r>
        <w:rPr/>
        <w:t>covering</w:t>
      </w:r>
      <w:r>
        <w:rPr>
          <w:spacing w:val="-6"/>
        </w:rPr>
        <w:t> </w:t>
      </w:r>
      <w:r>
        <w:rPr/>
        <w:t>the</w:t>
      </w:r>
      <w:r>
        <w:rPr>
          <w:spacing w:val="-1"/>
        </w:rPr>
        <w:t> </w:t>
      </w:r>
      <w:r>
        <w:rPr/>
        <w:t>cost</w:t>
      </w:r>
      <w:r>
        <w:rPr>
          <w:spacing w:val="-3"/>
        </w:rPr>
        <w:t> </w:t>
      </w:r>
      <w:r>
        <w:rPr/>
        <w:t>of</w:t>
      </w:r>
      <w:r>
        <w:rPr>
          <w:spacing w:val="-5"/>
        </w:rPr>
        <w:t> </w:t>
      </w:r>
      <w:r>
        <w:rPr/>
        <w:t>tradable</w:t>
      </w:r>
      <w:r>
        <w:rPr>
          <w:spacing w:val="-2"/>
        </w:rPr>
        <w:t> </w:t>
      </w:r>
      <w:r>
        <w:rPr/>
        <w:t>and</w:t>
      </w:r>
      <w:r>
        <w:rPr>
          <w:spacing w:val="-4"/>
        </w:rPr>
        <w:t> </w:t>
      </w:r>
      <w:r>
        <w:rPr/>
        <w:t>no</w:t>
      </w:r>
      <w:r>
        <w:rPr>
          <w:spacing w:val="-4"/>
        </w:rPr>
        <w:t> </w:t>
      </w:r>
      <w:r>
        <w:rPr/>
        <w:t>tradable</w:t>
      </w:r>
      <w:r>
        <w:rPr>
          <w:spacing w:val="-5"/>
        </w:rPr>
        <w:t> </w:t>
      </w:r>
      <w:r>
        <w:rPr/>
        <w:t>inputs,</w:t>
      </w:r>
      <w:r>
        <w:rPr>
          <w:spacing w:val="-4"/>
        </w:rPr>
        <w:t> </w:t>
      </w:r>
      <w:r>
        <w:rPr/>
        <w:t>without</w:t>
      </w:r>
      <w:r>
        <w:rPr>
          <w:spacing w:val="-3"/>
        </w:rPr>
        <w:t> </w:t>
      </w:r>
      <w:r>
        <w:rPr/>
        <w:t>considering the cost of the internal</w:t>
      </w:r>
      <w:r>
        <w:rPr>
          <w:spacing w:val="-5"/>
        </w:rPr>
        <w:t> </w:t>
      </w:r>
      <w:r>
        <w:rPr/>
        <w:t>factors.</w:t>
      </w:r>
    </w:p>
    <w:p>
      <w:pPr>
        <w:pStyle w:val="BodyText"/>
      </w:pPr>
    </w:p>
    <w:p>
      <w:pPr>
        <w:pStyle w:val="BodyText"/>
        <w:spacing w:before="3"/>
        <w:rPr>
          <w:sz w:val="33"/>
        </w:rPr>
      </w:pPr>
    </w:p>
    <w:p>
      <w:pPr>
        <w:pStyle w:val="BodyText"/>
        <w:spacing w:line="360" w:lineRule="auto"/>
        <w:ind w:left="102" w:right="112"/>
        <w:jc w:val="both"/>
      </w:pPr>
      <w:r>
        <w:rPr/>
        <w:t>Intermediate</w:t>
      </w:r>
      <w:r>
        <w:rPr>
          <w:spacing w:val="-7"/>
        </w:rPr>
        <w:t> </w:t>
      </w:r>
      <w:r>
        <w:rPr/>
        <w:t>Consumption</w:t>
      </w:r>
      <w:r>
        <w:rPr>
          <w:spacing w:val="-9"/>
        </w:rPr>
        <w:t> </w:t>
      </w:r>
      <w:r>
        <w:rPr/>
        <w:t>in</w:t>
      </w:r>
      <w:r>
        <w:rPr>
          <w:spacing w:val="-8"/>
        </w:rPr>
        <w:t> </w:t>
      </w:r>
      <w:r>
        <w:rPr/>
        <w:t>Total</w:t>
      </w:r>
      <w:r>
        <w:rPr>
          <w:spacing w:val="-8"/>
        </w:rPr>
        <w:t> </w:t>
      </w:r>
      <w:r>
        <w:rPr/>
        <w:t>Revenues</w:t>
      </w:r>
      <w:r>
        <w:rPr>
          <w:spacing w:val="-6"/>
        </w:rPr>
        <w:t> </w:t>
      </w:r>
      <w:r>
        <w:rPr/>
        <w:t>(ICTR)</w:t>
      </w:r>
      <w:r>
        <w:rPr>
          <w:i/>
        </w:rPr>
        <w:t>:</w:t>
      </w:r>
      <w:r>
        <w:rPr>
          <w:i/>
          <w:spacing w:val="-7"/>
        </w:rPr>
        <w:t> </w:t>
      </w:r>
      <w:r>
        <w:rPr/>
        <w:t>Is</w:t>
      </w:r>
      <w:r>
        <w:rPr>
          <w:spacing w:val="-8"/>
        </w:rPr>
        <w:t> </w:t>
      </w:r>
      <w:r>
        <w:rPr/>
        <w:t>the</w:t>
      </w:r>
      <w:r>
        <w:rPr>
          <w:spacing w:val="-7"/>
        </w:rPr>
        <w:t> </w:t>
      </w:r>
      <w:r>
        <w:rPr/>
        <w:t>return</w:t>
      </w:r>
      <w:r>
        <w:rPr>
          <w:spacing w:val="-9"/>
        </w:rPr>
        <w:t> </w:t>
      </w:r>
      <w:r>
        <w:rPr/>
        <w:t>of</w:t>
      </w:r>
      <w:r>
        <w:rPr>
          <w:spacing w:val="-9"/>
        </w:rPr>
        <w:t> </w:t>
      </w:r>
      <w:r>
        <w:rPr/>
        <w:t>the</w:t>
      </w:r>
      <w:r>
        <w:rPr>
          <w:spacing w:val="-9"/>
        </w:rPr>
        <w:t> </w:t>
      </w:r>
      <w:r>
        <w:rPr/>
        <w:t>productive</w:t>
      </w:r>
      <w:r>
        <w:rPr>
          <w:spacing w:val="-10"/>
        </w:rPr>
        <w:t> </w:t>
      </w:r>
      <w:r>
        <w:rPr/>
        <w:t>activity towards the rest of the economic sectors that have a direct or indirect relationship with that production; that is, the expenditures that have their origin in the revenues received and </w:t>
      </w:r>
      <w:r>
        <w:rPr>
          <w:spacing w:val="2"/>
        </w:rPr>
        <w:t>are </w:t>
      </w:r>
      <w:r>
        <w:rPr/>
        <w:t>allotted to the purchase of tradable and intermediate</w:t>
      </w:r>
      <w:r>
        <w:rPr>
          <w:spacing w:val="-10"/>
        </w:rPr>
        <w:t> </w:t>
      </w:r>
      <w:r>
        <w:rPr/>
        <w:t>inputs.</w:t>
      </w:r>
    </w:p>
    <w:p>
      <w:pPr>
        <w:pStyle w:val="BodyText"/>
      </w:pPr>
    </w:p>
    <w:p>
      <w:pPr>
        <w:pStyle w:val="BodyText"/>
        <w:spacing w:before="4"/>
        <w:rPr>
          <w:sz w:val="33"/>
        </w:rPr>
      </w:pPr>
    </w:p>
    <w:p>
      <w:pPr>
        <w:pStyle w:val="BodyText"/>
        <w:spacing w:line="360" w:lineRule="auto"/>
        <w:ind w:left="102" w:right="123"/>
        <w:jc w:val="both"/>
      </w:pPr>
      <w:r>
        <w:rPr/>
        <w:t>Value</w:t>
      </w:r>
      <w:r>
        <w:rPr>
          <w:spacing w:val="-4"/>
        </w:rPr>
        <w:t> </w:t>
      </w:r>
      <w:r>
        <w:rPr/>
        <w:t>Added</w:t>
      </w:r>
      <w:r>
        <w:rPr>
          <w:spacing w:val="-4"/>
        </w:rPr>
        <w:t> </w:t>
      </w:r>
      <w:r>
        <w:rPr/>
        <w:t>in</w:t>
      </w:r>
      <w:r>
        <w:rPr>
          <w:spacing w:val="-3"/>
        </w:rPr>
        <w:t> </w:t>
      </w:r>
      <w:r>
        <w:rPr/>
        <w:t>Total</w:t>
      </w:r>
      <w:r>
        <w:rPr>
          <w:spacing w:val="-3"/>
        </w:rPr>
        <w:t> </w:t>
      </w:r>
      <w:r>
        <w:rPr/>
        <w:t>Revenue</w:t>
      </w:r>
      <w:r>
        <w:rPr>
          <w:spacing w:val="-5"/>
        </w:rPr>
        <w:t> </w:t>
      </w:r>
      <w:r>
        <w:rPr/>
        <w:t>(VATR):</w:t>
      </w:r>
      <w:r>
        <w:rPr>
          <w:spacing w:val="-2"/>
        </w:rPr>
        <w:t> </w:t>
      </w:r>
      <w:r>
        <w:rPr/>
        <w:t>Is</w:t>
      </w:r>
      <w:r>
        <w:rPr>
          <w:spacing w:val="-4"/>
        </w:rPr>
        <w:t> </w:t>
      </w:r>
      <w:r>
        <w:rPr/>
        <w:t>the</w:t>
      </w:r>
      <w:r>
        <w:rPr>
          <w:spacing w:val="-2"/>
        </w:rPr>
        <w:t> </w:t>
      </w:r>
      <w:r>
        <w:rPr/>
        <w:t>return</w:t>
      </w:r>
      <w:r>
        <w:rPr>
          <w:spacing w:val="-5"/>
        </w:rPr>
        <w:t> </w:t>
      </w:r>
      <w:r>
        <w:rPr/>
        <w:t>on</w:t>
      </w:r>
      <w:r>
        <w:rPr>
          <w:spacing w:val="-4"/>
        </w:rPr>
        <w:t> </w:t>
      </w:r>
      <w:r>
        <w:rPr/>
        <w:t>the</w:t>
      </w:r>
      <w:r>
        <w:rPr>
          <w:spacing w:val="-1"/>
        </w:rPr>
        <w:t> </w:t>
      </w:r>
      <w:r>
        <w:rPr/>
        <w:t>consumption</w:t>
      </w:r>
      <w:r>
        <w:rPr>
          <w:spacing w:val="-4"/>
        </w:rPr>
        <w:t> </w:t>
      </w:r>
      <w:r>
        <w:rPr/>
        <w:t>of</w:t>
      </w:r>
      <w:r>
        <w:rPr>
          <w:spacing w:val="-5"/>
        </w:rPr>
        <w:t> </w:t>
      </w:r>
      <w:r>
        <w:rPr/>
        <w:t>internal</w:t>
      </w:r>
      <w:r>
        <w:rPr>
          <w:spacing w:val="-3"/>
        </w:rPr>
        <w:t> </w:t>
      </w:r>
      <w:r>
        <w:rPr/>
        <w:t>factors of production, as well as the profit obtained by the farmer. </w:t>
      </w:r>
      <w:r>
        <w:rPr>
          <w:spacing w:val="-3"/>
        </w:rPr>
        <w:t>It </w:t>
      </w:r>
      <w:r>
        <w:rPr/>
        <w:t>determines the participation of the productive activity within its own</w:t>
      </w:r>
      <w:r>
        <w:rPr>
          <w:spacing w:val="-8"/>
        </w:rPr>
        <w:t> </w:t>
      </w:r>
      <w:r>
        <w:rPr/>
        <w:t>sector.</w:t>
      </w:r>
    </w:p>
    <w:p>
      <w:pPr>
        <w:pStyle w:val="BodyText"/>
      </w:pPr>
    </w:p>
    <w:p>
      <w:pPr>
        <w:pStyle w:val="BodyText"/>
        <w:spacing w:before="3"/>
        <w:rPr>
          <w:sz w:val="33"/>
        </w:rPr>
      </w:pPr>
    </w:p>
    <w:p>
      <w:pPr>
        <w:pStyle w:val="BodyText"/>
        <w:spacing w:line="360" w:lineRule="auto"/>
        <w:ind w:left="102" w:right="121"/>
        <w:jc w:val="both"/>
      </w:pPr>
      <w:r>
        <w:rPr/>
        <w:t>Private Cost Ratio (PCR): Is used to calculate the competitiveness. It is obtained by the relation of the internal factors with the VATR. It compares the private efficiency among</w:t>
      </w:r>
    </w:p>
    <w:p>
      <w:pPr>
        <w:spacing w:after="0" w:line="360" w:lineRule="auto"/>
        <w:jc w:val="both"/>
        <w:sectPr>
          <w:footerReference w:type="default" r:id="rId116"/>
          <w:pgSz w:w="12240" w:h="15840"/>
          <w:pgMar w:footer="657" w:header="0" w:top="1360" w:bottom="840" w:left="1600" w:right="1580"/>
          <w:pgNumType w:start="130"/>
        </w:sectPr>
      </w:pPr>
    </w:p>
    <w:p>
      <w:pPr>
        <w:pStyle w:val="BodyText"/>
        <w:spacing w:line="360" w:lineRule="auto" w:before="50"/>
        <w:ind w:left="102" w:right="117"/>
        <w:jc w:val="both"/>
      </w:pPr>
      <w:r>
        <w:rPr/>
        <w:t>different scales of farms and measures the capability of the production system to pay for the domestic</w:t>
      </w:r>
      <w:r>
        <w:rPr>
          <w:spacing w:val="-7"/>
        </w:rPr>
        <w:t> </w:t>
      </w:r>
      <w:r>
        <w:rPr/>
        <w:t>resources,</w:t>
      </w:r>
      <w:r>
        <w:rPr>
          <w:spacing w:val="-6"/>
        </w:rPr>
        <w:t> </w:t>
      </w:r>
      <w:r>
        <w:rPr/>
        <w:t>labour,</w:t>
      </w:r>
      <w:r>
        <w:rPr>
          <w:spacing w:val="-7"/>
        </w:rPr>
        <w:t> </w:t>
      </w:r>
      <w:r>
        <w:rPr/>
        <w:t>land</w:t>
      </w:r>
      <w:r>
        <w:rPr>
          <w:spacing w:val="-7"/>
        </w:rPr>
        <w:t> </w:t>
      </w:r>
      <w:r>
        <w:rPr/>
        <w:t>including</w:t>
      </w:r>
      <w:r>
        <w:rPr>
          <w:spacing w:val="-9"/>
        </w:rPr>
        <w:t> </w:t>
      </w:r>
      <w:r>
        <w:rPr/>
        <w:t>returns</w:t>
      </w:r>
      <w:r>
        <w:rPr>
          <w:spacing w:val="-7"/>
        </w:rPr>
        <w:t> </w:t>
      </w:r>
      <w:r>
        <w:rPr/>
        <w:t>on</w:t>
      </w:r>
      <w:r>
        <w:rPr>
          <w:spacing w:val="-6"/>
        </w:rPr>
        <w:t> </w:t>
      </w:r>
      <w:r>
        <w:rPr/>
        <w:t>the</w:t>
      </w:r>
      <w:r>
        <w:rPr>
          <w:spacing w:val="-7"/>
        </w:rPr>
        <w:t> </w:t>
      </w:r>
      <w:r>
        <w:rPr/>
        <w:t>capital,</w:t>
      </w:r>
      <w:r>
        <w:rPr>
          <w:spacing w:val="-3"/>
        </w:rPr>
        <w:t> </w:t>
      </w:r>
      <w:r>
        <w:rPr/>
        <w:t>which</w:t>
      </w:r>
      <w:r>
        <w:rPr>
          <w:spacing w:val="-6"/>
        </w:rPr>
        <w:t> </w:t>
      </w:r>
      <w:r>
        <w:rPr/>
        <w:t>represents</w:t>
      </w:r>
      <w:r>
        <w:rPr>
          <w:spacing w:val="-6"/>
        </w:rPr>
        <w:t> </w:t>
      </w:r>
      <w:r>
        <w:rPr/>
        <w:t>the</w:t>
      </w:r>
      <w:r>
        <w:rPr>
          <w:spacing w:val="-7"/>
        </w:rPr>
        <w:t> </w:t>
      </w:r>
      <w:r>
        <w:rPr/>
        <w:t>profit. The PCR shows the limit where the farming system, in terms of efficiency, may sustain the payment for internal factors (including the normal return on capital) and remaining competitive. When the PCR is lower than 1.0, it represents an efficient and competitive system, since the value added that is generated is sufficient to cover the payment of internal factors, leaving a remainder that is the retribution to the farmer for his management. If the PCR is equal to 1.0, there is no profit generated, so that the value added by the productive activity</w:t>
      </w:r>
      <w:r>
        <w:rPr>
          <w:spacing w:val="-15"/>
        </w:rPr>
        <w:t> </w:t>
      </w:r>
      <w:r>
        <w:rPr/>
        <w:t>can</w:t>
      </w:r>
      <w:r>
        <w:rPr>
          <w:spacing w:val="-10"/>
        </w:rPr>
        <w:t> </w:t>
      </w:r>
      <w:r>
        <w:rPr/>
        <w:t>only</w:t>
      </w:r>
      <w:r>
        <w:rPr>
          <w:spacing w:val="-15"/>
        </w:rPr>
        <w:t> </w:t>
      </w:r>
      <w:r>
        <w:rPr/>
        <w:t>pay</w:t>
      </w:r>
      <w:r>
        <w:rPr>
          <w:spacing w:val="-12"/>
        </w:rPr>
        <w:t> </w:t>
      </w:r>
      <w:r>
        <w:rPr/>
        <w:t>for</w:t>
      </w:r>
      <w:r>
        <w:rPr>
          <w:spacing w:val="-12"/>
        </w:rPr>
        <w:t> </w:t>
      </w:r>
      <w:r>
        <w:rPr/>
        <w:t>the</w:t>
      </w:r>
      <w:r>
        <w:rPr>
          <w:spacing w:val="-11"/>
        </w:rPr>
        <w:t> </w:t>
      </w:r>
      <w:r>
        <w:rPr/>
        <w:t>factors</w:t>
      </w:r>
      <w:r>
        <w:rPr>
          <w:spacing w:val="-10"/>
        </w:rPr>
        <w:t> </w:t>
      </w:r>
      <w:r>
        <w:rPr/>
        <w:t>of</w:t>
      </w:r>
      <w:r>
        <w:rPr>
          <w:spacing w:val="-11"/>
        </w:rPr>
        <w:t> </w:t>
      </w:r>
      <w:r>
        <w:rPr/>
        <w:t>production.</w:t>
      </w:r>
      <w:r>
        <w:rPr>
          <w:spacing w:val="-8"/>
        </w:rPr>
        <w:t> </w:t>
      </w:r>
      <w:r>
        <w:rPr/>
        <w:t>If</w:t>
      </w:r>
      <w:r>
        <w:rPr>
          <w:spacing w:val="-9"/>
        </w:rPr>
        <w:t> </w:t>
      </w:r>
      <w:r>
        <w:rPr/>
        <w:t>the</w:t>
      </w:r>
      <w:r>
        <w:rPr>
          <w:spacing w:val="-11"/>
        </w:rPr>
        <w:t> </w:t>
      </w:r>
      <w:r>
        <w:rPr/>
        <w:t>PCR</w:t>
      </w:r>
      <w:r>
        <w:rPr>
          <w:spacing w:val="-10"/>
        </w:rPr>
        <w:t> </w:t>
      </w:r>
      <w:r>
        <w:rPr/>
        <w:t>is</w:t>
      </w:r>
      <w:r>
        <w:rPr>
          <w:spacing w:val="-5"/>
        </w:rPr>
        <w:t> </w:t>
      </w:r>
      <w:r>
        <w:rPr/>
        <w:t>larger</w:t>
      </w:r>
      <w:r>
        <w:rPr>
          <w:spacing w:val="-11"/>
        </w:rPr>
        <w:t> </w:t>
      </w:r>
      <w:r>
        <w:rPr/>
        <w:t>than</w:t>
      </w:r>
      <w:r>
        <w:rPr>
          <w:spacing w:val="-8"/>
        </w:rPr>
        <w:t> </w:t>
      </w:r>
      <w:r>
        <w:rPr/>
        <w:t>1.0</w:t>
      </w:r>
      <w:r>
        <w:rPr>
          <w:spacing w:val="-10"/>
        </w:rPr>
        <w:t> </w:t>
      </w:r>
      <w:r>
        <w:rPr/>
        <w:t>or</w:t>
      </w:r>
      <w:r>
        <w:rPr>
          <w:spacing w:val="-11"/>
        </w:rPr>
        <w:t> </w:t>
      </w:r>
      <w:r>
        <w:rPr/>
        <w:t>is</w:t>
      </w:r>
      <w:r>
        <w:rPr>
          <w:spacing w:val="-9"/>
        </w:rPr>
        <w:t> </w:t>
      </w:r>
      <w:r>
        <w:rPr/>
        <w:t>negative, it implies that the production system is inefficient and does not allow the payment of the market value of the internal factors out of the generated added value; and there is a negative profit, so that the productive activity is not profitable to the farmer in terms of the paid and received prices, with the result of not being competitive (Rebollar-Rebollar et al.</w:t>
      </w:r>
      <w:r>
        <w:rPr>
          <w:spacing w:val="-12"/>
        </w:rPr>
        <w:t> </w:t>
      </w:r>
      <w:r>
        <w:rPr/>
        <w:t>2011).</w:t>
      </w:r>
    </w:p>
    <w:p>
      <w:pPr>
        <w:pStyle w:val="BodyText"/>
      </w:pPr>
    </w:p>
    <w:p>
      <w:pPr>
        <w:pStyle w:val="BodyText"/>
        <w:spacing w:before="3"/>
        <w:rPr>
          <w:sz w:val="33"/>
        </w:rPr>
      </w:pPr>
    </w:p>
    <w:p>
      <w:pPr>
        <w:pStyle w:val="BodyText"/>
        <w:spacing w:line="360" w:lineRule="auto"/>
        <w:ind w:left="102" w:right="117"/>
        <w:jc w:val="both"/>
      </w:pPr>
      <w:r>
        <w:rPr/>
        <w:t>Monetary values were obtained in Mexican Pesos and transformed to their equivalent in US dollars</w:t>
      </w:r>
      <w:r>
        <w:rPr>
          <w:spacing w:val="-8"/>
        </w:rPr>
        <w:t> </w:t>
      </w:r>
      <w:r>
        <w:rPr/>
        <w:t>(USD$)</w:t>
      </w:r>
      <w:r>
        <w:rPr>
          <w:spacing w:val="-8"/>
        </w:rPr>
        <w:t> </w:t>
      </w:r>
      <w:r>
        <w:rPr/>
        <w:t>at</w:t>
      </w:r>
      <w:r>
        <w:rPr>
          <w:spacing w:val="-7"/>
        </w:rPr>
        <w:t> </w:t>
      </w:r>
      <w:r>
        <w:rPr/>
        <w:t>an</w:t>
      </w:r>
      <w:r>
        <w:rPr>
          <w:spacing w:val="-7"/>
        </w:rPr>
        <w:t> </w:t>
      </w:r>
      <w:r>
        <w:rPr/>
        <w:t>exchange</w:t>
      </w:r>
      <w:r>
        <w:rPr>
          <w:spacing w:val="-8"/>
        </w:rPr>
        <w:t> </w:t>
      </w:r>
      <w:r>
        <w:rPr/>
        <w:t>rate</w:t>
      </w:r>
      <w:r>
        <w:rPr>
          <w:spacing w:val="-8"/>
        </w:rPr>
        <w:t> </w:t>
      </w:r>
      <w:r>
        <w:rPr/>
        <w:t>peso:dollar</w:t>
      </w:r>
      <w:r>
        <w:rPr>
          <w:spacing w:val="-8"/>
        </w:rPr>
        <w:t> </w:t>
      </w:r>
      <w:r>
        <w:rPr/>
        <w:t>of</w:t>
      </w:r>
      <w:r>
        <w:rPr>
          <w:spacing w:val="-6"/>
        </w:rPr>
        <w:t> </w:t>
      </w:r>
      <w:r>
        <w:rPr/>
        <w:t>1:0.077</w:t>
      </w:r>
      <w:r>
        <w:rPr>
          <w:spacing w:val="-7"/>
        </w:rPr>
        <w:t> </w:t>
      </w:r>
      <w:r>
        <w:rPr/>
        <w:t>(data</w:t>
      </w:r>
      <w:r>
        <w:rPr>
          <w:spacing w:val="-8"/>
        </w:rPr>
        <w:t> </w:t>
      </w:r>
      <w:r>
        <w:rPr/>
        <w:t>from</w:t>
      </w:r>
      <w:r>
        <w:rPr>
          <w:spacing w:val="-7"/>
        </w:rPr>
        <w:t> </w:t>
      </w:r>
      <w:r>
        <w:rPr/>
        <w:t>Banco</w:t>
      </w:r>
      <w:r>
        <w:rPr>
          <w:spacing w:val="-5"/>
        </w:rPr>
        <w:t> </w:t>
      </w:r>
      <w:r>
        <w:rPr/>
        <w:t>de</w:t>
      </w:r>
      <w:r>
        <w:rPr>
          <w:spacing w:val="-8"/>
        </w:rPr>
        <w:t> </w:t>
      </w:r>
      <w:r>
        <w:rPr/>
        <w:t>México,</w:t>
      </w:r>
      <w:r>
        <w:rPr>
          <w:spacing w:val="-10"/>
        </w:rPr>
        <w:t> </w:t>
      </w:r>
      <w:r>
        <w:rPr/>
        <w:t>S.A. on 21st November</w:t>
      </w:r>
      <w:r>
        <w:rPr>
          <w:spacing w:val="-5"/>
        </w:rPr>
        <w:t> </w:t>
      </w:r>
      <w:r>
        <w:rPr/>
        <w:t>2012).</w:t>
      </w:r>
    </w:p>
    <w:p>
      <w:pPr>
        <w:pStyle w:val="BodyText"/>
      </w:pPr>
    </w:p>
    <w:p>
      <w:pPr>
        <w:pStyle w:val="BodyText"/>
        <w:spacing w:before="8"/>
        <w:rPr>
          <w:sz w:val="33"/>
        </w:rPr>
      </w:pPr>
    </w:p>
    <w:p>
      <w:pPr>
        <w:pStyle w:val="Heading1"/>
        <w:spacing w:before="0"/>
      </w:pPr>
      <w:r>
        <w:rPr/>
        <w:t>Results</w:t>
      </w:r>
    </w:p>
    <w:p>
      <w:pPr>
        <w:pStyle w:val="BodyText"/>
        <w:rPr>
          <w:b/>
        </w:rPr>
      </w:pPr>
    </w:p>
    <w:p>
      <w:pPr>
        <w:pStyle w:val="BodyText"/>
        <w:rPr>
          <w:b/>
        </w:rPr>
      </w:pPr>
    </w:p>
    <w:p>
      <w:pPr>
        <w:pStyle w:val="BodyText"/>
        <w:spacing w:before="5"/>
        <w:rPr>
          <w:b/>
          <w:sz w:val="20"/>
        </w:rPr>
      </w:pPr>
    </w:p>
    <w:p>
      <w:pPr>
        <w:pStyle w:val="BodyText"/>
        <w:ind w:left="102"/>
        <w:jc w:val="both"/>
      </w:pPr>
      <w:r>
        <w:rPr/>
        <w:t>The analysis of results shows that the three strata are profitable since they have a PPC of 7.6,</w:t>
      </w:r>
    </w:p>
    <w:p>
      <w:pPr>
        <w:pStyle w:val="BodyText"/>
        <w:spacing w:line="360" w:lineRule="auto" w:before="139"/>
        <w:ind w:left="102" w:right="117"/>
        <w:jc w:val="both"/>
      </w:pPr>
      <w:r>
        <w:rPr/>
        <w:t>30.1</w:t>
      </w:r>
      <w:r>
        <w:rPr>
          <w:spacing w:val="-9"/>
        </w:rPr>
        <w:t> </w:t>
      </w:r>
      <w:r>
        <w:rPr/>
        <w:t>and</w:t>
      </w:r>
      <w:r>
        <w:rPr>
          <w:spacing w:val="-9"/>
        </w:rPr>
        <w:t> </w:t>
      </w:r>
      <w:r>
        <w:rPr/>
        <w:t>45.9%</w:t>
      </w:r>
      <w:r>
        <w:rPr>
          <w:spacing w:val="-9"/>
        </w:rPr>
        <w:t> </w:t>
      </w:r>
      <w:r>
        <w:rPr/>
        <w:t>when</w:t>
      </w:r>
      <w:r>
        <w:rPr>
          <w:spacing w:val="-9"/>
        </w:rPr>
        <w:t> </w:t>
      </w:r>
      <w:r>
        <w:rPr/>
        <w:t>an</w:t>
      </w:r>
      <w:r>
        <w:rPr>
          <w:spacing w:val="-9"/>
        </w:rPr>
        <w:t> </w:t>
      </w:r>
      <w:r>
        <w:rPr/>
        <w:t>economic</w:t>
      </w:r>
      <w:r>
        <w:rPr>
          <w:spacing w:val="-10"/>
        </w:rPr>
        <w:t> </w:t>
      </w:r>
      <w:r>
        <w:rPr/>
        <w:t>cost</w:t>
      </w:r>
      <w:r>
        <w:rPr>
          <w:spacing w:val="-8"/>
        </w:rPr>
        <w:t> </w:t>
      </w:r>
      <w:r>
        <w:rPr/>
        <w:t>is</w:t>
      </w:r>
      <w:r>
        <w:rPr>
          <w:spacing w:val="-8"/>
        </w:rPr>
        <w:t> </w:t>
      </w:r>
      <w:r>
        <w:rPr/>
        <w:t>assigned</w:t>
      </w:r>
      <w:r>
        <w:rPr>
          <w:spacing w:val="-9"/>
        </w:rPr>
        <w:t> </w:t>
      </w:r>
      <w:r>
        <w:rPr/>
        <w:t>to</w:t>
      </w:r>
      <w:r>
        <w:rPr>
          <w:spacing w:val="-9"/>
        </w:rPr>
        <w:t> </w:t>
      </w:r>
      <w:r>
        <w:rPr/>
        <w:t>family</w:t>
      </w:r>
      <w:r>
        <w:rPr>
          <w:spacing w:val="-16"/>
        </w:rPr>
        <w:t> </w:t>
      </w:r>
      <w:r>
        <w:rPr/>
        <w:t>labour.</w:t>
      </w:r>
      <w:r>
        <w:rPr>
          <w:spacing w:val="-9"/>
        </w:rPr>
        <w:t> </w:t>
      </w:r>
      <w:r>
        <w:rPr/>
        <w:t>When</w:t>
      </w:r>
      <w:r>
        <w:rPr>
          <w:spacing w:val="-9"/>
        </w:rPr>
        <w:t> </w:t>
      </w:r>
      <w:r>
        <w:rPr/>
        <w:t>no</w:t>
      </w:r>
      <w:r>
        <w:rPr>
          <w:spacing w:val="-9"/>
        </w:rPr>
        <w:t> </w:t>
      </w:r>
      <w:r>
        <w:rPr/>
        <w:t>economic</w:t>
      </w:r>
      <w:r>
        <w:rPr>
          <w:spacing w:val="-10"/>
        </w:rPr>
        <w:t> </w:t>
      </w:r>
      <w:r>
        <w:rPr/>
        <w:t>cost is considered, the PPC increases to 47.3, 56.8 and 66.2% for strata 1, 2, and 3 respectively (Table 2); that is 39 percentage points more for Stratum 1, 25 percentage points for Stratum 2,</w:t>
      </w:r>
      <w:r>
        <w:rPr>
          <w:spacing w:val="-7"/>
        </w:rPr>
        <w:t> </w:t>
      </w:r>
      <w:r>
        <w:rPr/>
        <w:t>and</w:t>
      </w:r>
      <w:r>
        <w:rPr>
          <w:spacing w:val="-7"/>
        </w:rPr>
        <w:t> </w:t>
      </w:r>
      <w:r>
        <w:rPr/>
        <w:t>20</w:t>
      </w:r>
      <w:r>
        <w:rPr>
          <w:spacing w:val="-7"/>
        </w:rPr>
        <w:t> </w:t>
      </w:r>
      <w:r>
        <w:rPr/>
        <w:t>percentage</w:t>
      </w:r>
      <w:r>
        <w:rPr>
          <w:spacing w:val="-8"/>
        </w:rPr>
        <w:t> </w:t>
      </w:r>
      <w:r>
        <w:rPr/>
        <w:t>points</w:t>
      </w:r>
      <w:r>
        <w:rPr>
          <w:spacing w:val="-7"/>
        </w:rPr>
        <w:t> </w:t>
      </w:r>
      <w:r>
        <w:rPr/>
        <w:t>more</w:t>
      </w:r>
      <w:r>
        <w:rPr>
          <w:spacing w:val="-8"/>
        </w:rPr>
        <w:t> </w:t>
      </w:r>
      <w:r>
        <w:rPr/>
        <w:t>for</w:t>
      </w:r>
      <w:r>
        <w:rPr>
          <w:spacing w:val="-9"/>
        </w:rPr>
        <w:t> </w:t>
      </w:r>
      <w:r>
        <w:rPr/>
        <w:t>Stratum</w:t>
      </w:r>
      <w:r>
        <w:rPr>
          <w:spacing w:val="-7"/>
        </w:rPr>
        <w:t> </w:t>
      </w:r>
      <w:r>
        <w:rPr/>
        <w:t>3.</w:t>
      </w:r>
      <w:r>
        <w:rPr>
          <w:spacing w:val="-7"/>
        </w:rPr>
        <w:t> </w:t>
      </w:r>
      <w:r>
        <w:rPr/>
        <w:t>Ninety</w:t>
      </w:r>
      <w:r>
        <w:rPr>
          <w:spacing w:val="-11"/>
        </w:rPr>
        <w:t> </w:t>
      </w:r>
      <w:r>
        <w:rPr/>
        <w:t>seven</w:t>
      </w:r>
      <w:r>
        <w:rPr>
          <w:spacing w:val="-7"/>
        </w:rPr>
        <w:t> </w:t>
      </w:r>
      <w:r>
        <w:rPr/>
        <w:t>percent</w:t>
      </w:r>
      <w:r>
        <w:rPr>
          <w:spacing w:val="-7"/>
        </w:rPr>
        <w:t> </w:t>
      </w:r>
      <w:r>
        <w:rPr/>
        <w:t>of</w:t>
      </w:r>
      <w:r>
        <w:rPr>
          <w:spacing w:val="-8"/>
        </w:rPr>
        <w:t> </w:t>
      </w:r>
      <w:r>
        <w:rPr/>
        <w:t>labour</w:t>
      </w:r>
      <w:r>
        <w:rPr>
          <w:spacing w:val="-9"/>
        </w:rPr>
        <w:t> </w:t>
      </w:r>
      <w:r>
        <w:rPr/>
        <w:t>requirements in Stratum 1 are provided by family members, whilst it is 53.0% in Stratum 2 and 43.0% in Stratum</w:t>
      </w:r>
      <w:r>
        <w:rPr>
          <w:spacing w:val="-3"/>
        </w:rPr>
        <w:t> </w:t>
      </w:r>
      <w:r>
        <w:rPr/>
        <w:t>3.</w:t>
      </w:r>
    </w:p>
    <w:p>
      <w:pPr>
        <w:spacing w:after="0" w:line="360" w:lineRule="auto"/>
        <w:jc w:val="both"/>
        <w:sectPr>
          <w:pgSz w:w="12240" w:h="15840"/>
          <w:pgMar w:header="0" w:footer="657" w:top="1360" w:bottom="840" w:left="1600" w:right="1580"/>
        </w:sectPr>
      </w:pPr>
    </w:p>
    <w:p>
      <w:pPr>
        <w:pStyle w:val="BodyText"/>
        <w:spacing w:line="360" w:lineRule="auto" w:before="50"/>
        <w:ind w:left="102" w:right="118"/>
        <w:jc w:val="both"/>
      </w:pPr>
      <w:r>
        <w:rPr/>
        <w:t>The profits from milk sales including family labour were USD$ 0.03/litre for Stratum 1, USD$ 0.09/litre for Stratum 2, and USD$ 0.12 for Stratum 3. When the economic cost of family</w:t>
      </w:r>
      <w:r>
        <w:rPr>
          <w:spacing w:val="-9"/>
        </w:rPr>
        <w:t> </w:t>
      </w:r>
      <w:r>
        <w:rPr/>
        <w:t>labour</w:t>
      </w:r>
      <w:r>
        <w:rPr>
          <w:spacing w:val="-5"/>
        </w:rPr>
        <w:t> </w:t>
      </w:r>
      <w:r>
        <w:rPr/>
        <w:t>is</w:t>
      </w:r>
      <w:r>
        <w:rPr>
          <w:spacing w:val="-3"/>
        </w:rPr>
        <w:t> </w:t>
      </w:r>
      <w:r>
        <w:rPr/>
        <w:t>not</w:t>
      </w:r>
      <w:r>
        <w:rPr>
          <w:spacing w:val="-3"/>
        </w:rPr>
        <w:t> </w:t>
      </w:r>
      <w:r>
        <w:rPr/>
        <w:t>considered,</w:t>
      </w:r>
      <w:r>
        <w:rPr>
          <w:spacing w:val="-4"/>
        </w:rPr>
        <w:t> </w:t>
      </w:r>
      <w:r>
        <w:rPr/>
        <w:t>profits</w:t>
      </w:r>
      <w:r>
        <w:rPr>
          <w:spacing w:val="-4"/>
        </w:rPr>
        <w:t> </w:t>
      </w:r>
      <w:r>
        <w:rPr/>
        <w:t>are</w:t>
      </w:r>
      <w:r>
        <w:rPr>
          <w:spacing w:val="-5"/>
        </w:rPr>
        <w:t> </w:t>
      </w:r>
      <w:r>
        <w:rPr/>
        <w:t>increased</w:t>
      </w:r>
      <w:r>
        <w:rPr>
          <w:spacing w:val="-4"/>
        </w:rPr>
        <w:t> </w:t>
      </w:r>
      <w:r>
        <w:rPr/>
        <w:t>to</w:t>
      </w:r>
      <w:r>
        <w:rPr>
          <w:spacing w:val="-3"/>
        </w:rPr>
        <w:t> </w:t>
      </w:r>
      <w:r>
        <w:rPr/>
        <w:t>USD$</w:t>
      </w:r>
      <w:r>
        <w:rPr>
          <w:spacing w:val="-4"/>
        </w:rPr>
        <w:t> </w:t>
      </w:r>
      <w:r>
        <w:rPr/>
        <w:t>0.12</w:t>
      </w:r>
      <w:r>
        <w:rPr>
          <w:spacing w:val="-4"/>
        </w:rPr>
        <w:t> </w:t>
      </w:r>
      <w:r>
        <w:rPr/>
        <w:t>in</w:t>
      </w:r>
      <w:r>
        <w:rPr>
          <w:spacing w:val="-6"/>
        </w:rPr>
        <w:t> </w:t>
      </w:r>
      <w:r>
        <w:rPr/>
        <w:t>Stratum</w:t>
      </w:r>
      <w:r>
        <w:rPr>
          <w:spacing w:val="-3"/>
        </w:rPr>
        <w:t> </w:t>
      </w:r>
      <w:r>
        <w:rPr/>
        <w:t>1,</w:t>
      </w:r>
      <w:r>
        <w:rPr>
          <w:spacing w:val="-4"/>
        </w:rPr>
        <w:t> </w:t>
      </w:r>
      <w:r>
        <w:rPr/>
        <w:t>USD$</w:t>
      </w:r>
      <w:r>
        <w:rPr>
          <w:spacing w:val="-4"/>
        </w:rPr>
        <w:t> </w:t>
      </w:r>
      <w:r>
        <w:rPr/>
        <w:t>0.14 in Stratum 2, and USD$ 0.15 in Stratum</w:t>
      </w:r>
      <w:r>
        <w:rPr>
          <w:spacing w:val="-4"/>
        </w:rPr>
        <w:t> </w:t>
      </w:r>
      <w:r>
        <w:rPr/>
        <w:t>3.</w:t>
      </w:r>
    </w:p>
    <w:p>
      <w:pPr>
        <w:pStyle w:val="BodyText"/>
      </w:pPr>
    </w:p>
    <w:p>
      <w:pPr>
        <w:pStyle w:val="BodyText"/>
        <w:spacing w:before="3"/>
        <w:rPr>
          <w:sz w:val="33"/>
        </w:rPr>
      </w:pPr>
    </w:p>
    <w:p>
      <w:pPr>
        <w:pStyle w:val="BodyText"/>
        <w:ind w:left="102"/>
        <w:jc w:val="both"/>
      </w:pPr>
      <w:r>
        <w:rPr>
          <w:rFonts w:ascii="Symbol" w:hAnsi="Symbol"/>
        </w:rPr>
        <w:t></w:t>
      </w:r>
      <w:r>
        <w:rPr/>
        <w:t> Please insert Table 2 here</w:t>
      </w:r>
    </w:p>
    <w:p>
      <w:pPr>
        <w:pStyle w:val="BodyText"/>
      </w:pPr>
    </w:p>
    <w:p>
      <w:pPr>
        <w:pStyle w:val="BodyText"/>
      </w:pPr>
    </w:p>
    <w:p>
      <w:pPr>
        <w:pStyle w:val="BodyText"/>
        <w:spacing w:before="7"/>
        <w:rPr>
          <w:sz w:val="21"/>
        </w:rPr>
      </w:pPr>
    </w:p>
    <w:p>
      <w:pPr>
        <w:pStyle w:val="BodyText"/>
        <w:spacing w:line="360" w:lineRule="auto" w:before="1"/>
        <w:ind w:left="102" w:right="117"/>
        <w:jc w:val="both"/>
      </w:pPr>
      <w:r>
        <w:rPr/>
        <w:t>The cost structure in the three studied strata was formed mainly by tradable inputs, which added to 62.0, 61.0 and 66.0% of the cost per litre of milk, followed by internal factors with 29.0, 32.0 and 33.0%, and finally by the intermediate tradable inputs with 8.0, 7.0 and 1.0% of total cost. Out of the total internal factors, 93.0% was represented by family labour in Stratum 1, 53.0% in Stratum 2 and 39.0% in Stratum 3.</w:t>
      </w:r>
    </w:p>
    <w:p>
      <w:pPr>
        <w:pStyle w:val="BodyText"/>
      </w:pPr>
    </w:p>
    <w:p>
      <w:pPr>
        <w:pStyle w:val="BodyText"/>
        <w:spacing w:before="3"/>
        <w:rPr>
          <w:sz w:val="33"/>
        </w:rPr>
      </w:pPr>
    </w:p>
    <w:p>
      <w:pPr>
        <w:pStyle w:val="BodyText"/>
        <w:spacing w:line="360" w:lineRule="auto"/>
        <w:ind w:left="102" w:right="122"/>
        <w:jc w:val="both"/>
      </w:pPr>
      <w:r>
        <w:rPr/>
        <w:t>The</w:t>
      </w:r>
      <w:r>
        <w:rPr>
          <w:spacing w:val="-5"/>
        </w:rPr>
        <w:t> </w:t>
      </w:r>
      <w:r>
        <w:rPr/>
        <w:t>total</w:t>
      </w:r>
      <w:r>
        <w:rPr>
          <w:spacing w:val="-3"/>
        </w:rPr>
        <w:t> </w:t>
      </w:r>
      <w:r>
        <w:rPr/>
        <w:t>cost</w:t>
      </w:r>
      <w:r>
        <w:rPr>
          <w:spacing w:val="-3"/>
        </w:rPr>
        <w:t> </w:t>
      </w:r>
      <w:r>
        <w:rPr/>
        <w:t>per</w:t>
      </w:r>
      <w:r>
        <w:rPr>
          <w:spacing w:val="-5"/>
        </w:rPr>
        <w:t> </w:t>
      </w:r>
      <w:r>
        <w:rPr/>
        <w:t>litre</w:t>
      </w:r>
      <w:r>
        <w:rPr>
          <w:spacing w:val="-5"/>
        </w:rPr>
        <w:t> </w:t>
      </w:r>
      <w:r>
        <w:rPr/>
        <w:t>of</w:t>
      </w:r>
      <w:r>
        <w:rPr>
          <w:spacing w:val="-5"/>
        </w:rPr>
        <w:t> </w:t>
      </w:r>
      <w:r>
        <w:rPr/>
        <w:t>milk</w:t>
      </w:r>
      <w:r>
        <w:rPr>
          <w:spacing w:val="-3"/>
        </w:rPr>
        <w:t> </w:t>
      </w:r>
      <w:r>
        <w:rPr/>
        <w:t>considering</w:t>
      </w:r>
      <w:r>
        <w:rPr>
          <w:spacing w:val="-6"/>
        </w:rPr>
        <w:t> </w:t>
      </w:r>
      <w:r>
        <w:rPr/>
        <w:t>and</w:t>
      </w:r>
      <w:r>
        <w:rPr>
          <w:spacing w:val="-4"/>
        </w:rPr>
        <w:t> </w:t>
      </w:r>
      <w:r>
        <w:rPr/>
        <w:t>excluding</w:t>
      </w:r>
      <w:r>
        <w:rPr>
          <w:spacing w:val="-6"/>
        </w:rPr>
        <w:t> </w:t>
      </w:r>
      <w:r>
        <w:rPr/>
        <w:t>the</w:t>
      </w:r>
      <w:r>
        <w:rPr>
          <w:spacing w:val="-4"/>
        </w:rPr>
        <w:t> </w:t>
      </w:r>
      <w:r>
        <w:rPr/>
        <w:t>economic</w:t>
      </w:r>
      <w:r>
        <w:rPr>
          <w:spacing w:val="-5"/>
        </w:rPr>
        <w:t> </w:t>
      </w:r>
      <w:r>
        <w:rPr/>
        <w:t>cost</w:t>
      </w:r>
      <w:r>
        <w:rPr>
          <w:spacing w:val="-3"/>
        </w:rPr>
        <w:t> </w:t>
      </w:r>
      <w:r>
        <w:rPr/>
        <w:t>of</w:t>
      </w:r>
      <w:r>
        <w:rPr>
          <w:spacing w:val="-5"/>
        </w:rPr>
        <w:t> </w:t>
      </w:r>
      <w:r>
        <w:rPr/>
        <w:t>family</w:t>
      </w:r>
      <w:r>
        <w:rPr>
          <w:spacing w:val="-9"/>
        </w:rPr>
        <w:t> </w:t>
      </w:r>
      <w:r>
        <w:rPr/>
        <w:t>labour was for Stratum 1 USD$ 0.36 and 0.26, for Stratum 2 USD$ 0.29 and 0.25 and for </w:t>
      </w:r>
      <w:r>
        <w:rPr>
          <w:spacing w:val="22"/>
        </w:rPr>
        <w:t> </w:t>
      </w:r>
      <w:r>
        <w:rPr/>
        <w:t>Stratum</w:t>
      </w:r>
    </w:p>
    <w:p>
      <w:pPr>
        <w:pStyle w:val="BodyText"/>
        <w:spacing w:before="6"/>
        <w:ind w:left="102"/>
        <w:jc w:val="both"/>
      </w:pPr>
      <w:r>
        <w:rPr/>
        <w:t>3 USD$ 0.26 and 0.23.</w:t>
      </w:r>
    </w:p>
    <w:p>
      <w:pPr>
        <w:pStyle w:val="BodyText"/>
      </w:pPr>
    </w:p>
    <w:p>
      <w:pPr>
        <w:pStyle w:val="BodyText"/>
      </w:pPr>
    </w:p>
    <w:p>
      <w:pPr>
        <w:pStyle w:val="BodyText"/>
        <w:spacing w:before="10"/>
        <w:rPr>
          <w:sz w:val="20"/>
        </w:rPr>
      </w:pPr>
    </w:p>
    <w:p>
      <w:pPr>
        <w:pStyle w:val="BodyText"/>
        <w:spacing w:line="360" w:lineRule="auto"/>
        <w:ind w:left="102" w:right="119"/>
        <w:jc w:val="both"/>
      </w:pPr>
      <w:r>
        <w:rPr/>
        <w:t>The VAP values indicate that the three strata obtained a profit from the total revenue, after covering</w:t>
      </w:r>
      <w:r>
        <w:rPr>
          <w:spacing w:val="-16"/>
        </w:rPr>
        <w:t> </w:t>
      </w:r>
      <w:r>
        <w:rPr/>
        <w:t>the</w:t>
      </w:r>
      <w:r>
        <w:rPr>
          <w:spacing w:val="-12"/>
        </w:rPr>
        <w:t> </w:t>
      </w:r>
      <w:r>
        <w:rPr/>
        <w:t>cost</w:t>
      </w:r>
      <w:r>
        <w:rPr>
          <w:spacing w:val="-13"/>
        </w:rPr>
        <w:t> </w:t>
      </w:r>
      <w:r>
        <w:rPr/>
        <w:t>of</w:t>
      </w:r>
      <w:r>
        <w:rPr>
          <w:spacing w:val="-13"/>
        </w:rPr>
        <w:t> </w:t>
      </w:r>
      <w:r>
        <w:rPr/>
        <w:t>tradable</w:t>
      </w:r>
      <w:r>
        <w:rPr>
          <w:spacing w:val="-13"/>
        </w:rPr>
        <w:t> </w:t>
      </w:r>
      <w:r>
        <w:rPr/>
        <w:t>and</w:t>
      </w:r>
      <w:r>
        <w:rPr>
          <w:spacing w:val="-13"/>
        </w:rPr>
        <w:t> </w:t>
      </w:r>
      <w:r>
        <w:rPr/>
        <w:t>non-tradable</w:t>
      </w:r>
      <w:r>
        <w:rPr>
          <w:spacing w:val="-13"/>
        </w:rPr>
        <w:t> </w:t>
      </w:r>
      <w:r>
        <w:rPr/>
        <w:t>inputs.</w:t>
      </w:r>
      <w:r>
        <w:rPr>
          <w:spacing w:val="-13"/>
        </w:rPr>
        <w:t> </w:t>
      </w:r>
      <w:r>
        <w:rPr/>
        <w:t>The</w:t>
      </w:r>
      <w:r>
        <w:rPr>
          <w:spacing w:val="-14"/>
        </w:rPr>
        <w:t> </w:t>
      </w:r>
      <w:r>
        <w:rPr/>
        <w:t>VAP</w:t>
      </w:r>
      <w:r>
        <w:rPr>
          <w:spacing w:val="-9"/>
        </w:rPr>
        <w:t> </w:t>
      </w:r>
      <w:r>
        <w:rPr/>
        <w:t>for</w:t>
      </w:r>
      <w:r>
        <w:rPr>
          <w:spacing w:val="-14"/>
        </w:rPr>
        <w:t> </w:t>
      </w:r>
      <w:r>
        <w:rPr/>
        <w:t>Stratum</w:t>
      </w:r>
      <w:r>
        <w:rPr>
          <w:spacing w:val="-9"/>
        </w:rPr>
        <w:t> </w:t>
      </w:r>
      <w:r>
        <w:rPr/>
        <w:t>1</w:t>
      </w:r>
      <w:r>
        <w:rPr>
          <w:spacing w:val="-13"/>
        </w:rPr>
        <w:t> </w:t>
      </w:r>
      <w:r>
        <w:rPr/>
        <w:t>was</w:t>
      </w:r>
      <w:r>
        <w:rPr>
          <w:spacing w:val="-13"/>
        </w:rPr>
        <w:t> </w:t>
      </w:r>
      <w:r>
        <w:rPr/>
        <w:t>USD$</w:t>
      </w:r>
      <w:r>
        <w:rPr>
          <w:spacing w:val="-11"/>
        </w:rPr>
        <w:t> </w:t>
      </w:r>
      <w:r>
        <w:rPr/>
        <w:t>0.13</w:t>
      </w:r>
    </w:p>
    <w:p>
      <w:pPr>
        <w:pStyle w:val="BodyText"/>
        <w:spacing w:before="6"/>
        <w:ind w:left="102"/>
        <w:jc w:val="both"/>
      </w:pPr>
      <w:r>
        <w:rPr/>
        <w:t>/litre, USD$ 0.18 for Stratum 2 and USD$ 0.20 for the Stratum 3 (Table 3).</w:t>
      </w:r>
    </w:p>
    <w:p>
      <w:pPr>
        <w:pStyle w:val="BodyText"/>
      </w:pPr>
    </w:p>
    <w:p>
      <w:pPr>
        <w:pStyle w:val="BodyText"/>
      </w:pPr>
    </w:p>
    <w:p>
      <w:pPr>
        <w:pStyle w:val="BodyText"/>
        <w:spacing w:before="10"/>
        <w:rPr>
          <w:sz w:val="20"/>
        </w:rPr>
      </w:pPr>
    </w:p>
    <w:p>
      <w:pPr>
        <w:pStyle w:val="BodyText"/>
        <w:spacing w:line="360" w:lineRule="auto"/>
        <w:ind w:left="102" w:right="118"/>
        <w:jc w:val="both"/>
      </w:pPr>
      <w:r>
        <w:rPr/>
        <w:t>ICTR was 65.5% for Stratum 1, 51.6% for Stratum 2 and 46.0% for Stratum 3. ICTR represents the economic contribution of small scale dairy farming towards the other economic sectors that have a direct or indirect relationship with these farming systems.</w:t>
      </w:r>
    </w:p>
    <w:p>
      <w:pPr>
        <w:pStyle w:val="BodyText"/>
      </w:pPr>
    </w:p>
    <w:p>
      <w:pPr>
        <w:pStyle w:val="BodyText"/>
        <w:spacing w:before="3"/>
        <w:rPr>
          <w:sz w:val="33"/>
        </w:rPr>
      </w:pPr>
    </w:p>
    <w:p>
      <w:pPr>
        <w:pStyle w:val="BodyText"/>
        <w:spacing w:line="360" w:lineRule="auto"/>
        <w:ind w:left="102" w:right="124"/>
        <w:jc w:val="both"/>
      </w:pPr>
      <w:r>
        <w:rPr/>
        <w:t>The result of VATR for Stratum 1 was 34.5%, for Stratum 2 was 48.4% and 54.0% for Stratum 3.</w:t>
      </w:r>
    </w:p>
    <w:p>
      <w:pPr>
        <w:spacing w:after="0" w:line="360" w:lineRule="auto"/>
        <w:jc w:val="both"/>
        <w:sectPr>
          <w:pgSz w:w="12240" w:h="15840"/>
          <w:pgMar w:header="0" w:footer="657" w:top="1360" w:bottom="840" w:left="1600" w:right="1580"/>
        </w:sectPr>
      </w:pPr>
    </w:p>
    <w:p>
      <w:pPr>
        <w:pStyle w:val="BodyText"/>
        <w:spacing w:line="360" w:lineRule="auto" w:before="50"/>
        <w:ind w:left="102" w:right="98"/>
        <w:jc w:val="both"/>
      </w:pPr>
      <w:r>
        <w:rPr/>
        <w:t>The three strata were competitive by having a </w:t>
      </w:r>
      <w:r>
        <w:rPr>
          <w:spacing w:val="2"/>
        </w:rPr>
        <w:t>PCR </w:t>
      </w:r>
      <w:r>
        <w:rPr/>
        <w:t>less than 1.0. The cost of the internal resources represented 0.79, 0.51, and 0.42 when the economic cost of family labour is taken into</w:t>
      </w:r>
      <w:r>
        <w:rPr>
          <w:spacing w:val="-4"/>
        </w:rPr>
        <w:t> </w:t>
      </w:r>
      <w:r>
        <w:rPr/>
        <w:t>consideration.</w:t>
      </w:r>
      <w:r>
        <w:rPr>
          <w:spacing w:val="-4"/>
        </w:rPr>
        <w:t> </w:t>
      </w:r>
      <w:r>
        <w:rPr/>
        <w:t>When</w:t>
      </w:r>
      <w:r>
        <w:rPr>
          <w:spacing w:val="-4"/>
        </w:rPr>
        <w:t> </w:t>
      </w:r>
      <w:r>
        <w:rPr/>
        <w:t>the</w:t>
      </w:r>
      <w:r>
        <w:rPr>
          <w:spacing w:val="-4"/>
        </w:rPr>
        <w:t> </w:t>
      </w:r>
      <w:r>
        <w:rPr/>
        <w:t>economic</w:t>
      </w:r>
      <w:r>
        <w:rPr>
          <w:spacing w:val="-5"/>
        </w:rPr>
        <w:t> </w:t>
      </w:r>
      <w:r>
        <w:rPr/>
        <w:t>cost</w:t>
      </w:r>
      <w:r>
        <w:rPr>
          <w:spacing w:val="-3"/>
        </w:rPr>
        <w:t> </w:t>
      </w:r>
      <w:r>
        <w:rPr/>
        <w:t>of</w:t>
      </w:r>
      <w:r>
        <w:rPr>
          <w:spacing w:val="-5"/>
        </w:rPr>
        <w:t> </w:t>
      </w:r>
      <w:r>
        <w:rPr/>
        <w:t>family</w:t>
      </w:r>
      <w:r>
        <w:rPr>
          <w:spacing w:val="-11"/>
        </w:rPr>
        <w:t> </w:t>
      </w:r>
      <w:r>
        <w:rPr/>
        <w:t>labour</w:t>
      </w:r>
      <w:r>
        <w:rPr>
          <w:spacing w:val="-5"/>
        </w:rPr>
        <w:t> </w:t>
      </w:r>
      <w:r>
        <w:rPr/>
        <w:t>is</w:t>
      </w:r>
      <w:r>
        <w:rPr>
          <w:spacing w:val="-3"/>
        </w:rPr>
        <w:t> </w:t>
      </w:r>
      <w:r>
        <w:rPr/>
        <w:t>not</w:t>
      </w:r>
      <w:r>
        <w:rPr>
          <w:spacing w:val="-3"/>
        </w:rPr>
        <w:t> </w:t>
      </w:r>
      <w:r>
        <w:rPr/>
        <w:t>considered,</w:t>
      </w:r>
      <w:r>
        <w:rPr>
          <w:spacing w:val="-4"/>
        </w:rPr>
        <w:t> </w:t>
      </w:r>
      <w:r>
        <w:rPr/>
        <w:t>the</w:t>
      </w:r>
      <w:r>
        <w:rPr>
          <w:spacing w:val="-4"/>
        </w:rPr>
        <w:t> </w:t>
      </w:r>
      <w:r>
        <w:rPr/>
        <w:t>PCR</w:t>
      </w:r>
      <w:r>
        <w:rPr>
          <w:spacing w:val="-3"/>
        </w:rPr>
        <w:t> </w:t>
      </w:r>
      <w:r>
        <w:rPr/>
        <w:t>was 0.07, 0.25, and 0.26 for each</w:t>
      </w:r>
      <w:r>
        <w:rPr>
          <w:spacing w:val="-6"/>
        </w:rPr>
        <w:t> </w:t>
      </w:r>
      <w:r>
        <w:rPr/>
        <w:t>stratum.</w:t>
      </w:r>
    </w:p>
    <w:p>
      <w:pPr>
        <w:pStyle w:val="BodyText"/>
      </w:pPr>
    </w:p>
    <w:p>
      <w:pPr>
        <w:pStyle w:val="BodyText"/>
        <w:spacing w:before="3"/>
        <w:rPr>
          <w:sz w:val="33"/>
        </w:rPr>
      </w:pPr>
    </w:p>
    <w:p>
      <w:pPr>
        <w:pStyle w:val="BodyText"/>
        <w:ind w:left="102"/>
        <w:jc w:val="both"/>
      </w:pPr>
      <w:r>
        <w:rPr>
          <w:rFonts w:ascii="Symbol" w:hAnsi="Symbol"/>
        </w:rPr>
        <w:t></w:t>
      </w:r>
      <w:r>
        <w:rPr/>
        <w:t> Please insert Table 3 here</w:t>
      </w:r>
    </w:p>
    <w:p>
      <w:pPr>
        <w:pStyle w:val="BodyText"/>
      </w:pPr>
    </w:p>
    <w:p>
      <w:pPr>
        <w:pStyle w:val="BodyText"/>
      </w:pPr>
    </w:p>
    <w:p>
      <w:pPr>
        <w:pStyle w:val="BodyText"/>
        <w:spacing w:before="1"/>
        <w:rPr>
          <w:sz w:val="22"/>
        </w:rPr>
      </w:pPr>
    </w:p>
    <w:p>
      <w:pPr>
        <w:pStyle w:val="Heading1"/>
        <w:spacing w:before="0"/>
      </w:pPr>
      <w:r>
        <w:rPr/>
        <w:t>Discussion</w:t>
      </w:r>
    </w:p>
    <w:p>
      <w:pPr>
        <w:pStyle w:val="BodyText"/>
        <w:rPr>
          <w:b/>
        </w:rPr>
      </w:pPr>
    </w:p>
    <w:p>
      <w:pPr>
        <w:pStyle w:val="BodyText"/>
        <w:rPr>
          <w:b/>
        </w:rPr>
      </w:pPr>
    </w:p>
    <w:p>
      <w:pPr>
        <w:pStyle w:val="BodyText"/>
        <w:spacing w:before="5"/>
        <w:rPr>
          <w:b/>
          <w:sz w:val="20"/>
        </w:rPr>
      </w:pPr>
    </w:p>
    <w:p>
      <w:pPr>
        <w:pStyle w:val="BodyText"/>
        <w:spacing w:line="360" w:lineRule="auto"/>
        <w:ind w:left="102" w:right="99"/>
        <w:jc w:val="both"/>
      </w:pPr>
      <w:r>
        <w:rPr/>
        <w:t>Results show that family labour is an economic element that has a direct effect and in different scales on the profitability of the studied small-scale dairy production systems. Similar results have been reported for small-scale dairying in Peru by Gómez et al. (2007) and in urban and peri-urban dairying in Ethiopia by Ayenew et al. (2011), where the household is the centre of labour resources for the daily operation that enables them to improve the incomes of their systems. However, Zvinorova et al. (2013) concluded from a study of small scale dairy systems in Zimbabwe, that analysed farms were inviable from a financial and economic perspective since their production costs are higher than the selling price</w:t>
      </w:r>
      <w:r>
        <w:rPr>
          <w:spacing w:val="-7"/>
        </w:rPr>
        <w:t> </w:t>
      </w:r>
      <w:r>
        <w:rPr/>
        <w:t>of</w:t>
      </w:r>
      <w:r>
        <w:rPr>
          <w:spacing w:val="-5"/>
        </w:rPr>
        <w:t> </w:t>
      </w:r>
      <w:r>
        <w:rPr/>
        <w:t>milk.</w:t>
      </w:r>
      <w:r>
        <w:rPr>
          <w:spacing w:val="-3"/>
        </w:rPr>
        <w:t> In</w:t>
      </w:r>
      <w:r>
        <w:rPr>
          <w:spacing w:val="-4"/>
        </w:rPr>
        <w:t> </w:t>
      </w:r>
      <w:r>
        <w:rPr/>
        <w:t>the</w:t>
      </w:r>
      <w:r>
        <w:rPr>
          <w:spacing w:val="-7"/>
        </w:rPr>
        <w:t> </w:t>
      </w:r>
      <w:r>
        <w:rPr/>
        <w:t>work</w:t>
      </w:r>
      <w:r>
        <w:rPr>
          <w:spacing w:val="-4"/>
        </w:rPr>
        <w:t> </w:t>
      </w:r>
      <w:r>
        <w:rPr/>
        <w:t>herein</w:t>
      </w:r>
      <w:r>
        <w:rPr>
          <w:spacing w:val="-3"/>
        </w:rPr>
        <w:t> </w:t>
      </w:r>
      <w:r>
        <w:rPr/>
        <w:t>reported</w:t>
      </w:r>
      <w:r>
        <w:rPr>
          <w:spacing w:val="-4"/>
        </w:rPr>
        <w:t> </w:t>
      </w:r>
      <w:r>
        <w:rPr/>
        <w:t>the</w:t>
      </w:r>
      <w:r>
        <w:rPr>
          <w:spacing w:val="-7"/>
        </w:rPr>
        <w:t> </w:t>
      </w:r>
      <w:r>
        <w:rPr/>
        <w:t>margin</w:t>
      </w:r>
      <w:r>
        <w:rPr>
          <w:spacing w:val="-6"/>
        </w:rPr>
        <w:t> </w:t>
      </w:r>
      <w:r>
        <w:rPr/>
        <w:t>between</w:t>
      </w:r>
      <w:r>
        <w:rPr>
          <w:spacing w:val="-6"/>
        </w:rPr>
        <w:t> </w:t>
      </w:r>
      <w:r>
        <w:rPr/>
        <w:t>income</w:t>
      </w:r>
      <w:r>
        <w:rPr>
          <w:spacing w:val="-7"/>
        </w:rPr>
        <w:t> </w:t>
      </w:r>
      <w:r>
        <w:rPr/>
        <w:t>and</w:t>
      </w:r>
      <w:r>
        <w:rPr>
          <w:spacing w:val="-4"/>
        </w:rPr>
        <w:t> </w:t>
      </w:r>
      <w:r>
        <w:rPr/>
        <w:t>costs</w:t>
      </w:r>
      <w:r>
        <w:rPr>
          <w:spacing w:val="-6"/>
        </w:rPr>
        <w:t> </w:t>
      </w:r>
      <w:r>
        <w:rPr/>
        <w:t>was</w:t>
      </w:r>
      <w:r>
        <w:rPr>
          <w:spacing w:val="-6"/>
        </w:rPr>
        <w:t> </w:t>
      </w:r>
      <w:r>
        <w:rPr/>
        <w:t>positive for the three strata, and the margin increases when the economic cost of family labour is not included.</w:t>
      </w:r>
    </w:p>
    <w:p>
      <w:pPr>
        <w:pStyle w:val="BodyText"/>
      </w:pPr>
    </w:p>
    <w:p>
      <w:pPr>
        <w:pStyle w:val="BodyText"/>
        <w:spacing w:before="3"/>
        <w:rPr>
          <w:sz w:val="33"/>
        </w:rPr>
      </w:pPr>
    </w:p>
    <w:p>
      <w:pPr>
        <w:pStyle w:val="BodyText"/>
        <w:spacing w:line="360" w:lineRule="auto"/>
        <w:ind w:left="102" w:right="100"/>
        <w:jc w:val="both"/>
      </w:pPr>
      <w:r>
        <w:rPr/>
        <w:t>In</w:t>
      </w:r>
      <w:r>
        <w:rPr>
          <w:spacing w:val="-1"/>
        </w:rPr>
        <w:t> </w:t>
      </w:r>
      <w:r>
        <w:rPr/>
        <w:t>Pakistan,</w:t>
      </w:r>
      <w:r>
        <w:rPr>
          <w:spacing w:val="-3"/>
        </w:rPr>
        <w:t> </w:t>
      </w:r>
      <w:r>
        <w:rPr/>
        <w:t>with</w:t>
      </w:r>
      <w:r>
        <w:rPr>
          <w:spacing w:val="-2"/>
        </w:rPr>
        <w:t> </w:t>
      </w:r>
      <w:r>
        <w:rPr/>
        <w:t>smaller</w:t>
      </w:r>
      <w:r>
        <w:rPr>
          <w:spacing w:val="1"/>
        </w:rPr>
        <w:t> </w:t>
      </w:r>
      <w:r>
        <w:rPr/>
        <w:t>herds</w:t>
      </w:r>
      <w:r>
        <w:rPr>
          <w:spacing w:val="-3"/>
        </w:rPr>
        <w:t> </w:t>
      </w:r>
      <w:r>
        <w:rPr/>
        <w:t>(1</w:t>
      </w:r>
      <w:r>
        <w:rPr>
          <w:spacing w:val="-1"/>
        </w:rPr>
        <w:t> </w:t>
      </w:r>
      <w:r>
        <w:rPr/>
        <w:t>to</w:t>
      </w:r>
      <w:r>
        <w:rPr>
          <w:spacing w:val="-2"/>
        </w:rPr>
        <w:t> </w:t>
      </w:r>
      <w:r>
        <w:rPr/>
        <w:t>3</w:t>
      </w:r>
      <w:r>
        <w:rPr>
          <w:spacing w:val="-3"/>
        </w:rPr>
        <w:t> </w:t>
      </w:r>
      <w:r>
        <w:rPr/>
        <w:t>dairy</w:t>
      </w:r>
      <w:r>
        <w:rPr>
          <w:spacing w:val="-8"/>
        </w:rPr>
        <w:t> </w:t>
      </w:r>
      <w:r>
        <w:rPr/>
        <w:t>cows)</w:t>
      </w:r>
      <w:r>
        <w:rPr>
          <w:spacing w:val="-1"/>
        </w:rPr>
        <w:t> </w:t>
      </w:r>
      <w:r>
        <w:rPr/>
        <w:t>and</w:t>
      </w:r>
      <w:r>
        <w:rPr>
          <w:spacing w:val="-3"/>
        </w:rPr>
        <w:t> </w:t>
      </w:r>
      <w:r>
        <w:rPr/>
        <w:t>who rely</w:t>
      </w:r>
      <w:r>
        <w:rPr>
          <w:spacing w:val="-5"/>
        </w:rPr>
        <w:t> </w:t>
      </w:r>
      <w:r>
        <w:rPr/>
        <w:t>100.0%</w:t>
      </w:r>
      <w:r>
        <w:rPr>
          <w:spacing w:val="-1"/>
        </w:rPr>
        <w:t> </w:t>
      </w:r>
      <w:r>
        <w:rPr/>
        <w:t>on family</w:t>
      </w:r>
      <w:r>
        <w:rPr>
          <w:spacing w:val="-8"/>
        </w:rPr>
        <w:t> </w:t>
      </w:r>
      <w:r>
        <w:rPr/>
        <w:t>labour,</w:t>
      </w:r>
      <w:r>
        <w:rPr>
          <w:spacing w:val="-4"/>
        </w:rPr>
        <w:t> </w:t>
      </w:r>
      <w:r>
        <w:rPr/>
        <w:t>it represented an advantage that enables a greater competitiveness of the system, whilst larger farms (more than 10 dairy cows) rely only from 15.0 to 50.0% on family labour (García et al.</w:t>
      </w:r>
      <w:r>
        <w:rPr>
          <w:spacing w:val="-1"/>
        </w:rPr>
        <w:t> </w:t>
      </w:r>
      <w:r>
        <w:rPr/>
        <w:t>2003).</w:t>
      </w:r>
    </w:p>
    <w:p>
      <w:pPr>
        <w:pStyle w:val="BodyText"/>
      </w:pPr>
    </w:p>
    <w:p>
      <w:pPr>
        <w:pStyle w:val="BodyText"/>
        <w:spacing w:line="360" w:lineRule="auto" w:before="143"/>
        <w:ind w:left="102" w:right="104"/>
        <w:jc w:val="both"/>
      </w:pPr>
      <w:r>
        <w:rPr/>
        <w:t>In this study, farmers in Stratum 1 (3 to 9 dairy cows) rely on 97.0% of their labour requirements on members of the household. Even in the other two strata, with larger  herds,</w:t>
      </w:r>
    </w:p>
    <w:p>
      <w:pPr>
        <w:spacing w:after="0" w:line="360" w:lineRule="auto"/>
        <w:jc w:val="both"/>
        <w:sectPr>
          <w:pgSz w:w="12240" w:h="15840"/>
          <w:pgMar w:header="0" w:footer="657" w:top="1360" w:bottom="840" w:left="1600" w:right="1600"/>
        </w:sectPr>
      </w:pPr>
    </w:p>
    <w:p>
      <w:pPr>
        <w:pStyle w:val="BodyText"/>
        <w:spacing w:line="362" w:lineRule="auto" w:before="50"/>
        <w:ind w:left="102" w:right="119"/>
        <w:jc w:val="both"/>
      </w:pPr>
      <w:r>
        <w:rPr/>
        <w:t>the</w:t>
      </w:r>
      <w:r>
        <w:rPr>
          <w:spacing w:val="-12"/>
        </w:rPr>
        <w:t> </w:t>
      </w:r>
      <w:r>
        <w:rPr/>
        <w:t>importance</w:t>
      </w:r>
      <w:r>
        <w:rPr>
          <w:spacing w:val="-12"/>
        </w:rPr>
        <w:t> </w:t>
      </w:r>
      <w:r>
        <w:rPr/>
        <w:t>of</w:t>
      </w:r>
      <w:r>
        <w:rPr>
          <w:spacing w:val="-12"/>
        </w:rPr>
        <w:t> </w:t>
      </w:r>
      <w:r>
        <w:rPr/>
        <w:t>family</w:t>
      </w:r>
      <w:r>
        <w:rPr>
          <w:spacing w:val="-13"/>
        </w:rPr>
        <w:t> </w:t>
      </w:r>
      <w:r>
        <w:rPr/>
        <w:t>labour</w:t>
      </w:r>
      <w:r>
        <w:rPr>
          <w:spacing w:val="-12"/>
        </w:rPr>
        <w:t> </w:t>
      </w:r>
      <w:r>
        <w:rPr/>
        <w:t>is</w:t>
      </w:r>
      <w:r>
        <w:rPr>
          <w:spacing w:val="-10"/>
        </w:rPr>
        <w:t> </w:t>
      </w:r>
      <w:r>
        <w:rPr/>
        <w:t>paramount,</w:t>
      </w:r>
      <w:r>
        <w:rPr>
          <w:spacing w:val="-11"/>
        </w:rPr>
        <w:t> </w:t>
      </w:r>
      <w:r>
        <w:rPr/>
        <w:t>since</w:t>
      </w:r>
      <w:r>
        <w:rPr>
          <w:spacing w:val="-12"/>
        </w:rPr>
        <w:t> </w:t>
      </w:r>
      <w:r>
        <w:rPr/>
        <w:t>in</w:t>
      </w:r>
      <w:r>
        <w:rPr>
          <w:spacing w:val="-11"/>
        </w:rPr>
        <w:t> </w:t>
      </w:r>
      <w:r>
        <w:rPr/>
        <w:t>Stratum</w:t>
      </w:r>
      <w:r>
        <w:rPr>
          <w:spacing w:val="-10"/>
        </w:rPr>
        <w:t> </w:t>
      </w:r>
      <w:r>
        <w:rPr/>
        <w:t>2</w:t>
      </w:r>
      <w:r>
        <w:rPr>
          <w:spacing w:val="-11"/>
        </w:rPr>
        <w:t> </w:t>
      </w:r>
      <w:r>
        <w:rPr/>
        <w:t>(10</w:t>
      </w:r>
      <w:r>
        <w:rPr>
          <w:spacing w:val="-14"/>
        </w:rPr>
        <w:t> </w:t>
      </w:r>
      <w:r>
        <w:rPr/>
        <w:t>to</w:t>
      </w:r>
      <w:r>
        <w:rPr>
          <w:spacing w:val="-11"/>
        </w:rPr>
        <w:t> </w:t>
      </w:r>
      <w:r>
        <w:rPr/>
        <w:t>19</w:t>
      </w:r>
      <w:r>
        <w:rPr>
          <w:spacing w:val="-11"/>
        </w:rPr>
        <w:t> </w:t>
      </w:r>
      <w:r>
        <w:rPr/>
        <w:t>cows)</w:t>
      </w:r>
      <w:r>
        <w:rPr>
          <w:spacing w:val="-12"/>
        </w:rPr>
        <w:t> </w:t>
      </w:r>
      <w:r>
        <w:rPr/>
        <w:t>and</w:t>
      </w:r>
      <w:r>
        <w:rPr>
          <w:spacing w:val="-11"/>
        </w:rPr>
        <w:t> </w:t>
      </w:r>
      <w:r>
        <w:rPr/>
        <w:t>Stratum 3 (20 to 30 cows) 53.0 and 43.0% of labour requirements were covered by family</w:t>
      </w:r>
      <w:r>
        <w:rPr>
          <w:spacing w:val="-15"/>
        </w:rPr>
        <w:t> </w:t>
      </w:r>
      <w:r>
        <w:rPr/>
        <w:t>labour.</w:t>
      </w:r>
    </w:p>
    <w:p>
      <w:pPr>
        <w:pStyle w:val="BodyText"/>
      </w:pPr>
    </w:p>
    <w:p>
      <w:pPr>
        <w:pStyle w:val="BodyText"/>
        <w:spacing w:line="360" w:lineRule="auto" w:before="140"/>
        <w:ind w:left="102" w:right="110"/>
        <w:jc w:val="both"/>
      </w:pPr>
      <w:r>
        <w:rPr/>
        <w:t>These results differ with those reported by Nehring et al. (2009) from a study of dairy farms in the USA, concluding that smaller scale dairy systems increase their labour and fixed</w:t>
      </w:r>
      <w:r>
        <w:rPr>
          <w:spacing w:val="-24"/>
        </w:rPr>
        <w:t> </w:t>
      </w:r>
      <w:r>
        <w:rPr/>
        <w:t>cost, which decreases their profitability and competitivity. However, in developing countries, the smaller</w:t>
      </w:r>
      <w:r>
        <w:rPr>
          <w:spacing w:val="-6"/>
        </w:rPr>
        <w:t> </w:t>
      </w:r>
      <w:r>
        <w:rPr/>
        <w:t>the</w:t>
      </w:r>
      <w:r>
        <w:rPr>
          <w:spacing w:val="-6"/>
        </w:rPr>
        <w:t> </w:t>
      </w:r>
      <w:r>
        <w:rPr/>
        <w:t>herds</w:t>
      </w:r>
      <w:r>
        <w:rPr>
          <w:spacing w:val="-6"/>
        </w:rPr>
        <w:t> </w:t>
      </w:r>
      <w:r>
        <w:rPr/>
        <w:t>require</w:t>
      </w:r>
      <w:r>
        <w:rPr>
          <w:spacing w:val="-2"/>
        </w:rPr>
        <w:t> </w:t>
      </w:r>
      <w:r>
        <w:rPr/>
        <w:t>less</w:t>
      </w:r>
      <w:r>
        <w:rPr>
          <w:spacing w:val="-5"/>
        </w:rPr>
        <w:t> </w:t>
      </w:r>
      <w:r>
        <w:rPr/>
        <w:t>hired</w:t>
      </w:r>
      <w:r>
        <w:rPr>
          <w:spacing w:val="-5"/>
        </w:rPr>
        <w:t> </w:t>
      </w:r>
      <w:r>
        <w:rPr/>
        <w:t>labour,</w:t>
      </w:r>
      <w:r>
        <w:rPr>
          <w:spacing w:val="-6"/>
        </w:rPr>
        <w:t> </w:t>
      </w:r>
      <w:r>
        <w:rPr/>
        <w:t>increasing</w:t>
      </w:r>
      <w:r>
        <w:rPr>
          <w:spacing w:val="-8"/>
        </w:rPr>
        <w:t> </w:t>
      </w:r>
      <w:r>
        <w:rPr/>
        <w:t>the</w:t>
      </w:r>
      <w:r>
        <w:rPr>
          <w:spacing w:val="-6"/>
        </w:rPr>
        <w:t> </w:t>
      </w:r>
      <w:r>
        <w:rPr/>
        <w:t>participation</w:t>
      </w:r>
      <w:r>
        <w:rPr>
          <w:spacing w:val="-5"/>
        </w:rPr>
        <w:t> </w:t>
      </w:r>
      <w:r>
        <w:rPr/>
        <w:t>of</w:t>
      </w:r>
      <w:r>
        <w:rPr>
          <w:spacing w:val="-6"/>
        </w:rPr>
        <w:t> </w:t>
      </w:r>
      <w:r>
        <w:rPr/>
        <w:t>family</w:t>
      </w:r>
      <w:r>
        <w:rPr>
          <w:spacing w:val="-10"/>
        </w:rPr>
        <w:t> </w:t>
      </w:r>
      <w:r>
        <w:rPr/>
        <w:t>members</w:t>
      </w:r>
      <w:r>
        <w:rPr>
          <w:spacing w:val="-4"/>
        </w:rPr>
        <w:t> </w:t>
      </w:r>
      <w:r>
        <w:rPr/>
        <w:t>in the productive activities and in the economic benefits obtained (Ndambi et al. 2008). In Slovenia, Bojnec and Latruffe (2013) report that although there is a positive relationship between farm size and technical efficiency, small farms are more profitable and have higher allocative efficiency. Cabrera et al. (2010) in a study of dairy farms in Wisconsin report that a higher proportion of family labour to the dairy farm, results in higher technical efficiency that relates directly to increased profitability. Similar results were found in this work where a positive effect was observed on the economic profitability indicators in the three analysed strata due to family</w:t>
      </w:r>
      <w:r>
        <w:rPr>
          <w:spacing w:val="-5"/>
        </w:rPr>
        <w:t> </w:t>
      </w:r>
      <w:r>
        <w:rPr/>
        <w:t>labour.</w:t>
      </w:r>
    </w:p>
    <w:p>
      <w:pPr>
        <w:pStyle w:val="BodyText"/>
      </w:pPr>
    </w:p>
    <w:p>
      <w:pPr>
        <w:pStyle w:val="BodyText"/>
        <w:spacing w:line="360" w:lineRule="auto" w:before="143"/>
        <w:ind w:left="102" w:right="120"/>
        <w:jc w:val="both"/>
      </w:pPr>
      <w:r>
        <w:rPr/>
        <w:t>Lara-Covarrubias et al. (2003), report a PCR of 1.22 for family dairy systems. Their results are basically due to the inefficiency of paid prices, contrary to the results of the work herein reported where the three studied strata were competitive and it was possible even to detect better</w:t>
      </w:r>
      <w:r>
        <w:rPr>
          <w:spacing w:val="-5"/>
        </w:rPr>
        <w:t> </w:t>
      </w:r>
      <w:r>
        <w:rPr/>
        <w:t>prices</w:t>
      </w:r>
      <w:r>
        <w:rPr>
          <w:spacing w:val="-4"/>
        </w:rPr>
        <w:t> </w:t>
      </w:r>
      <w:r>
        <w:rPr/>
        <w:t>paid</w:t>
      </w:r>
      <w:r>
        <w:rPr>
          <w:spacing w:val="-3"/>
        </w:rPr>
        <w:t> </w:t>
      </w:r>
      <w:r>
        <w:rPr/>
        <w:t>in</w:t>
      </w:r>
      <w:r>
        <w:rPr>
          <w:spacing w:val="-3"/>
        </w:rPr>
        <w:t> </w:t>
      </w:r>
      <w:r>
        <w:rPr/>
        <w:t>the</w:t>
      </w:r>
      <w:r>
        <w:rPr>
          <w:spacing w:val="-4"/>
        </w:rPr>
        <w:t> </w:t>
      </w:r>
      <w:r>
        <w:rPr/>
        <w:t>region</w:t>
      </w:r>
      <w:r>
        <w:rPr>
          <w:spacing w:val="-3"/>
        </w:rPr>
        <w:t> </w:t>
      </w:r>
      <w:r>
        <w:rPr/>
        <w:t>compared</w:t>
      </w:r>
      <w:r>
        <w:rPr>
          <w:spacing w:val="-4"/>
        </w:rPr>
        <w:t> </w:t>
      </w:r>
      <w:r>
        <w:rPr/>
        <w:t>to</w:t>
      </w:r>
      <w:r>
        <w:rPr>
          <w:spacing w:val="-3"/>
        </w:rPr>
        <w:t> </w:t>
      </w:r>
      <w:r>
        <w:rPr/>
        <w:t>Jalisco,</w:t>
      </w:r>
      <w:r>
        <w:rPr>
          <w:spacing w:val="-4"/>
        </w:rPr>
        <w:t> </w:t>
      </w:r>
      <w:r>
        <w:rPr/>
        <w:t>the</w:t>
      </w:r>
      <w:r>
        <w:rPr>
          <w:spacing w:val="-4"/>
        </w:rPr>
        <w:t> </w:t>
      </w:r>
      <w:r>
        <w:rPr/>
        <w:t>main</w:t>
      </w:r>
      <w:r>
        <w:rPr>
          <w:spacing w:val="-4"/>
        </w:rPr>
        <w:t> </w:t>
      </w:r>
      <w:r>
        <w:rPr/>
        <w:t>milk</w:t>
      </w:r>
      <w:r>
        <w:rPr>
          <w:spacing w:val="-3"/>
        </w:rPr>
        <w:t> </w:t>
      </w:r>
      <w:r>
        <w:rPr/>
        <w:t>producing</w:t>
      </w:r>
      <w:r>
        <w:rPr>
          <w:spacing w:val="-6"/>
        </w:rPr>
        <w:t> </w:t>
      </w:r>
      <w:r>
        <w:rPr/>
        <w:t>state</w:t>
      </w:r>
      <w:r>
        <w:rPr>
          <w:spacing w:val="-4"/>
        </w:rPr>
        <w:t> </w:t>
      </w:r>
      <w:r>
        <w:rPr/>
        <w:t>located</w:t>
      </w:r>
      <w:r>
        <w:rPr>
          <w:spacing w:val="-4"/>
        </w:rPr>
        <w:t> </w:t>
      </w:r>
      <w:r>
        <w:rPr/>
        <w:t>in western Mexico, where the former study took</w:t>
      </w:r>
      <w:r>
        <w:rPr>
          <w:spacing w:val="-10"/>
        </w:rPr>
        <w:t> </w:t>
      </w:r>
      <w:r>
        <w:rPr/>
        <w:t>place.</w:t>
      </w:r>
    </w:p>
    <w:p>
      <w:pPr>
        <w:pStyle w:val="BodyText"/>
      </w:pPr>
    </w:p>
    <w:p>
      <w:pPr>
        <w:pStyle w:val="BodyText"/>
        <w:spacing w:before="3"/>
        <w:rPr>
          <w:sz w:val="33"/>
        </w:rPr>
      </w:pPr>
    </w:p>
    <w:p>
      <w:pPr>
        <w:pStyle w:val="BodyText"/>
        <w:spacing w:line="360" w:lineRule="auto"/>
        <w:ind w:left="102" w:right="119"/>
        <w:jc w:val="both"/>
      </w:pPr>
      <w:r>
        <w:rPr/>
        <w:t>The effect of family labour in the competitiveness of the systems is such that the latter increases when no economic cost is assigned to family labour as an effective payment. The difference between the PCR with and without family labour is 72 percentage points in Stratum 1, 26 in Stratum 2, and 16 in Stratum 3. In numerical terms, Stratum 3 followed by Stratum 2 are the farms that have less of an advantage from family labour since they require hired labour in their systems. However, even if family members in the three strata were to leave dairy production if they were to find better opportunities off-farm, the farms would be able to cope without family labour, since they have the capacity to hire labour.</w:t>
      </w:r>
    </w:p>
    <w:p>
      <w:pPr>
        <w:spacing w:after="0" w:line="360" w:lineRule="auto"/>
        <w:jc w:val="both"/>
        <w:sectPr>
          <w:pgSz w:w="12240" w:h="15840"/>
          <w:pgMar w:header="0" w:footer="657" w:top="1360" w:bottom="840" w:left="1600" w:right="1580"/>
        </w:sectPr>
      </w:pPr>
    </w:p>
    <w:p>
      <w:pPr>
        <w:pStyle w:val="BodyText"/>
        <w:spacing w:line="360" w:lineRule="auto" w:before="50"/>
        <w:ind w:left="102" w:right="114"/>
        <w:jc w:val="both"/>
      </w:pPr>
      <w:r>
        <w:rPr/>
        <w:t>Several authors coincide that SSDS not only generate employment opportunities for family members, but the incomes generated are higher than local salaries. In a study undertaken in 13 countries, both developed and developing countries, incomes from dairying were higher than local salaries (Hemme and Otte 2010). For example, in Peru, the incomes per family involved</w:t>
      </w:r>
      <w:r>
        <w:rPr>
          <w:spacing w:val="-10"/>
        </w:rPr>
        <w:t> </w:t>
      </w:r>
      <w:r>
        <w:rPr/>
        <w:t>in</w:t>
      </w:r>
      <w:r>
        <w:rPr>
          <w:spacing w:val="-9"/>
        </w:rPr>
        <w:t> </w:t>
      </w:r>
      <w:r>
        <w:rPr/>
        <w:t>small-scale</w:t>
      </w:r>
      <w:r>
        <w:rPr>
          <w:spacing w:val="-10"/>
        </w:rPr>
        <w:t> </w:t>
      </w:r>
      <w:r>
        <w:rPr/>
        <w:t>dairying</w:t>
      </w:r>
      <w:r>
        <w:rPr>
          <w:spacing w:val="-12"/>
        </w:rPr>
        <w:t> </w:t>
      </w:r>
      <w:r>
        <w:rPr/>
        <w:t>was</w:t>
      </w:r>
      <w:r>
        <w:rPr>
          <w:spacing w:val="-9"/>
        </w:rPr>
        <w:t> </w:t>
      </w:r>
      <w:r>
        <w:rPr/>
        <w:t>triple</w:t>
      </w:r>
      <w:r>
        <w:rPr>
          <w:spacing w:val="-11"/>
        </w:rPr>
        <w:t> </w:t>
      </w:r>
      <w:r>
        <w:rPr/>
        <w:t>the</w:t>
      </w:r>
      <w:r>
        <w:rPr>
          <w:spacing w:val="-10"/>
        </w:rPr>
        <w:t> </w:t>
      </w:r>
      <w:r>
        <w:rPr/>
        <w:t>mean</w:t>
      </w:r>
      <w:r>
        <w:rPr>
          <w:spacing w:val="-10"/>
        </w:rPr>
        <w:t> </w:t>
      </w:r>
      <w:r>
        <w:rPr/>
        <w:t>monthly</w:t>
      </w:r>
      <w:r>
        <w:rPr>
          <w:spacing w:val="-16"/>
        </w:rPr>
        <w:t> </w:t>
      </w:r>
      <w:r>
        <w:rPr/>
        <w:t>payment</w:t>
      </w:r>
      <w:r>
        <w:rPr>
          <w:spacing w:val="-9"/>
        </w:rPr>
        <w:t> </w:t>
      </w:r>
      <w:r>
        <w:rPr/>
        <w:t>(USD$</w:t>
      </w:r>
      <w:r>
        <w:rPr>
          <w:spacing w:val="-10"/>
        </w:rPr>
        <w:t> </w:t>
      </w:r>
      <w:r>
        <w:rPr/>
        <w:t>36.00)</w:t>
      </w:r>
      <w:r>
        <w:rPr>
          <w:spacing w:val="-10"/>
        </w:rPr>
        <w:t> </w:t>
      </w:r>
      <w:r>
        <w:rPr/>
        <w:t>to</w:t>
      </w:r>
      <w:r>
        <w:rPr>
          <w:spacing w:val="-9"/>
        </w:rPr>
        <w:t> </w:t>
      </w:r>
      <w:r>
        <w:rPr/>
        <w:t>rural workers</w:t>
      </w:r>
      <w:r>
        <w:rPr>
          <w:spacing w:val="-14"/>
        </w:rPr>
        <w:t> </w:t>
      </w:r>
      <w:r>
        <w:rPr/>
        <w:t>in</w:t>
      </w:r>
      <w:r>
        <w:rPr>
          <w:spacing w:val="-13"/>
        </w:rPr>
        <w:t> </w:t>
      </w:r>
      <w:r>
        <w:rPr/>
        <w:t>that</w:t>
      </w:r>
      <w:r>
        <w:rPr>
          <w:spacing w:val="-13"/>
        </w:rPr>
        <w:t> </w:t>
      </w:r>
      <w:r>
        <w:rPr/>
        <w:t>country</w:t>
      </w:r>
      <w:r>
        <w:rPr>
          <w:spacing w:val="-18"/>
        </w:rPr>
        <w:t> </w:t>
      </w:r>
      <w:r>
        <w:rPr/>
        <w:t>(Gómez</w:t>
      </w:r>
      <w:r>
        <w:rPr>
          <w:spacing w:val="-12"/>
        </w:rPr>
        <w:t> </w:t>
      </w:r>
      <w:r>
        <w:rPr/>
        <w:t>et</w:t>
      </w:r>
      <w:r>
        <w:rPr>
          <w:spacing w:val="-13"/>
        </w:rPr>
        <w:t> </w:t>
      </w:r>
      <w:r>
        <w:rPr/>
        <w:t>al.</w:t>
      </w:r>
      <w:r>
        <w:rPr>
          <w:spacing w:val="-13"/>
        </w:rPr>
        <w:t> </w:t>
      </w:r>
      <w:r>
        <w:rPr/>
        <w:t>2007).</w:t>
      </w:r>
      <w:r>
        <w:rPr>
          <w:spacing w:val="-13"/>
        </w:rPr>
        <w:t> </w:t>
      </w:r>
      <w:r>
        <w:rPr>
          <w:spacing w:val="-3"/>
        </w:rPr>
        <w:t>In</w:t>
      </w:r>
      <w:r>
        <w:rPr>
          <w:spacing w:val="-13"/>
        </w:rPr>
        <w:t> </w:t>
      </w:r>
      <w:r>
        <w:rPr/>
        <w:t>Chile,</w:t>
      </w:r>
      <w:r>
        <w:rPr>
          <w:spacing w:val="-13"/>
        </w:rPr>
        <w:t> </w:t>
      </w:r>
      <w:r>
        <w:rPr/>
        <w:t>the</w:t>
      </w:r>
      <w:r>
        <w:rPr>
          <w:spacing w:val="-14"/>
        </w:rPr>
        <w:t> </w:t>
      </w:r>
      <w:r>
        <w:rPr/>
        <w:t>marginal</w:t>
      </w:r>
      <w:r>
        <w:rPr>
          <w:spacing w:val="-13"/>
        </w:rPr>
        <w:t> </w:t>
      </w:r>
      <w:r>
        <w:rPr/>
        <w:t>productivity</w:t>
      </w:r>
      <w:r>
        <w:rPr>
          <w:spacing w:val="-21"/>
        </w:rPr>
        <w:t> </w:t>
      </w:r>
      <w:r>
        <w:rPr/>
        <w:t>of</w:t>
      </w:r>
      <w:r>
        <w:rPr>
          <w:spacing w:val="-11"/>
        </w:rPr>
        <w:t> </w:t>
      </w:r>
      <w:r>
        <w:rPr>
          <w:i/>
        </w:rPr>
        <w:t>campesino </w:t>
      </w:r>
      <w:r>
        <w:rPr/>
        <w:t>labour was competitive against waged work; therefore </w:t>
      </w:r>
      <w:r>
        <w:rPr>
          <w:i/>
        </w:rPr>
        <w:t>campesino </w:t>
      </w:r>
      <w:r>
        <w:rPr/>
        <w:t>farming that relies on family labour continues to represent an employment alternative for small-scale family dairy systems (Ramírez and Foster</w:t>
      </w:r>
      <w:r>
        <w:rPr>
          <w:spacing w:val="-6"/>
        </w:rPr>
        <w:t> </w:t>
      </w:r>
      <w:r>
        <w:rPr/>
        <w:t>2003).</w:t>
      </w:r>
    </w:p>
    <w:p>
      <w:pPr>
        <w:pStyle w:val="BodyText"/>
      </w:pPr>
    </w:p>
    <w:p>
      <w:pPr>
        <w:pStyle w:val="BodyText"/>
        <w:spacing w:before="4"/>
        <w:rPr>
          <w:sz w:val="33"/>
        </w:rPr>
      </w:pPr>
    </w:p>
    <w:p>
      <w:pPr>
        <w:pStyle w:val="BodyText"/>
        <w:spacing w:line="360" w:lineRule="auto"/>
        <w:ind w:left="102" w:right="113"/>
        <w:jc w:val="both"/>
      </w:pPr>
      <w:r>
        <w:rPr/>
        <w:t>It is interesting to note that even though the studied systems are located in peri-urban areas and only 20 km away from Mexico City; the incomes generated by these SSDS are higher than those offered in the area. The monthly income generated by family labour in this study was</w:t>
      </w:r>
      <w:r>
        <w:rPr>
          <w:spacing w:val="-6"/>
        </w:rPr>
        <w:t> </w:t>
      </w:r>
      <w:r>
        <w:rPr/>
        <w:t>USD$</w:t>
      </w:r>
      <w:r>
        <w:rPr>
          <w:spacing w:val="-6"/>
        </w:rPr>
        <w:t> </w:t>
      </w:r>
      <w:r>
        <w:rPr/>
        <w:t>231.00,</w:t>
      </w:r>
      <w:r>
        <w:rPr>
          <w:spacing w:val="-4"/>
        </w:rPr>
        <w:t> </w:t>
      </w:r>
      <w:r>
        <w:rPr/>
        <w:t>compared</w:t>
      </w:r>
      <w:r>
        <w:rPr>
          <w:spacing w:val="-6"/>
        </w:rPr>
        <w:t> </w:t>
      </w:r>
      <w:r>
        <w:rPr/>
        <w:t>to</w:t>
      </w:r>
      <w:r>
        <w:rPr>
          <w:spacing w:val="-3"/>
        </w:rPr>
        <w:t> </w:t>
      </w:r>
      <w:r>
        <w:rPr/>
        <w:t>USD$</w:t>
      </w:r>
      <w:r>
        <w:rPr>
          <w:spacing w:val="-6"/>
        </w:rPr>
        <w:t> </w:t>
      </w:r>
      <w:r>
        <w:rPr/>
        <w:t>145/month</w:t>
      </w:r>
      <w:r>
        <w:rPr>
          <w:spacing w:val="-6"/>
        </w:rPr>
        <w:t> </w:t>
      </w:r>
      <w:r>
        <w:rPr/>
        <w:t>that</w:t>
      </w:r>
      <w:r>
        <w:rPr>
          <w:spacing w:val="-6"/>
        </w:rPr>
        <w:t> </w:t>
      </w:r>
      <w:r>
        <w:rPr/>
        <w:t>was</w:t>
      </w:r>
      <w:r>
        <w:rPr>
          <w:spacing w:val="-6"/>
        </w:rPr>
        <w:t> </w:t>
      </w:r>
      <w:r>
        <w:rPr/>
        <w:t>the</w:t>
      </w:r>
      <w:r>
        <w:rPr>
          <w:spacing w:val="-7"/>
        </w:rPr>
        <w:t> </w:t>
      </w:r>
      <w:r>
        <w:rPr/>
        <w:t>current</w:t>
      </w:r>
      <w:r>
        <w:rPr>
          <w:spacing w:val="-6"/>
        </w:rPr>
        <w:t> </w:t>
      </w:r>
      <w:r>
        <w:rPr/>
        <w:t>minimal</w:t>
      </w:r>
      <w:r>
        <w:rPr>
          <w:spacing w:val="-6"/>
        </w:rPr>
        <w:t> </w:t>
      </w:r>
      <w:r>
        <w:rPr/>
        <w:t>wage.</w:t>
      </w:r>
      <w:r>
        <w:rPr>
          <w:spacing w:val="-4"/>
        </w:rPr>
        <w:t> </w:t>
      </w:r>
      <w:r>
        <w:rPr/>
        <w:t>These results</w:t>
      </w:r>
      <w:r>
        <w:rPr>
          <w:spacing w:val="-7"/>
        </w:rPr>
        <w:t> </w:t>
      </w:r>
      <w:r>
        <w:rPr/>
        <w:t>are</w:t>
      </w:r>
      <w:r>
        <w:rPr>
          <w:spacing w:val="-7"/>
        </w:rPr>
        <w:t> </w:t>
      </w:r>
      <w:r>
        <w:rPr/>
        <w:t>clear</w:t>
      </w:r>
      <w:r>
        <w:rPr>
          <w:spacing w:val="-6"/>
        </w:rPr>
        <w:t> </w:t>
      </w:r>
      <w:r>
        <w:rPr/>
        <w:t>evidence</w:t>
      </w:r>
      <w:r>
        <w:rPr>
          <w:spacing w:val="-6"/>
        </w:rPr>
        <w:t> </w:t>
      </w:r>
      <w:r>
        <w:rPr/>
        <w:t>of</w:t>
      </w:r>
      <w:r>
        <w:rPr>
          <w:spacing w:val="-8"/>
        </w:rPr>
        <w:t> </w:t>
      </w:r>
      <w:r>
        <w:rPr/>
        <w:t>the</w:t>
      </w:r>
      <w:r>
        <w:rPr>
          <w:spacing w:val="-8"/>
        </w:rPr>
        <w:t> </w:t>
      </w:r>
      <w:r>
        <w:rPr/>
        <w:t>importance</w:t>
      </w:r>
      <w:r>
        <w:rPr>
          <w:spacing w:val="-9"/>
        </w:rPr>
        <w:t> </w:t>
      </w:r>
      <w:r>
        <w:rPr/>
        <w:t>not</w:t>
      </w:r>
      <w:r>
        <w:rPr>
          <w:spacing w:val="-7"/>
        </w:rPr>
        <w:t> </w:t>
      </w:r>
      <w:r>
        <w:rPr/>
        <w:t>only</w:t>
      </w:r>
      <w:r>
        <w:rPr>
          <w:spacing w:val="-10"/>
        </w:rPr>
        <w:t> </w:t>
      </w:r>
      <w:r>
        <w:rPr/>
        <w:t>of</w:t>
      </w:r>
      <w:r>
        <w:rPr>
          <w:spacing w:val="-8"/>
        </w:rPr>
        <w:t> </w:t>
      </w:r>
      <w:r>
        <w:rPr/>
        <w:t>family</w:t>
      </w:r>
      <w:r>
        <w:rPr>
          <w:spacing w:val="-12"/>
        </w:rPr>
        <w:t> </w:t>
      </w:r>
      <w:r>
        <w:rPr/>
        <w:t>labour</w:t>
      </w:r>
      <w:r>
        <w:rPr>
          <w:spacing w:val="-8"/>
        </w:rPr>
        <w:t> </w:t>
      </w:r>
      <w:r>
        <w:rPr/>
        <w:t>to</w:t>
      </w:r>
      <w:r>
        <w:rPr>
          <w:spacing w:val="-7"/>
        </w:rPr>
        <w:t> </w:t>
      </w:r>
      <w:r>
        <w:rPr/>
        <w:t>the</w:t>
      </w:r>
      <w:r>
        <w:rPr>
          <w:spacing w:val="-8"/>
        </w:rPr>
        <w:t> </w:t>
      </w:r>
      <w:r>
        <w:rPr/>
        <w:t>small-scale</w:t>
      </w:r>
      <w:r>
        <w:rPr>
          <w:spacing w:val="-8"/>
        </w:rPr>
        <w:t> </w:t>
      </w:r>
      <w:r>
        <w:rPr/>
        <w:t>dairy production</w:t>
      </w:r>
      <w:r>
        <w:rPr>
          <w:spacing w:val="-5"/>
        </w:rPr>
        <w:t> </w:t>
      </w:r>
      <w:r>
        <w:rPr/>
        <w:t>systems,</w:t>
      </w:r>
      <w:r>
        <w:rPr>
          <w:spacing w:val="-5"/>
        </w:rPr>
        <w:t> </w:t>
      </w:r>
      <w:r>
        <w:rPr/>
        <w:t>but</w:t>
      </w:r>
      <w:r>
        <w:rPr>
          <w:spacing w:val="-5"/>
        </w:rPr>
        <w:t> </w:t>
      </w:r>
      <w:r>
        <w:rPr/>
        <w:t>to</w:t>
      </w:r>
      <w:r>
        <w:rPr>
          <w:spacing w:val="-5"/>
        </w:rPr>
        <w:t> </w:t>
      </w:r>
      <w:r>
        <w:rPr/>
        <w:t>the</w:t>
      </w:r>
      <w:r>
        <w:rPr>
          <w:spacing w:val="-6"/>
        </w:rPr>
        <w:t> </w:t>
      </w:r>
      <w:r>
        <w:rPr/>
        <w:t>broader</w:t>
      </w:r>
      <w:r>
        <w:rPr>
          <w:spacing w:val="-6"/>
        </w:rPr>
        <w:t> </w:t>
      </w:r>
      <w:r>
        <w:rPr/>
        <w:t>economy</w:t>
      </w:r>
      <w:r>
        <w:rPr>
          <w:spacing w:val="-10"/>
        </w:rPr>
        <w:t> </w:t>
      </w:r>
      <w:r>
        <w:rPr/>
        <w:t>of</w:t>
      </w:r>
      <w:r>
        <w:rPr>
          <w:spacing w:val="-4"/>
        </w:rPr>
        <w:t> </w:t>
      </w:r>
      <w:r>
        <w:rPr/>
        <w:t>the</w:t>
      </w:r>
      <w:r>
        <w:rPr>
          <w:spacing w:val="-6"/>
        </w:rPr>
        <w:t> </w:t>
      </w:r>
      <w:r>
        <w:rPr/>
        <w:t>farming</w:t>
      </w:r>
      <w:r>
        <w:rPr>
          <w:spacing w:val="-8"/>
        </w:rPr>
        <w:t> </w:t>
      </w:r>
      <w:r>
        <w:rPr/>
        <w:t>sector</w:t>
      </w:r>
      <w:r>
        <w:rPr>
          <w:spacing w:val="-6"/>
        </w:rPr>
        <w:t> </w:t>
      </w:r>
      <w:r>
        <w:rPr/>
        <w:t>and</w:t>
      </w:r>
      <w:r>
        <w:rPr>
          <w:spacing w:val="-5"/>
        </w:rPr>
        <w:t> </w:t>
      </w:r>
      <w:r>
        <w:rPr/>
        <w:t>society</w:t>
      </w:r>
      <w:r>
        <w:rPr>
          <w:spacing w:val="-10"/>
        </w:rPr>
        <w:t> </w:t>
      </w:r>
      <w:r>
        <w:rPr/>
        <w:t>in</w:t>
      </w:r>
      <w:r>
        <w:rPr>
          <w:spacing w:val="-2"/>
        </w:rPr>
        <w:t> </w:t>
      </w:r>
      <w:r>
        <w:rPr/>
        <w:t>general. In</w:t>
      </w:r>
      <w:r>
        <w:rPr>
          <w:spacing w:val="-7"/>
        </w:rPr>
        <w:t> </w:t>
      </w:r>
      <w:r>
        <w:rPr/>
        <w:t>this</w:t>
      </w:r>
      <w:r>
        <w:rPr>
          <w:spacing w:val="-8"/>
        </w:rPr>
        <w:t> </w:t>
      </w:r>
      <w:r>
        <w:rPr/>
        <w:t>sense,</w:t>
      </w:r>
      <w:r>
        <w:rPr>
          <w:spacing w:val="-7"/>
        </w:rPr>
        <w:t> </w:t>
      </w:r>
      <w:r>
        <w:rPr/>
        <w:t>in</w:t>
      </w:r>
      <w:r>
        <w:rPr>
          <w:spacing w:val="-8"/>
        </w:rPr>
        <w:t> </w:t>
      </w:r>
      <w:r>
        <w:rPr/>
        <w:t>this</w:t>
      </w:r>
      <w:r>
        <w:rPr>
          <w:spacing w:val="-8"/>
        </w:rPr>
        <w:t> </w:t>
      </w:r>
      <w:r>
        <w:rPr/>
        <w:t>study</w:t>
      </w:r>
      <w:r>
        <w:rPr>
          <w:spacing w:val="-11"/>
        </w:rPr>
        <w:t> </w:t>
      </w:r>
      <w:r>
        <w:rPr/>
        <w:t>Stratum</w:t>
      </w:r>
      <w:r>
        <w:rPr>
          <w:spacing w:val="-8"/>
        </w:rPr>
        <w:t> </w:t>
      </w:r>
      <w:r>
        <w:rPr/>
        <w:t>1</w:t>
      </w:r>
      <w:r>
        <w:rPr>
          <w:spacing w:val="-6"/>
        </w:rPr>
        <w:t> </w:t>
      </w:r>
      <w:r>
        <w:rPr/>
        <w:t>generated</w:t>
      </w:r>
      <w:r>
        <w:rPr>
          <w:spacing w:val="-9"/>
        </w:rPr>
        <w:t> </w:t>
      </w:r>
      <w:r>
        <w:rPr/>
        <w:t>35.0%</w:t>
      </w:r>
      <w:r>
        <w:rPr>
          <w:spacing w:val="-9"/>
        </w:rPr>
        <w:t> </w:t>
      </w:r>
      <w:r>
        <w:rPr/>
        <w:t>of</w:t>
      </w:r>
      <w:r>
        <w:rPr>
          <w:spacing w:val="-9"/>
        </w:rPr>
        <w:t> </w:t>
      </w:r>
      <w:r>
        <w:rPr/>
        <w:t>the</w:t>
      </w:r>
      <w:r>
        <w:rPr>
          <w:spacing w:val="-10"/>
        </w:rPr>
        <w:t> </w:t>
      </w:r>
      <w:r>
        <w:rPr/>
        <w:t>added</w:t>
      </w:r>
      <w:r>
        <w:rPr>
          <w:spacing w:val="-9"/>
        </w:rPr>
        <w:t> </w:t>
      </w:r>
      <w:r>
        <w:rPr/>
        <w:t>value</w:t>
      </w:r>
      <w:r>
        <w:rPr>
          <w:spacing w:val="-9"/>
        </w:rPr>
        <w:t> </w:t>
      </w:r>
      <w:r>
        <w:rPr/>
        <w:t>in</w:t>
      </w:r>
      <w:r>
        <w:rPr>
          <w:spacing w:val="-8"/>
        </w:rPr>
        <w:t> </w:t>
      </w:r>
      <w:r>
        <w:rPr/>
        <w:t>the</w:t>
      </w:r>
      <w:r>
        <w:rPr>
          <w:spacing w:val="-10"/>
        </w:rPr>
        <w:t> </w:t>
      </w:r>
      <w:r>
        <w:rPr/>
        <w:t>total</w:t>
      </w:r>
      <w:r>
        <w:rPr>
          <w:spacing w:val="-8"/>
        </w:rPr>
        <w:t> </w:t>
      </w:r>
      <w:r>
        <w:rPr/>
        <w:t>revenue, Stratum 2 the 48.0%, and Stratum 3 the</w:t>
      </w:r>
      <w:r>
        <w:rPr>
          <w:spacing w:val="-8"/>
        </w:rPr>
        <w:t> </w:t>
      </w:r>
      <w:r>
        <w:rPr/>
        <w:t>54.0%.</w:t>
      </w:r>
    </w:p>
    <w:p>
      <w:pPr>
        <w:pStyle w:val="BodyText"/>
      </w:pPr>
    </w:p>
    <w:p>
      <w:pPr>
        <w:pStyle w:val="BodyText"/>
        <w:spacing w:before="3"/>
        <w:rPr>
          <w:sz w:val="33"/>
        </w:rPr>
      </w:pPr>
    </w:p>
    <w:p>
      <w:pPr>
        <w:pStyle w:val="BodyText"/>
        <w:spacing w:line="360" w:lineRule="auto"/>
        <w:ind w:left="102" w:right="121"/>
        <w:jc w:val="both"/>
      </w:pPr>
      <w:r>
        <w:rPr/>
        <w:t>The competitiveness of family labour is an issue that depends on several factors, among which some are the income level, productivity per cow and the country where the activity is undertaken. A study undertaken in Uganda reported that the economic cost of family labour requires a herd of over 15 dairy cows, or else family members must suppor income with waged making smaller systems more vulnerable (Ndambi et al. 2008). In the work herein reported, farms in Stratum 1 (herds between 3 and 9 cows) were profitable and the main income source of the households.</w:t>
      </w:r>
    </w:p>
    <w:p>
      <w:pPr>
        <w:pStyle w:val="BodyText"/>
      </w:pPr>
    </w:p>
    <w:p>
      <w:pPr>
        <w:pStyle w:val="BodyText"/>
        <w:spacing w:before="3"/>
        <w:rPr>
          <w:sz w:val="33"/>
        </w:rPr>
      </w:pPr>
    </w:p>
    <w:p>
      <w:pPr>
        <w:pStyle w:val="BodyText"/>
        <w:spacing w:line="360" w:lineRule="auto"/>
        <w:ind w:left="102" w:right="118"/>
        <w:jc w:val="both"/>
      </w:pPr>
      <w:r>
        <w:rPr/>
        <w:t>In terms of self-employment generated by these SSDS, it is noteworthy the participation of the children, women (farmers’ wives) and senior members of the family, who would have difficulties in finding a waged job, and they represent an important human capital that</w:t>
      </w:r>
    </w:p>
    <w:p>
      <w:pPr>
        <w:spacing w:after="0" w:line="360" w:lineRule="auto"/>
        <w:jc w:val="both"/>
        <w:sectPr>
          <w:pgSz w:w="12240" w:h="15840"/>
          <w:pgMar w:header="0" w:footer="657" w:top="1360" w:bottom="840" w:left="1600" w:right="1580"/>
        </w:sectPr>
      </w:pPr>
    </w:p>
    <w:p>
      <w:pPr>
        <w:pStyle w:val="BodyText"/>
        <w:spacing w:line="360" w:lineRule="auto" w:before="50"/>
        <w:ind w:left="102" w:right="120"/>
        <w:jc w:val="both"/>
      </w:pPr>
      <w:r>
        <w:rPr/>
        <w:t>contribute effectively to the profitability and competitiveness of their systems; as well as contributing</w:t>
      </w:r>
      <w:r>
        <w:rPr>
          <w:spacing w:val="-10"/>
        </w:rPr>
        <w:t> </w:t>
      </w:r>
      <w:r>
        <w:rPr/>
        <w:t>to</w:t>
      </w:r>
      <w:r>
        <w:rPr>
          <w:spacing w:val="-7"/>
        </w:rPr>
        <w:t> </w:t>
      </w:r>
      <w:r>
        <w:rPr/>
        <w:t>pass</w:t>
      </w:r>
      <w:r>
        <w:rPr>
          <w:spacing w:val="-7"/>
        </w:rPr>
        <w:t> </w:t>
      </w:r>
      <w:r>
        <w:rPr/>
        <w:t>on</w:t>
      </w:r>
      <w:r>
        <w:rPr>
          <w:spacing w:val="-6"/>
        </w:rPr>
        <w:t> </w:t>
      </w:r>
      <w:r>
        <w:rPr/>
        <w:t>the</w:t>
      </w:r>
      <w:r>
        <w:rPr>
          <w:spacing w:val="-8"/>
        </w:rPr>
        <w:t> </w:t>
      </w:r>
      <w:r>
        <w:rPr/>
        <w:t>heritage</w:t>
      </w:r>
      <w:r>
        <w:rPr>
          <w:spacing w:val="-9"/>
        </w:rPr>
        <w:t> </w:t>
      </w:r>
      <w:r>
        <w:rPr/>
        <w:t>of</w:t>
      </w:r>
      <w:r>
        <w:rPr>
          <w:spacing w:val="-8"/>
        </w:rPr>
        <w:t> </w:t>
      </w:r>
      <w:r>
        <w:rPr/>
        <w:t>a</w:t>
      </w:r>
      <w:r>
        <w:rPr>
          <w:spacing w:val="-6"/>
        </w:rPr>
        <w:t> </w:t>
      </w:r>
      <w:r>
        <w:rPr/>
        <w:t>dairy</w:t>
      </w:r>
      <w:r>
        <w:rPr>
          <w:spacing w:val="-10"/>
        </w:rPr>
        <w:t> </w:t>
      </w:r>
      <w:r>
        <w:rPr/>
        <w:t>farming</w:t>
      </w:r>
      <w:r>
        <w:rPr>
          <w:spacing w:val="-7"/>
        </w:rPr>
        <w:t> </w:t>
      </w:r>
      <w:r>
        <w:rPr/>
        <w:t>culture.</w:t>
      </w:r>
      <w:r>
        <w:rPr>
          <w:spacing w:val="-8"/>
        </w:rPr>
        <w:t> </w:t>
      </w:r>
      <w:r>
        <w:rPr/>
        <w:t>This</w:t>
      </w:r>
      <w:r>
        <w:rPr>
          <w:spacing w:val="-5"/>
        </w:rPr>
        <w:t> </w:t>
      </w:r>
      <w:r>
        <w:rPr/>
        <w:t>coincides</w:t>
      </w:r>
      <w:r>
        <w:rPr>
          <w:spacing w:val="-7"/>
        </w:rPr>
        <w:t> </w:t>
      </w:r>
      <w:r>
        <w:rPr/>
        <w:t>with</w:t>
      </w:r>
      <w:r>
        <w:rPr>
          <w:spacing w:val="-7"/>
        </w:rPr>
        <w:t> </w:t>
      </w:r>
      <w:r>
        <w:rPr/>
        <w:t>a</w:t>
      </w:r>
      <w:r>
        <w:rPr>
          <w:spacing w:val="-9"/>
        </w:rPr>
        <w:t> </w:t>
      </w:r>
      <w:r>
        <w:rPr/>
        <w:t>Rahman (2010) in Bangladesh in which the importance of women’s labour is noted as a fundamental part of the human capital in those systems, increasing productivity and the efficiency. Ndambi and Hemme (2009) mention that the competitiveness represented by family labour may only be evaluated within the current particular situation and to the work alternatives present in the labour market, since from an economic standpoint, waged work will only represents a better alternative if the people participating in the activities (children, women and senior family members) have an alternative labour</w:t>
      </w:r>
      <w:r>
        <w:rPr>
          <w:spacing w:val="-13"/>
        </w:rPr>
        <w:t> </w:t>
      </w:r>
      <w:r>
        <w:rPr/>
        <w:t>market.</w:t>
      </w:r>
    </w:p>
    <w:p>
      <w:pPr>
        <w:pStyle w:val="BodyText"/>
      </w:pPr>
    </w:p>
    <w:p>
      <w:pPr>
        <w:pStyle w:val="Heading1"/>
        <w:spacing w:before="148"/>
      </w:pPr>
      <w:r>
        <w:rPr/>
        <w:t>Conclusions</w:t>
      </w:r>
    </w:p>
    <w:p>
      <w:pPr>
        <w:pStyle w:val="BodyText"/>
        <w:rPr>
          <w:b/>
        </w:rPr>
      </w:pPr>
    </w:p>
    <w:p>
      <w:pPr>
        <w:pStyle w:val="BodyText"/>
        <w:rPr>
          <w:b/>
        </w:rPr>
      </w:pPr>
    </w:p>
    <w:p>
      <w:pPr>
        <w:pStyle w:val="BodyText"/>
        <w:spacing w:before="5"/>
        <w:rPr>
          <w:b/>
          <w:sz w:val="20"/>
        </w:rPr>
      </w:pPr>
    </w:p>
    <w:p>
      <w:pPr>
        <w:pStyle w:val="BodyText"/>
        <w:spacing w:line="360" w:lineRule="auto"/>
        <w:ind w:left="102" w:right="117"/>
        <w:jc w:val="both"/>
      </w:pPr>
      <w:r>
        <w:rPr/>
        <w:t>Family labour is a key element in providing profitability and competitiveness to small-scale dairy production systems, and its economic importance is directly related to the herd size. The</w:t>
      </w:r>
      <w:r>
        <w:rPr>
          <w:spacing w:val="-7"/>
        </w:rPr>
        <w:t> </w:t>
      </w:r>
      <w:r>
        <w:rPr/>
        <w:t>equivalent</w:t>
      </w:r>
      <w:r>
        <w:rPr>
          <w:spacing w:val="-6"/>
        </w:rPr>
        <w:t> </w:t>
      </w:r>
      <w:r>
        <w:rPr/>
        <w:t>salaries</w:t>
      </w:r>
      <w:r>
        <w:rPr>
          <w:spacing w:val="-4"/>
        </w:rPr>
        <w:t> </w:t>
      </w:r>
      <w:r>
        <w:rPr/>
        <w:t>generated</w:t>
      </w:r>
      <w:r>
        <w:rPr>
          <w:spacing w:val="-6"/>
        </w:rPr>
        <w:t> </w:t>
      </w:r>
      <w:r>
        <w:rPr/>
        <w:t>by</w:t>
      </w:r>
      <w:r>
        <w:rPr>
          <w:spacing w:val="-11"/>
        </w:rPr>
        <w:t> </w:t>
      </w:r>
      <w:r>
        <w:rPr/>
        <w:t>family</w:t>
      </w:r>
      <w:r>
        <w:rPr>
          <w:spacing w:val="-11"/>
        </w:rPr>
        <w:t> </w:t>
      </w:r>
      <w:r>
        <w:rPr/>
        <w:t>labour</w:t>
      </w:r>
      <w:r>
        <w:rPr>
          <w:spacing w:val="-7"/>
        </w:rPr>
        <w:t> </w:t>
      </w:r>
      <w:r>
        <w:rPr/>
        <w:t>were</w:t>
      </w:r>
      <w:r>
        <w:rPr>
          <w:spacing w:val="-7"/>
        </w:rPr>
        <w:t> </w:t>
      </w:r>
      <w:r>
        <w:rPr/>
        <w:t>higher</w:t>
      </w:r>
      <w:r>
        <w:rPr>
          <w:spacing w:val="-7"/>
        </w:rPr>
        <w:t> </w:t>
      </w:r>
      <w:r>
        <w:rPr/>
        <w:t>than</w:t>
      </w:r>
      <w:r>
        <w:rPr>
          <w:spacing w:val="-6"/>
        </w:rPr>
        <w:t> </w:t>
      </w:r>
      <w:r>
        <w:rPr/>
        <w:t>the</w:t>
      </w:r>
      <w:r>
        <w:rPr>
          <w:spacing w:val="-7"/>
        </w:rPr>
        <w:t> </w:t>
      </w:r>
      <w:r>
        <w:rPr/>
        <w:t>official</w:t>
      </w:r>
      <w:r>
        <w:rPr>
          <w:spacing w:val="-6"/>
        </w:rPr>
        <w:t> </w:t>
      </w:r>
      <w:r>
        <w:rPr/>
        <w:t>salaries</w:t>
      </w:r>
      <w:r>
        <w:rPr>
          <w:spacing w:val="-7"/>
        </w:rPr>
        <w:t> </w:t>
      </w:r>
      <w:r>
        <w:rPr/>
        <w:t>paid in the study</w:t>
      </w:r>
      <w:r>
        <w:rPr>
          <w:spacing w:val="-5"/>
        </w:rPr>
        <w:t> </w:t>
      </w:r>
      <w:r>
        <w:rPr/>
        <w:t>area.</w:t>
      </w:r>
    </w:p>
    <w:p>
      <w:pPr>
        <w:pStyle w:val="BodyText"/>
      </w:pPr>
    </w:p>
    <w:p>
      <w:pPr>
        <w:pStyle w:val="BodyText"/>
        <w:spacing w:before="8"/>
        <w:rPr>
          <w:sz w:val="33"/>
        </w:rPr>
      </w:pPr>
    </w:p>
    <w:p>
      <w:pPr>
        <w:pStyle w:val="Heading1"/>
        <w:spacing w:before="1"/>
      </w:pPr>
      <w:r>
        <w:rPr/>
        <w:t>Acknowledgments</w:t>
      </w:r>
    </w:p>
    <w:p>
      <w:pPr>
        <w:pStyle w:val="BodyText"/>
        <w:rPr>
          <w:b/>
        </w:rPr>
      </w:pPr>
    </w:p>
    <w:p>
      <w:pPr>
        <w:pStyle w:val="BodyText"/>
        <w:rPr>
          <w:b/>
        </w:rPr>
      </w:pPr>
    </w:p>
    <w:p>
      <w:pPr>
        <w:pStyle w:val="BodyText"/>
        <w:spacing w:before="5"/>
        <w:rPr>
          <w:b/>
          <w:sz w:val="20"/>
        </w:rPr>
      </w:pPr>
    </w:p>
    <w:p>
      <w:pPr>
        <w:pStyle w:val="BodyText"/>
        <w:spacing w:line="360" w:lineRule="auto"/>
        <w:ind w:left="102" w:right="117"/>
        <w:jc w:val="both"/>
      </w:pPr>
      <w:r>
        <w:rPr/>
        <w:t>The</w:t>
      </w:r>
      <w:r>
        <w:rPr>
          <w:spacing w:val="-7"/>
        </w:rPr>
        <w:t> </w:t>
      </w:r>
      <w:r>
        <w:rPr/>
        <w:t>authors</w:t>
      </w:r>
      <w:r>
        <w:rPr>
          <w:spacing w:val="-6"/>
        </w:rPr>
        <w:t> </w:t>
      </w:r>
      <w:r>
        <w:rPr/>
        <w:t>are</w:t>
      </w:r>
      <w:r>
        <w:rPr>
          <w:spacing w:val="-8"/>
        </w:rPr>
        <w:t> </w:t>
      </w:r>
      <w:r>
        <w:rPr/>
        <w:t>very</w:t>
      </w:r>
      <w:r>
        <w:rPr>
          <w:spacing w:val="-11"/>
        </w:rPr>
        <w:t> </w:t>
      </w:r>
      <w:r>
        <w:rPr/>
        <w:t>grateful</w:t>
      </w:r>
      <w:r>
        <w:rPr>
          <w:spacing w:val="-6"/>
        </w:rPr>
        <w:t> </w:t>
      </w:r>
      <w:r>
        <w:rPr/>
        <w:t>to</w:t>
      </w:r>
      <w:r>
        <w:rPr>
          <w:spacing w:val="-6"/>
        </w:rPr>
        <w:t> </w:t>
      </w:r>
      <w:r>
        <w:rPr/>
        <w:t>the</w:t>
      </w:r>
      <w:r>
        <w:rPr>
          <w:spacing w:val="-7"/>
        </w:rPr>
        <w:t> </w:t>
      </w:r>
      <w:r>
        <w:rPr/>
        <w:t>37</w:t>
      </w:r>
      <w:r>
        <w:rPr>
          <w:spacing w:val="-6"/>
        </w:rPr>
        <w:t> </w:t>
      </w:r>
      <w:r>
        <w:rPr/>
        <w:t>small-scale</w:t>
      </w:r>
      <w:r>
        <w:rPr>
          <w:spacing w:val="-9"/>
        </w:rPr>
        <w:t> </w:t>
      </w:r>
      <w:r>
        <w:rPr/>
        <w:t>dairy</w:t>
      </w:r>
      <w:r>
        <w:rPr>
          <w:spacing w:val="-11"/>
        </w:rPr>
        <w:t> </w:t>
      </w:r>
      <w:r>
        <w:rPr/>
        <w:t>farmers</w:t>
      </w:r>
      <w:r>
        <w:rPr>
          <w:spacing w:val="-7"/>
        </w:rPr>
        <w:t> </w:t>
      </w:r>
      <w:r>
        <w:rPr/>
        <w:t>from</w:t>
      </w:r>
      <w:r>
        <w:rPr>
          <w:spacing w:val="-6"/>
        </w:rPr>
        <w:t> </w:t>
      </w:r>
      <w:r>
        <w:rPr/>
        <w:t>the</w:t>
      </w:r>
      <w:r>
        <w:rPr>
          <w:spacing w:val="-7"/>
        </w:rPr>
        <w:t> </w:t>
      </w:r>
      <w:r>
        <w:rPr/>
        <w:t>district</w:t>
      </w:r>
      <w:r>
        <w:rPr>
          <w:spacing w:val="-6"/>
        </w:rPr>
        <w:t> </w:t>
      </w:r>
      <w:r>
        <w:rPr/>
        <w:t>of</w:t>
      </w:r>
      <w:r>
        <w:rPr>
          <w:spacing w:val="-7"/>
        </w:rPr>
        <w:t> </w:t>
      </w:r>
      <w:r>
        <w:rPr/>
        <w:t>Texcoco participating</w:t>
      </w:r>
      <w:r>
        <w:rPr>
          <w:spacing w:val="-11"/>
        </w:rPr>
        <w:t> </w:t>
      </w:r>
      <w:r>
        <w:rPr/>
        <w:t>in</w:t>
      </w:r>
      <w:r>
        <w:rPr>
          <w:spacing w:val="-11"/>
        </w:rPr>
        <w:t> </w:t>
      </w:r>
      <w:r>
        <w:rPr/>
        <w:t>this</w:t>
      </w:r>
      <w:r>
        <w:rPr>
          <w:spacing w:val="-11"/>
        </w:rPr>
        <w:t> </w:t>
      </w:r>
      <w:r>
        <w:rPr/>
        <w:t>work</w:t>
      </w:r>
      <w:r>
        <w:rPr>
          <w:spacing w:val="-9"/>
        </w:rPr>
        <w:t> </w:t>
      </w:r>
      <w:r>
        <w:rPr/>
        <w:t>for</w:t>
      </w:r>
      <w:r>
        <w:rPr>
          <w:spacing w:val="-13"/>
        </w:rPr>
        <w:t> </w:t>
      </w:r>
      <w:r>
        <w:rPr/>
        <w:t>sharing</w:t>
      </w:r>
      <w:r>
        <w:rPr>
          <w:spacing w:val="-13"/>
        </w:rPr>
        <w:t> </w:t>
      </w:r>
      <w:r>
        <w:rPr/>
        <w:t>their</w:t>
      </w:r>
      <w:r>
        <w:rPr>
          <w:spacing w:val="-11"/>
        </w:rPr>
        <w:t> </w:t>
      </w:r>
      <w:r>
        <w:rPr/>
        <w:t>experience</w:t>
      </w:r>
      <w:r>
        <w:rPr>
          <w:spacing w:val="-12"/>
        </w:rPr>
        <w:t> </w:t>
      </w:r>
      <w:r>
        <w:rPr/>
        <w:t>and</w:t>
      </w:r>
      <w:r>
        <w:rPr>
          <w:spacing w:val="-9"/>
        </w:rPr>
        <w:t> </w:t>
      </w:r>
      <w:r>
        <w:rPr/>
        <w:t>enabling</w:t>
      </w:r>
      <w:r>
        <w:rPr>
          <w:spacing w:val="-13"/>
        </w:rPr>
        <w:t> </w:t>
      </w:r>
      <w:r>
        <w:rPr/>
        <w:t>this</w:t>
      </w:r>
      <w:r>
        <w:rPr>
          <w:spacing w:val="-11"/>
        </w:rPr>
        <w:t> </w:t>
      </w:r>
      <w:r>
        <w:rPr/>
        <w:t>study.</w:t>
      </w:r>
      <w:r>
        <w:rPr>
          <w:spacing w:val="-9"/>
        </w:rPr>
        <w:t> </w:t>
      </w:r>
      <w:r>
        <w:rPr/>
        <w:t>This</w:t>
      </w:r>
      <w:r>
        <w:rPr>
          <w:spacing w:val="-11"/>
        </w:rPr>
        <w:t> </w:t>
      </w:r>
      <w:r>
        <w:rPr/>
        <w:t>study</w:t>
      </w:r>
      <w:r>
        <w:rPr>
          <w:spacing w:val="-16"/>
        </w:rPr>
        <w:t> </w:t>
      </w:r>
      <w:r>
        <w:rPr/>
        <w:t>was funded by Universidad Autónoma del Estado de México (UAEM) through grant</w:t>
      </w:r>
      <w:r>
        <w:rPr>
          <w:spacing w:val="-26"/>
        </w:rPr>
        <w:t> </w:t>
      </w:r>
      <w:r>
        <w:rPr/>
        <w:t>2892/2010. Our</w:t>
      </w:r>
      <w:r>
        <w:rPr>
          <w:spacing w:val="-10"/>
        </w:rPr>
        <w:t> </w:t>
      </w:r>
      <w:r>
        <w:rPr/>
        <w:t>gratitude</w:t>
      </w:r>
      <w:r>
        <w:rPr>
          <w:spacing w:val="-9"/>
        </w:rPr>
        <w:t> </w:t>
      </w:r>
      <w:r>
        <w:rPr/>
        <w:t>also</w:t>
      </w:r>
      <w:r>
        <w:rPr>
          <w:spacing w:val="-8"/>
        </w:rPr>
        <w:t> </w:t>
      </w:r>
      <w:r>
        <w:rPr/>
        <w:t>to</w:t>
      </w:r>
      <w:r>
        <w:rPr>
          <w:spacing w:val="-8"/>
        </w:rPr>
        <w:t> </w:t>
      </w:r>
      <w:r>
        <w:rPr/>
        <w:t>the</w:t>
      </w:r>
      <w:r>
        <w:rPr>
          <w:spacing w:val="-9"/>
        </w:rPr>
        <w:t> </w:t>
      </w:r>
      <w:r>
        <w:rPr/>
        <w:t>Consejo</w:t>
      </w:r>
      <w:r>
        <w:rPr>
          <w:spacing w:val="-8"/>
        </w:rPr>
        <w:t> </w:t>
      </w:r>
      <w:r>
        <w:rPr/>
        <w:t>Nacional</w:t>
      </w:r>
      <w:r>
        <w:rPr>
          <w:spacing w:val="-9"/>
        </w:rPr>
        <w:t> </w:t>
      </w:r>
      <w:r>
        <w:rPr/>
        <w:t>de</w:t>
      </w:r>
      <w:r>
        <w:rPr>
          <w:spacing w:val="-10"/>
        </w:rPr>
        <w:t> </w:t>
      </w:r>
      <w:r>
        <w:rPr/>
        <w:t>Ciencia</w:t>
      </w:r>
      <w:r>
        <w:rPr>
          <w:spacing w:val="-7"/>
        </w:rPr>
        <w:t> </w:t>
      </w:r>
      <w:r>
        <w:rPr/>
        <w:t>y</w:t>
      </w:r>
      <w:r>
        <w:rPr>
          <w:spacing w:val="-13"/>
        </w:rPr>
        <w:t> </w:t>
      </w:r>
      <w:r>
        <w:rPr/>
        <w:t>Tecnología</w:t>
      </w:r>
      <w:r>
        <w:rPr>
          <w:spacing w:val="-9"/>
        </w:rPr>
        <w:t> </w:t>
      </w:r>
      <w:r>
        <w:rPr/>
        <w:t>(CONACYT)</w:t>
      </w:r>
      <w:r>
        <w:rPr>
          <w:spacing w:val="-10"/>
        </w:rPr>
        <w:t> </w:t>
      </w:r>
      <w:r>
        <w:rPr/>
        <w:t>of</w:t>
      </w:r>
      <w:r>
        <w:rPr>
          <w:spacing w:val="-9"/>
        </w:rPr>
        <w:t> </w:t>
      </w:r>
      <w:r>
        <w:rPr/>
        <w:t>Mexico for the grant for the doctoral studies of Rodolfo Rogelio Posadas</w:t>
      </w:r>
      <w:r>
        <w:rPr>
          <w:spacing w:val="-13"/>
        </w:rPr>
        <w:t> </w:t>
      </w:r>
      <w:r>
        <w:rPr/>
        <w:t>Domínguez.</w:t>
      </w:r>
    </w:p>
    <w:p>
      <w:pPr>
        <w:spacing w:after="0" w:line="360" w:lineRule="auto"/>
        <w:jc w:val="both"/>
        <w:sectPr>
          <w:pgSz w:w="12240" w:h="15840"/>
          <w:pgMar w:header="0" w:footer="657" w:top="1360" w:bottom="840" w:left="1600" w:right="1580"/>
        </w:sectPr>
      </w:pPr>
    </w:p>
    <w:p>
      <w:pPr>
        <w:pStyle w:val="Heading1"/>
        <w:ind w:left="162"/>
        <w:jc w:val="left"/>
      </w:pPr>
      <w:r>
        <w:rPr/>
        <w:t>References</w:t>
      </w:r>
    </w:p>
    <w:p>
      <w:pPr>
        <w:pStyle w:val="BodyText"/>
        <w:rPr>
          <w:b/>
        </w:rPr>
      </w:pPr>
    </w:p>
    <w:p>
      <w:pPr>
        <w:pStyle w:val="BodyText"/>
        <w:rPr>
          <w:b/>
          <w:sz w:val="34"/>
        </w:rPr>
      </w:pPr>
    </w:p>
    <w:p>
      <w:pPr>
        <w:pStyle w:val="BodyText"/>
        <w:spacing w:line="360" w:lineRule="auto"/>
        <w:ind w:left="870" w:right="116" w:hanging="708"/>
        <w:jc w:val="both"/>
      </w:pPr>
      <w:r>
        <w:rPr/>
        <w:t>Alfonso-Ávila, A.R., Wattiaux, M.A., Espinoza-Ortega A., Sánchez-Vera, E., Arriaga- Jordán, C. M., 2011. Local feeding strategies and milk composition in small-scale dairy production systems during the rainy season in the Highlands of Mexico. Tropical Animal Health and Production, 3, 637-44.</w:t>
      </w:r>
    </w:p>
    <w:p>
      <w:pPr>
        <w:pStyle w:val="BodyText"/>
        <w:spacing w:line="360" w:lineRule="auto" w:before="4"/>
        <w:ind w:left="870" w:right="116" w:hanging="708"/>
        <w:jc w:val="both"/>
      </w:pPr>
      <w:r>
        <w:rPr/>
        <w:t>Álvarez-Fuentes, G., Herrera-Haro, J.G., Bárcena-Gama, R., Martínez-Castañeda, F.E., Hernández-Garay, A. and Pérez-Pérez, J., 2004. Calidad de la alimentación y rentabilidad de granjas lecheras familiares del sur del valle de México. Archivos de Zootecnia, 53, 103-106.</w:t>
      </w:r>
    </w:p>
    <w:p>
      <w:pPr>
        <w:pStyle w:val="BodyText"/>
        <w:spacing w:line="360" w:lineRule="auto" w:before="124"/>
        <w:ind w:left="870" w:right="116" w:hanging="708"/>
        <w:jc w:val="both"/>
      </w:pPr>
      <w:r>
        <w:rPr/>
        <w:t>Anaya-Ortega,</w:t>
      </w:r>
      <w:r>
        <w:rPr>
          <w:spacing w:val="-10"/>
        </w:rPr>
        <w:t> </w:t>
      </w:r>
      <w:r>
        <w:rPr/>
        <w:t>J.</w:t>
      </w:r>
      <w:r>
        <w:rPr>
          <w:spacing w:val="-12"/>
        </w:rPr>
        <w:t> </w:t>
      </w:r>
      <w:r>
        <w:rPr/>
        <w:t>P.,</w:t>
      </w:r>
      <w:r>
        <w:rPr>
          <w:spacing w:val="-12"/>
        </w:rPr>
        <w:t> </w:t>
      </w:r>
      <w:r>
        <w:rPr/>
        <w:t>Garduño-Castro,</w:t>
      </w:r>
      <w:r>
        <w:rPr>
          <w:spacing w:val="-12"/>
        </w:rPr>
        <w:t> </w:t>
      </w:r>
      <w:r>
        <w:rPr/>
        <w:t>G.,</w:t>
      </w:r>
      <w:r>
        <w:rPr>
          <w:spacing w:val="-10"/>
        </w:rPr>
        <w:t> </w:t>
      </w:r>
      <w:r>
        <w:rPr/>
        <w:t>Espinoza-Ortega,</w:t>
      </w:r>
      <w:r>
        <w:rPr>
          <w:spacing w:val="-12"/>
        </w:rPr>
        <w:t> </w:t>
      </w:r>
      <w:r>
        <w:rPr/>
        <w:t>A.,</w:t>
      </w:r>
      <w:r>
        <w:rPr>
          <w:spacing w:val="-10"/>
        </w:rPr>
        <w:t> </w:t>
      </w:r>
      <w:r>
        <w:rPr/>
        <w:t>Rojo-Rubio,</w:t>
      </w:r>
      <w:r>
        <w:rPr>
          <w:spacing w:val="-12"/>
        </w:rPr>
        <w:t> </w:t>
      </w:r>
      <w:r>
        <w:rPr/>
        <w:t>R.,</w:t>
      </w:r>
      <w:r>
        <w:rPr>
          <w:spacing w:val="-12"/>
        </w:rPr>
        <w:t> </w:t>
      </w:r>
      <w:r>
        <w:rPr/>
        <w:t>and</w:t>
      </w:r>
      <w:r>
        <w:rPr>
          <w:spacing w:val="-10"/>
        </w:rPr>
        <w:t> </w:t>
      </w:r>
      <w:r>
        <w:rPr/>
        <w:t>Arriaga- Jordán, C. M., 2009. Silage from maize (Zea mays), annual ryegrass (Lolium multiflorum)</w:t>
      </w:r>
      <w:r>
        <w:rPr>
          <w:spacing w:val="-15"/>
        </w:rPr>
        <w:t> </w:t>
      </w:r>
      <w:r>
        <w:rPr/>
        <w:t>or</w:t>
      </w:r>
      <w:r>
        <w:rPr>
          <w:spacing w:val="-16"/>
        </w:rPr>
        <w:t> </w:t>
      </w:r>
      <w:r>
        <w:rPr/>
        <w:t>their</w:t>
      </w:r>
      <w:r>
        <w:rPr>
          <w:spacing w:val="-16"/>
        </w:rPr>
        <w:t> </w:t>
      </w:r>
      <w:r>
        <w:rPr/>
        <w:t>mixture</w:t>
      </w:r>
      <w:r>
        <w:rPr>
          <w:spacing w:val="-16"/>
        </w:rPr>
        <w:t> </w:t>
      </w:r>
      <w:r>
        <w:rPr/>
        <w:t>in</w:t>
      </w:r>
      <w:r>
        <w:rPr>
          <w:spacing w:val="-14"/>
        </w:rPr>
        <w:t> </w:t>
      </w:r>
      <w:r>
        <w:rPr/>
        <w:t>the</w:t>
      </w:r>
      <w:r>
        <w:rPr>
          <w:spacing w:val="-13"/>
        </w:rPr>
        <w:t> </w:t>
      </w:r>
      <w:r>
        <w:rPr/>
        <w:t>dry</w:t>
      </w:r>
      <w:r>
        <w:rPr>
          <w:spacing w:val="-20"/>
        </w:rPr>
        <w:t> </w:t>
      </w:r>
      <w:r>
        <w:rPr/>
        <w:t>season</w:t>
      </w:r>
      <w:r>
        <w:rPr>
          <w:spacing w:val="-12"/>
        </w:rPr>
        <w:t> </w:t>
      </w:r>
      <w:r>
        <w:rPr/>
        <w:t>feeding</w:t>
      </w:r>
      <w:r>
        <w:rPr>
          <w:spacing w:val="-17"/>
        </w:rPr>
        <w:t> </w:t>
      </w:r>
      <w:r>
        <w:rPr/>
        <w:t>of</w:t>
      </w:r>
      <w:r>
        <w:rPr>
          <w:spacing w:val="-11"/>
        </w:rPr>
        <w:t> </w:t>
      </w:r>
      <w:r>
        <w:rPr/>
        <w:t>grazing</w:t>
      </w:r>
      <w:r>
        <w:rPr>
          <w:spacing w:val="-17"/>
        </w:rPr>
        <w:t> </w:t>
      </w:r>
      <w:r>
        <w:rPr/>
        <w:t>dairy</w:t>
      </w:r>
      <w:r>
        <w:rPr>
          <w:spacing w:val="-20"/>
        </w:rPr>
        <w:t> </w:t>
      </w:r>
      <w:r>
        <w:rPr/>
        <w:t>cows</w:t>
      </w:r>
      <w:r>
        <w:rPr>
          <w:spacing w:val="-15"/>
        </w:rPr>
        <w:t> </w:t>
      </w:r>
      <w:r>
        <w:rPr/>
        <w:t>in</w:t>
      </w:r>
      <w:r>
        <w:rPr>
          <w:spacing w:val="-14"/>
        </w:rPr>
        <w:t> </w:t>
      </w:r>
      <w:r>
        <w:rPr/>
        <w:t>small- scale dairy production systems in the Highlands of Mexico. Tropical Animal Health and Production, 41,</w:t>
      </w:r>
      <w:r>
        <w:rPr>
          <w:spacing w:val="-2"/>
        </w:rPr>
        <w:t> </w:t>
      </w:r>
      <w:r>
        <w:rPr/>
        <w:t>607-616.</w:t>
      </w:r>
    </w:p>
    <w:p>
      <w:pPr>
        <w:pStyle w:val="BodyText"/>
        <w:spacing w:line="360" w:lineRule="auto" w:before="6"/>
        <w:ind w:left="870" w:right="118" w:hanging="708"/>
        <w:jc w:val="both"/>
      </w:pPr>
      <w:r>
        <w:rPr/>
        <w:t>Antriyandarti, E., Ferichani, M., Ani, S.W., 2013. Sustainability of post-eruption socio economic recovery for the community on Mount Merapi slope through horticulture agribusiness region development (Case study in Boyolali District). Procedia Environmental Sciences, 17, 46-52.</w:t>
      </w:r>
    </w:p>
    <w:p>
      <w:pPr>
        <w:pStyle w:val="BodyText"/>
        <w:spacing w:line="360" w:lineRule="auto" w:before="6"/>
        <w:ind w:left="870" w:right="121" w:hanging="708"/>
        <w:jc w:val="both"/>
      </w:pPr>
      <w:r>
        <w:rPr/>
        <w:t>Ayenew, Y.A., Tegegne, M.W.A., Zollitsch, W., 2011. Socioeconomic characteristics of urban and peri-urban dairy production system in the North western Ethiopian Highlands. Tropical Animal Health and Production, 43, 1145-1152</w:t>
      </w:r>
    </w:p>
    <w:p>
      <w:pPr>
        <w:pStyle w:val="BodyText"/>
        <w:spacing w:line="360" w:lineRule="auto" w:before="4"/>
        <w:ind w:left="870" w:right="116" w:hanging="766"/>
        <w:jc w:val="both"/>
      </w:pPr>
      <w:r>
        <w:rPr/>
        <w:t>Barrera-Rodríguez, I.A., Jaramillo-Villanueva, L.J., Escobedo-Garrido, J.S., and Herrera- Cabrera, B.E., 2011. Rentabilidad y competitividad de los sistemas de producción</w:t>
      </w:r>
      <w:r>
        <w:rPr>
          <w:spacing w:val="-28"/>
        </w:rPr>
        <w:t> </w:t>
      </w:r>
      <w:r>
        <w:rPr/>
        <w:t>de vainilla (</w:t>
      </w:r>
      <w:r>
        <w:rPr>
          <w:i/>
        </w:rPr>
        <w:t>Vanilla planifolia</w:t>
      </w:r>
      <w:r>
        <w:rPr/>
        <w:t>) en la región del Totonacapan, México. Agrociencia, 45, 625-638.</w:t>
      </w:r>
    </w:p>
    <w:p>
      <w:pPr>
        <w:pStyle w:val="BodyText"/>
        <w:spacing w:line="360" w:lineRule="auto" w:before="124"/>
        <w:ind w:left="870" w:right="125" w:hanging="708"/>
        <w:jc w:val="both"/>
      </w:pPr>
      <w:r>
        <w:rPr/>
        <w:t>Bojnec, S., Latruffe, L., 2013. Farm size, agricultural subsidies and farm performance in Slovenia. Land Use Policy, 32, 207-217.</w:t>
      </w:r>
    </w:p>
    <w:p>
      <w:pPr>
        <w:pStyle w:val="BodyText"/>
        <w:spacing w:line="360" w:lineRule="auto" w:before="4"/>
        <w:ind w:left="870" w:right="121" w:hanging="708"/>
        <w:jc w:val="both"/>
      </w:pPr>
      <w:r>
        <w:rPr/>
        <w:t>Cabrera, V.E., Solís, D., Del Corral, J., 2010. Determinants of technical efficiency among dairy farms in Wisconsin. Journal Dairy Science, 93, 387-393.</w:t>
      </w:r>
    </w:p>
    <w:p>
      <w:pPr>
        <w:spacing w:after="0" w:line="360" w:lineRule="auto"/>
        <w:jc w:val="both"/>
        <w:sectPr>
          <w:pgSz w:w="12240" w:h="15840"/>
          <w:pgMar w:header="0" w:footer="657" w:top="1360" w:bottom="840" w:left="1540" w:right="1580"/>
        </w:sectPr>
      </w:pPr>
    </w:p>
    <w:p>
      <w:pPr>
        <w:pStyle w:val="BodyText"/>
        <w:spacing w:line="360" w:lineRule="auto" w:before="50"/>
        <w:ind w:left="162" w:right="115" w:hanging="46"/>
        <w:jc w:val="right"/>
      </w:pPr>
      <w:r>
        <w:rPr/>
        <w:t>Carranza-Trinidad, R.G., Macedo-Barragán, R., Cámara-Córdoba, J.,</w:t>
      </w:r>
      <w:r>
        <w:rPr>
          <w:spacing w:val="52"/>
        </w:rPr>
        <w:t> </w:t>
      </w:r>
      <w:r>
        <w:rPr/>
        <w:t>Sosa-Ramírez, J., Meraz-Jiménez, A.J., and Valdivia-Flores, A.G., 2007. Competitividad en la cadena productiva de leche del estado de Aguascalientes, México. Agrociencia, 41, 701-709.</w:t>
      </w:r>
    </w:p>
    <w:p>
      <w:pPr>
        <w:pStyle w:val="BodyText"/>
        <w:spacing w:line="360" w:lineRule="auto" w:before="126"/>
        <w:ind w:left="870" w:right="116" w:hanging="708"/>
        <w:jc w:val="both"/>
      </w:pPr>
      <w:r>
        <w:rPr/>
        <w:t>Espinoza-Ortega, A., Espinosa-Ayala, E., Bastida-López, J., Castañeda-Martínez, T., and Arriaga-Jordán, C.M., 2007. Small-scale dairy farming in the highlands of central Mexico: Technical, economic and social aspects and their impact on poverty. Experimental Agriculture, 43, 241-256.</w:t>
      </w:r>
    </w:p>
    <w:p>
      <w:pPr>
        <w:pStyle w:val="BodyText"/>
        <w:spacing w:line="360" w:lineRule="auto" w:before="126"/>
        <w:ind w:left="870" w:right="123" w:hanging="708"/>
      </w:pPr>
      <w:r>
        <w:rPr/>
        <w:t>FAO-BID-Organización de las Naciones Unidas para la Agricultura y la Alimentación- Banco Interamericano para el desarrollo, 2007. Políticas para la agricultura familiar en América Latina y el Caribe. Eds. Soto, V.F., Rodríguez, F.M., and Cesar, F., Santiago,</w:t>
      </w:r>
      <w:r>
        <w:rPr>
          <w:spacing w:val="-17"/>
        </w:rPr>
        <w:t> </w:t>
      </w:r>
      <w:r>
        <w:rPr/>
        <w:t>Chile.</w:t>
      </w:r>
      <w:r>
        <w:rPr>
          <w:spacing w:val="-14"/>
        </w:rPr>
        <w:t> </w:t>
      </w:r>
      <w:r>
        <w:rPr/>
        <w:t>Oficina</w:t>
      </w:r>
      <w:r>
        <w:rPr>
          <w:spacing w:val="-13"/>
        </w:rPr>
        <w:t> </w:t>
      </w:r>
      <w:r>
        <w:rPr/>
        <w:t>Regional</w:t>
      </w:r>
      <w:r>
        <w:rPr>
          <w:spacing w:val="-17"/>
        </w:rPr>
        <w:t> </w:t>
      </w:r>
      <w:r>
        <w:rPr/>
        <w:t>de</w:t>
      </w:r>
      <w:r>
        <w:rPr>
          <w:spacing w:val="-18"/>
        </w:rPr>
        <w:t> </w:t>
      </w:r>
      <w:r>
        <w:rPr/>
        <w:t>la</w:t>
      </w:r>
      <w:r>
        <w:rPr>
          <w:spacing w:val="-15"/>
        </w:rPr>
        <w:t> </w:t>
      </w:r>
      <w:r>
        <w:rPr/>
        <w:t>FAO</w:t>
      </w:r>
      <w:r>
        <w:rPr>
          <w:spacing w:val="-18"/>
        </w:rPr>
        <w:t> </w:t>
      </w:r>
      <w:r>
        <w:rPr/>
        <w:t>para</w:t>
      </w:r>
      <w:r>
        <w:rPr>
          <w:spacing w:val="-14"/>
        </w:rPr>
        <w:t> </w:t>
      </w:r>
      <w:r>
        <w:rPr/>
        <w:t>América</w:t>
      </w:r>
      <w:r>
        <w:rPr>
          <w:spacing w:val="-13"/>
        </w:rPr>
        <w:t> </w:t>
      </w:r>
      <w:r>
        <w:rPr/>
        <w:t>Latina</w:t>
      </w:r>
      <w:r>
        <w:rPr>
          <w:spacing w:val="-15"/>
        </w:rPr>
        <w:t> </w:t>
      </w:r>
      <w:r>
        <w:rPr/>
        <w:t>el</w:t>
      </w:r>
      <w:r>
        <w:rPr>
          <w:spacing w:val="-16"/>
        </w:rPr>
        <w:t> </w:t>
      </w:r>
      <w:r>
        <w:rPr/>
        <w:t>Caribe.</w:t>
      </w:r>
      <w:r>
        <w:rPr>
          <w:spacing w:val="-14"/>
        </w:rPr>
        <w:t> </w:t>
      </w:r>
      <w:r>
        <w:rPr/>
        <w:t>Santiago, Chile. </w:t>
      </w:r>
      <w:hyperlink r:id="rId117">
        <w:r>
          <w:rPr>
            <w:u w:val="single"/>
          </w:rPr>
          <w:t>http://unpan1.un.org/intradoc/groups/public/documents/icap/unpan033253.pdf</w:t>
        </w:r>
      </w:hyperlink>
      <w:r>
        <w:rPr>
          <w:u w:val="single"/>
        </w:rPr>
        <w:t> </w:t>
      </w:r>
      <w:r>
        <w:rPr/>
        <w:t>Accessed June 24th</w:t>
      </w:r>
      <w:r>
        <w:rPr>
          <w:spacing w:val="-3"/>
        </w:rPr>
        <w:t> </w:t>
      </w:r>
      <w:r>
        <w:rPr/>
        <w:t>2012.</w:t>
      </w:r>
    </w:p>
    <w:p>
      <w:pPr>
        <w:pStyle w:val="BodyText"/>
        <w:tabs>
          <w:tab w:pos="2729" w:val="left" w:leader="none"/>
          <w:tab w:pos="3964" w:val="left" w:leader="none"/>
          <w:tab w:pos="6078" w:val="left" w:leader="none"/>
          <w:tab w:pos="7899" w:val="left" w:leader="none"/>
        </w:tabs>
        <w:spacing w:line="360" w:lineRule="auto" w:before="124"/>
        <w:ind w:left="870" w:right="115" w:hanging="766"/>
        <w:jc w:val="both"/>
      </w:pPr>
      <w:r>
        <w:rPr/>
        <w:t>FAO-Organización</w:t>
      </w:r>
      <w:r>
        <w:rPr>
          <w:spacing w:val="-7"/>
        </w:rPr>
        <w:t> </w:t>
      </w:r>
      <w:r>
        <w:rPr/>
        <w:t>de</w:t>
      </w:r>
      <w:r>
        <w:rPr>
          <w:spacing w:val="-8"/>
        </w:rPr>
        <w:t> </w:t>
      </w:r>
      <w:r>
        <w:rPr/>
        <w:t>las</w:t>
      </w:r>
      <w:r>
        <w:rPr>
          <w:spacing w:val="-5"/>
        </w:rPr>
        <w:t> </w:t>
      </w:r>
      <w:r>
        <w:rPr/>
        <w:t>Naciones</w:t>
      </w:r>
      <w:r>
        <w:rPr>
          <w:spacing w:val="-8"/>
        </w:rPr>
        <w:t> </w:t>
      </w:r>
      <w:r>
        <w:rPr/>
        <w:t>Unidas</w:t>
      </w:r>
      <w:r>
        <w:rPr>
          <w:spacing w:val="-7"/>
        </w:rPr>
        <w:t> </w:t>
      </w:r>
      <w:r>
        <w:rPr/>
        <w:t>para</w:t>
      </w:r>
      <w:r>
        <w:rPr>
          <w:spacing w:val="-7"/>
        </w:rPr>
        <w:t> </w:t>
      </w:r>
      <w:r>
        <w:rPr/>
        <w:t>la</w:t>
      </w:r>
      <w:r>
        <w:rPr>
          <w:spacing w:val="-5"/>
        </w:rPr>
        <w:t> </w:t>
      </w:r>
      <w:r>
        <w:rPr/>
        <w:t>Agricultura</w:t>
      </w:r>
      <w:r>
        <w:rPr>
          <w:spacing w:val="-4"/>
        </w:rPr>
        <w:t> </w:t>
      </w:r>
      <w:r>
        <w:rPr/>
        <w:t>y</w:t>
      </w:r>
      <w:r>
        <w:rPr>
          <w:spacing w:val="-12"/>
        </w:rPr>
        <w:t> </w:t>
      </w:r>
      <w:r>
        <w:rPr/>
        <w:t>la</w:t>
      </w:r>
      <w:r>
        <w:rPr>
          <w:spacing w:val="-8"/>
        </w:rPr>
        <w:t> </w:t>
      </w:r>
      <w:r>
        <w:rPr/>
        <w:t>Alimentación,</w:t>
      </w:r>
      <w:r>
        <w:rPr>
          <w:spacing w:val="-7"/>
        </w:rPr>
        <w:t> </w:t>
      </w:r>
      <w:r>
        <w:rPr/>
        <w:t>2012.</w:t>
      </w:r>
      <w:r>
        <w:rPr>
          <w:spacing w:val="-6"/>
        </w:rPr>
        <w:t> </w:t>
      </w:r>
      <w:r>
        <w:rPr/>
        <w:t>Plan Sectorial</w:t>
        <w:tab/>
        <w:t>de</w:t>
        <w:tab/>
        <w:t>Agricultura</w:t>
        <w:tab/>
        <w:t>Familiar</w:t>
        <w:tab/>
        <w:t>2011-2014. </w:t>
      </w:r>
      <w:hyperlink r:id="rId118">
        <w:r>
          <w:rPr>
            <w:u w:val="single"/>
          </w:rPr>
          <w:t>http://www.mag.go.cr/bibliotecavirtual/a00304.pdf </w:t>
        </w:r>
      </w:hyperlink>
      <w:r>
        <w:rPr/>
        <w:t>Accessed June 24th</w:t>
      </w:r>
      <w:r>
        <w:rPr>
          <w:spacing w:val="-9"/>
        </w:rPr>
        <w:t> </w:t>
      </w:r>
      <w:r>
        <w:rPr/>
        <w:t>2012.</w:t>
      </w:r>
    </w:p>
    <w:p>
      <w:pPr>
        <w:pStyle w:val="BodyText"/>
        <w:spacing w:line="360" w:lineRule="auto" w:before="6"/>
        <w:ind w:left="870" w:right="113" w:hanging="766"/>
        <w:jc w:val="both"/>
      </w:pPr>
      <w:r>
        <w:rPr/>
        <w:t>García, O., Mahmood, K., and Hemme, T., 2003. A Review of milk production in Pakistan with</w:t>
      </w:r>
      <w:r>
        <w:rPr>
          <w:spacing w:val="-15"/>
        </w:rPr>
        <w:t> </w:t>
      </w:r>
      <w:r>
        <w:rPr/>
        <w:t>particular</w:t>
      </w:r>
      <w:r>
        <w:rPr>
          <w:spacing w:val="-15"/>
        </w:rPr>
        <w:t> </w:t>
      </w:r>
      <w:r>
        <w:rPr/>
        <w:t>emphasis</w:t>
      </w:r>
      <w:r>
        <w:rPr>
          <w:spacing w:val="-13"/>
        </w:rPr>
        <w:t> </w:t>
      </w:r>
      <w:r>
        <w:rPr/>
        <w:t>on</w:t>
      </w:r>
      <w:r>
        <w:rPr>
          <w:spacing w:val="-16"/>
        </w:rPr>
        <w:t> </w:t>
      </w:r>
      <w:r>
        <w:rPr/>
        <w:t>small-scale</w:t>
      </w:r>
      <w:r>
        <w:rPr>
          <w:spacing w:val="-14"/>
        </w:rPr>
        <w:t> </w:t>
      </w:r>
      <w:r>
        <w:rPr/>
        <w:t>producers.</w:t>
      </w:r>
      <w:r>
        <w:rPr>
          <w:spacing w:val="-14"/>
        </w:rPr>
        <w:t> </w:t>
      </w:r>
      <w:r>
        <w:rPr/>
        <w:t>PPLPI</w:t>
      </w:r>
      <w:r>
        <w:rPr>
          <w:spacing w:val="-19"/>
        </w:rPr>
        <w:t> </w:t>
      </w:r>
      <w:r>
        <w:rPr/>
        <w:t>Working</w:t>
      </w:r>
      <w:r>
        <w:rPr>
          <w:spacing w:val="-16"/>
        </w:rPr>
        <w:t> </w:t>
      </w:r>
      <w:r>
        <w:rPr/>
        <w:t>Paper</w:t>
      </w:r>
      <w:r>
        <w:rPr>
          <w:spacing w:val="-14"/>
        </w:rPr>
        <w:t> </w:t>
      </w:r>
      <w:r>
        <w:rPr/>
        <w:t>No.</w:t>
      </w:r>
      <w:r>
        <w:rPr>
          <w:spacing w:val="-16"/>
        </w:rPr>
        <w:t> </w:t>
      </w:r>
      <w:r>
        <w:rPr/>
        <w:t>3,</w:t>
      </w:r>
      <w:r>
        <w:rPr>
          <w:spacing w:val="-16"/>
        </w:rPr>
        <w:t> </w:t>
      </w:r>
      <w:r>
        <w:rPr/>
        <w:t>(Pro- Poor Livestock Policy Initiative, International Farm Comparison Network (IFCN). </w:t>
      </w:r>
      <w:hyperlink r:id="rId119">
        <w:r>
          <w:rPr>
            <w:u w:val="single"/>
          </w:rPr>
          <w:t>http://www.fao.org/ag/againfo/programmes/en/pplpi/docarc/wp3.pdf</w:t>
        </w:r>
      </w:hyperlink>
      <w:r>
        <w:rPr>
          <w:u w:val="single"/>
        </w:rPr>
        <w:t> </w:t>
      </w:r>
      <w:r>
        <w:rPr/>
        <w:t>Accessed May 21st 2012.</w:t>
      </w:r>
    </w:p>
    <w:p>
      <w:pPr>
        <w:pStyle w:val="BodyText"/>
        <w:spacing w:line="360" w:lineRule="auto" w:before="4"/>
        <w:ind w:left="870" w:right="117" w:hanging="766"/>
        <w:jc w:val="both"/>
      </w:pPr>
      <w:r>
        <w:rPr/>
        <w:t>Gómez, C., Fernández, M., Salazar, I., Saldaña, I., and Heredia, I., 2007. Improvement of small dairy producers in the central coast of Peru. Tropical Animal Health and Production, 39, 611-618.</w:t>
      </w:r>
    </w:p>
    <w:p>
      <w:pPr>
        <w:pStyle w:val="BodyText"/>
        <w:spacing w:line="360" w:lineRule="auto" w:before="6"/>
        <w:ind w:left="870" w:right="117" w:hanging="766"/>
        <w:jc w:val="both"/>
      </w:pPr>
      <w:r>
        <w:rPr/>
        <w:t>Hemme,</w:t>
      </w:r>
      <w:r>
        <w:rPr>
          <w:spacing w:val="-9"/>
        </w:rPr>
        <w:t> </w:t>
      </w:r>
      <w:r>
        <w:rPr/>
        <w:t>T.</w:t>
      </w:r>
      <w:r>
        <w:rPr>
          <w:spacing w:val="-9"/>
        </w:rPr>
        <w:t> </w:t>
      </w:r>
      <w:r>
        <w:rPr/>
        <w:t>and</w:t>
      </w:r>
      <w:r>
        <w:rPr>
          <w:spacing w:val="-9"/>
        </w:rPr>
        <w:t> </w:t>
      </w:r>
      <w:r>
        <w:rPr/>
        <w:t>Otte,</w:t>
      </w:r>
      <w:r>
        <w:rPr>
          <w:spacing w:val="-11"/>
        </w:rPr>
        <w:t> </w:t>
      </w:r>
      <w:r>
        <w:rPr/>
        <w:t>J.,</w:t>
      </w:r>
      <w:r>
        <w:rPr>
          <w:spacing w:val="-9"/>
        </w:rPr>
        <w:t> </w:t>
      </w:r>
      <w:r>
        <w:rPr/>
        <w:t>2010.</w:t>
      </w:r>
      <w:r>
        <w:rPr>
          <w:spacing w:val="-9"/>
        </w:rPr>
        <w:t> </w:t>
      </w:r>
      <w:r>
        <w:rPr/>
        <w:t>Status</w:t>
      </w:r>
      <w:r>
        <w:rPr>
          <w:spacing w:val="-8"/>
        </w:rPr>
        <w:t> </w:t>
      </w:r>
      <w:r>
        <w:rPr/>
        <w:t>and</w:t>
      </w:r>
      <w:r>
        <w:rPr>
          <w:spacing w:val="-11"/>
        </w:rPr>
        <w:t> </w:t>
      </w:r>
      <w:r>
        <w:rPr/>
        <w:t>prospects</w:t>
      </w:r>
      <w:r>
        <w:rPr>
          <w:spacing w:val="-8"/>
        </w:rPr>
        <w:t> </w:t>
      </w:r>
      <w:r>
        <w:rPr/>
        <w:t>for</w:t>
      </w:r>
      <w:r>
        <w:rPr>
          <w:spacing w:val="-10"/>
        </w:rPr>
        <w:t> </w:t>
      </w:r>
      <w:r>
        <w:rPr/>
        <w:t>smallholder</w:t>
      </w:r>
      <w:r>
        <w:rPr>
          <w:spacing w:val="-9"/>
        </w:rPr>
        <w:t> </w:t>
      </w:r>
      <w:r>
        <w:rPr/>
        <w:t>milk</w:t>
      </w:r>
      <w:r>
        <w:rPr>
          <w:spacing w:val="-11"/>
        </w:rPr>
        <w:t> </w:t>
      </w:r>
      <w:r>
        <w:rPr/>
        <w:t>production:</w:t>
      </w:r>
      <w:r>
        <w:rPr>
          <w:spacing w:val="-8"/>
        </w:rPr>
        <w:t> </w:t>
      </w:r>
      <w:r>
        <w:rPr/>
        <w:t>A</w:t>
      </w:r>
      <w:r>
        <w:rPr>
          <w:spacing w:val="-9"/>
        </w:rPr>
        <w:t> </w:t>
      </w:r>
      <w:r>
        <w:rPr/>
        <w:t>global perspective. (Pro-Poor Livestock Policy Initiative, International Farm Comparison Network (IFCN). </w:t>
      </w:r>
      <w:hyperlink r:id="rId120">
        <w:r>
          <w:rPr>
            <w:u w:val="single"/>
          </w:rPr>
          <w:t>http://www.fao.org/docrep/012/i1522e/i1522e00.pdf</w:t>
        </w:r>
      </w:hyperlink>
      <w:r>
        <w:rPr>
          <w:u w:val="single"/>
        </w:rPr>
        <w:t> </w:t>
      </w:r>
      <w:r>
        <w:rPr/>
        <w:t>Accessed May 21st</w:t>
      </w:r>
      <w:r>
        <w:rPr>
          <w:spacing w:val="-5"/>
        </w:rPr>
        <w:t> </w:t>
      </w:r>
      <w:r>
        <w:rPr/>
        <w:t>2012.</w:t>
      </w:r>
    </w:p>
    <w:p>
      <w:pPr>
        <w:spacing w:after="0" w:line="360" w:lineRule="auto"/>
        <w:jc w:val="both"/>
        <w:sectPr>
          <w:pgSz w:w="12240" w:h="15840"/>
          <w:pgMar w:header="0" w:footer="657" w:top="1360" w:bottom="840" w:left="1540" w:right="1580"/>
        </w:sectPr>
      </w:pPr>
    </w:p>
    <w:p>
      <w:pPr>
        <w:pStyle w:val="BodyText"/>
        <w:spacing w:line="360" w:lineRule="auto" w:before="50"/>
        <w:ind w:left="881" w:right="117" w:hanging="766"/>
        <w:jc w:val="both"/>
      </w:pPr>
      <w:r>
        <w:rPr/>
        <w:t>IFIPRI-International Food Policy Research Institute, 2008. Identifying Opportunities in Ghana’s Agriculture: Results from a Policy Analysis Matrix. Edit. Nelson, W., Aggrey. </w:t>
      </w:r>
      <w:hyperlink r:id="rId121">
        <w:r>
          <w:rPr>
            <w:u w:val="single"/>
          </w:rPr>
          <w:t>http://www.ifpri.org/sites/default/files/publications/gsspwp12.pdf </w:t>
        </w:r>
      </w:hyperlink>
      <w:r>
        <w:rPr/>
        <w:t>Accessed October 13th 2012.</w:t>
      </w:r>
    </w:p>
    <w:p>
      <w:pPr>
        <w:pStyle w:val="BodyText"/>
        <w:spacing w:line="360" w:lineRule="auto" w:before="4"/>
        <w:ind w:left="870" w:right="117" w:hanging="766"/>
        <w:jc w:val="both"/>
      </w:pPr>
      <w:r>
        <w:rPr/>
        <w:t>INEGI-Instituto</w:t>
      </w:r>
      <w:r>
        <w:rPr>
          <w:spacing w:val="-11"/>
        </w:rPr>
        <w:t> </w:t>
      </w:r>
      <w:r>
        <w:rPr/>
        <w:t>Nacional</w:t>
      </w:r>
      <w:r>
        <w:rPr>
          <w:spacing w:val="-11"/>
        </w:rPr>
        <w:t> </w:t>
      </w:r>
      <w:r>
        <w:rPr/>
        <w:t>de</w:t>
      </w:r>
      <w:r>
        <w:rPr>
          <w:spacing w:val="-12"/>
        </w:rPr>
        <w:t> </w:t>
      </w:r>
      <w:r>
        <w:rPr/>
        <w:t>Estadística,</w:t>
      </w:r>
      <w:r>
        <w:rPr>
          <w:spacing w:val="-11"/>
        </w:rPr>
        <w:t> </w:t>
      </w:r>
      <w:r>
        <w:rPr/>
        <w:t>Geografía</w:t>
      </w:r>
      <w:r>
        <w:rPr>
          <w:spacing w:val="-10"/>
        </w:rPr>
        <w:t> </w:t>
      </w:r>
      <w:r>
        <w:rPr/>
        <w:t>e</w:t>
      </w:r>
      <w:r>
        <w:rPr>
          <w:spacing w:val="-9"/>
        </w:rPr>
        <w:t> </w:t>
      </w:r>
      <w:r>
        <w:rPr/>
        <w:t>Informática.</w:t>
      </w:r>
      <w:r>
        <w:rPr>
          <w:spacing w:val="-11"/>
        </w:rPr>
        <w:t> </w:t>
      </w:r>
      <w:r>
        <w:rPr/>
        <w:t>2012.</w:t>
      </w:r>
      <w:r>
        <w:rPr>
          <w:spacing w:val="-11"/>
        </w:rPr>
        <w:t> </w:t>
      </w:r>
      <w:r>
        <w:rPr/>
        <w:t>Registro</w:t>
      </w:r>
      <w:r>
        <w:rPr>
          <w:spacing w:val="-11"/>
        </w:rPr>
        <w:t> </w:t>
      </w:r>
      <w:r>
        <w:rPr/>
        <w:t>de</w:t>
      </w:r>
      <w:r>
        <w:rPr>
          <w:spacing w:val="-12"/>
        </w:rPr>
        <w:t> </w:t>
      </w:r>
      <w:r>
        <w:rPr/>
        <w:t>nombres geográficos. </w:t>
      </w:r>
      <w:hyperlink r:id="rId122">
        <w:r>
          <w:rPr>
            <w:u w:val="single"/>
          </w:rPr>
          <w:t>http://www. Mapserver.inegi.org.mx/rnng/index.cfm</w:t>
        </w:r>
      </w:hyperlink>
      <w:r>
        <w:rPr>
          <w:u w:val="single"/>
        </w:rPr>
        <w:t> </w:t>
      </w:r>
      <w:r>
        <w:rPr/>
        <w:t>Accessed November 15th</w:t>
      </w:r>
      <w:r>
        <w:rPr>
          <w:spacing w:val="-4"/>
        </w:rPr>
        <w:t> </w:t>
      </w:r>
      <w:r>
        <w:rPr/>
        <w:t>2012.</w:t>
      </w:r>
    </w:p>
    <w:p>
      <w:pPr>
        <w:pStyle w:val="BodyText"/>
        <w:spacing w:line="360" w:lineRule="auto" w:before="126"/>
        <w:ind w:left="870" w:right="114" w:hanging="708"/>
        <w:jc w:val="both"/>
      </w:pPr>
      <w:r>
        <w:rPr/>
        <w:t>Katic,</w:t>
      </w:r>
      <w:r>
        <w:rPr>
          <w:spacing w:val="-12"/>
        </w:rPr>
        <w:t> </w:t>
      </w:r>
      <w:r>
        <w:rPr/>
        <w:t>P.G.,</w:t>
      </w:r>
      <w:r>
        <w:rPr>
          <w:spacing w:val="-13"/>
        </w:rPr>
        <w:t> </w:t>
      </w:r>
      <w:r>
        <w:rPr/>
        <w:t>Namara,</w:t>
      </w:r>
      <w:r>
        <w:rPr>
          <w:spacing w:val="-12"/>
        </w:rPr>
        <w:t> </w:t>
      </w:r>
      <w:r>
        <w:rPr/>
        <w:t>R.E.,</w:t>
      </w:r>
      <w:r>
        <w:rPr>
          <w:spacing w:val="-12"/>
        </w:rPr>
        <w:t> </w:t>
      </w:r>
      <w:r>
        <w:rPr/>
        <w:t>Owuso</w:t>
      </w:r>
      <w:r>
        <w:rPr>
          <w:spacing w:val="-9"/>
        </w:rPr>
        <w:t> </w:t>
      </w:r>
      <w:r>
        <w:rPr/>
        <w:t>L.H.E.,</w:t>
      </w:r>
      <w:r>
        <w:rPr>
          <w:spacing w:val="-12"/>
        </w:rPr>
        <w:t> </w:t>
      </w:r>
      <w:r>
        <w:rPr/>
        <w:t>Fujii,</w:t>
      </w:r>
      <w:r>
        <w:rPr>
          <w:spacing w:val="-12"/>
        </w:rPr>
        <w:t> </w:t>
      </w:r>
      <w:r>
        <w:rPr/>
        <w:t>H.,</w:t>
      </w:r>
      <w:r>
        <w:rPr>
          <w:spacing w:val="-12"/>
        </w:rPr>
        <w:t> </w:t>
      </w:r>
      <w:r>
        <w:rPr/>
        <w:t>2013.</w:t>
      </w:r>
      <w:r>
        <w:rPr>
          <w:spacing w:val="-10"/>
        </w:rPr>
        <w:t> </w:t>
      </w:r>
      <w:r>
        <w:rPr/>
        <w:t>Rice</w:t>
      </w:r>
      <w:r>
        <w:rPr>
          <w:spacing w:val="-13"/>
        </w:rPr>
        <w:t> </w:t>
      </w:r>
      <w:r>
        <w:rPr/>
        <w:t>and</w:t>
      </w:r>
      <w:r>
        <w:rPr>
          <w:spacing w:val="-12"/>
        </w:rPr>
        <w:t> </w:t>
      </w:r>
      <w:r>
        <w:rPr/>
        <w:t>irrigation</w:t>
      </w:r>
      <w:r>
        <w:rPr>
          <w:spacing w:val="-12"/>
        </w:rPr>
        <w:t> </w:t>
      </w:r>
      <w:r>
        <w:rPr/>
        <w:t>in</w:t>
      </w:r>
      <w:r>
        <w:rPr>
          <w:spacing w:val="-14"/>
        </w:rPr>
        <w:t> </w:t>
      </w:r>
      <w:r>
        <w:rPr/>
        <w:t>West</w:t>
      </w:r>
      <w:r>
        <w:rPr>
          <w:spacing w:val="-11"/>
        </w:rPr>
        <w:t> </w:t>
      </w:r>
      <w:r>
        <w:rPr/>
        <w:t>Africa: Achieving food security with agricultural water management strategies. Water resources and economics, 1,</w:t>
      </w:r>
      <w:r>
        <w:rPr>
          <w:spacing w:val="-4"/>
        </w:rPr>
        <w:t> </w:t>
      </w:r>
      <w:r>
        <w:rPr/>
        <w:t>75-92.</w:t>
      </w:r>
    </w:p>
    <w:p>
      <w:pPr>
        <w:pStyle w:val="BodyText"/>
        <w:spacing w:line="360" w:lineRule="auto" w:before="4"/>
        <w:ind w:left="870" w:right="117" w:hanging="766"/>
        <w:jc w:val="both"/>
      </w:pPr>
      <w:r>
        <w:rPr/>
        <w:t>Lara-Covarrubias, D., Mora-Flores, J.S., Martínez-Damián, M.A., García-Delgado, G., Omaña-Silvestre, J.M., and Gallegos-Sánchez, J., 2003. Competitividad y ventajas comparativas</w:t>
      </w:r>
      <w:r>
        <w:rPr>
          <w:spacing w:val="-4"/>
        </w:rPr>
        <w:t> </w:t>
      </w:r>
      <w:r>
        <w:rPr/>
        <w:t>de</w:t>
      </w:r>
      <w:r>
        <w:rPr>
          <w:spacing w:val="-5"/>
        </w:rPr>
        <w:t> </w:t>
      </w:r>
      <w:r>
        <w:rPr/>
        <w:t>los</w:t>
      </w:r>
      <w:r>
        <w:rPr>
          <w:spacing w:val="-3"/>
        </w:rPr>
        <w:t> </w:t>
      </w:r>
      <w:r>
        <w:rPr/>
        <w:t>sistemas</w:t>
      </w:r>
      <w:r>
        <w:rPr>
          <w:spacing w:val="-4"/>
        </w:rPr>
        <w:t> </w:t>
      </w:r>
      <w:r>
        <w:rPr/>
        <w:t>de</w:t>
      </w:r>
      <w:r>
        <w:rPr>
          <w:spacing w:val="-5"/>
        </w:rPr>
        <w:t> </w:t>
      </w:r>
      <w:r>
        <w:rPr/>
        <w:t>producción</w:t>
      </w:r>
      <w:r>
        <w:rPr>
          <w:spacing w:val="-3"/>
        </w:rPr>
        <w:t> </w:t>
      </w:r>
      <w:r>
        <w:rPr/>
        <w:t>de</w:t>
      </w:r>
      <w:r>
        <w:rPr>
          <w:spacing w:val="-5"/>
        </w:rPr>
        <w:t> </w:t>
      </w:r>
      <w:r>
        <w:rPr/>
        <w:t>leche</w:t>
      </w:r>
      <w:r>
        <w:rPr>
          <w:spacing w:val="-5"/>
        </w:rPr>
        <w:t> </w:t>
      </w:r>
      <w:r>
        <w:rPr/>
        <w:t>en</w:t>
      </w:r>
      <w:r>
        <w:rPr>
          <w:spacing w:val="-4"/>
        </w:rPr>
        <w:t> </w:t>
      </w:r>
      <w:r>
        <w:rPr/>
        <w:t>el</w:t>
      </w:r>
      <w:r>
        <w:rPr>
          <w:spacing w:val="-3"/>
        </w:rPr>
        <w:t> </w:t>
      </w:r>
      <w:r>
        <w:rPr/>
        <w:t>estado</w:t>
      </w:r>
      <w:r>
        <w:rPr>
          <w:spacing w:val="-4"/>
        </w:rPr>
        <w:t> </w:t>
      </w:r>
      <w:r>
        <w:rPr/>
        <w:t>de</w:t>
      </w:r>
      <w:r>
        <w:rPr>
          <w:spacing w:val="-5"/>
        </w:rPr>
        <w:t> </w:t>
      </w:r>
      <w:r>
        <w:rPr/>
        <w:t>Jalisco,</w:t>
      </w:r>
      <w:r>
        <w:rPr>
          <w:spacing w:val="-4"/>
        </w:rPr>
        <w:t> </w:t>
      </w:r>
      <w:r>
        <w:rPr/>
        <w:t>México. Agrociencia, 37,</w:t>
      </w:r>
      <w:r>
        <w:rPr>
          <w:spacing w:val="-6"/>
        </w:rPr>
        <w:t> </w:t>
      </w:r>
      <w:r>
        <w:rPr/>
        <w:t>85-94.</w:t>
      </w:r>
    </w:p>
    <w:p>
      <w:pPr>
        <w:pStyle w:val="BodyText"/>
        <w:spacing w:line="360" w:lineRule="auto" w:before="4"/>
        <w:ind w:left="870" w:right="122" w:hanging="766"/>
        <w:jc w:val="both"/>
      </w:pPr>
      <w:r>
        <w:rPr/>
        <w:t>Monke, E. and Pearson, S., 1989. The Policy Analysis Matrix for Agricultural</w:t>
      </w:r>
      <w:r>
        <w:rPr>
          <w:spacing w:val="-36"/>
        </w:rPr>
        <w:t> </w:t>
      </w:r>
      <w:r>
        <w:rPr/>
        <w:t>Development. (Cornell University Press. Ithaca and</w:t>
      </w:r>
      <w:r>
        <w:rPr>
          <w:spacing w:val="-10"/>
        </w:rPr>
        <w:t> </w:t>
      </w:r>
      <w:r>
        <w:rPr/>
        <w:t>London).</w:t>
      </w:r>
    </w:p>
    <w:p>
      <w:pPr>
        <w:pStyle w:val="BodyText"/>
        <w:spacing w:line="360" w:lineRule="auto" w:before="124"/>
        <w:ind w:left="870" w:right="117" w:hanging="708"/>
        <w:jc w:val="both"/>
      </w:pPr>
      <w:r>
        <w:rPr/>
        <w:t>Ndambi, O.A., Garcia, O., Balikowa, D., Kiconco, D., Hemme, T. y Latacz-Lohmann, U., 2008. Milk production systems in Central Uganda: a farm economic analysis. Tropical Animal Health and Production, 40, 269-279.</w:t>
      </w:r>
    </w:p>
    <w:p>
      <w:pPr>
        <w:pStyle w:val="BodyText"/>
        <w:spacing w:line="360" w:lineRule="auto" w:before="6"/>
        <w:ind w:left="870" w:right="119" w:hanging="766"/>
        <w:jc w:val="both"/>
      </w:pPr>
      <w:r>
        <w:rPr/>
        <w:t>Ndambi, O.A., y Hemme, T., 2009. An Economic Comparison of typical dairy farming systems in South Africa, Morocco, Uganda and Cameroon. Tropical Animal Health and Production, 41, 979-994.</w:t>
      </w:r>
    </w:p>
    <w:p>
      <w:pPr>
        <w:pStyle w:val="BodyText"/>
        <w:spacing w:line="360" w:lineRule="auto" w:before="124"/>
        <w:ind w:left="870" w:right="116" w:hanging="708"/>
        <w:jc w:val="both"/>
      </w:pPr>
      <w:r>
        <w:rPr/>
        <w:t>Nehring,</w:t>
      </w:r>
      <w:r>
        <w:rPr>
          <w:spacing w:val="-10"/>
        </w:rPr>
        <w:t> </w:t>
      </w:r>
      <w:r>
        <w:rPr/>
        <w:t>R.,</w:t>
      </w:r>
      <w:r>
        <w:rPr>
          <w:spacing w:val="-10"/>
        </w:rPr>
        <w:t> </w:t>
      </w:r>
      <w:r>
        <w:rPr/>
        <w:t>Gillespie,</w:t>
      </w:r>
      <w:r>
        <w:rPr>
          <w:spacing w:val="-12"/>
        </w:rPr>
        <w:t> </w:t>
      </w:r>
      <w:r>
        <w:rPr/>
        <w:t>J.,</w:t>
      </w:r>
      <w:r>
        <w:rPr>
          <w:spacing w:val="-12"/>
        </w:rPr>
        <w:t> </w:t>
      </w:r>
      <w:r>
        <w:rPr/>
        <w:t>Sandretto,</w:t>
      </w:r>
      <w:r>
        <w:rPr>
          <w:spacing w:val="-10"/>
        </w:rPr>
        <w:t> </w:t>
      </w:r>
      <w:r>
        <w:rPr/>
        <w:t>C.,</w:t>
      </w:r>
      <w:r>
        <w:rPr>
          <w:spacing w:val="-10"/>
        </w:rPr>
        <w:t> </w:t>
      </w:r>
      <w:r>
        <w:rPr/>
        <w:t>Hallahan,</w:t>
      </w:r>
      <w:r>
        <w:rPr>
          <w:spacing w:val="-12"/>
        </w:rPr>
        <w:t> </w:t>
      </w:r>
      <w:r>
        <w:rPr/>
        <w:t>C.,</w:t>
      </w:r>
      <w:r>
        <w:rPr>
          <w:spacing w:val="-10"/>
        </w:rPr>
        <w:t> </w:t>
      </w:r>
      <w:r>
        <w:rPr/>
        <w:t>2009.</w:t>
      </w:r>
      <w:r>
        <w:rPr>
          <w:spacing w:val="-7"/>
        </w:rPr>
        <w:t> </w:t>
      </w:r>
      <w:r>
        <w:rPr/>
        <w:t>Small</w:t>
      </w:r>
      <w:r>
        <w:rPr>
          <w:spacing w:val="-9"/>
        </w:rPr>
        <w:t> </w:t>
      </w:r>
      <w:r>
        <w:rPr/>
        <w:t>U.S.</w:t>
      </w:r>
      <w:r>
        <w:rPr>
          <w:spacing w:val="-12"/>
        </w:rPr>
        <w:t> </w:t>
      </w:r>
      <w:r>
        <w:rPr/>
        <w:t>dairy</w:t>
      </w:r>
      <w:r>
        <w:rPr>
          <w:spacing w:val="-12"/>
        </w:rPr>
        <w:t> </w:t>
      </w:r>
      <w:r>
        <w:rPr/>
        <w:t>farms:</w:t>
      </w:r>
      <w:r>
        <w:rPr>
          <w:spacing w:val="-9"/>
        </w:rPr>
        <w:t> </w:t>
      </w:r>
      <w:r>
        <w:rPr/>
        <w:t>can</w:t>
      </w:r>
      <w:r>
        <w:rPr>
          <w:spacing w:val="-10"/>
        </w:rPr>
        <w:t> </w:t>
      </w:r>
      <w:r>
        <w:rPr/>
        <w:t>they compete? Agricultural Economics, 40,</w:t>
      </w:r>
      <w:r>
        <w:rPr>
          <w:spacing w:val="-7"/>
        </w:rPr>
        <w:t> </w:t>
      </w:r>
      <w:r>
        <w:rPr/>
        <w:t>817-825.</w:t>
      </w:r>
    </w:p>
    <w:p>
      <w:pPr>
        <w:pStyle w:val="BodyText"/>
        <w:spacing w:line="360" w:lineRule="auto" w:before="4"/>
        <w:ind w:left="104" w:right="117" w:firstLine="57"/>
        <w:jc w:val="right"/>
      </w:pPr>
      <w:r>
        <w:rPr/>
        <w:t>Rahman,</w:t>
      </w:r>
      <w:r>
        <w:rPr>
          <w:spacing w:val="-16"/>
        </w:rPr>
        <w:t> </w:t>
      </w:r>
      <w:r>
        <w:rPr/>
        <w:t>S.,</w:t>
      </w:r>
      <w:r>
        <w:rPr>
          <w:spacing w:val="-16"/>
        </w:rPr>
        <w:t> </w:t>
      </w:r>
      <w:r>
        <w:rPr/>
        <w:t>2010.</w:t>
      </w:r>
      <w:r>
        <w:rPr>
          <w:spacing w:val="-15"/>
        </w:rPr>
        <w:t> </w:t>
      </w:r>
      <w:r>
        <w:rPr/>
        <w:t>Women’s</w:t>
      </w:r>
      <w:r>
        <w:rPr>
          <w:spacing w:val="-16"/>
        </w:rPr>
        <w:t> </w:t>
      </w:r>
      <w:r>
        <w:rPr/>
        <w:t>labour</w:t>
      </w:r>
      <w:r>
        <w:rPr>
          <w:spacing w:val="-15"/>
        </w:rPr>
        <w:t> </w:t>
      </w:r>
      <w:r>
        <w:rPr/>
        <w:t>contribution</w:t>
      </w:r>
      <w:r>
        <w:rPr>
          <w:spacing w:val="-15"/>
        </w:rPr>
        <w:t> </w:t>
      </w:r>
      <w:r>
        <w:rPr/>
        <w:t>to</w:t>
      </w:r>
      <w:r>
        <w:rPr>
          <w:spacing w:val="-15"/>
        </w:rPr>
        <w:t> </w:t>
      </w:r>
      <w:r>
        <w:rPr/>
        <w:t>productivity</w:t>
      </w:r>
      <w:r>
        <w:rPr>
          <w:spacing w:val="-21"/>
        </w:rPr>
        <w:t> </w:t>
      </w:r>
      <w:r>
        <w:rPr/>
        <w:t>and</w:t>
      </w:r>
      <w:r>
        <w:rPr>
          <w:spacing w:val="-14"/>
        </w:rPr>
        <w:t> </w:t>
      </w:r>
      <w:r>
        <w:rPr/>
        <w:t>efficiency</w:t>
      </w:r>
      <w:r>
        <w:rPr>
          <w:spacing w:val="-18"/>
        </w:rPr>
        <w:t> </w:t>
      </w:r>
      <w:r>
        <w:rPr/>
        <w:t>in</w:t>
      </w:r>
      <w:r>
        <w:rPr>
          <w:spacing w:val="-13"/>
        </w:rPr>
        <w:t> </w:t>
      </w:r>
      <w:r>
        <w:rPr/>
        <w:t>agriculture:</w:t>
      </w:r>
      <w:r>
        <w:rPr>
          <w:w w:val="100"/>
        </w:rPr>
        <w:t> </w:t>
      </w:r>
      <w:r>
        <w:rPr/>
        <w:t>empirical</w:t>
      </w:r>
      <w:r>
        <w:rPr>
          <w:spacing w:val="-9"/>
        </w:rPr>
        <w:t> </w:t>
      </w:r>
      <w:r>
        <w:rPr/>
        <w:t>evidence</w:t>
      </w:r>
      <w:r>
        <w:rPr>
          <w:spacing w:val="-8"/>
        </w:rPr>
        <w:t> </w:t>
      </w:r>
      <w:r>
        <w:rPr/>
        <w:t>from</w:t>
      </w:r>
      <w:r>
        <w:rPr>
          <w:spacing w:val="-7"/>
        </w:rPr>
        <w:t> </w:t>
      </w:r>
      <w:r>
        <w:rPr/>
        <w:t>Bangladesh.</w:t>
      </w:r>
      <w:r>
        <w:rPr>
          <w:spacing w:val="-9"/>
        </w:rPr>
        <w:t> </w:t>
      </w:r>
      <w:r>
        <w:rPr/>
        <w:t>Journal</w:t>
      </w:r>
      <w:r>
        <w:rPr>
          <w:spacing w:val="-9"/>
        </w:rPr>
        <w:t> </w:t>
      </w:r>
      <w:r>
        <w:rPr/>
        <w:t>of</w:t>
      </w:r>
      <w:r>
        <w:rPr>
          <w:spacing w:val="-10"/>
        </w:rPr>
        <w:t> </w:t>
      </w:r>
      <w:r>
        <w:rPr/>
        <w:t>Agricultural</w:t>
      </w:r>
      <w:r>
        <w:rPr>
          <w:spacing w:val="-9"/>
        </w:rPr>
        <w:t> </w:t>
      </w:r>
      <w:r>
        <w:rPr/>
        <w:t>Economics,</w:t>
      </w:r>
      <w:r>
        <w:rPr>
          <w:spacing w:val="-9"/>
        </w:rPr>
        <w:t> </w:t>
      </w:r>
      <w:r>
        <w:rPr/>
        <w:t>2,</w:t>
      </w:r>
      <w:r>
        <w:rPr>
          <w:spacing w:val="-8"/>
        </w:rPr>
        <w:t> </w:t>
      </w:r>
      <w:r>
        <w:rPr/>
        <w:t>318-342.</w:t>
      </w:r>
    </w:p>
    <w:p>
      <w:pPr>
        <w:pStyle w:val="BodyText"/>
        <w:spacing w:line="360" w:lineRule="auto" w:before="4"/>
        <w:ind w:left="870" w:right="124" w:hanging="766"/>
        <w:jc w:val="both"/>
      </w:pPr>
      <w:r>
        <w:rPr/>
        <w:t>Ramírez, V.E.P. and Foster, W., 2003. Análisis de la oferta de mano de obra familiar en la agricultura campesina de Chile. Cuadernos de Economía, 40, 89-110.</w:t>
      </w:r>
    </w:p>
    <w:p>
      <w:pPr>
        <w:spacing w:after="0" w:line="360" w:lineRule="auto"/>
        <w:jc w:val="both"/>
        <w:sectPr>
          <w:pgSz w:w="12240" w:h="15840"/>
          <w:pgMar w:header="0" w:footer="657" w:top="1360" w:bottom="840" w:left="1540" w:right="1580"/>
        </w:sectPr>
      </w:pPr>
    </w:p>
    <w:p>
      <w:pPr>
        <w:pStyle w:val="BodyText"/>
        <w:spacing w:line="360" w:lineRule="auto" w:before="50"/>
        <w:ind w:left="870" w:right="117" w:hanging="766"/>
        <w:jc w:val="both"/>
      </w:pPr>
      <w:r>
        <w:rPr/>
        <w:t>Rebollar-Rebollar, A., Hernández-Martínez, J., Rebollar-Rebollar, S., Guzmán-Soria, E, García-Martínez, A., and González-Razo, F.J., 2011. Competitividad y rentabilidad de bovinos en corral en el sur del Estado de México. Tropical and Subtropical Agroecosystems, 14, 691-698.</w:t>
      </w:r>
    </w:p>
    <w:p>
      <w:pPr>
        <w:pStyle w:val="BodyText"/>
        <w:spacing w:line="348" w:lineRule="auto" w:before="4"/>
        <w:ind w:left="870" w:right="119" w:hanging="766"/>
        <w:jc w:val="both"/>
      </w:pPr>
      <w:r>
        <w:rPr/>
        <w:t>SAT.</w:t>
      </w:r>
      <w:r>
        <w:rPr>
          <w:spacing w:val="-14"/>
        </w:rPr>
        <w:t> </w:t>
      </w:r>
      <w:r>
        <w:rPr/>
        <w:t>Sistema</w:t>
      </w:r>
      <w:r>
        <w:rPr>
          <w:spacing w:val="-15"/>
        </w:rPr>
        <w:t> </w:t>
      </w:r>
      <w:r>
        <w:rPr/>
        <w:t>de</w:t>
      </w:r>
      <w:r>
        <w:rPr>
          <w:spacing w:val="-15"/>
        </w:rPr>
        <w:t> </w:t>
      </w:r>
      <w:r>
        <w:rPr/>
        <w:t>Administración</w:t>
      </w:r>
      <w:r>
        <w:rPr>
          <w:spacing w:val="-14"/>
        </w:rPr>
        <w:t> </w:t>
      </w:r>
      <w:r>
        <w:rPr/>
        <w:t>Tributaria).</w:t>
      </w:r>
      <w:r>
        <w:rPr>
          <w:spacing w:val="-15"/>
        </w:rPr>
        <w:t> </w:t>
      </w:r>
      <w:r>
        <w:rPr/>
        <w:t>2012.</w:t>
      </w:r>
      <w:r>
        <w:rPr>
          <w:spacing w:val="-14"/>
        </w:rPr>
        <w:t> </w:t>
      </w:r>
      <w:r>
        <w:rPr/>
        <w:t>Salarios</w:t>
      </w:r>
      <w:r>
        <w:rPr>
          <w:spacing w:val="-14"/>
        </w:rPr>
        <w:t> </w:t>
      </w:r>
      <w:r>
        <w:rPr/>
        <w:t>Mínimos.</w:t>
      </w:r>
      <w:r>
        <w:rPr>
          <w:spacing w:val="-16"/>
        </w:rPr>
        <w:t> </w:t>
      </w:r>
      <w:r>
        <w:rPr/>
        <w:t>Secretaria</w:t>
      </w:r>
      <w:r>
        <w:rPr>
          <w:spacing w:val="-15"/>
        </w:rPr>
        <w:t> </w:t>
      </w:r>
      <w:r>
        <w:rPr/>
        <w:t>de</w:t>
      </w:r>
      <w:r>
        <w:rPr>
          <w:spacing w:val="-15"/>
        </w:rPr>
        <w:t> </w:t>
      </w:r>
      <w:r>
        <w:rPr/>
        <w:t>Hacienda y Crédito Público. </w:t>
      </w:r>
      <w:r>
        <w:rPr>
          <w:u w:val="single"/>
        </w:rPr>
        <w:t>http://www.sat.org,mx</w:t>
      </w:r>
      <w:r>
        <w:rPr/>
        <w:t>. Accesed October 12</w:t>
      </w:r>
      <w:r>
        <w:rPr>
          <w:position w:val="9"/>
          <w:sz w:val="16"/>
        </w:rPr>
        <w:t>th</w:t>
      </w:r>
      <w:r>
        <w:rPr/>
        <w:t>,</w:t>
      </w:r>
      <w:r>
        <w:rPr>
          <w:spacing w:val="-9"/>
        </w:rPr>
        <w:t> </w:t>
      </w:r>
      <w:r>
        <w:rPr/>
        <w:t>2012.</w:t>
      </w:r>
    </w:p>
    <w:p>
      <w:pPr>
        <w:pStyle w:val="BodyText"/>
        <w:tabs>
          <w:tab w:pos="3126" w:val="left" w:leader="none"/>
          <w:tab w:pos="6331" w:val="left" w:leader="none"/>
          <w:tab w:pos="8132" w:val="left" w:leader="none"/>
        </w:tabs>
        <w:spacing w:line="360" w:lineRule="auto" w:before="9"/>
        <w:ind w:left="870" w:right="119" w:hanging="766"/>
      </w:pPr>
      <w:r>
        <w:rPr/>
        <w:t>SIAP-Sistema de Información Agroalimentaria y Pesquera. 2011. Indicadores básicos del sector</w:t>
        <w:tab/>
        <w:t>agroalimentario</w:t>
        <w:tab/>
        <w:t>y</w:t>
        <w:tab/>
        <w:t>pesquero </w:t>
      </w:r>
      <w:hyperlink r:id="rId124">
        <w:r>
          <w:rPr>
            <w:u w:val="single"/>
          </w:rPr>
          <w:t>http://www.campomexicano.gob.mx/portal_siap/Integracion/EstadisticaDerivada/In</w:t>
        </w:r>
      </w:hyperlink>
      <w:r>
        <w:rPr>
          <w:u w:val="single"/>
        </w:rPr>
        <w:t> </w:t>
      </w:r>
      <w:hyperlink r:id="rId124">
        <w:r>
          <w:rPr>
            <w:u w:val="single"/>
          </w:rPr>
          <w:t>formaciondeMercados/Mercados/modelos/Indicadoresbasicos2009.pdf</w:t>
        </w:r>
        <w:r>
          <w:rPr/>
          <w:t>.</w:t>
        </w:r>
      </w:hyperlink>
      <w:r>
        <w:rPr/>
        <w:tab/>
        <w:t>Acceded 20th April</w:t>
      </w:r>
      <w:r>
        <w:rPr>
          <w:spacing w:val="-2"/>
        </w:rPr>
        <w:t> </w:t>
      </w:r>
      <w:r>
        <w:rPr/>
        <w:t>2012.</w:t>
      </w:r>
    </w:p>
    <w:p>
      <w:pPr>
        <w:pStyle w:val="BodyText"/>
        <w:tabs>
          <w:tab w:pos="2170" w:val="left" w:leader="none"/>
          <w:tab w:pos="3900" w:val="left" w:leader="none"/>
          <w:tab w:pos="4960" w:val="left" w:leader="none"/>
          <w:tab w:pos="6090" w:val="left" w:leader="none"/>
          <w:tab w:pos="8125" w:val="left" w:leader="none"/>
        </w:tabs>
        <w:spacing w:line="360" w:lineRule="auto" w:before="6"/>
        <w:ind w:left="870" w:right="121" w:hanging="766"/>
        <w:jc w:val="both"/>
      </w:pPr>
      <w:r>
        <w:rPr/>
        <w:t>SIAP-Sistema de Información Agroalimentaria y Pesquera. 2012. Base de datos estadísticos con</w:t>
        <w:tab/>
        <w:t>relación</w:t>
        <w:tab/>
        <w:t>a</w:t>
        <w:tab/>
        <w:t>la</w:t>
        <w:tab/>
        <w:t>producción</w:t>
        <w:tab/>
      </w:r>
      <w:r>
        <w:rPr>
          <w:spacing w:val="-1"/>
        </w:rPr>
        <w:t>pecuaria. </w:t>
      </w:r>
      <w:hyperlink r:id="rId111">
        <w:r>
          <w:rPr/>
          <w:t>http://www.siap.gob.mx/index.php?option=com_wrapper&amp;view=wrapper&amp;Itemid=</w:t>
        </w:r>
      </w:hyperlink>
    </w:p>
    <w:p>
      <w:pPr>
        <w:pStyle w:val="BodyText"/>
        <w:spacing w:before="4"/>
        <w:ind w:left="870"/>
      </w:pPr>
      <w:hyperlink r:id="rId111">
        <w:r>
          <w:rPr/>
          <w:t>369</w:t>
        </w:r>
      </w:hyperlink>
      <w:r>
        <w:rPr/>
        <w:t>. Accessed 23th January, 2012.</w:t>
      </w:r>
    </w:p>
    <w:p>
      <w:pPr>
        <w:pStyle w:val="BodyText"/>
        <w:spacing w:line="360" w:lineRule="auto" w:before="139"/>
        <w:ind w:left="870" w:right="121" w:hanging="766"/>
        <w:jc w:val="both"/>
      </w:pPr>
      <w:r>
        <w:rPr/>
        <w:t>Torres-Lima, P. and L., Rodríguez-Sánchez., 2008. Farming dynamics and social capital. A case study in the urban fringe of Mexico City. Environment Development and Sustainability, 10, 193-208.</w:t>
      </w:r>
    </w:p>
    <w:p>
      <w:pPr>
        <w:pStyle w:val="BodyText"/>
        <w:spacing w:line="360" w:lineRule="auto" w:before="124"/>
        <w:ind w:left="870" w:right="116" w:hanging="708"/>
        <w:jc w:val="both"/>
      </w:pPr>
      <w:r>
        <w:rPr/>
        <w:t>Zaragoza-Esparza, J., Hernández-Garay, A., Peréz-Peréz, J., Herrea-Haro, J.G., Osnaya- Gallardo, F., Martínez-Hernández, P.A., González-Muñoz, S.S., Quero-Carrillo, A.R., 2009. Análisis de crecimiento estacional de una pradera asociada alfalfa-pasto ovillo. Técnica Pecuaria México, 2, 173-178.</w:t>
      </w:r>
    </w:p>
    <w:p>
      <w:pPr>
        <w:pStyle w:val="BodyText"/>
        <w:spacing w:line="360" w:lineRule="auto" w:before="124"/>
        <w:ind w:left="870" w:right="116" w:hanging="708"/>
        <w:jc w:val="both"/>
      </w:pPr>
      <w:r>
        <w:rPr/>
        <w:t>Zhou,</w:t>
      </w:r>
      <w:r>
        <w:rPr>
          <w:spacing w:val="-7"/>
        </w:rPr>
        <w:t> </w:t>
      </w:r>
      <w:r>
        <w:rPr/>
        <w:t>S.,</w:t>
      </w:r>
      <w:r>
        <w:rPr>
          <w:spacing w:val="-7"/>
        </w:rPr>
        <w:t> </w:t>
      </w:r>
      <w:r>
        <w:rPr/>
        <w:t>Huang,</w:t>
      </w:r>
      <w:r>
        <w:rPr>
          <w:spacing w:val="-7"/>
        </w:rPr>
        <w:t> </w:t>
      </w:r>
      <w:r>
        <w:rPr/>
        <w:t>Y.,</w:t>
      </w:r>
      <w:r>
        <w:rPr>
          <w:spacing w:val="-8"/>
        </w:rPr>
        <w:t> </w:t>
      </w:r>
      <w:r>
        <w:rPr/>
        <w:t>Yao,</w:t>
      </w:r>
      <w:r>
        <w:rPr>
          <w:spacing w:val="-7"/>
        </w:rPr>
        <w:t> </w:t>
      </w:r>
      <w:r>
        <w:rPr/>
        <w:t>C.,</w:t>
      </w:r>
      <w:r>
        <w:rPr>
          <w:spacing w:val="-7"/>
        </w:rPr>
        <w:t> </w:t>
      </w:r>
      <w:r>
        <w:rPr/>
        <w:t>Lu,</w:t>
      </w:r>
      <w:r>
        <w:rPr>
          <w:spacing w:val="-7"/>
        </w:rPr>
        <w:t> </w:t>
      </w:r>
      <w:r>
        <w:rPr/>
        <w:t>R.,</w:t>
      </w:r>
      <w:r>
        <w:rPr>
          <w:spacing w:val="-5"/>
        </w:rPr>
        <w:t> </w:t>
      </w:r>
      <w:r>
        <w:rPr/>
        <w:t>Liu,</w:t>
      </w:r>
      <w:r>
        <w:rPr>
          <w:spacing w:val="-7"/>
        </w:rPr>
        <w:t> </w:t>
      </w:r>
      <w:r>
        <w:rPr/>
        <w:t>X.,</w:t>
      </w:r>
      <w:r>
        <w:rPr>
          <w:spacing w:val="-8"/>
        </w:rPr>
        <w:t> </w:t>
      </w:r>
      <w:r>
        <w:rPr/>
        <w:t>2013.</w:t>
      </w:r>
      <w:r>
        <w:rPr>
          <w:spacing w:val="-3"/>
        </w:rPr>
        <w:t> </w:t>
      </w:r>
      <w:r>
        <w:rPr/>
        <w:t>Labor</w:t>
      </w:r>
      <w:r>
        <w:rPr>
          <w:spacing w:val="-8"/>
        </w:rPr>
        <w:t> </w:t>
      </w:r>
      <w:r>
        <w:rPr/>
        <w:t>cost</w:t>
      </w:r>
      <w:r>
        <w:rPr>
          <w:spacing w:val="-7"/>
        </w:rPr>
        <w:t> </w:t>
      </w:r>
      <w:r>
        <w:rPr/>
        <w:t>analysis</w:t>
      </w:r>
      <w:r>
        <w:rPr>
          <w:spacing w:val="-7"/>
        </w:rPr>
        <w:t> </w:t>
      </w:r>
      <w:r>
        <w:rPr/>
        <w:t>for</w:t>
      </w:r>
      <w:r>
        <w:rPr>
          <w:spacing w:val="-9"/>
        </w:rPr>
        <w:t> </w:t>
      </w:r>
      <w:r>
        <w:rPr/>
        <w:t>pome</w:t>
      </w:r>
      <w:r>
        <w:rPr>
          <w:spacing w:val="-8"/>
        </w:rPr>
        <w:t> </w:t>
      </w:r>
      <w:r>
        <w:rPr/>
        <w:t>production in</w:t>
      </w:r>
      <w:r>
        <w:rPr>
          <w:spacing w:val="-6"/>
        </w:rPr>
        <w:t> </w:t>
      </w:r>
      <w:r>
        <w:rPr/>
        <w:t>different</w:t>
      </w:r>
      <w:r>
        <w:rPr>
          <w:spacing w:val="-6"/>
        </w:rPr>
        <w:t> </w:t>
      </w:r>
      <w:r>
        <w:rPr/>
        <w:t>cultivation</w:t>
      </w:r>
      <w:r>
        <w:rPr>
          <w:spacing w:val="-6"/>
        </w:rPr>
        <w:t> </w:t>
      </w:r>
      <w:r>
        <w:rPr/>
        <w:t>modes</w:t>
      </w:r>
      <w:r>
        <w:rPr>
          <w:spacing w:val="-6"/>
        </w:rPr>
        <w:t> </w:t>
      </w:r>
      <w:r>
        <w:rPr/>
        <w:t>in</w:t>
      </w:r>
      <w:r>
        <w:rPr>
          <w:spacing w:val="-6"/>
        </w:rPr>
        <w:t> </w:t>
      </w:r>
      <w:r>
        <w:rPr/>
        <w:t>Hebei</w:t>
      </w:r>
      <w:r>
        <w:rPr>
          <w:spacing w:val="-6"/>
        </w:rPr>
        <w:t> </w:t>
      </w:r>
      <w:r>
        <w:rPr/>
        <w:t>Province.</w:t>
      </w:r>
      <w:r>
        <w:rPr>
          <w:spacing w:val="-4"/>
        </w:rPr>
        <w:t> </w:t>
      </w:r>
      <w:r>
        <w:rPr/>
        <w:t>Asian</w:t>
      </w:r>
      <w:r>
        <w:rPr>
          <w:spacing w:val="-6"/>
        </w:rPr>
        <w:t> </w:t>
      </w:r>
      <w:r>
        <w:rPr/>
        <w:t>Agricultural</w:t>
      </w:r>
      <w:r>
        <w:rPr>
          <w:spacing w:val="-6"/>
        </w:rPr>
        <w:t> </w:t>
      </w:r>
      <w:r>
        <w:rPr/>
        <w:t>Research,</w:t>
      </w:r>
      <w:r>
        <w:rPr>
          <w:spacing w:val="-6"/>
        </w:rPr>
        <w:t> </w:t>
      </w:r>
      <w:r>
        <w:rPr/>
        <w:t>4,</w:t>
      </w:r>
      <w:r>
        <w:rPr>
          <w:spacing w:val="-4"/>
        </w:rPr>
        <w:t> </w:t>
      </w:r>
      <w:r>
        <w:rPr/>
        <w:t>36- 40.</w:t>
      </w:r>
    </w:p>
    <w:p>
      <w:pPr>
        <w:pStyle w:val="BodyText"/>
        <w:spacing w:line="360" w:lineRule="auto" w:before="6"/>
        <w:ind w:left="870" w:right="117" w:hanging="708"/>
        <w:jc w:val="both"/>
      </w:pPr>
      <w:r>
        <w:rPr/>
        <w:t>Zvinorova,</w:t>
      </w:r>
      <w:r>
        <w:rPr>
          <w:spacing w:val="-6"/>
        </w:rPr>
        <w:t> </w:t>
      </w:r>
      <w:r>
        <w:rPr/>
        <w:t>P.I.,</w:t>
      </w:r>
      <w:r>
        <w:rPr>
          <w:spacing w:val="-4"/>
        </w:rPr>
        <w:t> </w:t>
      </w:r>
      <w:r>
        <w:rPr/>
        <w:t>Halimani,</w:t>
      </w:r>
      <w:r>
        <w:rPr>
          <w:spacing w:val="-6"/>
        </w:rPr>
        <w:t> </w:t>
      </w:r>
      <w:r>
        <w:rPr/>
        <w:t>T.E.,</w:t>
      </w:r>
      <w:r>
        <w:rPr>
          <w:spacing w:val="-7"/>
        </w:rPr>
        <w:t> </w:t>
      </w:r>
      <w:r>
        <w:rPr/>
        <w:t>Mano,</w:t>
      </w:r>
      <w:r>
        <w:rPr>
          <w:spacing w:val="-6"/>
        </w:rPr>
        <w:t> </w:t>
      </w:r>
      <w:r>
        <w:rPr/>
        <w:t>R.T.,</w:t>
      </w:r>
      <w:r>
        <w:rPr>
          <w:spacing w:val="-6"/>
        </w:rPr>
        <w:t> </w:t>
      </w:r>
      <w:r>
        <w:rPr/>
        <w:t>Ngongoni,</w:t>
      </w:r>
      <w:r>
        <w:rPr>
          <w:spacing w:val="-6"/>
        </w:rPr>
        <w:t> </w:t>
      </w:r>
      <w:r>
        <w:rPr/>
        <w:t>N.T.,</w:t>
      </w:r>
      <w:r>
        <w:rPr>
          <w:spacing w:val="-6"/>
        </w:rPr>
        <w:t> </w:t>
      </w:r>
      <w:r>
        <w:rPr/>
        <w:t>2013.</w:t>
      </w:r>
      <w:r>
        <w:rPr>
          <w:spacing w:val="-6"/>
        </w:rPr>
        <w:t> </w:t>
      </w:r>
      <w:r>
        <w:rPr/>
        <w:t>Viability</w:t>
      </w:r>
      <w:r>
        <w:rPr>
          <w:spacing w:val="-11"/>
        </w:rPr>
        <w:t> </w:t>
      </w:r>
      <w:r>
        <w:rPr/>
        <w:t>of</w:t>
      </w:r>
      <w:r>
        <w:rPr>
          <w:spacing w:val="-7"/>
        </w:rPr>
        <w:t> </w:t>
      </w:r>
      <w:r>
        <w:rPr/>
        <w:t>smallholder dairying in Wedza, Zimbabwe. Tropical Animal Health and Production, 45, 1007– 1015.</w:t>
      </w:r>
    </w:p>
    <w:p>
      <w:pPr>
        <w:spacing w:after="0" w:line="360" w:lineRule="auto"/>
        <w:jc w:val="both"/>
        <w:sectPr>
          <w:footerReference w:type="default" r:id="rId123"/>
          <w:pgSz w:w="12240" w:h="15840"/>
          <w:pgMar w:footer="657" w:header="0" w:top="1360" w:bottom="840" w:left="1540" w:right="1580"/>
          <w:pgNumType w:start="140"/>
        </w:sectPr>
      </w:pPr>
    </w:p>
    <w:p>
      <w:pPr>
        <w:pStyle w:val="BodyText"/>
        <w:tabs>
          <w:tab w:pos="4337" w:val="left" w:leader="none"/>
          <w:tab w:pos="5871" w:val="left" w:leader="none"/>
          <w:tab w:pos="7415" w:val="left" w:leader="none"/>
        </w:tabs>
        <w:spacing w:line="506" w:lineRule="auto" w:before="50"/>
        <w:ind w:left="211" w:right="762"/>
      </w:pPr>
      <w:r>
        <w:rPr/>
        <w:pict>
          <v:group style="position:absolute;margin-left:84.003998pt;margin-top:29.543154pt;width:444.25pt;height:2.2pt;mso-position-horizontal-relative:page;mso-position-vertical-relative:paragraph;z-index:-458800" coordorigin="1680,591" coordsize="8885,44">
            <v:line style="position:absolute" from="1702,613" to="5828,613" stroked="true" strokeweight="2.16pt" strokecolor="#000000"/>
            <v:line style="position:absolute" from="5828,613" to="5871,613" stroked="true" strokeweight="2.16pt" strokecolor="#000000"/>
            <v:line style="position:absolute" from="5871,613" to="7362,613" stroked="true" strokeweight="2.16pt" strokecolor="#000000"/>
            <v:line style="position:absolute" from="7362,613" to="7405,613" stroked="true" strokeweight="2.16pt" strokecolor="#000000"/>
            <v:line style="position:absolute" from="7405,613" to="8905,613" stroked="true" strokeweight="2.16pt" strokecolor="#000000"/>
            <v:line style="position:absolute" from="8905,613" to="8949,613" stroked="true" strokeweight="2.16pt" strokecolor="#000000"/>
            <v:line style="position:absolute" from="8949,613" to="10543,613" stroked="true" strokeweight="2.16pt" strokecolor="#000000"/>
            <w10:wrap type="none"/>
          </v:group>
        </w:pict>
      </w:r>
      <w:r>
        <w:rPr>
          <w:b/>
        </w:rPr>
        <w:t>Table 1 </w:t>
      </w:r>
      <w:r>
        <w:rPr/>
        <w:t>Stratified sample with the Neyman assignation of small-scale dairy farms Productive</w:t>
      </w:r>
      <w:r>
        <w:rPr>
          <w:spacing w:val="-2"/>
        </w:rPr>
        <w:t> </w:t>
      </w:r>
      <w:r>
        <w:rPr/>
        <w:t>strata</w:t>
        <w:tab/>
        <w:t>Stratum</w:t>
      </w:r>
      <w:r>
        <w:rPr>
          <w:spacing w:val="-1"/>
        </w:rPr>
        <w:t> </w:t>
      </w:r>
      <w:r>
        <w:rPr/>
        <w:t>1</w:t>
        <w:tab/>
        <w:t>Stratum</w:t>
      </w:r>
      <w:r>
        <w:rPr>
          <w:spacing w:val="-1"/>
        </w:rPr>
        <w:t> </w:t>
      </w:r>
      <w:r>
        <w:rPr/>
        <w:t>2</w:t>
        <w:tab/>
        <w:t>Stratum</w:t>
      </w:r>
      <w:r>
        <w:rPr>
          <w:spacing w:val="-3"/>
        </w:rPr>
        <w:t> </w:t>
      </w:r>
      <w:r>
        <w:rPr/>
        <w:t>3</w:t>
      </w:r>
    </w:p>
    <w:p>
      <w:pPr>
        <w:pStyle w:val="BodyText"/>
        <w:rPr>
          <w:sz w:val="20"/>
        </w:rPr>
      </w:pPr>
    </w:p>
    <w:p>
      <w:pPr>
        <w:pStyle w:val="BodyText"/>
        <w:spacing w:before="11"/>
        <w:rPr>
          <w:sz w:val="20"/>
        </w:rPr>
      </w:pPr>
    </w:p>
    <w:p>
      <w:pPr>
        <w:pStyle w:val="BodyText"/>
        <w:spacing w:before="69"/>
        <w:ind w:left="211"/>
      </w:pPr>
      <w:r>
        <w:rPr/>
        <w:pict>
          <v:shape style="position:absolute;margin-left:291.410004pt;margin-top:-24.106901pt;width:235.75pt;height:46.15pt;mso-position-horizontal-relative:page;mso-position-vertical-relative:paragraph;z-index:5008" type="#_x0000_t202" filled="false" stroked="false">
            <v:textbox inset="0,0,0,0">
              <w:txbxContent>
                <w:tbl>
                  <w:tblPr>
                    <w:tblW w:w="0" w:type="auto"/>
                    <w:jc w:val="left"/>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868"/>
                    <w:gridCol w:w="765"/>
                    <w:gridCol w:w="769"/>
                    <w:gridCol w:w="768"/>
                    <w:gridCol w:w="801"/>
                    <w:gridCol w:w="744"/>
                  </w:tblGrid>
                  <w:tr>
                    <w:trPr>
                      <w:trHeight w:val="438" w:hRule="exact"/>
                    </w:trPr>
                    <w:tc>
                      <w:tcPr>
                        <w:tcW w:w="868" w:type="dxa"/>
                        <w:tcBorders>
                          <w:left w:val="nil"/>
                          <w:bottom w:val="nil"/>
                          <w:right w:val="nil"/>
                        </w:tcBorders>
                      </w:tcPr>
                      <w:p>
                        <w:pPr>
                          <w:pStyle w:val="TableParagraph"/>
                          <w:spacing w:line="275" w:lineRule="exact"/>
                          <w:ind w:left="138" w:right="145"/>
                          <w:jc w:val="center"/>
                          <w:rPr>
                            <w:sz w:val="16"/>
                          </w:rPr>
                        </w:pPr>
                        <w:r>
                          <w:rPr>
                            <w:position w:val="2"/>
                            <w:sz w:val="24"/>
                          </w:rPr>
                          <w:t>N</w:t>
                        </w:r>
                        <w:r>
                          <w:rPr>
                            <w:sz w:val="16"/>
                          </w:rPr>
                          <w:t>1</w:t>
                        </w:r>
                      </w:p>
                    </w:tc>
                    <w:tc>
                      <w:tcPr>
                        <w:tcW w:w="765" w:type="dxa"/>
                        <w:tcBorders>
                          <w:left w:val="nil"/>
                          <w:bottom w:val="nil"/>
                          <w:right w:val="nil"/>
                        </w:tcBorders>
                      </w:tcPr>
                      <w:p>
                        <w:pPr>
                          <w:pStyle w:val="TableParagraph"/>
                          <w:spacing w:line="275" w:lineRule="exact"/>
                          <w:ind w:left="150" w:right="152"/>
                          <w:jc w:val="center"/>
                          <w:rPr>
                            <w:sz w:val="16"/>
                          </w:rPr>
                        </w:pPr>
                        <w:r>
                          <w:rPr>
                            <w:position w:val="2"/>
                            <w:sz w:val="24"/>
                          </w:rPr>
                          <w:t>n</w:t>
                        </w:r>
                        <w:r>
                          <w:rPr>
                            <w:sz w:val="16"/>
                          </w:rPr>
                          <w:t>1</w:t>
                        </w:r>
                      </w:p>
                    </w:tc>
                    <w:tc>
                      <w:tcPr>
                        <w:tcW w:w="769" w:type="dxa"/>
                        <w:tcBorders>
                          <w:left w:val="nil"/>
                          <w:bottom w:val="nil"/>
                          <w:right w:val="nil"/>
                        </w:tcBorders>
                      </w:tcPr>
                      <w:p>
                        <w:pPr>
                          <w:pStyle w:val="TableParagraph"/>
                          <w:spacing w:line="275" w:lineRule="exact"/>
                          <w:ind w:left="154" w:right="154"/>
                          <w:jc w:val="center"/>
                          <w:rPr>
                            <w:sz w:val="16"/>
                          </w:rPr>
                        </w:pPr>
                        <w:r>
                          <w:rPr>
                            <w:position w:val="2"/>
                            <w:sz w:val="24"/>
                          </w:rPr>
                          <w:t>N</w:t>
                        </w:r>
                        <w:r>
                          <w:rPr>
                            <w:sz w:val="16"/>
                          </w:rPr>
                          <w:t>2</w:t>
                        </w:r>
                      </w:p>
                    </w:tc>
                    <w:tc>
                      <w:tcPr>
                        <w:tcW w:w="768" w:type="dxa"/>
                        <w:tcBorders>
                          <w:left w:val="nil"/>
                          <w:bottom w:val="nil"/>
                          <w:right w:val="nil"/>
                        </w:tcBorders>
                      </w:tcPr>
                      <w:p>
                        <w:pPr>
                          <w:pStyle w:val="TableParagraph"/>
                          <w:spacing w:line="275" w:lineRule="exact"/>
                          <w:ind w:left="154" w:right="154"/>
                          <w:jc w:val="center"/>
                          <w:rPr>
                            <w:sz w:val="16"/>
                          </w:rPr>
                        </w:pPr>
                        <w:r>
                          <w:rPr>
                            <w:position w:val="2"/>
                            <w:sz w:val="24"/>
                          </w:rPr>
                          <w:t>n</w:t>
                        </w:r>
                        <w:r>
                          <w:rPr>
                            <w:sz w:val="16"/>
                          </w:rPr>
                          <w:t>2</w:t>
                        </w:r>
                      </w:p>
                    </w:tc>
                    <w:tc>
                      <w:tcPr>
                        <w:tcW w:w="801" w:type="dxa"/>
                        <w:tcBorders>
                          <w:left w:val="nil"/>
                          <w:bottom w:val="nil"/>
                          <w:right w:val="nil"/>
                        </w:tcBorders>
                      </w:tcPr>
                      <w:p>
                        <w:pPr>
                          <w:pStyle w:val="TableParagraph"/>
                          <w:spacing w:line="275" w:lineRule="exact"/>
                          <w:ind w:left="155" w:right="183"/>
                          <w:jc w:val="center"/>
                          <w:rPr>
                            <w:sz w:val="16"/>
                          </w:rPr>
                        </w:pPr>
                        <w:r>
                          <w:rPr>
                            <w:position w:val="2"/>
                            <w:sz w:val="24"/>
                          </w:rPr>
                          <w:t>N</w:t>
                        </w:r>
                        <w:r>
                          <w:rPr>
                            <w:sz w:val="16"/>
                          </w:rPr>
                          <w:t>3</w:t>
                        </w:r>
                      </w:p>
                    </w:tc>
                    <w:tc>
                      <w:tcPr>
                        <w:tcW w:w="744" w:type="dxa"/>
                        <w:tcBorders>
                          <w:left w:val="nil"/>
                          <w:bottom w:val="nil"/>
                          <w:right w:val="nil"/>
                        </w:tcBorders>
                      </w:tcPr>
                      <w:p>
                        <w:pPr>
                          <w:pStyle w:val="TableParagraph"/>
                          <w:spacing w:line="275" w:lineRule="exact"/>
                          <w:ind w:left="256"/>
                          <w:jc w:val="left"/>
                          <w:rPr>
                            <w:sz w:val="16"/>
                          </w:rPr>
                        </w:pPr>
                        <w:r>
                          <w:rPr>
                            <w:position w:val="2"/>
                            <w:sz w:val="24"/>
                          </w:rPr>
                          <w:t>n</w:t>
                        </w:r>
                        <w:r>
                          <w:rPr>
                            <w:sz w:val="16"/>
                          </w:rPr>
                          <w:t>3</w:t>
                        </w:r>
                      </w:p>
                    </w:tc>
                  </w:tr>
                  <w:tr>
                    <w:trPr>
                      <w:trHeight w:val="485" w:hRule="exact"/>
                    </w:trPr>
                    <w:tc>
                      <w:tcPr>
                        <w:tcW w:w="868" w:type="dxa"/>
                        <w:tcBorders>
                          <w:top w:val="nil"/>
                          <w:left w:val="nil"/>
                          <w:bottom w:val="nil"/>
                          <w:right w:val="nil"/>
                        </w:tcBorders>
                      </w:tcPr>
                      <w:p>
                        <w:pPr>
                          <w:pStyle w:val="TableParagraph"/>
                          <w:spacing w:before="113"/>
                          <w:ind w:left="138" w:right="148"/>
                          <w:jc w:val="center"/>
                          <w:rPr>
                            <w:sz w:val="24"/>
                          </w:rPr>
                        </w:pPr>
                        <w:r>
                          <w:rPr>
                            <w:sz w:val="24"/>
                          </w:rPr>
                          <w:t>130.0</w:t>
                        </w:r>
                      </w:p>
                    </w:tc>
                    <w:tc>
                      <w:tcPr>
                        <w:tcW w:w="765" w:type="dxa"/>
                        <w:tcBorders>
                          <w:top w:val="nil"/>
                          <w:left w:val="nil"/>
                          <w:bottom w:val="nil"/>
                          <w:right w:val="nil"/>
                        </w:tcBorders>
                      </w:tcPr>
                      <w:p>
                        <w:pPr>
                          <w:pStyle w:val="TableParagraph"/>
                          <w:spacing w:before="113"/>
                          <w:ind w:left="150" w:right="153"/>
                          <w:jc w:val="center"/>
                          <w:rPr>
                            <w:sz w:val="24"/>
                          </w:rPr>
                        </w:pPr>
                        <w:r>
                          <w:rPr>
                            <w:sz w:val="24"/>
                          </w:rPr>
                          <w:t>22.0</w:t>
                        </w:r>
                      </w:p>
                    </w:tc>
                    <w:tc>
                      <w:tcPr>
                        <w:tcW w:w="769" w:type="dxa"/>
                        <w:tcBorders>
                          <w:top w:val="nil"/>
                          <w:left w:val="nil"/>
                          <w:bottom w:val="nil"/>
                          <w:right w:val="nil"/>
                        </w:tcBorders>
                      </w:tcPr>
                      <w:p>
                        <w:pPr>
                          <w:pStyle w:val="TableParagraph"/>
                          <w:spacing w:before="113"/>
                          <w:ind w:left="155" w:right="154"/>
                          <w:jc w:val="center"/>
                          <w:rPr>
                            <w:sz w:val="24"/>
                          </w:rPr>
                        </w:pPr>
                        <w:r>
                          <w:rPr>
                            <w:sz w:val="24"/>
                          </w:rPr>
                          <w:t>99.0</w:t>
                        </w:r>
                      </w:p>
                    </w:tc>
                    <w:tc>
                      <w:tcPr>
                        <w:tcW w:w="768" w:type="dxa"/>
                        <w:tcBorders>
                          <w:top w:val="nil"/>
                          <w:left w:val="nil"/>
                          <w:bottom w:val="nil"/>
                          <w:right w:val="nil"/>
                        </w:tcBorders>
                      </w:tcPr>
                      <w:p>
                        <w:pPr>
                          <w:pStyle w:val="TableParagraph"/>
                          <w:spacing w:before="113"/>
                          <w:ind w:left="154" w:right="154"/>
                          <w:jc w:val="center"/>
                          <w:rPr>
                            <w:sz w:val="24"/>
                          </w:rPr>
                        </w:pPr>
                        <w:r>
                          <w:rPr>
                            <w:sz w:val="24"/>
                          </w:rPr>
                          <w:t>12.0</w:t>
                        </w:r>
                      </w:p>
                    </w:tc>
                    <w:tc>
                      <w:tcPr>
                        <w:tcW w:w="801" w:type="dxa"/>
                        <w:tcBorders>
                          <w:top w:val="nil"/>
                          <w:left w:val="nil"/>
                          <w:bottom w:val="nil"/>
                          <w:right w:val="nil"/>
                        </w:tcBorders>
                      </w:tcPr>
                      <w:p>
                        <w:pPr>
                          <w:pStyle w:val="TableParagraph"/>
                          <w:spacing w:before="113"/>
                          <w:ind w:left="155" w:right="185"/>
                          <w:jc w:val="center"/>
                          <w:rPr>
                            <w:sz w:val="24"/>
                          </w:rPr>
                        </w:pPr>
                        <w:r>
                          <w:rPr>
                            <w:sz w:val="24"/>
                          </w:rPr>
                          <w:t>16.0</w:t>
                        </w:r>
                      </w:p>
                    </w:tc>
                    <w:tc>
                      <w:tcPr>
                        <w:tcW w:w="744" w:type="dxa"/>
                        <w:tcBorders>
                          <w:top w:val="nil"/>
                          <w:left w:val="nil"/>
                          <w:bottom w:val="nil"/>
                          <w:right w:val="nil"/>
                        </w:tcBorders>
                      </w:tcPr>
                      <w:p>
                        <w:pPr>
                          <w:pStyle w:val="TableParagraph"/>
                          <w:spacing w:before="113"/>
                          <w:ind w:left="206"/>
                          <w:jc w:val="left"/>
                          <w:rPr>
                            <w:sz w:val="24"/>
                          </w:rPr>
                        </w:pPr>
                        <w:r>
                          <w:rPr>
                            <w:sz w:val="24"/>
                          </w:rPr>
                          <w:t>3.0</w:t>
                        </w:r>
                      </w:p>
                    </w:tc>
                  </w:tr>
                </w:tbl>
                <w:p>
                  <w:pPr>
                    <w:pStyle w:val="BodyText"/>
                  </w:pPr>
                </w:p>
              </w:txbxContent>
            </v:textbox>
            <w10:wrap type="none"/>
          </v:shape>
        </w:pict>
      </w:r>
      <w:r>
        <w:rPr/>
        <w:t>Number of farms</w:t>
      </w:r>
    </w:p>
    <w:p>
      <w:pPr>
        <w:pStyle w:val="BodyText"/>
        <w:spacing w:before="9"/>
        <w:rPr>
          <w:sz w:val="19"/>
        </w:rPr>
      </w:pPr>
      <w:r>
        <w:rPr/>
        <w:pict>
          <v:group style="position:absolute;margin-left:83.283997pt;margin-top:13.34427pt;width:445pt;height:2.2pt;mso-position-horizontal-relative:page;mso-position-vertical-relative:paragraph;z-index:4960;mso-wrap-distance-left:0;mso-wrap-distance-right:0" coordorigin="1666,267" coordsize="8900,44">
            <v:line style="position:absolute" from="1688,289" to="5828,289" stroked="true" strokeweight="2.16pt" strokecolor="#000000"/>
            <v:line style="position:absolute" from="5814,289" to="5857,289" stroked="true" strokeweight="2.16pt" strokecolor="#000000"/>
            <v:line style="position:absolute" from="5857,289" to="6690,289" stroked="true" strokeweight="2.16pt" strokecolor="#000000"/>
            <v:line style="position:absolute" from="6676,289" to="6719,289" stroked="true" strokeweight="2.16pt" strokecolor="#000000"/>
            <v:line style="position:absolute" from="6719,289" to="7461,289" stroked="true" strokeweight="2.16pt" strokecolor="#000000"/>
            <v:line style="position:absolute" from="7446,289" to="7489,289" stroked="true" strokeweight="2.16pt" strokecolor="#000000"/>
            <v:line style="position:absolute" from="7489,289" to="8231,289" stroked="true" strokeweight="2.16pt" strokecolor="#000000"/>
            <v:line style="position:absolute" from="8217,289" to="8260,289" stroked="true" strokeweight="2.16pt" strokecolor="#000000"/>
            <v:line style="position:absolute" from="8260,289" to="8999,289" stroked="true" strokeweight="2.16pt" strokecolor="#000000"/>
            <v:line style="position:absolute" from="8985,289" to="9028,289" stroked="true" strokeweight="2.16pt" strokecolor="#000000"/>
            <v:line style="position:absolute" from="9028,289" to="9770,289" stroked="true" strokeweight="2.16pt" strokecolor="#000000"/>
            <v:line style="position:absolute" from="9756,289" to="9799,289" stroked="true" strokeweight="2.16pt" strokecolor="#000000"/>
            <v:line style="position:absolute" from="9799,289" to="10543,289" stroked="true" strokeweight="2.16pt" strokecolor="#000000"/>
            <w10:wrap type="topAndBottom"/>
          </v:group>
        </w:pict>
      </w:r>
    </w:p>
    <w:p>
      <w:pPr>
        <w:spacing w:line="198" w:lineRule="exact" w:before="0"/>
        <w:ind w:left="142" w:right="0" w:firstLine="0"/>
        <w:jc w:val="left"/>
        <w:rPr>
          <w:sz w:val="20"/>
        </w:rPr>
      </w:pPr>
      <w:r>
        <w:rPr>
          <w:position w:val="2"/>
          <w:sz w:val="20"/>
        </w:rPr>
        <w:t>N</w:t>
      </w:r>
      <w:r>
        <w:rPr>
          <w:sz w:val="13"/>
        </w:rPr>
        <w:t>i  </w:t>
      </w:r>
      <w:r>
        <w:rPr>
          <w:position w:val="2"/>
          <w:sz w:val="20"/>
        </w:rPr>
        <w:t>population of stratum</w:t>
      </w:r>
      <w:r>
        <w:rPr>
          <w:sz w:val="13"/>
        </w:rPr>
        <w:t>i</w:t>
      </w:r>
      <w:r>
        <w:rPr>
          <w:position w:val="2"/>
          <w:sz w:val="20"/>
        </w:rPr>
        <w:t>, n</w:t>
      </w:r>
      <w:r>
        <w:rPr>
          <w:sz w:val="13"/>
        </w:rPr>
        <w:t>i </w:t>
      </w:r>
      <w:r>
        <w:rPr>
          <w:position w:val="2"/>
          <w:sz w:val="20"/>
        </w:rPr>
        <w:t>sample of stratum</w:t>
      </w:r>
      <w:r>
        <w:rPr>
          <w:sz w:val="13"/>
        </w:rPr>
        <w:t>i</w:t>
      </w:r>
      <w:r>
        <w:rPr>
          <w:position w:val="2"/>
          <w:sz w:val="20"/>
        </w:rPr>
        <w:t>,</w:t>
      </w:r>
    </w:p>
    <w:p>
      <w:pPr>
        <w:spacing w:before="114"/>
        <w:ind w:left="142" w:right="0" w:firstLine="0"/>
        <w:jc w:val="left"/>
        <w:rPr>
          <w:sz w:val="20"/>
        </w:rPr>
      </w:pPr>
      <w:r>
        <w:rPr>
          <w:sz w:val="20"/>
        </w:rPr>
        <w:t>Stratum 1 = herds from 3 to 9 cows, Stratum 2 = herds from 10 to 19 cows, Stratum 3 = herds from 20 to 30 cows.</w:t>
      </w:r>
    </w:p>
    <w:p>
      <w:pPr>
        <w:spacing w:after="0"/>
        <w:jc w:val="left"/>
        <w:rPr>
          <w:sz w:val="20"/>
        </w:rPr>
        <w:sectPr>
          <w:pgSz w:w="12240" w:h="15840"/>
          <w:pgMar w:header="0" w:footer="657" w:top="1360" w:bottom="840" w:left="1560" w:right="1560"/>
        </w:sectPr>
      </w:pPr>
    </w:p>
    <w:p>
      <w:pPr>
        <w:pStyle w:val="BodyText"/>
        <w:spacing w:before="50"/>
        <w:ind w:left="231"/>
      </w:pPr>
      <w:r>
        <w:rPr>
          <w:b/>
        </w:rPr>
        <w:t>Table 2 </w:t>
      </w:r>
      <w:r>
        <w:rPr/>
        <w:t>Private profitability indicators by productive strata</w:t>
      </w:r>
    </w:p>
    <w:p>
      <w:pPr>
        <w:pStyle w:val="BodyText"/>
        <w:spacing w:before="10" w:after="1"/>
      </w:pPr>
    </w:p>
    <w:tbl>
      <w:tblPr>
        <w:tblW w:w="0" w:type="auto"/>
        <w:jc w:val="left"/>
        <w:tblInd w:w="16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037"/>
        <w:gridCol w:w="1396"/>
        <w:gridCol w:w="1230"/>
        <w:gridCol w:w="1177"/>
      </w:tblGrid>
      <w:tr>
        <w:trPr>
          <w:trHeight w:val="578" w:hRule="exact"/>
        </w:trPr>
        <w:tc>
          <w:tcPr>
            <w:tcW w:w="5037" w:type="dxa"/>
            <w:tcBorders>
              <w:left w:val="nil"/>
              <w:right w:val="nil"/>
            </w:tcBorders>
          </w:tcPr>
          <w:p>
            <w:pPr/>
          </w:p>
        </w:tc>
        <w:tc>
          <w:tcPr>
            <w:tcW w:w="1396" w:type="dxa"/>
            <w:tcBorders>
              <w:left w:val="nil"/>
              <w:right w:val="nil"/>
            </w:tcBorders>
          </w:tcPr>
          <w:p>
            <w:pPr>
              <w:pStyle w:val="TableParagraph"/>
              <w:spacing w:line="273" w:lineRule="exact"/>
              <w:ind w:right="123"/>
              <w:rPr>
                <w:sz w:val="24"/>
              </w:rPr>
            </w:pPr>
            <w:r>
              <w:rPr>
                <w:sz w:val="24"/>
              </w:rPr>
              <w:t>Stratum 1</w:t>
            </w:r>
          </w:p>
        </w:tc>
        <w:tc>
          <w:tcPr>
            <w:tcW w:w="1230" w:type="dxa"/>
            <w:tcBorders>
              <w:left w:val="nil"/>
              <w:right w:val="nil"/>
            </w:tcBorders>
          </w:tcPr>
          <w:p>
            <w:pPr>
              <w:pStyle w:val="TableParagraph"/>
              <w:spacing w:line="273" w:lineRule="exact"/>
              <w:ind w:right="163"/>
              <w:rPr>
                <w:sz w:val="24"/>
              </w:rPr>
            </w:pPr>
            <w:r>
              <w:rPr>
                <w:sz w:val="24"/>
              </w:rPr>
              <w:t>Stratum 2</w:t>
            </w:r>
          </w:p>
        </w:tc>
        <w:tc>
          <w:tcPr>
            <w:tcW w:w="1177" w:type="dxa"/>
            <w:tcBorders>
              <w:left w:val="nil"/>
              <w:right w:val="nil"/>
            </w:tcBorders>
          </w:tcPr>
          <w:p>
            <w:pPr>
              <w:pStyle w:val="TableParagraph"/>
              <w:spacing w:line="273" w:lineRule="exact"/>
              <w:ind w:right="70"/>
              <w:rPr>
                <w:sz w:val="24"/>
              </w:rPr>
            </w:pPr>
            <w:r>
              <w:rPr>
                <w:sz w:val="24"/>
              </w:rPr>
              <w:t>Stratum 3</w:t>
            </w:r>
          </w:p>
        </w:tc>
      </w:tr>
      <w:tr>
        <w:trPr>
          <w:trHeight w:val="436" w:hRule="exact"/>
        </w:trPr>
        <w:tc>
          <w:tcPr>
            <w:tcW w:w="5037" w:type="dxa"/>
            <w:tcBorders>
              <w:left w:val="nil"/>
              <w:bottom w:val="nil"/>
              <w:right w:val="nil"/>
            </w:tcBorders>
          </w:tcPr>
          <w:p>
            <w:pPr>
              <w:pStyle w:val="TableParagraph"/>
              <w:spacing w:line="273" w:lineRule="exact"/>
              <w:ind w:left="69"/>
              <w:jc w:val="left"/>
              <w:rPr>
                <w:sz w:val="24"/>
              </w:rPr>
            </w:pPr>
            <w:r>
              <w:rPr>
                <w:sz w:val="24"/>
              </w:rPr>
              <w:t>Total cost with family labour (USD$/litre)</w:t>
            </w:r>
          </w:p>
        </w:tc>
        <w:tc>
          <w:tcPr>
            <w:tcW w:w="1396" w:type="dxa"/>
            <w:tcBorders>
              <w:left w:val="nil"/>
              <w:bottom w:val="nil"/>
              <w:right w:val="nil"/>
            </w:tcBorders>
          </w:tcPr>
          <w:p>
            <w:pPr>
              <w:pStyle w:val="TableParagraph"/>
              <w:spacing w:line="273" w:lineRule="exact"/>
              <w:ind w:right="122"/>
              <w:rPr>
                <w:sz w:val="24"/>
              </w:rPr>
            </w:pPr>
            <w:r>
              <w:rPr>
                <w:sz w:val="24"/>
              </w:rPr>
              <w:t>0.35</w:t>
            </w:r>
          </w:p>
        </w:tc>
        <w:tc>
          <w:tcPr>
            <w:tcW w:w="1230" w:type="dxa"/>
            <w:tcBorders>
              <w:left w:val="nil"/>
              <w:bottom w:val="nil"/>
              <w:right w:val="nil"/>
            </w:tcBorders>
          </w:tcPr>
          <w:p>
            <w:pPr>
              <w:pStyle w:val="TableParagraph"/>
              <w:spacing w:line="273" w:lineRule="exact"/>
              <w:ind w:right="162"/>
              <w:rPr>
                <w:sz w:val="24"/>
              </w:rPr>
            </w:pPr>
            <w:r>
              <w:rPr>
                <w:sz w:val="24"/>
              </w:rPr>
              <w:t>0.29</w:t>
            </w:r>
          </w:p>
        </w:tc>
        <w:tc>
          <w:tcPr>
            <w:tcW w:w="1177" w:type="dxa"/>
            <w:tcBorders>
              <w:left w:val="nil"/>
              <w:bottom w:val="nil"/>
              <w:right w:val="nil"/>
            </w:tcBorders>
          </w:tcPr>
          <w:p>
            <w:pPr>
              <w:pStyle w:val="TableParagraph"/>
              <w:spacing w:line="273" w:lineRule="exact"/>
              <w:ind w:right="71"/>
              <w:rPr>
                <w:sz w:val="24"/>
              </w:rPr>
            </w:pPr>
            <w:r>
              <w:rPr>
                <w:sz w:val="24"/>
              </w:rPr>
              <w:t>0.26</w:t>
            </w:r>
          </w:p>
        </w:tc>
      </w:tr>
      <w:tr>
        <w:trPr>
          <w:trHeight w:val="534" w:hRule="exact"/>
        </w:trPr>
        <w:tc>
          <w:tcPr>
            <w:tcW w:w="5037" w:type="dxa"/>
            <w:tcBorders>
              <w:top w:val="nil"/>
              <w:left w:val="nil"/>
              <w:bottom w:val="nil"/>
              <w:right w:val="nil"/>
            </w:tcBorders>
          </w:tcPr>
          <w:p>
            <w:pPr>
              <w:pStyle w:val="TableParagraph"/>
              <w:spacing w:before="115"/>
              <w:ind w:left="69"/>
              <w:jc w:val="left"/>
              <w:rPr>
                <w:sz w:val="24"/>
              </w:rPr>
            </w:pPr>
            <w:r>
              <w:rPr>
                <w:sz w:val="24"/>
              </w:rPr>
              <w:t>Total cost without family labour (USD$/litre)</w:t>
            </w:r>
          </w:p>
        </w:tc>
        <w:tc>
          <w:tcPr>
            <w:tcW w:w="1396" w:type="dxa"/>
            <w:tcBorders>
              <w:top w:val="nil"/>
              <w:left w:val="nil"/>
              <w:bottom w:val="nil"/>
              <w:right w:val="nil"/>
            </w:tcBorders>
          </w:tcPr>
          <w:p>
            <w:pPr>
              <w:pStyle w:val="TableParagraph"/>
              <w:spacing w:before="115"/>
              <w:ind w:right="122"/>
              <w:rPr>
                <w:sz w:val="24"/>
              </w:rPr>
            </w:pPr>
            <w:r>
              <w:rPr>
                <w:sz w:val="24"/>
              </w:rPr>
              <w:t>0.26</w:t>
            </w:r>
          </w:p>
        </w:tc>
        <w:tc>
          <w:tcPr>
            <w:tcW w:w="1230" w:type="dxa"/>
            <w:tcBorders>
              <w:top w:val="nil"/>
              <w:left w:val="nil"/>
              <w:bottom w:val="nil"/>
              <w:right w:val="nil"/>
            </w:tcBorders>
          </w:tcPr>
          <w:p>
            <w:pPr>
              <w:pStyle w:val="TableParagraph"/>
              <w:spacing w:before="115"/>
              <w:ind w:right="162"/>
              <w:rPr>
                <w:sz w:val="24"/>
              </w:rPr>
            </w:pPr>
            <w:r>
              <w:rPr>
                <w:sz w:val="24"/>
              </w:rPr>
              <w:t>0.24</w:t>
            </w:r>
          </w:p>
        </w:tc>
        <w:tc>
          <w:tcPr>
            <w:tcW w:w="1177" w:type="dxa"/>
            <w:tcBorders>
              <w:top w:val="nil"/>
              <w:left w:val="nil"/>
              <w:bottom w:val="nil"/>
              <w:right w:val="nil"/>
            </w:tcBorders>
          </w:tcPr>
          <w:p>
            <w:pPr>
              <w:pStyle w:val="TableParagraph"/>
              <w:spacing w:before="115"/>
              <w:ind w:right="71"/>
              <w:rPr>
                <w:sz w:val="24"/>
              </w:rPr>
            </w:pPr>
            <w:r>
              <w:rPr>
                <w:sz w:val="24"/>
              </w:rPr>
              <w:t>0.23</w:t>
            </w:r>
          </w:p>
        </w:tc>
      </w:tr>
      <w:tr>
        <w:trPr>
          <w:trHeight w:val="534" w:hRule="exact"/>
        </w:trPr>
        <w:tc>
          <w:tcPr>
            <w:tcW w:w="5037" w:type="dxa"/>
            <w:tcBorders>
              <w:top w:val="nil"/>
              <w:left w:val="nil"/>
              <w:bottom w:val="nil"/>
              <w:right w:val="nil"/>
            </w:tcBorders>
          </w:tcPr>
          <w:p>
            <w:pPr>
              <w:pStyle w:val="TableParagraph"/>
              <w:spacing w:before="116"/>
              <w:ind w:left="69"/>
              <w:jc w:val="left"/>
              <w:rPr>
                <w:sz w:val="24"/>
              </w:rPr>
            </w:pPr>
            <w:r>
              <w:rPr>
                <w:sz w:val="24"/>
              </w:rPr>
              <w:t>Net profit with family labour (USD$/litre)</w:t>
            </w:r>
          </w:p>
        </w:tc>
        <w:tc>
          <w:tcPr>
            <w:tcW w:w="1396" w:type="dxa"/>
            <w:tcBorders>
              <w:top w:val="nil"/>
              <w:left w:val="nil"/>
              <w:bottom w:val="nil"/>
              <w:right w:val="nil"/>
            </w:tcBorders>
          </w:tcPr>
          <w:p>
            <w:pPr>
              <w:pStyle w:val="TableParagraph"/>
              <w:spacing w:before="116"/>
              <w:ind w:right="122"/>
              <w:rPr>
                <w:sz w:val="24"/>
              </w:rPr>
            </w:pPr>
            <w:r>
              <w:rPr>
                <w:sz w:val="24"/>
              </w:rPr>
              <w:t>0.03</w:t>
            </w:r>
          </w:p>
        </w:tc>
        <w:tc>
          <w:tcPr>
            <w:tcW w:w="1230" w:type="dxa"/>
            <w:tcBorders>
              <w:top w:val="nil"/>
              <w:left w:val="nil"/>
              <w:bottom w:val="nil"/>
              <w:right w:val="nil"/>
            </w:tcBorders>
          </w:tcPr>
          <w:p>
            <w:pPr>
              <w:pStyle w:val="TableParagraph"/>
              <w:spacing w:before="116"/>
              <w:ind w:right="162"/>
              <w:rPr>
                <w:sz w:val="24"/>
              </w:rPr>
            </w:pPr>
            <w:r>
              <w:rPr>
                <w:sz w:val="24"/>
              </w:rPr>
              <w:t>0.09</w:t>
            </w:r>
          </w:p>
        </w:tc>
        <w:tc>
          <w:tcPr>
            <w:tcW w:w="1177" w:type="dxa"/>
            <w:tcBorders>
              <w:top w:val="nil"/>
              <w:left w:val="nil"/>
              <w:bottom w:val="nil"/>
              <w:right w:val="nil"/>
            </w:tcBorders>
          </w:tcPr>
          <w:p>
            <w:pPr>
              <w:pStyle w:val="TableParagraph"/>
              <w:spacing w:before="116"/>
              <w:ind w:right="71"/>
              <w:rPr>
                <w:sz w:val="24"/>
              </w:rPr>
            </w:pPr>
            <w:r>
              <w:rPr>
                <w:sz w:val="24"/>
              </w:rPr>
              <w:t>0.12</w:t>
            </w:r>
          </w:p>
        </w:tc>
      </w:tr>
      <w:tr>
        <w:trPr>
          <w:trHeight w:val="534" w:hRule="exact"/>
        </w:trPr>
        <w:tc>
          <w:tcPr>
            <w:tcW w:w="5037" w:type="dxa"/>
            <w:tcBorders>
              <w:top w:val="nil"/>
              <w:left w:val="nil"/>
              <w:bottom w:val="nil"/>
              <w:right w:val="nil"/>
            </w:tcBorders>
          </w:tcPr>
          <w:p>
            <w:pPr>
              <w:pStyle w:val="TableParagraph"/>
              <w:spacing w:before="115"/>
              <w:ind w:left="69"/>
              <w:jc w:val="left"/>
              <w:rPr>
                <w:sz w:val="24"/>
              </w:rPr>
            </w:pPr>
            <w:r>
              <w:rPr>
                <w:sz w:val="24"/>
              </w:rPr>
              <w:t>Net profit without family labour (USD$/litre)</w:t>
            </w:r>
          </w:p>
        </w:tc>
        <w:tc>
          <w:tcPr>
            <w:tcW w:w="1396" w:type="dxa"/>
            <w:tcBorders>
              <w:top w:val="nil"/>
              <w:left w:val="nil"/>
              <w:bottom w:val="nil"/>
              <w:right w:val="nil"/>
            </w:tcBorders>
          </w:tcPr>
          <w:p>
            <w:pPr>
              <w:pStyle w:val="TableParagraph"/>
              <w:spacing w:before="115"/>
              <w:ind w:right="122"/>
              <w:rPr>
                <w:sz w:val="24"/>
              </w:rPr>
            </w:pPr>
            <w:r>
              <w:rPr>
                <w:sz w:val="24"/>
              </w:rPr>
              <w:t>0.12</w:t>
            </w:r>
          </w:p>
        </w:tc>
        <w:tc>
          <w:tcPr>
            <w:tcW w:w="1230" w:type="dxa"/>
            <w:tcBorders>
              <w:top w:val="nil"/>
              <w:left w:val="nil"/>
              <w:bottom w:val="nil"/>
              <w:right w:val="nil"/>
            </w:tcBorders>
          </w:tcPr>
          <w:p>
            <w:pPr>
              <w:pStyle w:val="TableParagraph"/>
              <w:spacing w:before="115"/>
              <w:ind w:right="162"/>
              <w:rPr>
                <w:sz w:val="24"/>
              </w:rPr>
            </w:pPr>
            <w:r>
              <w:rPr>
                <w:sz w:val="24"/>
              </w:rPr>
              <w:t>0.14</w:t>
            </w:r>
          </w:p>
        </w:tc>
        <w:tc>
          <w:tcPr>
            <w:tcW w:w="1177" w:type="dxa"/>
            <w:tcBorders>
              <w:top w:val="nil"/>
              <w:left w:val="nil"/>
              <w:bottom w:val="nil"/>
              <w:right w:val="nil"/>
            </w:tcBorders>
          </w:tcPr>
          <w:p>
            <w:pPr>
              <w:pStyle w:val="TableParagraph"/>
              <w:spacing w:before="115"/>
              <w:ind w:right="71"/>
              <w:rPr>
                <w:sz w:val="24"/>
              </w:rPr>
            </w:pPr>
            <w:r>
              <w:rPr>
                <w:sz w:val="24"/>
              </w:rPr>
              <w:t>0.15</w:t>
            </w:r>
          </w:p>
        </w:tc>
      </w:tr>
      <w:tr>
        <w:trPr>
          <w:trHeight w:val="534" w:hRule="exact"/>
        </w:trPr>
        <w:tc>
          <w:tcPr>
            <w:tcW w:w="5037" w:type="dxa"/>
            <w:tcBorders>
              <w:top w:val="nil"/>
              <w:left w:val="nil"/>
              <w:bottom w:val="nil"/>
              <w:right w:val="nil"/>
            </w:tcBorders>
          </w:tcPr>
          <w:p>
            <w:pPr>
              <w:pStyle w:val="TableParagraph"/>
              <w:spacing w:before="116"/>
              <w:ind w:left="69"/>
              <w:jc w:val="left"/>
              <w:rPr>
                <w:sz w:val="24"/>
              </w:rPr>
            </w:pPr>
            <w:r>
              <w:rPr>
                <w:sz w:val="24"/>
              </w:rPr>
              <w:t>PPC with family labour</w:t>
            </w:r>
          </w:p>
        </w:tc>
        <w:tc>
          <w:tcPr>
            <w:tcW w:w="1396" w:type="dxa"/>
            <w:tcBorders>
              <w:top w:val="nil"/>
              <w:left w:val="nil"/>
              <w:bottom w:val="nil"/>
              <w:right w:val="nil"/>
            </w:tcBorders>
          </w:tcPr>
          <w:p>
            <w:pPr>
              <w:pStyle w:val="TableParagraph"/>
              <w:spacing w:before="116"/>
              <w:ind w:right="122"/>
              <w:rPr>
                <w:sz w:val="24"/>
              </w:rPr>
            </w:pPr>
            <w:r>
              <w:rPr>
                <w:sz w:val="24"/>
              </w:rPr>
              <w:t>7.64</w:t>
            </w:r>
          </w:p>
        </w:tc>
        <w:tc>
          <w:tcPr>
            <w:tcW w:w="1230" w:type="dxa"/>
            <w:tcBorders>
              <w:top w:val="nil"/>
              <w:left w:val="nil"/>
              <w:bottom w:val="nil"/>
              <w:right w:val="nil"/>
            </w:tcBorders>
          </w:tcPr>
          <w:p>
            <w:pPr>
              <w:pStyle w:val="TableParagraph"/>
              <w:spacing w:before="116"/>
              <w:ind w:right="162"/>
              <w:rPr>
                <w:sz w:val="24"/>
              </w:rPr>
            </w:pPr>
            <w:r>
              <w:rPr>
                <w:sz w:val="24"/>
              </w:rPr>
              <w:t>30.96</w:t>
            </w:r>
          </w:p>
        </w:tc>
        <w:tc>
          <w:tcPr>
            <w:tcW w:w="1177" w:type="dxa"/>
            <w:tcBorders>
              <w:top w:val="nil"/>
              <w:left w:val="nil"/>
              <w:bottom w:val="nil"/>
              <w:right w:val="nil"/>
            </w:tcBorders>
          </w:tcPr>
          <w:p>
            <w:pPr>
              <w:pStyle w:val="TableParagraph"/>
              <w:spacing w:before="116"/>
              <w:ind w:right="71"/>
              <w:rPr>
                <w:sz w:val="24"/>
              </w:rPr>
            </w:pPr>
            <w:r>
              <w:rPr>
                <w:sz w:val="24"/>
              </w:rPr>
              <w:t>45.86</w:t>
            </w:r>
          </w:p>
        </w:tc>
      </w:tr>
      <w:tr>
        <w:trPr>
          <w:trHeight w:val="534" w:hRule="exact"/>
        </w:trPr>
        <w:tc>
          <w:tcPr>
            <w:tcW w:w="5037" w:type="dxa"/>
            <w:tcBorders>
              <w:top w:val="nil"/>
              <w:left w:val="nil"/>
              <w:bottom w:val="nil"/>
              <w:right w:val="nil"/>
            </w:tcBorders>
          </w:tcPr>
          <w:p>
            <w:pPr>
              <w:pStyle w:val="TableParagraph"/>
              <w:spacing w:before="115"/>
              <w:ind w:left="69"/>
              <w:jc w:val="left"/>
              <w:rPr>
                <w:sz w:val="24"/>
              </w:rPr>
            </w:pPr>
            <w:r>
              <w:rPr>
                <w:sz w:val="24"/>
              </w:rPr>
              <w:t>PPC without family labour</w:t>
            </w:r>
          </w:p>
        </w:tc>
        <w:tc>
          <w:tcPr>
            <w:tcW w:w="1396" w:type="dxa"/>
            <w:tcBorders>
              <w:top w:val="nil"/>
              <w:left w:val="nil"/>
              <w:bottom w:val="nil"/>
              <w:right w:val="nil"/>
            </w:tcBorders>
          </w:tcPr>
          <w:p>
            <w:pPr>
              <w:pStyle w:val="TableParagraph"/>
              <w:spacing w:before="115"/>
              <w:ind w:right="122"/>
              <w:rPr>
                <w:sz w:val="24"/>
              </w:rPr>
            </w:pPr>
            <w:r>
              <w:rPr>
                <w:sz w:val="24"/>
              </w:rPr>
              <w:t>47.28</w:t>
            </w:r>
          </w:p>
        </w:tc>
        <w:tc>
          <w:tcPr>
            <w:tcW w:w="1230" w:type="dxa"/>
            <w:tcBorders>
              <w:top w:val="nil"/>
              <w:left w:val="nil"/>
              <w:bottom w:val="nil"/>
              <w:right w:val="nil"/>
            </w:tcBorders>
          </w:tcPr>
          <w:p>
            <w:pPr>
              <w:pStyle w:val="TableParagraph"/>
              <w:spacing w:before="115"/>
              <w:ind w:right="162"/>
              <w:rPr>
                <w:sz w:val="24"/>
              </w:rPr>
            </w:pPr>
            <w:r>
              <w:rPr>
                <w:sz w:val="24"/>
              </w:rPr>
              <w:t>56.84</w:t>
            </w:r>
          </w:p>
        </w:tc>
        <w:tc>
          <w:tcPr>
            <w:tcW w:w="1177" w:type="dxa"/>
            <w:tcBorders>
              <w:top w:val="nil"/>
              <w:left w:val="nil"/>
              <w:bottom w:val="nil"/>
              <w:right w:val="nil"/>
            </w:tcBorders>
          </w:tcPr>
          <w:p>
            <w:pPr>
              <w:pStyle w:val="TableParagraph"/>
              <w:spacing w:before="115"/>
              <w:ind w:right="71"/>
              <w:rPr>
                <w:sz w:val="24"/>
              </w:rPr>
            </w:pPr>
            <w:r>
              <w:rPr>
                <w:sz w:val="24"/>
              </w:rPr>
              <w:t>66.23</w:t>
            </w:r>
          </w:p>
        </w:tc>
      </w:tr>
      <w:tr>
        <w:trPr>
          <w:trHeight w:val="534" w:hRule="exact"/>
        </w:trPr>
        <w:tc>
          <w:tcPr>
            <w:tcW w:w="5037" w:type="dxa"/>
            <w:tcBorders>
              <w:top w:val="nil"/>
              <w:left w:val="nil"/>
              <w:bottom w:val="nil"/>
              <w:right w:val="nil"/>
            </w:tcBorders>
          </w:tcPr>
          <w:p>
            <w:pPr>
              <w:pStyle w:val="TableParagraph"/>
              <w:spacing w:before="116"/>
              <w:ind w:left="69"/>
              <w:jc w:val="left"/>
              <w:rPr>
                <w:sz w:val="24"/>
              </w:rPr>
            </w:pPr>
            <w:r>
              <w:rPr>
                <w:sz w:val="24"/>
              </w:rPr>
              <w:t>Return on investment with family labour (%)</w:t>
            </w:r>
          </w:p>
        </w:tc>
        <w:tc>
          <w:tcPr>
            <w:tcW w:w="1396" w:type="dxa"/>
            <w:tcBorders>
              <w:top w:val="nil"/>
              <w:left w:val="nil"/>
              <w:bottom w:val="nil"/>
              <w:right w:val="nil"/>
            </w:tcBorders>
          </w:tcPr>
          <w:p>
            <w:pPr>
              <w:pStyle w:val="TableParagraph"/>
              <w:spacing w:before="116"/>
              <w:ind w:right="122"/>
              <w:rPr>
                <w:sz w:val="24"/>
              </w:rPr>
            </w:pPr>
            <w:r>
              <w:rPr>
                <w:sz w:val="24"/>
              </w:rPr>
              <w:t>1.6</w:t>
            </w:r>
          </w:p>
        </w:tc>
        <w:tc>
          <w:tcPr>
            <w:tcW w:w="1230" w:type="dxa"/>
            <w:tcBorders>
              <w:top w:val="nil"/>
              <w:left w:val="nil"/>
              <w:bottom w:val="nil"/>
              <w:right w:val="nil"/>
            </w:tcBorders>
          </w:tcPr>
          <w:p>
            <w:pPr>
              <w:pStyle w:val="TableParagraph"/>
              <w:spacing w:before="116"/>
              <w:ind w:right="162"/>
              <w:rPr>
                <w:sz w:val="24"/>
              </w:rPr>
            </w:pPr>
            <w:r>
              <w:rPr>
                <w:sz w:val="24"/>
              </w:rPr>
              <w:t>8.1</w:t>
            </w:r>
          </w:p>
        </w:tc>
        <w:tc>
          <w:tcPr>
            <w:tcW w:w="1177" w:type="dxa"/>
            <w:tcBorders>
              <w:top w:val="nil"/>
              <w:left w:val="nil"/>
              <w:bottom w:val="nil"/>
              <w:right w:val="nil"/>
            </w:tcBorders>
          </w:tcPr>
          <w:p>
            <w:pPr>
              <w:pStyle w:val="TableParagraph"/>
              <w:spacing w:before="116"/>
              <w:ind w:right="71"/>
              <w:rPr>
                <w:sz w:val="24"/>
              </w:rPr>
            </w:pPr>
            <w:r>
              <w:rPr>
                <w:sz w:val="24"/>
              </w:rPr>
              <w:t>13.4</w:t>
            </w:r>
          </w:p>
        </w:tc>
      </w:tr>
      <w:tr>
        <w:trPr>
          <w:trHeight w:val="486" w:hRule="exact"/>
        </w:trPr>
        <w:tc>
          <w:tcPr>
            <w:tcW w:w="5037" w:type="dxa"/>
            <w:tcBorders>
              <w:top w:val="nil"/>
              <w:left w:val="nil"/>
              <w:bottom w:val="nil"/>
              <w:right w:val="nil"/>
            </w:tcBorders>
          </w:tcPr>
          <w:p>
            <w:pPr>
              <w:pStyle w:val="TableParagraph"/>
              <w:spacing w:before="115"/>
              <w:ind w:left="69"/>
              <w:jc w:val="left"/>
              <w:rPr>
                <w:sz w:val="24"/>
              </w:rPr>
            </w:pPr>
            <w:r>
              <w:rPr>
                <w:sz w:val="24"/>
              </w:rPr>
              <w:t>Return on investment without family labour (%)</w:t>
            </w:r>
          </w:p>
        </w:tc>
        <w:tc>
          <w:tcPr>
            <w:tcW w:w="1396" w:type="dxa"/>
            <w:tcBorders>
              <w:top w:val="nil"/>
              <w:left w:val="nil"/>
              <w:bottom w:val="nil"/>
              <w:right w:val="nil"/>
            </w:tcBorders>
          </w:tcPr>
          <w:p>
            <w:pPr>
              <w:pStyle w:val="TableParagraph"/>
              <w:spacing w:before="115"/>
              <w:ind w:right="122"/>
              <w:rPr>
                <w:sz w:val="24"/>
              </w:rPr>
            </w:pPr>
            <w:r>
              <w:rPr>
                <w:sz w:val="24"/>
              </w:rPr>
              <w:t>13.9</w:t>
            </w:r>
          </w:p>
        </w:tc>
        <w:tc>
          <w:tcPr>
            <w:tcW w:w="1230" w:type="dxa"/>
            <w:tcBorders>
              <w:top w:val="nil"/>
              <w:left w:val="nil"/>
              <w:bottom w:val="nil"/>
              <w:right w:val="nil"/>
            </w:tcBorders>
          </w:tcPr>
          <w:p>
            <w:pPr>
              <w:pStyle w:val="TableParagraph"/>
              <w:spacing w:before="115"/>
              <w:ind w:right="162"/>
              <w:rPr>
                <w:sz w:val="24"/>
              </w:rPr>
            </w:pPr>
            <w:r>
              <w:rPr>
                <w:sz w:val="24"/>
              </w:rPr>
              <w:t>17.8</w:t>
            </w:r>
          </w:p>
        </w:tc>
        <w:tc>
          <w:tcPr>
            <w:tcW w:w="1177" w:type="dxa"/>
            <w:tcBorders>
              <w:top w:val="nil"/>
              <w:left w:val="nil"/>
              <w:bottom w:val="nil"/>
              <w:right w:val="nil"/>
            </w:tcBorders>
          </w:tcPr>
          <w:p>
            <w:pPr>
              <w:pStyle w:val="TableParagraph"/>
              <w:spacing w:before="115"/>
              <w:ind w:right="71"/>
              <w:rPr>
                <w:sz w:val="24"/>
              </w:rPr>
            </w:pPr>
            <w:r>
              <w:rPr>
                <w:sz w:val="24"/>
              </w:rPr>
              <w:t>22.0</w:t>
            </w:r>
          </w:p>
        </w:tc>
      </w:tr>
    </w:tbl>
    <w:p>
      <w:pPr>
        <w:pStyle w:val="BodyText"/>
        <w:spacing w:before="6"/>
        <w:rPr>
          <w:sz w:val="11"/>
        </w:rPr>
      </w:pPr>
      <w:r>
        <w:rPr/>
        <w:pict>
          <v:group style="position:absolute;margin-left:83.283997pt;margin-top:8.596085pt;width:445pt;height:2.2pt;mso-position-horizontal-relative:page;mso-position-vertical-relative:paragraph;z-index:5032;mso-wrap-distance-left:0;mso-wrap-distance-right:0" coordorigin="1666,172" coordsize="8900,44">
            <v:line style="position:absolute" from="1688,194" to="6887,194" stroked="true" strokeweight="2.16pt" strokecolor="#000000"/>
            <v:line style="position:absolute" from="6873,194" to="6916,194" stroked="true" strokeweight="2.16pt" strokecolor="#000000"/>
            <v:line style="position:absolute" from="6916,194" to="8080,194" stroked="true" strokeweight="2.16pt" strokecolor="#000000"/>
            <v:line style="position:absolute" from="8065,194" to="8109,194" stroked="true" strokeweight="2.16pt" strokecolor="#000000"/>
            <v:line style="position:absolute" from="8109,194" to="9271,194" stroked="true" strokeweight="2.16pt" strokecolor="#000000"/>
            <v:line style="position:absolute" from="9256,194" to="9300,194" stroked="true" strokeweight="2.16pt" strokecolor="#000000"/>
            <v:line style="position:absolute" from="9300,194" to="10543,194" stroked="true" strokeweight="2.16pt" strokecolor="#000000"/>
            <w10:wrap type="topAndBottom"/>
          </v:group>
        </w:pict>
      </w:r>
    </w:p>
    <w:p>
      <w:pPr>
        <w:spacing w:line="193" w:lineRule="exact" w:before="0"/>
        <w:ind w:left="104" w:right="0" w:firstLine="0"/>
        <w:jc w:val="left"/>
        <w:rPr>
          <w:sz w:val="20"/>
        </w:rPr>
      </w:pPr>
      <w:r>
        <w:rPr>
          <w:sz w:val="20"/>
        </w:rPr>
        <w:t>Stratum 1 from 3 to 9 cows, Stratum 2 from 10 to 19 cows, Stratum 3 from 20 to 30 cows, </w:t>
      </w:r>
      <w:r>
        <w:rPr>
          <w:i/>
          <w:sz w:val="20"/>
        </w:rPr>
        <w:t>PPC </w:t>
      </w:r>
      <w:r>
        <w:rPr>
          <w:sz w:val="20"/>
        </w:rPr>
        <w:t>Private</w:t>
      </w:r>
    </w:p>
    <w:p>
      <w:pPr>
        <w:spacing w:line="229" w:lineRule="exact" w:before="0"/>
        <w:ind w:left="104" w:right="0" w:firstLine="0"/>
        <w:jc w:val="left"/>
        <w:rPr>
          <w:sz w:val="20"/>
        </w:rPr>
      </w:pPr>
      <w:r>
        <w:rPr>
          <w:sz w:val="20"/>
        </w:rPr>
        <w:t>profitability coefficient.</w:t>
      </w:r>
    </w:p>
    <w:p>
      <w:pPr>
        <w:spacing w:after="0" w:line="229" w:lineRule="exact"/>
        <w:jc w:val="left"/>
        <w:rPr>
          <w:sz w:val="20"/>
        </w:rPr>
        <w:sectPr>
          <w:pgSz w:w="12240" w:h="15840"/>
          <w:pgMar w:header="0" w:footer="657" w:top="1360" w:bottom="840" w:left="1540" w:right="1560"/>
        </w:sectPr>
      </w:pP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56"/>
        <w:gridCol w:w="1491"/>
        <w:gridCol w:w="1234"/>
        <w:gridCol w:w="1159"/>
      </w:tblGrid>
      <w:tr>
        <w:trPr>
          <w:trHeight w:val="632" w:hRule="exact"/>
        </w:trPr>
        <w:tc>
          <w:tcPr>
            <w:tcW w:w="4956" w:type="dxa"/>
            <w:tcBorders>
              <w:bottom w:val="single" w:sz="17" w:space="0" w:color="000000"/>
            </w:tcBorders>
          </w:tcPr>
          <w:p>
            <w:pPr>
              <w:pStyle w:val="TableParagraph"/>
              <w:spacing w:before="69"/>
              <w:ind w:left="69"/>
              <w:jc w:val="left"/>
              <w:rPr>
                <w:sz w:val="24"/>
              </w:rPr>
            </w:pPr>
            <w:r>
              <w:rPr>
                <w:b/>
                <w:sz w:val="24"/>
              </w:rPr>
              <w:t>Table 3 </w:t>
            </w:r>
            <w:r>
              <w:rPr>
                <w:sz w:val="24"/>
              </w:rPr>
              <w:t>Efficiency indicators at private prices</w:t>
            </w:r>
          </w:p>
        </w:tc>
        <w:tc>
          <w:tcPr>
            <w:tcW w:w="3885" w:type="dxa"/>
            <w:gridSpan w:val="3"/>
            <w:tcBorders>
              <w:bottom w:val="single" w:sz="17" w:space="0" w:color="000000"/>
            </w:tcBorders>
          </w:tcPr>
          <w:p>
            <w:pPr/>
          </w:p>
        </w:tc>
      </w:tr>
      <w:tr>
        <w:trPr>
          <w:trHeight w:val="578" w:hRule="exact"/>
        </w:trPr>
        <w:tc>
          <w:tcPr>
            <w:tcW w:w="4956" w:type="dxa"/>
            <w:tcBorders>
              <w:top w:val="single" w:sz="17" w:space="0" w:color="000000"/>
              <w:bottom w:val="single" w:sz="17" w:space="0" w:color="000000"/>
            </w:tcBorders>
          </w:tcPr>
          <w:p>
            <w:pPr/>
          </w:p>
        </w:tc>
        <w:tc>
          <w:tcPr>
            <w:tcW w:w="1491" w:type="dxa"/>
            <w:tcBorders>
              <w:top w:val="single" w:sz="17" w:space="0" w:color="000000"/>
              <w:bottom w:val="single" w:sz="17" w:space="0" w:color="000000"/>
            </w:tcBorders>
          </w:tcPr>
          <w:p>
            <w:pPr>
              <w:pStyle w:val="TableParagraph"/>
              <w:spacing w:line="273" w:lineRule="exact"/>
              <w:ind w:right="144"/>
              <w:rPr>
                <w:sz w:val="24"/>
              </w:rPr>
            </w:pPr>
            <w:r>
              <w:rPr>
                <w:sz w:val="24"/>
              </w:rPr>
              <w:t>Stratum 1</w:t>
            </w:r>
          </w:p>
        </w:tc>
        <w:tc>
          <w:tcPr>
            <w:tcW w:w="1234" w:type="dxa"/>
            <w:tcBorders>
              <w:top w:val="single" w:sz="17" w:space="0" w:color="000000"/>
              <w:bottom w:val="single" w:sz="17" w:space="0" w:color="000000"/>
            </w:tcBorders>
          </w:tcPr>
          <w:p>
            <w:pPr>
              <w:pStyle w:val="TableParagraph"/>
              <w:spacing w:line="273" w:lineRule="exact"/>
              <w:ind w:right="145"/>
              <w:rPr>
                <w:sz w:val="24"/>
              </w:rPr>
            </w:pPr>
            <w:r>
              <w:rPr>
                <w:sz w:val="24"/>
              </w:rPr>
              <w:t>Stratum 2</w:t>
            </w:r>
          </w:p>
        </w:tc>
        <w:tc>
          <w:tcPr>
            <w:tcW w:w="1159" w:type="dxa"/>
            <w:tcBorders>
              <w:top w:val="single" w:sz="17" w:space="0" w:color="000000"/>
              <w:bottom w:val="single" w:sz="17" w:space="0" w:color="000000"/>
            </w:tcBorders>
          </w:tcPr>
          <w:p>
            <w:pPr>
              <w:pStyle w:val="TableParagraph"/>
              <w:spacing w:line="273" w:lineRule="exact"/>
              <w:ind w:right="70"/>
              <w:rPr>
                <w:sz w:val="24"/>
              </w:rPr>
            </w:pPr>
            <w:r>
              <w:rPr>
                <w:sz w:val="24"/>
              </w:rPr>
              <w:t>Stratum 3</w:t>
            </w:r>
          </w:p>
        </w:tc>
      </w:tr>
      <w:tr>
        <w:trPr>
          <w:trHeight w:val="436" w:hRule="exact"/>
        </w:trPr>
        <w:tc>
          <w:tcPr>
            <w:tcW w:w="4956" w:type="dxa"/>
            <w:tcBorders>
              <w:top w:val="single" w:sz="17" w:space="0" w:color="000000"/>
            </w:tcBorders>
          </w:tcPr>
          <w:p>
            <w:pPr>
              <w:pStyle w:val="TableParagraph"/>
              <w:spacing w:line="273" w:lineRule="exact"/>
              <w:ind w:left="69"/>
              <w:jc w:val="left"/>
              <w:rPr>
                <w:sz w:val="24"/>
              </w:rPr>
            </w:pPr>
            <w:r>
              <w:rPr>
                <w:sz w:val="24"/>
              </w:rPr>
              <w:t>Private cost ratio with family labour</w:t>
            </w:r>
          </w:p>
        </w:tc>
        <w:tc>
          <w:tcPr>
            <w:tcW w:w="1491" w:type="dxa"/>
            <w:tcBorders>
              <w:top w:val="single" w:sz="17" w:space="0" w:color="000000"/>
            </w:tcBorders>
          </w:tcPr>
          <w:p>
            <w:pPr>
              <w:pStyle w:val="TableParagraph"/>
              <w:spacing w:line="273" w:lineRule="exact"/>
              <w:ind w:right="144"/>
              <w:rPr>
                <w:sz w:val="24"/>
              </w:rPr>
            </w:pPr>
            <w:r>
              <w:rPr>
                <w:sz w:val="24"/>
              </w:rPr>
              <w:t>0.79</w:t>
            </w:r>
          </w:p>
        </w:tc>
        <w:tc>
          <w:tcPr>
            <w:tcW w:w="1234" w:type="dxa"/>
            <w:tcBorders>
              <w:top w:val="single" w:sz="17" w:space="0" w:color="000000"/>
            </w:tcBorders>
          </w:tcPr>
          <w:p>
            <w:pPr>
              <w:pStyle w:val="TableParagraph"/>
              <w:spacing w:line="273" w:lineRule="exact"/>
              <w:ind w:right="144"/>
              <w:rPr>
                <w:sz w:val="24"/>
              </w:rPr>
            </w:pPr>
            <w:r>
              <w:rPr>
                <w:sz w:val="24"/>
              </w:rPr>
              <w:t>0.51</w:t>
            </w:r>
          </w:p>
        </w:tc>
        <w:tc>
          <w:tcPr>
            <w:tcW w:w="1159" w:type="dxa"/>
            <w:tcBorders>
              <w:top w:val="single" w:sz="17" w:space="0" w:color="000000"/>
            </w:tcBorders>
          </w:tcPr>
          <w:p>
            <w:pPr>
              <w:pStyle w:val="TableParagraph"/>
              <w:spacing w:line="273" w:lineRule="exact"/>
              <w:ind w:right="71"/>
              <w:rPr>
                <w:sz w:val="24"/>
              </w:rPr>
            </w:pPr>
            <w:r>
              <w:rPr>
                <w:sz w:val="24"/>
              </w:rPr>
              <w:t>0.42</w:t>
            </w:r>
          </w:p>
        </w:tc>
      </w:tr>
      <w:tr>
        <w:trPr>
          <w:trHeight w:val="534" w:hRule="exact"/>
        </w:trPr>
        <w:tc>
          <w:tcPr>
            <w:tcW w:w="4956" w:type="dxa"/>
          </w:tcPr>
          <w:p>
            <w:pPr>
              <w:pStyle w:val="TableParagraph"/>
              <w:spacing w:before="115"/>
              <w:ind w:left="69"/>
              <w:jc w:val="left"/>
              <w:rPr>
                <w:sz w:val="24"/>
              </w:rPr>
            </w:pPr>
            <w:r>
              <w:rPr>
                <w:sz w:val="24"/>
              </w:rPr>
              <w:t>Private cost ratio without family labour</w:t>
            </w:r>
          </w:p>
        </w:tc>
        <w:tc>
          <w:tcPr>
            <w:tcW w:w="1491" w:type="dxa"/>
          </w:tcPr>
          <w:p>
            <w:pPr>
              <w:pStyle w:val="TableParagraph"/>
              <w:spacing w:before="115"/>
              <w:ind w:right="144"/>
              <w:rPr>
                <w:sz w:val="24"/>
              </w:rPr>
            </w:pPr>
            <w:r>
              <w:rPr>
                <w:sz w:val="24"/>
              </w:rPr>
              <w:t>0.07</w:t>
            </w:r>
          </w:p>
        </w:tc>
        <w:tc>
          <w:tcPr>
            <w:tcW w:w="1234" w:type="dxa"/>
          </w:tcPr>
          <w:p>
            <w:pPr>
              <w:pStyle w:val="TableParagraph"/>
              <w:spacing w:before="115"/>
              <w:ind w:right="144"/>
              <w:rPr>
                <w:sz w:val="24"/>
              </w:rPr>
            </w:pPr>
            <w:r>
              <w:rPr>
                <w:sz w:val="24"/>
              </w:rPr>
              <w:t>0.25</w:t>
            </w:r>
          </w:p>
        </w:tc>
        <w:tc>
          <w:tcPr>
            <w:tcW w:w="1159" w:type="dxa"/>
          </w:tcPr>
          <w:p>
            <w:pPr>
              <w:pStyle w:val="TableParagraph"/>
              <w:spacing w:before="115"/>
              <w:ind w:right="71"/>
              <w:rPr>
                <w:sz w:val="24"/>
              </w:rPr>
            </w:pPr>
            <w:r>
              <w:rPr>
                <w:sz w:val="24"/>
              </w:rPr>
              <w:t>0.26</w:t>
            </w:r>
          </w:p>
        </w:tc>
      </w:tr>
      <w:tr>
        <w:trPr>
          <w:trHeight w:val="534" w:hRule="exact"/>
        </w:trPr>
        <w:tc>
          <w:tcPr>
            <w:tcW w:w="4956" w:type="dxa"/>
          </w:tcPr>
          <w:p>
            <w:pPr>
              <w:pStyle w:val="TableParagraph"/>
              <w:spacing w:before="116"/>
              <w:ind w:left="69"/>
              <w:jc w:val="left"/>
              <w:rPr>
                <w:sz w:val="24"/>
              </w:rPr>
            </w:pPr>
            <w:r>
              <w:rPr>
                <w:sz w:val="24"/>
              </w:rPr>
              <w:t>Value added at private prices (USD$/litre)</w:t>
            </w:r>
          </w:p>
        </w:tc>
        <w:tc>
          <w:tcPr>
            <w:tcW w:w="1491" w:type="dxa"/>
          </w:tcPr>
          <w:p>
            <w:pPr>
              <w:pStyle w:val="TableParagraph"/>
              <w:spacing w:before="116"/>
              <w:ind w:right="144"/>
              <w:rPr>
                <w:sz w:val="24"/>
              </w:rPr>
            </w:pPr>
            <w:r>
              <w:rPr>
                <w:sz w:val="24"/>
              </w:rPr>
              <w:t>0.13</w:t>
            </w:r>
          </w:p>
        </w:tc>
        <w:tc>
          <w:tcPr>
            <w:tcW w:w="1234" w:type="dxa"/>
          </w:tcPr>
          <w:p>
            <w:pPr>
              <w:pStyle w:val="TableParagraph"/>
              <w:spacing w:before="116"/>
              <w:ind w:right="144"/>
              <w:rPr>
                <w:sz w:val="24"/>
              </w:rPr>
            </w:pPr>
            <w:r>
              <w:rPr>
                <w:sz w:val="24"/>
              </w:rPr>
              <w:t>0.18</w:t>
            </w:r>
          </w:p>
        </w:tc>
        <w:tc>
          <w:tcPr>
            <w:tcW w:w="1159" w:type="dxa"/>
          </w:tcPr>
          <w:p>
            <w:pPr>
              <w:pStyle w:val="TableParagraph"/>
              <w:spacing w:before="116"/>
              <w:ind w:right="71"/>
              <w:rPr>
                <w:sz w:val="24"/>
              </w:rPr>
            </w:pPr>
            <w:r>
              <w:rPr>
                <w:sz w:val="24"/>
              </w:rPr>
              <w:t>0.20</w:t>
            </w:r>
          </w:p>
        </w:tc>
      </w:tr>
      <w:tr>
        <w:trPr>
          <w:trHeight w:val="534" w:hRule="exact"/>
        </w:trPr>
        <w:tc>
          <w:tcPr>
            <w:tcW w:w="4956" w:type="dxa"/>
          </w:tcPr>
          <w:p>
            <w:pPr>
              <w:pStyle w:val="TableParagraph"/>
              <w:spacing w:before="115"/>
              <w:ind w:left="69"/>
              <w:jc w:val="left"/>
              <w:rPr>
                <w:sz w:val="24"/>
              </w:rPr>
            </w:pPr>
            <w:r>
              <w:rPr>
                <w:sz w:val="24"/>
              </w:rPr>
              <w:t>Intermediate consumption in total revenue (%)</w:t>
            </w:r>
          </w:p>
        </w:tc>
        <w:tc>
          <w:tcPr>
            <w:tcW w:w="1491" w:type="dxa"/>
          </w:tcPr>
          <w:p>
            <w:pPr>
              <w:pStyle w:val="TableParagraph"/>
              <w:spacing w:before="115"/>
              <w:ind w:right="144"/>
              <w:rPr>
                <w:sz w:val="24"/>
              </w:rPr>
            </w:pPr>
            <w:r>
              <w:rPr>
                <w:sz w:val="24"/>
              </w:rPr>
              <w:t>65.5</w:t>
            </w:r>
          </w:p>
        </w:tc>
        <w:tc>
          <w:tcPr>
            <w:tcW w:w="1234" w:type="dxa"/>
          </w:tcPr>
          <w:p>
            <w:pPr>
              <w:pStyle w:val="TableParagraph"/>
              <w:spacing w:before="115"/>
              <w:ind w:right="144"/>
              <w:rPr>
                <w:sz w:val="24"/>
              </w:rPr>
            </w:pPr>
            <w:r>
              <w:rPr>
                <w:sz w:val="24"/>
              </w:rPr>
              <w:t>51.6</w:t>
            </w:r>
          </w:p>
        </w:tc>
        <w:tc>
          <w:tcPr>
            <w:tcW w:w="1159" w:type="dxa"/>
          </w:tcPr>
          <w:p>
            <w:pPr>
              <w:pStyle w:val="TableParagraph"/>
              <w:spacing w:before="115"/>
              <w:ind w:right="71"/>
              <w:rPr>
                <w:sz w:val="24"/>
              </w:rPr>
            </w:pPr>
            <w:r>
              <w:rPr>
                <w:sz w:val="24"/>
              </w:rPr>
              <w:t>46.0</w:t>
            </w:r>
          </w:p>
        </w:tc>
      </w:tr>
      <w:tr>
        <w:trPr>
          <w:trHeight w:val="488" w:hRule="exact"/>
        </w:trPr>
        <w:tc>
          <w:tcPr>
            <w:tcW w:w="4956" w:type="dxa"/>
          </w:tcPr>
          <w:p>
            <w:pPr>
              <w:pStyle w:val="TableParagraph"/>
              <w:spacing w:before="116"/>
              <w:ind w:left="69"/>
              <w:jc w:val="left"/>
              <w:rPr>
                <w:sz w:val="24"/>
              </w:rPr>
            </w:pPr>
            <w:r>
              <w:rPr>
                <w:sz w:val="24"/>
              </w:rPr>
              <w:t>Value added in total revenue (%)</w:t>
            </w:r>
          </w:p>
        </w:tc>
        <w:tc>
          <w:tcPr>
            <w:tcW w:w="1491" w:type="dxa"/>
          </w:tcPr>
          <w:p>
            <w:pPr>
              <w:pStyle w:val="TableParagraph"/>
              <w:spacing w:before="116"/>
              <w:ind w:right="144"/>
              <w:rPr>
                <w:sz w:val="24"/>
              </w:rPr>
            </w:pPr>
            <w:r>
              <w:rPr>
                <w:sz w:val="24"/>
              </w:rPr>
              <w:t>34.5</w:t>
            </w:r>
          </w:p>
        </w:tc>
        <w:tc>
          <w:tcPr>
            <w:tcW w:w="1234" w:type="dxa"/>
          </w:tcPr>
          <w:p>
            <w:pPr>
              <w:pStyle w:val="TableParagraph"/>
              <w:spacing w:before="116"/>
              <w:ind w:right="144"/>
              <w:rPr>
                <w:sz w:val="24"/>
              </w:rPr>
            </w:pPr>
            <w:r>
              <w:rPr>
                <w:sz w:val="24"/>
              </w:rPr>
              <w:t>48.4</w:t>
            </w:r>
          </w:p>
        </w:tc>
        <w:tc>
          <w:tcPr>
            <w:tcW w:w="1159" w:type="dxa"/>
          </w:tcPr>
          <w:p>
            <w:pPr>
              <w:pStyle w:val="TableParagraph"/>
              <w:spacing w:before="116"/>
              <w:ind w:right="71"/>
              <w:rPr>
                <w:sz w:val="24"/>
              </w:rPr>
            </w:pPr>
            <w:r>
              <w:rPr>
                <w:sz w:val="24"/>
              </w:rPr>
              <w:t>53.1</w:t>
            </w:r>
          </w:p>
        </w:tc>
      </w:tr>
    </w:tbl>
    <w:p>
      <w:pPr>
        <w:pStyle w:val="BodyText"/>
        <w:spacing w:before="4"/>
        <w:rPr>
          <w:sz w:val="11"/>
        </w:rPr>
      </w:pPr>
      <w:r>
        <w:rPr/>
        <w:pict>
          <v:group style="position:absolute;margin-left:83.283997pt;margin-top:8.506084pt;width:445pt;height:2.2pt;mso-position-horizontal-relative:page;mso-position-vertical-relative:paragraph;z-index:5056;mso-wrap-distance-left:0;mso-wrap-distance-right:0" coordorigin="1666,170" coordsize="8900,44">
            <v:line style="position:absolute" from="1688,192" to="6839,192" stroked="true" strokeweight="2.16pt" strokecolor="#000000"/>
            <v:line style="position:absolute" from="6825,192" to="6868,192" stroked="true" strokeweight="2.16pt" strokecolor="#000000"/>
            <v:line style="position:absolute" from="6868,192" to="8073,192" stroked="true" strokeweight="2.16pt" strokecolor="#000000"/>
            <v:line style="position:absolute" from="8058,192" to="8101,192" stroked="true" strokeweight="2.16pt" strokecolor="#000000"/>
            <v:line style="position:absolute" from="8101,192" to="9307,192" stroked="true" strokeweight="2.16pt" strokecolor="#000000"/>
            <v:line style="position:absolute" from="9292,192" to="9336,192" stroked="true" strokeweight="2.16pt" strokecolor="#000000"/>
            <v:line style="position:absolute" from="9336,192" to="10543,192" stroked="true" strokeweight="2.16pt" strokecolor="#000000"/>
            <w10:wrap type="topAndBottom"/>
          </v:group>
        </w:pict>
      </w:r>
    </w:p>
    <w:p>
      <w:pPr>
        <w:spacing w:line="194" w:lineRule="exact" w:before="0"/>
        <w:ind w:left="142" w:right="0" w:firstLine="0"/>
        <w:jc w:val="left"/>
        <w:rPr>
          <w:sz w:val="20"/>
        </w:rPr>
      </w:pPr>
      <w:r>
        <w:rPr>
          <w:sz w:val="20"/>
        </w:rPr>
        <w:t>Stratum 1 from 3 to 9 cows, Stratum 2 from 10 to 19 cows, Stratum 3 from 20 to 30 cows.</w:t>
      </w:r>
    </w:p>
    <w:p>
      <w:pPr>
        <w:spacing w:after="0" w:line="194" w:lineRule="exact"/>
        <w:jc w:val="left"/>
        <w:rPr>
          <w:sz w:val="20"/>
        </w:rPr>
        <w:sectPr>
          <w:pgSz w:w="12240" w:h="15840"/>
          <w:pgMar w:header="0" w:footer="657" w:top="1340" w:bottom="840" w:left="1560" w:right="1560"/>
        </w:sectPr>
      </w:pPr>
    </w:p>
    <w:p>
      <w:pPr>
        <w:pStyle w:val="Heading1"/>
        <w:spacing w:line="535" w:lineRule="auto"/>
        <w:ind w:left="461" w:hanging="360"/>
        <w:jc w:val="left"/>
      </w:pPr>
      <w:r>
        <w:rPr/>
        <w:t>5.4 Viabilidad económica y financiera de los sistemas lecheros de pequeña escala y el papel de la mano de obra familiar: panorama económico 2010-2019</w:t>
      </w:r>
    </w:p>
    <w:p>
      <w:pPr>
        <w:pStyle w:val="BodyText"/>
        <w:rPr>
          <w:b/>
        </w:rPr>
      </w:pPr>
    </w:p>
    <w:p>
      <w:pPr>
        <w:pStyle w:val="BodyText"/>
        <w:rPr>
          <w:b/>
        </w:rPr>
      </w:pPr>
    </w:p>
    <w:p>
      <w:pPr>
        <w:pStyle w:val="BodyText"/>
        <w:rPr>
          <w:b/>
        </w:rPr>
      </w:pPr>
    </w:p>
    <w:p>
      <w:pPr>
        <w:pStyle w:val="BodyText"/>
        <w:spacing w:line="465" w:lineRule="auto" w:before="188"/>
        <w:ind w:left="102" w:right="99"/>
        <w:jc w:val="both"/>
      </w:pPr>
      <w:r>
        <w:rPr/>
        <w:t>Rodolfo Rogelio Posadas-Domínguez</w:t>
      </w:r>
      <w:r>
        <w:rPr>
          <w:position w:val="9"/>
          <w:sz w:val="16"/>
        </w:rPr>
        <w:t>1</w:t>
      </w:r>
      <w:r>
        <w:rPr/>
        <w:t>, Carlos Manuel Arriaga-Jordán</w:t>
      </w:r>
      <w:r>
        <w:rPr>
          <w:position w:val="9"/>
          <w:sz w:val="16"/>
        </w:rPr>
        <w:t>1</w:t>
      </w:r>
      <w:r>
        <w:rPr/>
        <w:t>, Nicolás Callejas- Juárez</w:t>
      </w:r>
      <w:r>
        <w:rPr>
          <w:position w:val="9"/>
          <w:sz w:val="16"/>
        </w:rPr>
        <w:t>2</w:t>
      </w:r>
      <w:r>
        <w:rPr/>
        <w:t>, Francisco Ernesto Martínez-Castañeda</w:t>
      </w:r>
      <w:r>
        <w:rPr>
          <w:position w:val="9"/>
          <w:sz w:val="16"/>
        </w:rPr>
        <w:t>1</w:t>
      </w:r>
      <w:r>
        <w:rPr/>
        <w:t>.</w:t>
      </w:r>
    </w:p>
    <w:p>
      <w:pPr>
        <w:pStyle w:val="BodyText"/>
        <w:rPr>
          <w:sz w:val="26"/>
        </w:rPr>
      </w:pPr>
    </w:p>
    <w:p>
      <w:pPr>
        <w:pStyle w:val="BodyText"/>
        <w:rPr>
          <w:sz w:val="26"/>
        </w:rPr>
      </w:pPr>
    </w:p>
    <w:p>
      <w:pPr>
        <w:pStyle w:val="BodyText"/>
        <w:rPr>
          <w:sz w:val="26"/>
        </w:rPr>
      </w:pPr>
    </w:p>
    <w:p>
      <w:pPr>
        <w:pStyle w:val="BodyText"/>
        <w:spacing w:line="482" w:lineRule="auto" w:before="201"/>
        <w:ind w:left="102" w:right="98"/>
        <w:jc w:val="both"/>
      </w:pPr>
      <w:r>
        <w:rPr>
          <w:position w:val="9"/>
          <w:sz w:val="16"/>
        </w:rPr>
        <w:t>1</w:t>
      </w:r>
      <w:r>
        <w:rPr/>
        <w:t>Instituto de Ciencias Agropecuarias y Rurales (ICAR), Universidad Autónoma del Estado de México (UAEM). Instituto Literario 100. Centro. Toluca. 50000. MÉXICO.</w:t>
      </w:r>
    </w:p>
    <w:p>
      <w:pPr>
        <w:pStyle w:val="BodyText"/>
      </w:pPr>
    </w:p>
    <w:p>
      <w:pPr>
        <w:pStyle w:val="BodyText"/>
      </w:pPr>
    </w:p>
    <w:p>
      <w:pPr>
        <w:pStyle w:val="BodyText"/>
        <w:spacing w:before="11"/>
        <w:rPr>
          <w:sz w:val="33"/>
        </w:rPr>
      </w:pPr>
    </w:p>
    <w:p>
      <w:pPr>
        <w:pStyle w:val="BodyText"/>
        <w:spacing w:line="482" w:lineRule="auto"/>
        <w:ind w:left="102" w:right="103"/>
        <w:jc w:val="both"/>
      </w:pPr>
      <w:r>
        <w:rPr>
          <w:position w:val="9"/>
          <w:sz w:val="16"/>
        </w:rPr>
        <w:t>2</w:t>
      </w:r>
      <w:r>
        <w:rPr/>
        <w:t>Facultad de Zootecnia y Ecología, Universidad Autónoma de Chihuahua. Periférico Francisco R. Almada km 1. Chihuahua, Chih., México. CP 31453.</w:t>
      </w:r>
    </w:p>
    <w:p>
      <w:pPr>
        <w:pStyle w:val="BodyText"/>
      </w:pPr>
    </w:p>
    <w:p>
      <w:pPr>
        <w:pStyle w:val="BodyText"/>
      </w:pPr>
    </w:p>
    <w:p>
      <w:pPr>
        <w:pStyle w:val="BodyText"/>
        <w:spacing w:line="480" w:lineRule="auto" w:before="204"/>
        <w:ind w:left="102" w:right="102"/>
        <w:jc w:val="both"/>
      </w:pPr>
      <w:r>
        <w:rPr/>
        <w:t>Publicado En: Betariz A. Cavallotti V., Gustavo E. Rojo M., Benito Ramírez V., Alfredo Cesín V., Carlos F. Marcof A., (Coordinadores). La Ganadería en la seguridad alimentaria de las familias campesinas. UACH. 2013: 217-228. ISBN 432.341-300-0 (Anexo 6).</w:t>
      </w:r>
    </w:p>
    <w:p>
      <w:pPr>
        <w:spacing w:after="0" w:line="480" w:lineRule="auto"/>
        <w:jc w:val="both"/>
        <w:sectPr>
          <w:pgSz w:w="12240" w:h="15840"/>
          <w:pgMar w:header="0" w:footer="657" w:top="1360" w:bottom="840" w:left="1600" w:right="1600"/>
        </w:sectPr>
      </w:pPr>
    </w:p>
    <w:p>
      <w:pPr>
        <w:pStyle w:val="Heading1"/>
      </w:pPr>
      <w:r>
        <w:rPr/>
        <w:t>INTRODUCCIÓN</w:t>
      </w:r>
    </w:p>
    <w:p>
      <w:pPr>
        <w:pStyle w:val="BodyText"/>
        <w:rPr>
          <w:b/>
        </w:rPr>
      </w:pPr>
    </w:p>
    <w:p>
      <w:pPr>
        <w:pStyle w:val="BodyText"/>
        <w:spacing w:before="7"/>
        <w:rPr>
          <w:b/>
          <w:sz w:val="23"/>
        </w:rPr>
      </w:pPr>
    </w:p>
    <w:p>
      <w:pPr>
        <w:pStyle w:val="BodyText"/>
        <w:spacing w:line="360" w:lineRule="auto"/>
        <w:ind w:left="102" w:right="119"/>
        <w:jc w:val="both"/>
      </w:pPr>
      <w:r>
        <w:rPr/>
        <w:t>Los productores agropecuarios se enfrentan a dos principales fuentes de incertidumbre en el tiempo: el precio de los insumos y productos. El ganadero debe gestionar la estructura económica y financiera dentro de los límites de estas incertidumbres, al tiempo que intenta cumplir con la producción, comercialización, y los objetivos financieros de la empresa (Riechers et al., 1989).</w:t>
      </w:r>
    </w:p>
    <w:p>
      <w:pPr>
        <w:pStyle w:val="BodyText"/>
      </w:pPr>
    </w:p>
    <w:p>
      <w:pPr>
        <w:pStyle w:val="BodyText"/>
        <w:spacing w:line="360" w:lineRule="auto" w:before="143"/>
        <w:ind w:left="102" w:right="117"/>
        <w:jc w:val="both"/>
      </w:pPr>
      <w:r>
        <w:rPr/>
        <w:t>La simulación estocástica es una herramienta que ha sido utilizada para analizar la gestión de los productores en la toma de decisiones y sus consecuencias económicas. Halter y Dean (1965),</w:t>
      </w:r>
      <w:r>
        <w:rPr>
          <w:spacing w:val="-7"/>
        </w:rPr>
        <w:t> </w:t>
      </w:r>
      <w:r>
        <w:rPr/>
        <w:t>introdujeron</w:t>
      </w:r>
      <w:r>
        <w:rPr>
          <w:spacing w:val="-5"/>
        </w:rPr>
        <w:t> </w:t>
      </w:r>
      <w:r>
        <w:rPr/>
        <w:t>el</w:t>
      </w:r>
      <w:r>
        <w:rPr>
          <w:spacing w:val="-6"/>
        </w:rPr>
        <w:t> </w:t>
      </w:r>
      <w:r>
        <w:rPr/>
        <w:t>uso</w:t>
      </w:r>
      <w:r>
        <w:rPr>
          <w:spacing w:val="-6"/>
        </w:rPr>
        <w:t> </w:t>
      </w:r>
      <w:r>
        <w:rPr/>
        <w:t>de</w:t>
      </w:r>
      <w:r>
        <w:rPr>
          <w:spacing w:val="-7"/>
        </w:rPr>
        <w:t> </w:t>
      </w:r>
      <w:r>
        <w:rPr/>
        <w:t>simulación</w:t>
      </w:r>
      <w:r>
        <w:rPr>
          <w:spacing w:val="-3"/>
        </w:rPr>
        <w:t> </w:t>
      </w:r>
      <w:r>
        <w:rPr/>
        <w:t>estocástica</w:t>
      </w:r>
      <w:r>
        <w:rPr>
          <w:spacing w:val="-7"/>
        </w:rPr>
        <w:t> </w:t>
      </w:r>
      <w:r>
        <w:rPr/>
        <w:t>para</w:t>
      </w:r>
      <w:r>
        <w:rPr>
          <w:spacing w:val="-6"/>
        </w:rPr>
        <w:t> </w:t>
      </w:r>
      <w:r>
        <w:rPr/>
        <w:t>analizar</w:t>
      </w:r>
      <w:r>
        <w:rPr>
          <w:spacing w:val="-7"/>
        </w:rPr>
        <w:t> </w:t>
      </w:r>
      <w:r>
        <w:rPr/>
        <w:t>las</w:t>
      </w:r>
      <w:r>
        <w:rPr>
          <w:spacing w:val="-4"/>
        </w:rPr>
        <w:t> </w:t>
      </w:r>
      <w:r>
        <w:rPr/>
        <w:t>políticas</w:t>
      </w:r>
      <w:r>
        <w:rPr>
          <w:spacing w:val="-6"/>
        </w:rPr>
        <w:t> </w:t>
      </w:r>
      <w:r>
        <w:rPr/>
        <w:t>de</w:t>
      </w:r>
      <w:r>
        <w:rPr>
          <w:spacing w:val="-5"/>
        </w:rPr>
        <w:t> </w:t>
      </w:r>
      <w:r>
        <w:rPr/>
        <w:t>precios</w:t>
      </w:r>
      <w:r>
        <w:rPr>
          <w:spacing w:val="-6"/>
        </w:rPr>
        <w:t> </w:t>
      </w:r>
      <w:r>
        <w:rPr/>
        <w:t>en la gestión de un rancho en las colinas de California y evaluar los efectos económicos a</w:t>
      </w:r>
      <w:r>
        <w:rPr>
          <w:spacing w:val="-24"/>
        </w:rPr>
        <w:t> </w:t>
      </w:r>
      <w:r>
        <w:rPr/>
        <w:t>largo plazo. Pero fue hasta 1982 cuando Richardson y Nixon utilizaron modelación Monte Carlo en</w:t>
      </w:r>
      <w:r>
        <w:rPr>
          <w:spacing w:val="-16"/>
        </w:rPr>
        <w:t> </w:t>
      </w:r>
      <w:r>
        <w:rPr/>
        <w:t>análisis</w:t>
      </w:r>
      <w:r>
        <w:rPr>
          <w:spacing w:val="-15"/>
        </w:rPr>
        <w:t> </w:t>
      </w:r>
      <w:r>
        <w:rPr/>
        <w:t>estocásticos</w:t>
      </w:r>
      <w:r>
        <w:rPr>
          <w:spacing w:val="-16"/>
        </w:rPr>
        <w:t> </w:t>
      </w:r>
      <w:r>
        <w:rPr/>
        <w:t>para</w:t>
      </w:r>
      <w:r>
        <w:rPr>
          <w:spacing w:val="-18"/>
        </w:rPr>
        <w:t> </w:t>
      </w:r>
      <w:r>
        <w:rPr/>
        <w:t>determinar</w:t>
      </w:r>
      <w:r>
        <w:rPr>
          <w:spacing w:val="-17"/>
        </w:rPr>
        <w:t> </w:t>
      </w:r>
      <w:r>
        <w:rPr/>
        <w:t>los</w:t>
      </w:r>
      <w:r>
        <w:rPr>
          <w:spacing w:val="-15"/>
        </w:rPr>
        <w:t> </w:t>
      </w:r>
      <w:r>
        <w:rPr/>
        <w:t>efectos</w:t>
      </w:r>
      <w:r>
        <w:rPr>
          <w:spacing w:val="-14"/>
        </w:rPr>
        <w:t> </w:t>
      </w:r>
      <w:r>
        <w:rPr/>
        <w:t>económicos</w:t>
      </w:r>
      <w:r>
        <w:rPr>
          <w:spacing w:val="-16"/>
        </w:rPr>
        <w:t> </w:t>
      </w:r>
      <w:r>
        <w:rPr/>
        <w:t>en</w:t>
      </w:r>
      <w:r>
        <w:rPr>
          <w:spacing w:val="-16"/>
        </w:rPr>
        <w:t> </w:t>
      </w:r>
      <w:r>
        <w:rPr/>
        <w:t>un</w:t>
      </w:r>
      <w:r>
        <w:rPr>
          <w:spacing w:val="-16"/>
        </w:rPr>
        <w:t> </w:t>
      </w:r>
      <w:r>
        <w:rPr/>
        <w:t>horizonte</w:t>
      </w:r>
      <w:r>
        <w:rPr>
          <w:spacing w:val="-16"/>
        </w:rPr>
        <w:t> </w:t>
      </w:r>
      <w:r>
        <w:rPr/>
        <w:t>de</w:t>
      </w:r>
      <w:r>
        <w:rPr>
          <w:spacing w:val="-17"/>
        </w:rPr>
        <w:t> </w:t>
      </w:r>
      <w:r>
        <w:rPr/>
        <w:t>planeación en granjas típicas, demostrando posteriormente su eficiencia y utilidad para la predicción de eventos económicos en condiciones de riesgo e incertidumbre (Outlaw et al., 2007; Richardson</w:t>
      </w:r>
      <w:r>
        <w:rPr>
          <w:spacing w:val="-15"/>
        </w:rPr>
        <w:t> </w:t>
      </w:r>
      <w:r>
        <w:rPr/>
        <w:t>et</w:t>
      </w:r>
      <w:r>
        <w:rPr>
          <w:spacing w:val="-14"/>
        </w:rPr>
        <w:t> </w:t>
      </w:r>
      <w:r>
        <w:rPr/>
        <w:t>al.</w:t>
      </w:r>
      <w:r>
        <w:rPr>
          <w:spacing w:val="-14"/>
        </w:rPr>
        <w:t> </w:t>
      </w:r>
      <w:r>
        <w:rPr/>
        <w:t>2007a).</w:t>
      </w:r>
      <w:r>
        <w:rPr>
          <w:spacing w:val="-13"/>
        </w:rPr>
        <w:t> </w:t>
      </w:r>
      <w:r>
        <w:rPr/>
        <w:t>Lien</w:t>
      </w:r>
      <w:r>
        <w:rPr>
          <w:spacing w:val="-13"/>
        </w:rPr>
        <w:t> </w:t>
      </w:r>
      <w:r>
        <w:rPr/>
        <w:t>(2003)</w:t>
      </w:r>
      <w:r>
        <w:rPr>
          <w:spacing w:val="-15"/>
        </w:rPr>
        <w:t> </w:t>
      </w:r>
      <w:r>
        <w:rPr/>
        <w:t>lo</w:t>
      </w:r>
      <w:r>
        <w:rPr>
          <w:spacing w:val="-14"/>
        </w:rPr>
        <w:t> </w:t>
      </w:r>
      <w:r>
        <w:rPr/>
        <w:t>utilizó</w:t>
      </w:r>
      <w:r>
        <w:rPr>
          <w:spacing w:val="-14"/>
        </w:rPr>
        <w:t> </w:t>
      </w:r>
      <w:r>
        <w:rPr/>
        <w:t>en</w:t>
      </w:r>
      <w:r>
        <w:rPr>
          <w:spacing w:val="-14"/>
        </w:rPr>
        <w:t> </w:t>
      </w:r>
      <w:r>
        <w:rPr/>
        <w:t>granjas</w:t>
      </w:r>
      <w:r>
        <w:rPr>
          <w:spacing w:val="-15"/>
        </w:rPr>
        <w:t> </w:t>
      </w:r>
      <w:r>
        <w:rPr/>
        <w:t>lecheras,</w:t>
      </w:r>
      <w:r>
        <w:rPr>
          <w:spacing w:val="-14"/>
        </w:rPr>
        <w:t> </w:t>
      </w:r>
      <w:r>
        <w:rPr/>
        <w:t>Richardson</w:t>
      </w:r>
      <w:r>
        <w:rPr>
          <w:spacing w:val="-14"/>
        </w:rPr>
        <w:t> </w:t>
      </w:r>
      <w:r>
        <w:rPr/>
        <w:t>et</w:t>
      </w:r>
      <w:r>
        <w:rPr>
          <w:spacing w:val="-14"/>
        </w:rPr>
        <w:t> </w:t>
      </w:r>
      <w:r>
        <w:rPr/>
        <w:t>al.,</w:t>
      </w:r>
      <w:r>
        <w:rPr>
          <w:spacing w:val="-14"/>
        </w:rPr>
        <w:t> </w:t>
      </w:r>
      <w:r>
        <w:rPr/>
        <w:t>(2007a; 2007b) en la industria del etanol, Weaturs et al., (2011) en la conversión de cultivos convencionales a orgánicos, Barham et al., (2011) en la industria del algodón. En el caso de México la modelación fue utilizada por Ochoa et al., (1998) en sistemas lecheros a gran escala.</w:t>
      </w:r>
    </w:p>
    <w:p>
      <w:pPr>
        <w:pStyle w:val="BodyText"/>
      </w:pPr>
    </w:p>
    <w:p>
      <w:pPr>
        <w:pStyle w:val="BodyText"/>
        <w:spacing w:line="360" w:lineRule="auto" w:before="143"/>
        <w:ind w:left="102" w:right="116"/>
        <w:jc w:val="both"/>
      </w:pPr>
      <w:r>
        <w:rPr/>
        <w:t>A pesar de la importancia que tiene la gestión del riesgo en los análisis de viabilidad económica</w:t>
      </w:r>
      <w:r>
        <w:rPr>
          <w:spacing w:val="-13"/>
        </w:rPr>
        <w:t> </w:t>
      </w:r>
      <w:r>
        <w:rPr/>
        <w:t>agropecuarios,</w:t>
      </w:r>
      <w:r>
        <w:rPr>
          <w:spacing w:val="-12"/>
        </w:rPr>
        <w:t> </w:t>
      </w:r>
      <w:r>
        <w:rPr/>
        <w:t>(Harwood</w:t>
      </w:r>
      <w:r>
        <w:rPr>
          <w:spacing w:val="-10"/>
        </w:rPr>
        <w:t> </w:t>
      </w:r>
      <w:r>
        <w:rPr/>
        <w:t>et</w:t>
      </w:r>
      <w:r>
        <w:rPr>
          <w:spacing w:val="-12"/>
        </w:rPr>
        <w:t> </w:t>
      </w:r>
      <w:r>
        <w:rPr/>
        <w:t>al.,</w:t>
      </w:r>
      <w:r>
        <w:rPr>
          <w:spacing w:val="-12"/>
        </w:rPr>
        <w:t> </w:t>
      </w:r>
      <w:r>
        <w:rPr/>
        <w:t>1999;</w:t>
      </w:r>
      <w:r>
        <w:rPr>
          <w:spacing w:val="-10"/>
        </w:rPr>
        <w:t> </w:t>
      </w:r>
      <w:r>
        <w:rPr/>
        <w:t>Goodwin</w:t>
      </w:r>
      <w:r>
        <w:rPr>
          <w:spacing w:val="-9"/>
        </w:rPr>
        <w:t> </w:t>
      </w:r>
      <w:r>
        <w:rPr/>
        <w:t>y</w:t>
      </w:r>
      <w:r>
        <w:rPr>
          <w:spacing w:val="-17"/>
        </w:rPr>
        <w:t> </w:t>
      </w:r>
      <w:r>
        <w:rPr/>
        <w:t>Mahul,</w:t>
      </w:r>
      <w:r>
        <w:rPr>
          <w:spacing w:val="-12"/>
        </w:rPr>
        <w:t> </w:t>
      </w:r>
      <w:r>
        <w:rPr/>
        <w:t>2004;</w:t>
      </w:r>
      <w:r>
        <w:rPr>
          <w:spacing w:val="-9"/>
        </w:rPr>
        <w:t> </w:t>
      </w:r>
      <w:r>
        <w:rPr/>
        <w:t>Richardson</w:t>
      </w:r>
      <w:r>
        <w:rPr>
          <w:spacing w:val="-13"/>
        </w:rPr>
        <w:t> </w:t>
      </w:r>
      <w:r>
        <w:rPr/>
        <w:t>et</w:t>
      </w:r>
      <w:r>
        <w:rPr>
          <w:spacing w:val="-12"/>
        </w:rPr>
        <w:t> </w:t>
      </w:r>
      <w:r>
        <w:rPr/>
        <w:t>al., 2005)</w:t>
      </w:r>
      <w:r>
        <w:rPr>
          <w:spacing w:val="-5"/>
        </w:rPr>
        <w:t> </w:t>
      </w:r>
      <w:r>
        <w:rPr/>
        <w:t>la</w:t>
      </w:r>
      <w:r>
        <w:rPr>
          <w:spacing w:val="-4"/>
        </w:rPr>
        <w:t> </w:t>
      </w:r>
      <w:r>
        <w:rPr/>
        <w:t>mayoría</w:t>
      </w:r>
      <w:r>
        <w:rPr>
          <w:spacing w:val="-5"/>
        </w:rPr>
        <w:t> </w:t>
      </w:r>
      <w:r>
        <w:rPr/>
        <w:t>de</w:t>
      </w:r>
      <w:r>
        <w:rPr>
          <w:spacing w:val="-5"/>
        </w:rPr>
        <w:t> </w:t>
      </w:r>
      <w:r>
        <w:rPr/>
        <w:t>los</w:t>
      </w:r>
      <w:r>
        <w:rPr>
          <w:spacing w:val="-3"/>
        </w:rPr>
        <w:t> </w:t>
      </w:r>
      <w:r>
        <w:rPr/>
        <w:t>estudios</w:t>
      </w:r>
      <w:r>
        <w:rPr>
          <w:spacing w:val="-4"/>
        </w:rPr>
        <w:t> </w:t>
      </w:r>
      <w:r>
        <w:rPr/>
        <w:t>en</w:t>
      </w:r>
      <w:r>
        <w:rPr>
          <w:spacing w:val="-4"/>
        </w:rPr>
        <w:t> </w:t>
      </w:r>
      <w:r>
        <w:rPr/>
        <w:t>el</w:t>
      </w:r>
      <w:r>
        <w:rPr>
          <w:spacing w:val="-3"/>
        </w:rPr>
        <w:t> </w:t>
      </w:r>
      <w:r>
        <w:rPr/>
        <w:t>sector</w:t>
      </w:r>
      <w:r>
        <w:rPr>
          <w:spacing w:val="-4"/>
        </w:rPr>
        <w:t> </w:t>
      </w:r>
      <w:r>
        <w:rPr/>
        <w:t>lechero</w:t>
      </w:r>
      <w:r>
        <w:rPr>
          <w:spacing w:val="-5"/>
        </w:rPr>
        <w:t> </w:t>
      </w:r>
      <w:r>
        <w:rPr/>
        <w:t>de</w:t>
      </w:r>
      <w:r>
        <w:rPr>
          <w:spacing w:val="-5"/>
        </w:rPr>
        <w:t> </w:t>
      </w:r>
      <w:r>
        <w:rPr/>
        <w:t>pequeña</w:t>
      </w:r>
      <w:r>
        <w:rPr>
          <w:spacing w:val="-5"/>
        </w:rPr>
        <w:t> </w:t>
      </w:r>
      <w:r>
        <w:rPr/>
        <w:t>escala</w:t>
      </w:r>
      <w:r>
        <w:rPr>
          <w:spacing w:val="-4"/>
        </w:rPr>
        <w:t> </w:t>
      </w:r>
      <w:r>
        <w:rPr/>
        <w:t>son</w:t>
      </w:r>
      <w:r>
        <w:rPr>
          <w:spacing w:val="-1"/>
        </w:rPr>
        <w:t> </w:t>
      </w:r>
      <w:r>
        <w:rPr/>
        <w:t>deterministas,</w:t>
      </w:r>
      <w:r>
        <w:rPr>
          <w:spacing w:val="-4"/>
        </w:rPr>
        <w:t> </w:t>
      </w:r>
      <w:r>
        <w:rPr/>
        <w:t>es decir, ignoran el riesgo en sus estimaciones económicas (Somda et al., 2005; Carranza- Trinidad et al., 2007; Gómez et al., 2007; Ndambi et al., 2008). En los análisis</w:t>
      </w:r>
      <w:r>
        <w:rPr>
          <w:spacing w:val="-24"/>
        </w:rPr>
        <w:t> </w:t>
      </w:r>
      <w:r>
        <w:rPr/>
        <w:t>deterministas la</w:t>
      </w:r>
      <w:r>
        <w:rPr>
          <w:spacing w:val="-11"/>
        </w:rPr>
        <w:t> </w:t>
      </w:r>
      <w:r>
        <w:rPr/>
        <w:t>variabilidad</w:t>
      </w:r>
      <w:r>
        <w:rPr>
          <w:spacing w:val="-11"/>
        </w:rPr>
        <w:t> </w:t>
      </w:r>
      <w:r>
        <w:rPr/>
        <w:t>en</w:t>
      </w:r>
      <w:r>
        <w:rPr>
          <w:spacing w:val="-8"/>
        </w:rPr>
        <w:t> </w:t>
      </w:r>
      <w:r>
        <w:rPr/>
        <w:t>los</w:t>
      </w:r>
      <w:r>
        <w:rPr>
          <w:spacing w:val="-9"/>
        </w:rPr>
        <w:t> </w:t>
      </w:r>
      <w:r>
        <w:rPr/>
        <w:t>parámetros</w:t>
      </w:r>
      <w:r>
        <w:rPr>
          <w:spacing w:val="-10"/>
        </w:rPr>
        <w:t> </w:t>
      </w:r>
      <w:r>
        <w:rPr/>
        <w:t>de</w:t>
      </w:r>
      <w:r>
        <w:rPr>
          <w:spacing w:val="-9"/>
        </w:rPr>
        <w:t> </w:t>
      </w:r>
      <w:r>
        <w:rPr/>
        <w:t>entrada</w:t>
      </w:r>
      <w:r>
        <w:rPr>
          <w:spacing w:val="-11"/>
        </w:rPr>
        <w:t> </w:t>
      </w:r>
      <w:r>
        <w:rPr/>
        <w:t>muestran</w:t>
      </w:r>
      <w:r>
        <w:rPr>
          <w:spacing w:val="-10"/>
        </w:rPr>
        <w:t> </w:t>
      </w:r>
      <w:r>
        <w:rPr/>
        <w:t>un</w:t>
      </w:r>
      <w:r>
        <w:rPr>
          <w:spacing w:val="-10"/>
        </w:rPr>
        <w:t> </w:t>
      </w:r>
      <w:r>
        <w:rPr/>
        <w:t>punto</w:t>
      </w:r>
      <w:r>
        <w:rPr>
          <w:spacing w:val="-7"/>
        </w:rPr>
        <w:t> </w:t>
      </w:r>
      <w:r>
        <w:rPr/>
        <w:t>de</w:t>
      </w:r>
      <w:r>
        <w:rPr>
          <w:spacing w:val="-9"/>
        </w:rPr>
        <w:t> </w:t>
      </w:r>
      <w:r>
        <w:rPr/>
        <w:t>estimación</w:t>
      </w:r>
      <w:r>
        <w:rPr>
          <w:spacing w:val="-10"/>
        </w:rPr>
        <w:t> </w:t>
      </w:r>
      <w:r>
        <w:rPr/>
        <w:t>para</w:t>
      </w:r>
      <w:r>
        <w:rPr>
          <w:spacing w:val="-11"/>
        </w:rPr>
        <w:t> </w:t>
      </w:r>
      <w:r>
        <w:rPr/>
        <w:t>la</w:t>
      </w:r>
      <w:r>
        <w:rPr>
          <w:spacing w:val="-8"/>
        </w:rPr>
        <w:t> </w:t>
      </w:r>
      <w:r>
        <w:rPr/>
        <w:t>variable principal</w:t>
      </w:r>
      <w:r>
        <w:rPr>
          <w:spacing w:val="-11"/>
        </w:rPr>
        <w:t> </w:t>
      </w:r>
      <w:r>
        <w:rPr/>
        <w:t>en</w:t>
      </w:r>
      <w:r>
        <w:rPr>
          <w:spacing w:val="-11"/>
        </w:rPr>
        <w:t> </w:t>
      </w:r>
      <w:r>
        <w:rPr/>
        <w:t>lugar</w:t>
      </w:r>
      <w:r>
        <w:rPr>
          <w:spacing w:val="-12"/>
        </w:rPr>
        <w:t> </w:t>
      </w:r>
      <w:r>
        <w:rPr/>
        <w:t>de</w:t>
      </w:r>
      <w:r>
        <w:rPr>
          <w:spacing w:val="-12"/>
        </w:rPr>
        <w:t> </w:t>
      </w:r>
      <w:r>
        <w:rPr/>
        <w:t>las</w:t>
      </w:r>
      <w:r>
        <w:rPr>
          <w:spacing w:val="-11"/>
        </w:rPr>
        <w:t> </w:t>
      </w:r>
      <w:r>
        <w:rPr/>
        <w:t>distribuciones</w:t>
      </w:r>
      <w:r>
        <w:rPr>
          <w:spacing w:val="-11"/>
        </w:rPr>
        <w:t> </w:t>
      </w:r>
      <w:r>
        <w:rPr/>
        <w:t>de</w:t>
      </w:r>
      <w:r>
        <w:rPr>
          <w:spacing w:val="-12"/>
        </w:rPr>
        <w:t> </w:t>
      </w:r>
      <w:r>
        <w:rPr/>
        <w:t>probabilidad</w:t>
      </w:r>
      <w:r>
        <w:rPr>
          <w:spacing w:val="-12"/>
        </w:rPr>
        <w:t> </w:t>
      </w:r>
      <w:r>
        <w:rPr/>
        <w:t>que</w:t>
      </w:r>
      <w:r>
        <w:rPr>
          <w:spacing w:val="-12"/>
        </w:rPr>
        <w:t> </w:t>
      </w:r>
      <w:r>
        <w:rPr/>
        <w:t>estiman</w:t>
      </w:r>
      <w:r>
        <w:rPr>
          <w:spacing w:val="-12"/>
        </w:rPr>
        <w:t> </w:t>
      </w:r>
      <w:r>
        <w:rPr/>
        <w:t>las</w:t>
      </w:r>
      <w:r>
        <w:rPr>
          <w:spacing w:val="-11"/>
        </w:rPr>
        <w:t> </w:t>
      </w:r>
      <w:r>
        <w:rPr/>
        <w:t>posibilidades</w:t>
      </w:r>
      <w:r>
        <w:rPr>
          <w:spacing w:val="-11"/>
        </w:rPr>
        <w:t> </w:t>
      </w:r>
      <w:r>
        <w:rPr/>
        <w:t>de</w:t>
      </w:r>
      <w:r>
        <w:rPr>
          <w:spacing w:val="-12"/>
        </w:rPr>
        <w:t> </w:t>
      </w:r>
      <w:r>
        <w:rPr/>
        <w:t>éxito o fracaso del proyecto (Hardaker et al., 2004), por lo que los valores económicos</w:t>
      </w:r>
      <w:r>
        <w:rPr>
          <w:spacing w:val="-17"/>
        </w:rPr>
        <w:t> </w:t>
      </w:r>
      <w:r>
        <w:rPr/>
        <w:t>resultantes son</w:t>
      </w:r>
      <w:r>
        <w:rPr>
          <w:spacing w:val="-8"/>
        </w:rPr>
        <w:t> </w:t>
      </w:r>
      <w:r>
        <w:rPr/>
        <w:t>estimaciones</w:t>
      </w:r>
      <w:r>
        <w:rPr>
          <w:spacing w:val="-9"/>
        </w:rPr>
        <w:t> </w:t>
      </w:r>
      <w:r>
        <w:rPr/>
        <w:t>puntuales</w:t>
      </w:r>
      <w:r>
        <w:rPr>
          <w:spacing w:val="-8"/>
        </w:rPr>
        <w:t> </w:t>
      </w:r>
      <w:r>
        <w:rPr/>
        <w:t>invariables</w:t>
      </w:r>
      <w:r>
        <w:rPr>
          <w:spacing w:val="-6"/>
        </w:rPr>
        <w:t> </w:t>
      </w:r>
      <w:r>
        <w:rPr/>
        <w:t>y</w:t>
      </w:r>
      <w:r>
        <w:rPr>
          <w:spacing w:val="-12"/>
        </w:rPr>
        <w:t> </w:t>
      </w:r>
      <w:r>
        <w:rPr/>
        <w:t>para</w:t>
      </w:r>
      <w:r>
        <w:rPr>
          <w:spacing w:val="-9"/>
        </w:rPr>
        <w:t> </w:t>
      </w:r>
      <w:r>
        <w:rPr/>
        <w:t>un</w:t>
      </w:r>
      <w:r>
        <w:rPr>
          <w:spacing w:val="-8"/>
        </w:rPr>
        <w:t> </w:t>
      </w:r>
      <w:r>
        <w:rPr/>
        <w:t>año</w:t>
      </w:r>
      <w:r>
        <w:rPr>
          <w:spacing w:val="-8"/>
        </w:rPr>
        <w:t> </w:t>
      </w:r>
      <w:r>
        <w:rPr/>
        <w:t>base</w:t>
      </w:r>
      <w:r>
        <w:rPr>
          <w:spacing w:val="-9"/>
        </w:rPr>
        <w:t> </w:t>
      </w:r>
      <w:r>
        <w:rPr/>
        <w:t>(Vargas-Leitón</w:t>
      </w:r>
      <w:r>
        <w:rPr>
          <w:spacing w:val="-6"/>
        </w:rPr>
        <w:t> </w:t>
      </w:r>
      <w:r>
        <w:rPr/>
        <w:t>y</w:t>
      </w:r>
      <w:r>
        <w:rPr>
          <w:spacing w:val="-10"/>
        </w:rPr>
        <w:t> </w:t>
      </w:r>
      <w:r>
        <w:rPr/>
        <w:t>Cuevas-Abrego,</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2009). De acuerdo con Richardson et al., (2007a) y Outlaw et al., (2007) la simulación tipo Monte</w:t>
      </w:r>
      <w:r>
        <w:rPr>
          <w:spacing w:val="-12"/>
        </w:rPr>
        <w:t> </w:t>
      </w:r>
      <w:r>
        <w:rPr/>
        <w:t>Carlo</w:t>
      </w:r>
      <w:r>
        <w:rPr>
          <w:spacing w:val="-11"/>
        </w:rPr>
        <w:t> </w:t>
      </w:r>
      <w:r>
        <w:rPr/>
        <w:t>proporciona</w:t>
      </w:r>
      <w:r>
        <w:rPr>
          <w:spacing w:val="-9"/>
        </w:rPr>
        <w:t> </w:t>
      </w:r>
      <w:r>
        <w:rPr/>
        <w:t>a</w:t>
      </w:r>
      <w:r>
        <w:rPr>
          <w:spacing w:val="-12"/>
        </w:rPr>
        <w:t> </w:t>
      </w:r>
      <w:r>
        <w:rPr/>
        <w:t>los</w:t>
      </w:r>
      <w:r>
        <w:rPr>
          <w:spacing w:val="-10"/>
        </w:rPr>
        <w:t> </w:t>
      </w:r>
      <w:r>
        <w:rPr/>
        <w:t>tomadores</w:t>
      </w:r>
      <w:r>
        <w:rPr>
          <w:spacing w:val="-11"/>
        </w:rPr>
        <w:t> </w:t>
      </w:r>
      <w:r>
        <w:rPr/>
        <w:t>de</w:t>
      </w:r>
      <w:r>
        <w:rPr>
          <w:spacing w:val="-10"/>
        </w:rPr>
        <w:t> </w:t>
      </w:r>
      <w:r>
        <w:rPr/>
        <w:t>decisiones</w:t>
      </w:r>
      <w:r>
        <w:rPr>
          <w:spacing w:val="-11"/>
        </w:rPr>
        <w:t> </w:t>
      </w:r>
      <w:r>
        <w:rPr/>
        <w:t>valores</w:t>
      </w:r>
      <w:r>
        <w:rPr>
          <w:spacing w:val="-11"/>
        </w:rPr>
        <w:t> </w:t>
      </w:r>
      <w:r>
        <w:rPr/>
        <w:t>en</w:t>
      </w:r>
      <w:r>
        <w:rPr>
          <w:spacing w:val="-9"/>
        </w:rPr>
        <w:t> </w:t>
      </w:r>
      <w:r>
        <w:rPr/>
        <w:t>funciones</w:t>
      </w:r>
      <w:r>
        <w:rPr>
          <w:spacing w:val="-9"/>
        </w:rPr>
        <w:t> </w:t>
      </w:r>
      <w:r>
        <w:rPr/>
        <w:t>de</w:t>
      </w:r>
      <w:r>
        <w:rPr>
          <w:spacing w:val="-12"/>
        </w:rPr>
        <w:t> </w:t>
      </w:r>
      <w:r>
        <w:rPr/>
        <w:t>probabilidad aculada (FPA) que muestran los valores extremos (mínimos y máximos) de las variables de entrada</w:t>
      </w:r>
      <w:r>
        <w:rPr>
          <w:spacing w:val="-3"/>
        </w:rPr>
        <w:t> </w:t>
      </w:r>
      <w:r>
        <w:rPr/>
        <w:t>y</w:t>
      </w:r>
      <w:r>
        <w:rPr>
          <w:spacing w:val="-13"/>
        </w:rPr>
        <w:t> </w:t>
      </w:r>
      <w:r>
        <w:rPr/>
        <w:t>su</w:t>
      </w:r>
      <w:r>
        <w:rPr>
          <w:spacing w:val="-8"/>
        </w:rPr>
        <w:t> </w:t>
      </w:r>
      <w:r>
        <w:rPr/>
        <w:t>probabilidad</w:t>
      </w:r>
      <w:r>
        <w:rPr>
          <w:spacing w:val="-9"/>
        </w:rPr>
        <w:t> </w:t>
      </w:r>
      <w:r>
        <w:rPr/>
        <w:t>con</w:t>
      </w:r>
      <w:r>
        <w:rPr>
          <w:spacing w:val="-9"/>
        </w:rPr>
        <w:t> </w:t>
      </w:r>
      <w:r>
        <w:rPr/>
        <w:t>estimaciones</w:t>
      </w:r>
      <w:r>
        <w:rPr>
          <w:spacing w:val="-8"/>
        </w:rPr>
        <w:t> </w:t>
      </w:r>
      <w:r>
        <w:rPr/>
        <w:t>ponderadas</w:t>
      </w:r>
      <w:r>
        <w:rPr>
          <w:spacing w:val="-8"/>
        </w:rPr>
        <w:t> </w:t>
      </w:r>
      <w:r>
        <w:rPr/>
        <w:t>de</w:t>
      </w:r>
      <w:r>
        <w:rPr>
          <w:spacing w:val="-7"/>
        </w:rPr>
        <w:t> </w:t>
      </w:r>
      <w:r>
        <w:rPr/>
        <w:t>media</w:t>
      </w:r>
      <w:r>
        <w:rPr>
          <w:spacing w:val="-5"/>
        </w:rPr>
        <w:t> </w:t>
      </w:r>
      <w:r>
        <w:rPr/>
        <w:t>y</w:t>
      </w:r>
      <w:r>
        <w:rPr>
          <w:spacing w:val="-11"/>
        </w:rPr>
        <w:t> </w:t>
      </w:r>
      <w:r>
        <w:rPr/>
        <w:t>varianza</w:t>
      </w:r>
      <w:r>
        <w:rPr>
          <w:spacing w:val="-7"/>
        </w:rPr>
        <w:t> </w:t>
      </w:r>
      <w:r>
        <w:rPr/>
        <w:t>de</w:t>
      </w:r>
      <w:r>
        <w:rPr>
          <w:spacing w:val="-10"/>
        </w:rPr>
        <w:t> </w:t>
      </w:r>
      <w:r>
        <w:rPr/>
        <w:t>las</w:t>
      </w:r>
      <w:r>
        <w:rPr>
          <w:spacing w:val="-9"/>
        </w:rPr>
        <w:t> </w:t>
      </w:r>
      <w:r>
        <w:rPr/>
        <w:t>relaciones entre los resultados favorables y desfavorables del sistema</w:t>
      </w:r>
      <w:r>
        <w:rPr>
          <w:spacing w:val="-12"/>
        </w:rPr>
        <w:t> </w:t>
      </w:r>
      <w:r>
        <w:rPr/>
        <w:t>analizado.</w:t>
      </w:r>
    </w:p>
    <w:p>
      <w:pPr>
        <w:pStyle w:val="BodyText"/>
      </w:pPr>
    </w:p>
    <w:p>
      <w:pPr>
        <w:pStyle w:val="BodyText"/>
        <w:spacing w:line="360" w:lineRule="auto" w:before="143"/>
        <w:ind w:left="102" w:right="121"/>
        <w:jc w:val="both"/>
      </w:pPr>
      <w:r>
        <w:rPr/>
        <w:t>En</w:t>
      </w:r>
      <w:r>
        <w:rPr>
          <w:spacing w:val="-14"/>
        </w:rPr>
        <w:t> </w:t>
      </w:r>
      <w:r>
        <w:rPr/>
        <w:t>este</w:t>
      </w:r>
      <w:r>
        <w:rPr>
          <w:spacing w:val="-14"/>
        </w:rPr>
        <w:t> </w:t>
      </w:r>
      <w:r>
        <w:rPr/>
        <w:t>trabajo</w:t>
      </w:r>
      <w:r>
        <w:rPr>
          <w:spacing w:val="-13"/>
        </w:rPr>
        <w:t> </w:t>
      </w:r>
      <w:r>
        <w:rPr/>
        <w:t>se</w:t>
      </w:r>
      <w:r>
        <w:rPr>
          <w:spacing w:val="-14"/>
        </w:rPr>
        <w:t> </w:t>
      </w:r>
      <w:r>
        <w:rPr/>
        <w:t>utilizó</w:t>
      </w:r>
      <w:r>
        <w:rPr>
          <w:spacing w:val="-13"/>
        </w:rPr>
        <w:t> </w:t>
      </w:r>
      <w:r>
        <w:rPr/>
        <w:t>la</w:t>
      </w:r>
      <w:r>
        <w:rPr>
          <w:spacing w:val="-14"/>
        </w:rPr>
        <w:t> </w:t>
      </w:r>
      <w:r>
        <w:rPr/>
        <w:t>simulación</w:t>
      </w:r>
      <w:r>
        <w:rPr>
          <w:spacing w:val="-13"/>
        </w:rPr>
        <w:t> </w:t>
      </w:r>
      <w:r>
        <w:rPr/>
        <w:t>tipo</w:t>
      </w:r>
      <w:r>
        <w:rPr>
          <w:spacing w:val="-12"/>
        </w:rPr>
        <w:t> </w:t>
      </w:r>
      <w:r>
        <w:rPr/>
        <w:t>Monte</w:t>
      </w:r>
      <w:r>
        <w:rPr>
          <w:spacing w:val="-17"/>
        </w:rPr>
        <w:t> </w:t>
      </w:r>
      <w:r>
        <w:rPr/>
        <w:t>Carlo</w:t>
      </w:r>
      <w:r>
        <w:rPr>
          <w:spacing w:val="-14"/>
        </w:rPr>
        <w:t> </w:t>
      </w:r>
      <w:r>
        <w:rPr/>
        <w:t>para</w:t>
      </w:r>
      <w:r>
        <w:rPr>
          <w:spacing w:val="-15"/>
        </w:rPr>
        <w:t> </w:t>
      </w:r>
      <w:r>
        <w:rPr/>
        <w:t>evaluar</w:t>
      </w:r>
      <w:r>
        <w:rPr>
          <w:spacing w:val="-15"/>
        </w:rPr>
        <w:t> </w:t>
      </w:r>
      <w:r>
        <w:rPr/>
        <w:t>la</w:t>
      </w:r>
      <w:r>
        <w:rPr>
          <w:spacing w:val="-14"/>
        </w:rPr>
        <w:t> </w:t>
      </w:r>
      <w:r>
        <w:rPr/>
        <w:t>viabilidad</w:t>
      </w:r>
      <w:r>
        <w:rPr>
          <w:spacing w:val="-14"/>
        </w:rPr>
        <w:t> </w:t>
      </w:r>
      <w:r>
        <w:rPr/>
        <w:t>económica y financiera y cuantificar los efectos económicos en el tiempo del costo atribuido al insumo mano</w:t>
      </w:r>
      <w:r>
        <w:rPr>
          <w:spacing w:val="-12"/>
        </w:rPr>
        <w:t> </w:t>
      </w:r>
      <w:r>
        <w:rPr/>
        <w:t>de</w:t>
      </w:r>
      <w:r>
        <w:rPr>
          <w:spacing w:val="-12"/>
        </w:rPr>
        <w:t> </w:t>
      </w:r>
      <w:r>
        <w:rPr/>
        <w:t>obra</w:t>
      </w:r>
      <w:r>
        <w:rPr>
          <w:spacing w:val="-12"/>
        </w:rPr>
        <w:t> </w:t>
      </w:r>
      <w:r>
        <w:rPr/>
        <w:t>familiar</w:t>
      </w:r>
      <w:r>
        <w:rPr>
          <w:spacing w:val="-12"/>
        </w:rPr>
        <w:t> </w:t>
      </w:r>
      <w:r>
        <w:rPr/>
        <w:t>(MOF),</w:t>
      </w:r>
      <w:r>
        <w:rPr>
          <w:spacing w:val="-12"/>
        </w:rPr>
        <w:t> </w:t>
      </w:r>
      <w:r>
        <w:rPr/>
        <w:t>de</w:t>
      </w:r>
      <w:r>
        <w:rPr>
          <w:spacing w:val="-12"/>
        </w:rPr>
        <w:t> </w:t>
      </w:r>
      <w:r>
        <w:rPr/>
        <w:t>una</w:t>
      </w:r>
      <w:r>
        <w:rPr>
          <w:spacing w:val="-10"/>
        </w:rPr>
        <w:t> </w:t>
      </w:r>
      <w:r>
        <w:rPr/>
        <w:t>unidad</w:t>
      </w:r>
      <w:r>
        <w:rPr>
          <w:spacing w:val="-11"/>
        </w:rPr>
        <w:t> </w:t>
      </w:r>
      <w:r>
        <w:rPr/>
        <w:t>representativa</w:t>
      </w:r>
      <w:r>
        <w:rPr>
          <w:spacing w:val="-11"/>
        </w:rPr>
        <w:t> </w:t>
      </w:r>
      <w:r>
        <w:rPr/>
        <w:t>de</w:t>
      </w:r>
      <w:r>
        <w:rPr>
          <w:spacing w:val="-12"/>
        </w:rPr>
        <w:t> </w:t>
      </w:r>
      <w:r>
        <w:rPr/>
        <w:t>producción</w:t>
      </w:r>
      <w:r>
        <w:rPr>
          <w:spacing w:val="-8"/>
        </w:rPr>
        <w:t> </w:t>
      </w:r>
      <w:r>
        <w:rPr/>
        <w:t>(URP)</w:t>
      </w:r>
      <w:r>
        <w:rPr>
          <w:spacing w:val="-12"/>
        </w:rPr>
        <w:t> </w:t>
      </w:r>
      <w:r>
        <w:rPr/>
        <w:t>en</w:t>
      </w:r>
      <w:r>
        <w:rPr>
          <w:spacing w:val="-11"/>
        </w:rPr>
        <w:t> </w:t>
      </w:r>
      <w:r>
        <w:rPr/>
        <w:t>lechería de pequeña</w:t>
      </w:r>
      <w:r>
        <w:rPr>
          <w:spacing w:val="-4"/>
        </w:rPr>
        <w:t> </w:t>
      </w:r>
      <w:r>
        <w:rPr/>
        <w:t>escala.</w:t>
      </w:r>
    </w:p>
    <w:p>
      <w:pPr>
        <w:pStyle w:val="BodyText"/>
      </w:pPr>
    </w:p>
    <w:p>
      <w:pPr>
        <w:pStyle w:val="BodyText"/>
        <w:spacing w:before="7"/>
        <w:rPr>
          <w:sz w:val="35"/>
        </w:rPr>
      </w:pPr>
    </w:p>
    <w:p>
      <w:pPr>
        <w:pStyle w:val="Heading1"/>
        <w:spacing w:before="0"/>
      </w:pPr>
      <w:r>
        <w:rPr/>
        <w:t>METODOLOGÍA</w:t>
      </w:r>
    </w:p>
    <w:p>
      <w:pPr>
        <w:pStyle w:val="BodyText"/>
        <w:rPr>
          <w:b/>
        </w:rPr>
      </w:pPr>
    </w:p>
    <w:p>
      <w:pPr>
        <w:pStyle w:val="BodyText"/>
        <w:spacing w:before="10"/>
        <w:rPr>
          <w:b/>
          <w:sz w:val="35"/>
        </w:rPr>
      </w:pPr>
    </w:p>
    <w:p>
      <w:pPr>
        <w:spacing w:before="0"/>
        <w:ind w:left="102" w:right="0" w:firstLine="0"/>
        <w:jc w:val="both"/>
        <w:rPr>
          <w:b/>
          <w:sz w:val="24"/>
        </w:rPr>
      </w:pPr>
      <w:r>
        <w:rPr>
          <w:b/>
          <w:sz w:val="24"/>
        </w:rPr>
        <w:t>Técnica de panel</w:t>
      </w:r>
    </w:p>
    <w:p>
      <w:pPr>
        <w:pStyle w:val="BodyText"/>
        <w:spacing w:before="7"/>
        <w:rPr>
          <w:b/>
          <w:sz w:val="35"/>
        </w:rPr>
      </w:pPr>
    </w:p>
    <w:p>
      <w:pPr>
        <w:pStyle w:val="BodyText"/>
        <w:spacing w:line="360" w:lineRule="auto" w:before="1"/>
        <w:ind w:left="102" w:right="119"/>
        <w:jc w:val="both"/>
      </w:pPr>
      <w:r>
        <w:rPr/>
        <w:t>Los datos técnicos y económicos de la URP fueron obtenidos mediante la técnica de panel. Se eligieron aleatoriamente 22 productores representativos de 130 (17.0%) dada la</w:t>
      </w:r>
      <w:r>
        <w:rPr>
          <w:spacing w:val="-13"/>
        </w:rPr>
        <w:t> </w:t>
      </w:r>
      <w:r>
        <w:rPr/>
        <w:t>similitud entre ellos. Definiéndose una unidad representativa de producción con una escala de ocho vacas en producción (URP8), la cual representa a productores de cuatro a ocho vacas en producción. Estos productores son representativos de las características propias de la zona, escala productiva y comercial, manejo técnico, producción de insumos, alimentación,</w:t>
      </w:r>
      <w:r>
        <w:rPr>
          <w:spacing w:val="-40"/>
        </w:rPr>
        <w:t> </w:t>
      </w:r>
      <w:r>
        <w:rPr/>
        <w:t>costos de producción, tamaño de la finca, vacas en producción, rendimientos históricos en producción</w:t>
      </w:r>
      <w:r>
        <w:rPr>
          <w:spacing w:val="-13"/>
        </w:rPr>
        <w:t> </w:t>
      </w:r>
      <w:r>
        <w:rPr/>
        <w:t>de</w:t>
      </w:r>
      <w:r>
        <w:rPr>
          <w:spacing w:val="-14"/>
        </w:rPr>
        <w:t> </w:t>
      </w:r>
      <w:r>
        <w:rPr/>
        <w:t>leche</w:t>
      </w:r>
      <w:r>
        <w:rPr>
          <w:spacing w:val="-12"/>
        </w:rPr>
        <w:t> </w:t>
      </w:r>
      <w:r>
        <w:rPr/>
        <w:t>e</w:t>
      </w:r>
      <w:r>
        <w:rPr>
          <w:spacing w:val="-14"/>
        </w:rPr>
        <w:t> </w:t>
      </w:r>
      <w:r>
        <w:rPr/>
        <w:t>insumos,</w:t>
      </w:r>
      <w:r>
        <w:rPr>
          <w:spacing w:val="-13"/>
        </w:rPr>
        <w:t> </w:t>
      </w:r>
      <w:r>
        <w:rPr/>
        <w:t>programas</w:t>
      </w:r>
      <w:r>
        <w:rPr>
          <w:spacing w:val="-9"/>
        </w:rPr>
        <w:t> </w:t>
      </w:r>
      <w:r>
        <w:rPr/>
        <w:t>y</w:t>
      </w:r>
      <w:r>
        <w:rPr>
          <w:spacing w:val="-18"/>
        </w:rPr>
        <w:t> </w:t>
      </w:r>
      <w:r>
        <w:rPr/>
        <w:t>montos</w:t>
      </w:r>
      <w:r>
        <w:rPr>
          <w:spacing w:val="-13"/>
        </w:rPr>
        <w:t> </w:t>
      </w:r>
      <w:r>
        <w:rPr/>
        <w:t>de</w:t>
      </w:r>
      <w:r>
        <w:rPr>
          <w:spacing w:val="-14"/>
        </w:rPr>
        <w:t> </w:t>
      </w:r>
      <w:r>
        <w:rPr/>
        <w:t>subsidios,</w:t>
      </w:r>
      <w:r>
        <w:rPr>
          <w:spacing w:val="-13"/>
        </w:rPr>
        <w:t> </w:t>
      </w:r>
      <w:r>
        <w:rPr/>
        <w:t>tenencia</w:t>
      </w:r>
      <w:r>
        <w:rPr>
          <w:spacing w:val="-12"/>
        </w:rPr>
        <w:t> </w:t>
      </w:r>
      <w:r>
        <w:rPr/>
        <w:t>de</w:t>
      </w:r>
      <w:r>
        <w:rPr>
          <w:spacing w:val="-14"/>
        </w:rPr>
        <w:t> </w:t>
      </w:r>
      <w:r>
        <w:rPr/>
        <w:t>la</w:t>
      </w:r>
      <w:r>
        <w:rPr>
          <w:spacing w:val="-14"/>
        </w:rPr>
        <w:t> </w:t>
      </w:r>
      <w:r>
        <w:rPr/>
        <w:t>tierra,</w:t>
      </w:r>
      <w:r>
        <w:rPr>
          <w:spacing w:val="-11"/>
        </w:rPr>
        <w:t> </w:t>
      </w:r>
      <w:r>
        <w:rPr/>
        <w:t>gastos de alquiler, maquinaria e implementos</w:t>
      </w:r>
      <w:r>
        <w:rPr>
          <w:spacing w:val="-8"/>
        </w:rPr>
        <w:t> </w:t>
      </w:r>
      <w:r>
        <w:rPr/>
        <w:t>agrícolas.</w:t>
      </w:r>
    </w:p>
    <w:p>
      <w:pPr>
        <w:pStyle w:val="BodyText"/>
      </w:pPr>
    </w:p>
    <w:p>
      <w:pPr>
        <w:pStyle w:val="BodyText"/>
        <w:spacing w:before="2"/>
        <w:rPr>
          <w:sz w:val="35"/>
        </w:rPr>
      </w:pPr>
    </w:p>
    <w:p>
      <w:pPr>
        <w:pStyle w:val="BodyText"/>
        <w:spacing w:line="360" w:lineRule="auto" w:before="1"/>
        <w:ind w:left="102" w:right="117"/>
        <w:jc w:val="both"/>
      </w:pPr>
      <w:r>
        <w:rPr/>
        <w:t>La datos de los panelistas fueron utilizados para desarrollar una distribución de la información de acuerdo con lo establecido por Lemiux et al., (1982). La URP es aquella unidad</w:t>
      </w:r>
      <w:r>
        <w:rPr>
          <w:spacing w:val="-15"/>
        </w:rPr>
        <w:t> </w:t>
      </w:r>
      <w:r>
        <w:rPr/>
        <w:t>de</w:t>
      </w:r>
      <w:r>
        <w:rPr>
          <w:spacing w:val="-15"/>
        </w:rPr>
        <w:t> </w:t>
      </w:r>
      <w:r>
        <w:rPr/>
        <w:t>producción,</w:t>
      </w:r>
      <w:r>
        <w:rPr>
          <w:spacing w:val="-14"/>
        </w:rPr>
        <w:t> </w:t>
      </w:r>
      <w:r>
        <w:rPr/>
        <w:t>que</w:t>
      </w:r>
      <w:r>
        <w:rPr>
          <w:spacing w:val="-15"/>
        </w:rPr>
        <w:t> </w:t>
      </w:r>
      <w:r>
        <w:rPr/>
        <w:t>sin</w:t>
      </w:r>
      <w:r>
        <w:rPr>
          <w:spacing w:val="-14"/>
        </w:rPr>
        <w:t> </w:t>
      </w:r>
      <w:r>
        <w:rPr/>
        <w:t>representar</w:t>
      </w:r>
      <w:r>
        <w:rPr>
          <w:spacing w:val="-15"/>
        </w:rPr>
        <w:t> </w:t>
      </w:r>
      <w:r>
        <w:rPr/>
        <w:t>a</w:t>
      </w:r>
      <w:r>
        <w:rPr>
          <w:spacing w:val="-15"/>
        </w:rPr>
        <w:t> </w:t>
      </w:r>
      <w:r>
        <w:rPr/>
        <w:t>un</w:t>
      </w:r>
      <w:r>
        <w:rPr>
          <w:spacing w:val="-14"/>
        </w:rPr>
        <w:t> </w:t>
      </w:r>
      <w:r>
        <w:rPr/>
        <w:t>productor</w:t>
      </w:r>
      <w:r>
        <w:rPr>
          <w:spacing w:val="-15"/>
        </w:rPr>
        <w:t> </w:t>
      </w:r>
      <w:r>
        <w:rPr/>
        <w:t>en</w:t>
      </w:r>
      <w:r>
        <w:rPr>
          <w:spacing w:val="-14"/>
        </w:rPr>
        <w:t> </w:t>
      </w:r>
      <w:r>
        <w:rPr/>
        <w:t>particular,</w:t>
      </w:r>
      <w:r>
        <w:rPr>
          <w:spacing w:val="-14"/>
        </w:rPr>
        <w:t> </w:t>
      </w:r>
      <w:r>
        <w:rPr/>
        <w:t>tipifica</w:t>
      </w:r>
      <w:r>
        <w:rPr>
          <w:spacing w:val="-15"/>
        </w:rPr>
        <w:t> </w:t>
      </w:r>
      <w:r>
        <w:rPr/>
        <w:t>las</w:t>
      </w:r>
      <w:r>
        <w:rPr>
          <w:spacing w:val="-15"/>
        </w:rPr>
        <w:t> </w:t>
      </w:r>
      <w:r>
        <w:rPr/>
        <w:t>actividades y</w:t>
      </w:r>
      <w:r>
        <w:rPr>
          <w:spacing w:val="-10"/>
        </w:rPr>
        <w:t> </w:t>
      </w:r>
      <w:r>
        <w:rPr/>
        <w:t>decisiones</w:t>
      </w:r>
      <w:r>
        <w:rPr>
          <w:spacing w:val="-7"/>
        </w:rPr>
        <w:t> </w:t>
      </w:r>
      <w:r>
        <w:rPr/>
        <w:t>de</w:t>
      </w:r>
      <w:r>
        <w:rPr>
          <w:spacing w:val="-8"/>
        </w:rPr>
        <w:t> </w:t>
      </w:r>
      <w:r>
        <w:rPr/>
        <w:t>los</w:t>
      </w:r>
      <w:r>
        <w:rPr>
          <w:spacing w:val="-7"/>
        </w:rPr>
        <w:t> </w:t>
      </w:r>
      <w:r>
        <w:rPr/>
        <w:t>productores</w:t>
      </w:r>
      <w:r>
        <w:rPr>
          <w:spacing w:val="-7"/>
        </w:rPr>
        <w:t> </w:t>
      </w:r>
      <w:r>
        <w:rPr/>
        <w:t>participantes</w:t>
      </w:r>
      <w:r>
        <w:rPr>
          <w:spacing w:val="-7"/>
        </w:rPr>
        <w:t> </w:t>
      </w:r>
      <w:r>
        <w:rPr/>
        <w:t>en</w:t>
      </w:r>
      <w:r>
        <w:rPr>
          <w:spacing w:val="-7"/>
        </w:rPr>
        <w:t> </w:t>
      </w:r>
      <w:r>
        <w:rPr/>
        <w:t>el</w:t>
      </w:r>
      <w:r>
        <w:rPr>
          <w:spacing w:val="-4"/>
        </w:rPr>
        <w:t> </w:t>
      </w:r>
      <w:r>
        <w:rPr/>
        <w:t>panel.</w:t>
      </w:r>
      <w:r>
        <w:rPr>
          <w:spacing w:val="-7"/>
        </w:rPr>
        <w:t> </w:t>
      </w:r>
      <w:r>
        <w:rPr/>
        <w:t>Así</w:t>
      </w:r>
      <w:r>
        <w:rPr>
          <w:spacing w:val="-7"/>
        </w:rPr>
        <w:t> </w:t>
      </w:r>
      <w:r>
        <w:rPr/>
        <w:t>mismo,</w:t>
      </w:r>
      <w:r>
        <w:rPr>
          <w:spacing w:val="-7"/>
        </w:rPr>
        <w:t> </w:t>
      </w:r>
      <w:r>
        <w:rPr/>
        <w:t>representa</w:t>
      </w:r>
      <w:r>
        <w:rPr>
          <w:spacing w:val="-8"/>
        </w:rPr>
        <w:t> </w:t>
      </w:r>
      <w:r>
        <w:rPr/>
        <w:t>a</w:t>
      </w:r>
      <w:r>
        <w:rPr>
          <w:spacing w:val="-8"/>
        </w:rPr>
        <w:t> </w:t>
      </w:r>
      <w:r>
        <w:rPr/>
        <w:t>un</w:t>
      </w:r>
      <w:r>
        <w:rPr>
          <w:spacing w:val="-7"/>
        </w:rPr>
        <w:t> </w:t>
      </w:r>
      <w:r>
        <w:rPr/>
        <w:t>número de</w:t>
      </w:r>
      <w:r>
        <w:rPr>
          <w:spacing w:val="25"/>
        </w:rPr>
        <w:t> </w:t>
      </w:r>
      <w:r>
        <w:rPr/>
        <w:t>unidades</w:t>
      </w:r>
      <w:r>
        <w:rPr>
          <w:spacing w:val="26"/>
        </w:rPr>
        <w:t> </w:t>
      </w:r>
      <w:r>
        <w:rPr/>
        <w:t>de</w:t>
      </w:r>
      <w:r>
        <w:rPr>
          <w:spacing w:val="25"/>
        </w:rPr>
        <w:t> </w:t>
      </w:r>
      <w:r>
        <w:rPr/>
        <w:t>producción,</w:t>
      </w:r>
      <w:r>
        <w:rPr>
          <w:spacing w:val="26"/>
        </w:rPr>
        <w:t> </w:t>
      </w:r>
      <w:r>
        <w:rPr/>
        <w:t>con</w:t>
      </w:r>
      <w:r>
        <w:rPr>
          <w:spacing w:val="26"/>
        </w:rPr>
        <w:t> </w:t>
      </w:r>
      <w:r>
        <w:rPr/>
        <w:t>características</w:t>
      </w:r>
      <w:r>
        <w:rPr>
          <w:spacing w:val="26"/>
        </w:rPr>
        <w:t> </w:t>
      </w:r>
      <w:r>
        <w:rPr/>
        <w:t>de</w:t>
      </w:r>
      <w:r>
        <w:rPr>
          <w:spacing w:val="25"/>
        </w:rPr>
        <w:t> </w:t>
      </w:r>
      <w:r>
        <w:rPr/>
        <w:t>una</w:t>
      </w:r>
      <w:r>
        <w:rPr>
          <w:spacing w:val="25"/>
        </w:rPr>
        <w:t> </w:t>
      </w:r>
      <w:r>
        <w:rPr/>
        <w:t>escala</w:t>
      </w:r>
      <w:r>
        <w:rPr>
          <w:spacing w:val="30"/>
        </w:rPr>
        <w:t> </w:t>
      </w:r>
      <w:r>
        <w:rPr/>
        <w:t>y</w:t>
      </w:r>
      <w:r>
        <w:rPr>
          <w:spacing w:val="20"/>
        </w:rPr>
        <w:t> </w:t>
      </w:r>
      <w:r>
        <w:rPr/>
        <w:t>un</w:t>
      </w:r>
      <w:r>
        <w:rPr>
          <w:spacing w:val="26"/>
        </w:rPr>
        <w:t> </w:t>
      </w:r>
      <w:r>
        <w:rPr/>
        <w:t>sistema</w:t>
      </w:r>
      <w:r>
        <w:rPr>
          <w:spacing w:val="25"/>
        </w:rPr>
        <w:t> </w:t>
      </w:r>
      <w:r>
        <w:rPr/>
        <w:t>de</w:t>
      </w:r>
      <w:r>
        <w:rPr>
          <w:spacing w:val="25"/>
        </w:rPr>
        <w:t> </w:t>
      </w:r>
      <w:r>
        <w:rPr/>
        <w:t>producción</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particular de una región productora del país (AGROPROSPECTA, 2009). En este caso la URP8</w:t>
      </w:r>
      <w:r>
        <w:rPr>
          <w:spacing w:val="-5"/>
        </w:rPr>
        <w:t> </w:t>
      </w:r>
      <w:r>
        <w:rPr/>
        <w:t>representa</w:t>
      </w:r>
      <w:r>
        <w:rPr>
          <w:spacing w:val="-5"/>
        </w:rPr>
        <w:t> </w:t>
      </w:r>
      <w:r>
        <w:rPr/>
        <w:t>alrededor</w:t>
      </w:r>
      <w:r>
        <w:rPr>
          <w:spacing w:val="-6"/>
        </w:rPr>
        <w:t> </w:t>
      </w:r>
      <w:r>
        <w:rPr/>
        <w:t>del</w:t>
      </w:r>
      <w:r>
        <w:rPr>
          <w:spacing w:val="-4"/>
        </w:rPr>
        <w:t> </w:t>
      </w:r>
      <w:r>
        <w:rPr/>
        <w:t>40.0%</w:t>
      </w:r>
      <w:r>
        <w:rPr>
          <w:spacing w:val="-6"/>
        </w:rPr>
        <w:t> </w:t>
      </w:r>
      <w:r>
        <w:rPr/>
        <w:t>de</w:t>
      </w:r>
      <w:r>
        <w:rPr>
          <w:spacing w:val="-6"/>
        </w:rPr>
        <w:t> </w:t>
      </w:r>
      <w:r>
        <w:rPr/>
        <w:t>los</w:t>
      </w:r>
      <w:r>
        <w:rPr>
          <w:spacing w:val="-7"/>
        </w:rPr>
        <w:t> </w:t>
      </w:r>
      <w:r>
        <w:rPr/>
        <w:t>productores</w:t>
      </w:r>
      <w:r>
        <w:rPr>
          <w:spacing w:val="-2"/>
        </w:rPr>
        <w:t> </w:t>
      </w:r>
      <w:r>
        <w:rPr/>
        <w:t>y</w:t>
      </w:r>
      <w:r>
        <w:rPr>
          <w:spacing w:val="-8"/>
        </w:rPr>
        <w:t> </w:t>
      </w:r>
      <w:r>
        <w:rPr/>
        <w:t>70.0%</w:t>
      </w:r>
      <w:r>
        <w:rPr>
          <w:spacing w:val="-6"/>
        </w:rPr>
        <w:t> </w:t>
      </w:r>
      <w:r>
        <w:rPr/>
        <w:t>del</w:t>
      </w:r>
      <w:r>
        <w:rPr>
          <w:spacing w:val="-4"/>
        </w:rPr>
        <w:t> </w:t>
      </w:r>
      <w:r>
        <w:rPr/>
        <w:t>volumen</w:t>
      </w:r>
      <w:r>
        <w:rPr>
          <w:spacing w:val="-5"/>
        </w:rPr>
        <w:t> </w:t>
      </w:r>
      <w:r>
        <w:rPr/>
        <w:t>producido</w:t>
      </w:r>
      <w:r>
        <w:rPr>
          <w:spacing w:val="-4"/>
        </w:rPr>
        <w:t> </w:t>
      </w:r>
      <w:r>
        <w:rPr/>
        <w:t>de leche en el municipio de</w:t>
      </w:r>
      <w:r>
        <w:rPr>
          <w:spacing w:val="-5"/>
        </w:rPr>
        <w:t> </w:t>
      </w:r>
      <w:r>
        <w:rPr/>
        <w:t>Texcoco.</w:t>
      </w:r>
    </w:p>
    <w:p>
      <w:pPr>
        <w:pStyle w:val="BodyText"/>
      </w:pPr>
    </w:p>
    <w:p>
      <w:pPr>
        <w:pStyle w:val="BodyText"/>
        <w:spacing w:before="9"/>
        <w:rPr>
          <w:sz w:val="35"/>
        </w:rPr>
      </w:pPr>
    </w:p>
    <w:p>
      <w:pPr>
        <w:pStyle w:val="Heading1"/>
        <w:spacing w:before="0"/>
      </w:pPr>
      <w:r>
        <w:rPr/>
        <w:t>Área de estudio</w:t>
      </w:r>
    </w:p>
    <w:p>
      <w:pPr>
        <w:pStyle w:val="BodyText"/>
        <w:rPr>
          <w:b/>
        </w:rPr>
      </w:pPr>
    </w:p>
    <w:p>
      <w:pPr>
        <w:pStyle w:val="BodyText"/>
        <w:spacing w:before="5"/>
        <w:rPr>
          <w:b/>
          <w:sz w:val="35"/>
        </w:rPr>
      </w:pPr>
    </w:p>
    <w:p>
      <w:pPr>
        <w:pStyle w:val="BodyText"/>
        <w:spacing w:line="360" w:lineRule="auto"/>
        <w:ind w:left="102" w:right="117"/>
        <w:jc w:val="both"/>
      </w:pPr>
      <w:r>
        <w:rPr/>
        <w:t>La URP8, representa a productores de leche del Distrito de desarrollo rural de Texcoco, situado al noreste del Estado de México y el noreste de la ciudad de México. El Estado de México, es el séptimo Estado en producción de leche a nivel nacional y el Distrito Texcoco se</w:t>
      </w:r>
      <w:r>
        <w:rPr>
          <w:spacing w:val="-12"/>
        </w:rPr>
        <w:t> </w:t>
      </w:r>
      <w:r>
        <w:rPr/>
        <w:t>posiciona</w:t>
      </w:r>
      <w:r>
        <w:rPr>
          <w:spacing w:val="-9"/>
        </w:rPr>
        <w:t> </w:t>
      </w:r>
      <w:r>
        <w:rPr/>
        <w:t>como</w:t>
      </w:r>
      <w:r>
        <w:rPr>
          <w:spacing w:val="-11"/>
        </w:rPr>
        <w:t> </w:t>
      </w:r>
      <w:r>
        <w:rPr/>
        <w:t>el</w:t>
      </w:r>
      <w:r>
        <w:rPr>
          <w:spacing w:val="-11"/>
        </w:rPr>
        <w:t> </w:t>
      </w:r>
      <w:r>
        <w:rPr/>
        <w:t>segundo</w:t>
      </w:r>
      <w:r>
        <w:rPr>
          <w:spacing w:val="-11"/>
        </w:rPr>
        <w:t> </w:t>
      </w:r>
      <w:r>
        <w:rPr/>
        <w:t>Distrito</w:t>
      </w:r>
      <w:r>
        <w:rPr>
          <w:spacing w:val="-11"/>
        </w:rPr>
        <w:t> </w:t>
      </w:r>
      <w:r>
        <w:rPr/>
        <w:t>en</w:t>
      </w:r>
      <w:r>
        <w:rPr>
          <w:spacing w:val="-11"/>
        </w:rPr>
        <w:t> </w:t>
      </w:r>
      <w:r>
        <w:rPr/>
        <w:t>producción</w:t>
      </w:r>
      <w:r>
        <w:rPr>
          <w:spacing w:val="-11"/>
        </w:rPr>
        <w:t> </w:t>
      </w:r>
      <w:r>
        <w:rPr/>
        <w:t>de</w:t>
      </w:r>
      <w:r>
        <w:rPr>
          <w:spacing w:val="-12"/>
        </w:rPr>
        <w:t> </w:t>
      </w:r>
      <w:r>
        <w:rPr/>
        <w:t>leche</w:t>
      </w:r>
      <w:r>
        <w:rPr>
          <w:spacing w:val="-10"/>
        </w:rPr>
        <w:t> </w:t>
      </w:r>
      <w:r>
        <w:rPr/>
        <w:t>en</w:t>
      </w:r>
      <w:r>
        <w:rPr>
          <w:spacing w:val="-11"/>
        </w:rPr>
        <w:t> </w:t>
      </w:r>
      <w:r>
        <w:rPr/>
        <w:t>el</w:t>
      </w:r>
      <w:r>
        <w:rPr>
          <w:spacing w:val="-8"/>
        </w:rPr>
        <w:t> </w:t>
      </w:r>
      <w:r>
        <w:rPr/>
        <w:t>Estado</w:t>
      </w:r>
      <w:r>
        <w:rPr>
          <w:spacing w:val="-12"/>
        </w:rPr>
        <w:t> </w:t>
      </w:r>
      <w:r>
        <w:rPr/>
        <w:t>de</w:t>
      </w:r>
      <w:r>
        <w:rPr>
          <w:spacing w:val="-12"/>
        </w:rPr>
        <w:t> </w:t>
      </w:r>
      <w:r>
        <w:rPr/>
        <w:t>México</w:t>
      </w:r>
      <w:r>
        <w:rPr>
          <w:spacing w:val="-12"/>
        </w:rPr>
        <w:t> </w:t>
      </w:r>
      <w:r>
        <w:rPr/>
        <w:t>(SIAP, 2012), el cual se ha caracterizado históricamente por su producción de leche predominando en</w:t>
      </w:r>
      <w:r>
        <w:rPr>
          <w:spacing w:val="-6"/>
        </w:rPr>
        <w:t> </w:t>
      </w:r>
      <w:r>
        <w:rPr/>
        <w:t>la</w:t>
      </w:r>
      <w:r>
        <w:rPr>
          <w:spacing w:val="-7"/>
        </w:rPr>
        <w:t> </w:t>
      </w:r>
      <w:r>
        <w:rPr/>
        <w:t>actualidad</w:t>
      </w:r>
      <w:r>
        <w:rPr>
          <w:spacing w:val="-7"/>
        </w:rPr>
        <w:t> </w:t>
      </w:r>
      <w:r>
        <w:rPr/>
        <w:t>los</w:t>
      </w:r>
      <w:r>
        <w:rPr>
          <w:spacing w:val="-6"/>
        </w:rPr>
        <w:t> </w:t>
      </w:r>
      <w:r>
        <w:rPr/>
        <w:t>sistemas</w:t>
      </w:r>
      <w:r>
        <w:rPr>
          <w:spacing w:val="-7"/>
        </w:rPr>
        <w:t> </w:t>
      </w:r>
      <w:r>
        <w:rPr/>
        <w:t>lecheros</w:t>
      </w:r>
      <w:r>
        <w:rPr>
          <w:spacing w:val="-7"/>
        </w:rPr>
        <w:t> </w:t>
      </w:r>
      <w:r>
        <w:rPr/>
        <w:t>de</w:t>
      </w:r>
      <w:r>
        <w:rPr>
          <w:spacing w:val="-7"/>
        </w:rPr>
        <w:t> </w:t>
      </w:r>
      <w:r>
        <w:rPr/>
        <w:t>pequeña</w:t>
      </w:r>
      <w:r>
        <w:rPr>
          <w:spacing w:val="-5"/>
        </w:rPr>
        <w:t> </w:t>
      </w:r>
      <w:r>
        <w:rPr/>
        <w:t>escala,</w:t>
      </w:r>
      <w:r>
        <w:rPr>
          <w:spacing w:val="-5"/>
        </w:rPr>
        <w:t> </w:t>
      </w:r>
      <w:r>
        <w:rPr/>
        <w:t>los</w:t>
      </w:r>
      <w:r>
        <w:rPr>
          <w:spacing w:val="-6"/>
        </w:rPr>
        <w:t> </w:t>
      </w:r>
      <w:r>
        <w:rPr/>
        <w:t>cuales</w:t>
      </w:r>
      <w:r>
        <w:rPr>
          <w:spacing w:val="-4"/>
        </w:rPr>
        <w:t> </w:t>
      </w:r>
      <w:r>
        <w:rPr/>
        <w:t>basan</w:t>
      </w:r>
      <w:r>
        <w:rPr>
          <w:spacing w:val="-4"/>
        </w:rPr>
        <w:t> </w:t>
      </w:r>
      <w:r>
        <w:rPr/>
        <w:t>su</w:t>
      </w:r>
      <w:r>
        <w:rPr>
          <w:spacing w:val="-6"/>
        </w:rPr>
        <w:t> </w:t>
      </w:r>
      <w:r>
        <w:rPr/>
        <w:t>alimentación</w:t>
      </w:r>
      <w:r>
        <w:rPr>
          <w:spacing w:val="-6"/>
        </w:rPr>
        <w:t> </w:t>
      </w:r>
      <w:r>
        <w:rPr/>
        <w:t>en cultivos de alfalfa (Medicago sativa), maíz (Zea mays) y avena (Avena sativa), con ganado Holstein como la principal raza lechera (95.0%). La ciudad de Texcoco está situada en 19° 30'43 "N y 98° 52'54" W, a una altitud de 2,250 msnm clima templado semi-seco, con una temperatura media anual de 15,9° C y una precipitación media de 686 mm/año (INEGI, 2003).</w:t>
      </w:r>
    </w:p>
    <w:p>
      <w:pPr>
        <w:pStyle w:val="BodyText"/>
        <w:spacing w:before="8"/>
      </w:pPr>
    </w:p>
    <w:p>
      <w:pPr>
        <w:pStyle w:val="Heading1"/>
        <w:spacing w:before="0"/>
      </w:pPr>
      <w:r>
        <w:rPr/>
        <w:t>Modelo de simulación econométrica y análisis de riesgo (MexSim)</w:t>
      </w:r>
    </w:p>
    <w:p>
      <w:pPr>
        <w:pStyle w:val="BodyText"/>
        <w:rPr>
          <w:b/>
        </w:rPr>
      </w:pPr>
    </w:p>
    <w:p>
      <w:pPr>
        <w:pStyle w:val="BodyText"/>
        <w:spacing w:before="5"/>
        <w:rPr>
          <w:b/>
          <w:sz w:val="34"/>
        </w:rPr>
      </w:pPr>
    </w:p>
    <w:p>
      <w:pPr>
        <w:spacing w:line="360" w:lineRule="auto" w:before="0"/>
        <w:ind w:left="102" w:right="118" w:firstLine="0"/>
        <w:jc w:val="both"/>
        <w:rPr>
          <w:sz w:val="24"/>
        </w:rPr>
      </w:pPr>
      <w:r>
        <w:rPr>
          <w:sz w:val="24"/>
        </w:rPr>
        <w:t>El modelo de simulación econométrica y análisis de riesgo, MexSim, fue utilizado en esta investigación para proyectar el estándar financiero de una URP8 de producción de leche en pequeña escala. El modelo fue desarrollado por la </w:t>
      </w:r>
      <w:r>
        <w:rPr>
          <w:i/>
          <w:sz w:val="24"/>
        </w:rPr>
        <w:t>Texas Extension and Education </w:t>
      </w:r>
      <w:r>
        <w:rPr>
          <w:i/>
          <w:sz w:val="24"/>
        </w:rPr>
        <w:t>Foundation</w:t>
      </w:r>
      <w:r>
        <w:rPr>
          <w:i/>
          <w:spacing w:val="-12"/>
          <w:sz w:val="24"/>
        </w:rPr>
        <w:t> </w:t>
      </w:r>
      <w:r>
        <w:rPr>
          <w:i/>
          <w:sz w:val="24"/>
        </w:rPr>
        <w:t>(TEEF),</w:t>
      </w:r>
      <w:r>
        <w:rPr>
          <w:i/>
          <w:spacing w:val="-9"/>
          <w:sz w:val="24"/>
        </w:rPr>
        <w:t> </w:t>
      </w:r>
      <w:r>
        <w:rPr>
          <w:sz w:val="24"/>
        </w:rPr>
        <w:t>adscrita</w:t>
      </w:r>
      <w:r>
        <w:rPr>
          <w:spacing w:val="-13"/>
          <w:sz w:val="24"/>
        </w:rPr>
        <w:t> </w:t>
      </w:r>
      <w:r>
        <w:rPr>
          <w:sz w:val="24"/>
        </w:rPr>
        <w:t>al</w:t>
      </w:r>
      <w:r>
        <w:rPr>
          <w:spacing w:val="-11"/>
          <w:sz w:val="24"/>
        </w:rPr>
        <w:t> </w:t>
      </w:r>
      <w:r>
        <w:rPr>
          <w:i/>
          <w:sz w:val="24"/>
        </w:rPr>
        <w:t>Food</w:t>
      </w:r>
      <w:r>
        <w:rPr>
          <w:i/>
          <w:spacing w:val="-12"/>
          <w:sz w:val="24"/>
        </w:rPr>
        <w:t> </w:t>
      </w:r>
      <w:r>
        <w:rPr>
          <w:i/>
          <w:sz w:val="24"/>
        </w:rPr>
        <w:t>and</w:t>
      </w:r>
      <w:r>
        <w:rPr>
          <w:i/>
          <w:spacing w:val="-12"/>
          <w:sz w:val="24"/>
        </w:rPr>
        <w:t> </w:t>
      </w:r>
      <w:r>
        <w:rPr>
          <w:i/>
          <w:sz w:val="24"/>
        </w:rPr>
        <w:t>Agricultural</w:t>
      </w:r>
      <w:r>
        <w:rPr>
          <w:i/>
          <w:spacing w:val="-12"/>
          <w:sz w:val="24"/>
        </w:rPr>
        <w:t> </w:t>
      </w:r>
      <w:r>
        <w:rPr>
          <w:i/>
          <w:sz w:val="24"/>
        </w:rPr>
        <w:t>Policy</w:t>
      </w:r>
      <w:r>
        <w:rPr>
          <w:i/>
          <w:spacing w:val="-13"/>
          <w:sz w:val="24"/>
        </w:rPr>
        <w:t> </w:t>
      </w:r>
      <w:r>
        <w:rPr>
          <w:i/>
          <w:sz w:val="24"/>
        </w:rPr>
        <w:t>Center</w:t>
      </w:r>
      <w:r>
        <w:rPr>
          <w:i/>
          <w:spacing w:val="-10"/>
          <w:sz w:val="24"/>
        </w:rPr>
        <w:t> </w:t>
      </w:r>
      <w:r>
        <w:rPr>
          <w:i/>
          <w:sz w:val="24"/>
        </w:rPr>
        <w:t>(AFPC)</w:t>
      </w:r>
      <w:r>
        <w:rPr>
          <w:i/>
          <w:spacing w:val="-13"/>
          <w:sz w:val="24"/>
        </w:rPr>
        <w:t> </w:t>
      </w:r>
      <w:r>
        <w:rPr>
          <w:sz w:val="24"/>
        </w:rPr>
        <w:t>de</w:t>
      </w:r>
      <w:r>
        <w:rPr>
          <w:spacing w:val="-11"/>
          <w:sz w:val="24"/>
        </w:rPr>
        <w:t> </w:t>
      </w:r>
      <w:r>
        <w:rPr>
          <w:i/>
          <w:sz w:val="24"/>
        </w:rPr>
        <w:t>Texas</w:t>
      </w:r>
      <w:r>
        <w:rPr>
          <w:i/>
          <w:spacing w:val="-12"/>
          <w:sz w:val="24"/>
        </w:rPr>
        <w:t> </w:t>
      </w:r>
      <w:r>
        <w:rPr>
          <w:i/>
          <w:sz w:val="24"/>
        </w:rPr>
        <w:t>A&amp;M </w:t>
      </w:r>
      <w:r>
        <w:rPr>
          <w:i/>
          <w:sz w:val="24"/>
        </w:rPr>
        <w:t>University </w:t>
      </w:r>
      <w:r>
        <w:rPr>
          <w:sz w:val="24"/>
        </w:rPr>
        <w:t>(TAMU) en conjunto con la </w:t>
      </w:r>
      <w:r>
        <w:rPr>
          <w:i/>
          <w:sz w:val="24"/>
        </w:rPr>
        <w:t>Secretaria de Agricultura, Ganadería, Pesca y </w:t>
      </w:r>
      <w:r>
        <w:rPr>
          <w:i/>
          <w:sz w:val="24"/>
        </w:rPr>
        <w:t>Alimentación</w:t>
      </w:r>
      <w:r>
        <w:rPr>
          <w:i/>
          <w:spacing w:val="-13"/>
          <w:sz w:val="24"/>
        </w:rPr>
        <w:t> </w:t>
      </w:r>
      <w:r>
        <w:rPr>
          <w:sz w:val="24"/>
        </w:rPr>
        <w:t>(SAGARPA)</w:t>
      </w:r>
      <w:r>
        <w:rPr>
          <w:spacing w:val="-10"/>
          <w:sz w:val="24"/>
        </w:rPr>
        <w:t> </w:t>
      </w:r>
      <w:r>
        <w:rPr>
          <w:sz w:val="24"/>
        </w:rPr>
        <w:t>y</w:t>
      </w:r>
      <w:r>
        <w:rPr>
          <w:spacing w:val="-20"/>
          <w:sz w:val="24"/>
        </w:rPr>
        <w:t> </w:t>
      </w:r>
      <w:r>
        <w:rPr>
          <w:i/>
          <w:sz w:val="24"/>
        </w:rPr>
        <w:t>La</w:t>
      </w:r>
      <w:r>
        <w:rPr>
          <w:i/>
          <w:spacing w:val="-13"/>
          <w:sz w:val="24"/>
        </w:rPr>
        <w:t> </w:t>
      </w:r>
      <w:r>
        <w:rPr>
          <w:i/>
          <w:sz w:val="24"/>
        </w:rPr>
        <w:t>Red</w:t>
      </w:r>
      <w:r>
        <w:rPr>
          <w:i/>
          <w:spacing w:val="-13"/>
          <w:sz w:val="24"/>
        </w:rPr>
        <w:t> </w:t>
      </w:r>
      <w:r>
        <w:rPr>
          <w:i/>
          <w:sz w:val="24"/>
        </w:rPr>
        <w:t>Mexicana</w:t>
      </w:r>
      <w:r>
        <w:rPr>
          <w:i/>
          <w:spacing w:val="-14"/>
          <w:sz w:val="24"/>
        </w:rPr>
        <w:t> </w:t>
      </w:r>
      <w:r>
        <w:rPr>
          <w:i/>
          <w:sz w:val="24"/>
        </w:rPr>
        <w:t>de</w:t>
      </w:r>
      <w:r>
        <w:rPr>
          <w:i/>
          <w:spacing w:val="-12"/>
          <w:sz w:val="24"/>
        </w:rPr>
        <w:t> </w:t>
      </w:r>
      <w:r>
        <w:rPr>
          <w:i/>
          <w:sz w:val="24"/>
        </w:rPr>
        <w:t>Investigación</w:t>
      </w:r>
      <w:r>
        <w:rPr>
          <w:i/>
          <w:spacing w:val="-13"/>
          <w:sz w:val="24"/>
        </w:rPr>
        <w:t> </w:t>
      </w:r>
      <w:r>
        <w:rPr>
          <w:i/>
          <w:sz w:val="24"/>
        </w:rPr>
        <w:t>en</w:t>
      </w:r>
      <w:r>
        <w:rPr>
          <w:i/>
          <w:spacing w:val="-13"/>
          <w:sz w:val="24"/>
        </w:rPr>
        <w:t> </w:t>
      </w:r>
      <w:r>
        <w:rPr>
          <w:i/>
          <w:sz w:val="24"/>
        </w:rPr>
        <w:t>Política</w:t>
      </w:r>
      <w:r>
        <w:rPr>
          <w:i/>
          <w:spacing w:val="-12"/>
          <w:sz w:val="24"/>
        </w:rPr>
        <w:t> </w:t>
      </w:r>
      <w:r>
        <w:rPr>
          <w:i/>
          <w:sz w:val="24"/>
        </w:rPr>
        <w:t>Agroalimentaria </w:t>
      </w:r>
      <w:r>
        <w:rPr>
          <w:sz w:val="24"/>
        </w:rPr>
        <w:t>(AGROPROSPECTA). El MexSim, proyecta en condiciones de riesgo e incertidumbre la viabilidad económica del sector agropecuario mexicano, su desarrolló se dio a partir del programa </w:t>
      </w:r>
      <w:r>
        <w:rPr>
          <w:i/>
          <w:sz w:val="24"/>
        </w:rPr>
        <w:t>FLIPSIM </w:t>
      </w:r>
      <w:r>
        <w:rPr>
          <w:sz w:val="24"/>
        </w:rPr>
        <w:t>(The Farm Level Income and Policy Simulation Model), el cual ha sido validado</w:t>
      </w:r>
      <w:r>
        <w:rPr>
          <w:spacing w:val="-1"/>
          <w:sz w:val="24"/>
        </w:rPr>
        <w:t> </w:t>
      </w:r>
      <w:r>
        <w:rPr>
          <w:sz w:val="24"/>
        </w:rPr>
        <w:t>y</w:t>
      </w:r>
      <w:r>
        <w:rPr>
          <w:spacing w:val="-9"/>
          <w:sz w:val="24"/>
        </w:rPr>
        <w:t> </w:t>
      </w:r>
      <w:r>
        <w:rPr>
          <w:sz w:val="24"/>
        </w:rPr>
        <w:t>aplicado</w:t>
      </w:r>
      <w:r>
        <w:rPr>
          <w:spacing w:val="-4"/>
          <w:sz w:val="24"/>
        </w:rPr>
        <w:t> </w:t>
      </w:r>
      <w:r>
        <w:rPr>
          <w:sz w:val="24"/>
        </w:rPr>
        <w:t>en</w:t>
      </w:r>
      <w:r>
        <w:rPr>
          <w:spacing w:val="-6"/>
          <w:sz w:val="24"/>
        </w:rPr>
        <w:t> </w:t>
      </w:r>
      <w:r>
        <w:rPr>
          <w:sz w:val="24"/>
        </w:rPr>
        <w:t>proyectos</w:t>
      </w:r>
      <w:r>
        <w:rPr>
          <w:spacing w:val="-6"/>
          <w:sz w:val="24"/>
        </w:rPr>
        <w:t> </w:t>
      </w:r>
      <w:r>
        <w:rPr>
          <w:sz w:val="24"/>
        </w:rPr>
        <w:t>de</w:t>
      </w:r>
      <w:r>
        <w:rPr>
          <w:spacing w:val="-5"/>
          <w:sz w:val="24"/>
        </w:rPr>
        <w:t> </w:t>
      </w:r>
      <w:r>
        <w:rPr>
          <w:sz w:val="24"/>
        </w:rPr>
        <w:t>investigación</w:t>
      </w:r>
      <w:r>
        <w:rPr>
          <w:spacing w:val="-3"/>
          <w:sz w:val="24"/>
        </w:rPr>
        <w:t> </w:t>
      </w:r>
      <w:r>
        <w:rPr>
          <w:sz w:val="24"/>
        </w:rPr>
        <w:t>y</w:t>
      </w:r>
      <w:r>
        <w:rPr>
          <w:spacing w:val="-9"/>
          <w:sz w:val="24"/>
        </w:rPr>
        <w:t> </w:t>
      </w:r>
      <w:r>
        <w:rPr>
          <w:sz w:val="24"/>
        </w:rPr>
        <w:t>extensión</w:t>
      </w:r>
      <w:r>
        <w:rPr>
          <w:spacing w:val="-6"/>
          <w:sz w:val="24"/>
        </w:rPr>
        <w:t> </w:t>
      </w:r>
      <w:r>
        <w:rPr>
          <w:sz w:val="24"/>
        </w:rPr>
        <w:t>por</w:t>
      </w:r>
      <w:r>
        <w:rPr>
          <w:spacing w:val="-5"/>
          <w:sz w:val="24"/>
        </w:rPr>
        <w:t> </w:t>
      </w:r>
      <w:r>
        <w:rPr>
          <w:sz w:val="24"/>
        </w:rPr>
        <w:t>economistas</w:t>
      </w:r>
      <w:r>
        <w:rPr>
          <w:spacing w:val="-6"/>
          <w:sz w:val="24"/>
        </w:rPr>
        <w:t> </w:t>
      </w:r>
      <w:r>
        <w:rPr>
          <w:sz w:val="24"/>
        </w:rPr>
        <w:t>de</w:t>
      </w:r>
      <w:r>
        <w:rPr>
          <w:spacing w:val="-7"/>
          <w:sz w:val="24"/>
        </w:rPr>
        <w:t> </w:t>
      </w:r>
      <w:r>
        <w:rPr>
          <w:sz w:val="24"/>
        </w:rPr>
        <w:t>más</w:t>
      </w:r>
      <w:r>
        <w:rPr>
          <w:spacing w:val="-6"/>
          <w:sz w:val="24"/>
        </w:rPr>
        <w:t> </w:t>
      </w:r>
      <w:r>
        <w:rPr>
          <w:sz w:val="24"/>
        </w:rPr>
        <w:t>de</w:t>
      </w:r>
      <w:r>
        <w:rPr>
          <w:spacing w:val="-5"/>
          <w:sz w:val="24"/>
        </w:rPr>
        <w:t> </w:t>
      </w:r>
      <w:r>
        <w:rPr>
          <w:sz w:val="24"/>
        </w:rPr>
        <w:t>25</w:t>
      </w:r>
    </w:p>
    <w:p>
      <w:pPr>
        <w:spacing w:after="0" w:line="360" w:lineRule="auto"/>
        <w:jc w:val="both"/>
        <w:rPr>
          <w:sz w:val="24"/>
        </w:rPr>
        <w:sectPr>
          <w:pgSz w:w="12240" w:h="15840"/>
          <w:pgMar w:header="0" w:footer="657" w:top="1360" w:bottom="840" w:left="1600" w:right="1580"/>
        </w:sectPr>
      </w:pPr>
    </w:p>
    <w:p>
      <w:pPr>
        <w:pStyle w:val="BodyText"/>
        <w:spacing w:line="362" w:lineRule="auto" w:before="50"/>
        <w:ind w:left="102" w:right="119"/>
        <w:jc w:val="both"/>
      </w:pPr>
      <w:r>
        <w:rPr/>
        <w:t>universidades norteamericanas y por analistas de política en otros 10 países más (AGROPROSPECTA, 2009).</w:t>
      </w:r>
    </w:p>
    <w:p>
      <w:pPr>
        <w:pStyle w:val="BodyText"/>
      </w:pPr>
    </w:p>
    <w:p>
      <w:pPr>
        <w:pStyle w:val="BodyText"/>
      </w:pPr>
    </w:p>
    <w:p>
      <w:pPr>
        <w:pStyle w:val="BodyText"/>
        <w:spacing w:before="8"/>
        <w:rPr>
          <w:sz w:val="21"/>
        </w:rPr>
      </w:pPr>
    </w:p>
    <w:p>
      <w:pPr>
        <w:pStyle w:val="BodyText"/>
        <w:spacing w:line="357" w:lineRule="auto"/>
        <w:ind w:left="102" w:right="116"/>
        <w:jc w:val="both"/>
      </w:pPr>
      <w:r>
        <w:rPr/>
        <w:t>El MexSim es programado en Excel</w:t>
      </w:r>
      <w:r>
        <w:rPr>
          <w:position w:val="9"/>
          <w:sz w:val="16"/>
        </w:rPr>
        <w:t>® </w:t>
      </w:r>
      <w:r>
        <w:rPr/>
        <w:t>utilizando las identidades y ecuaciones contables y financieras</w:t>
      </w:r>
      <w:r>
        <w:rPr>
          <w:spacing w:val="-5"/>
        </w:rPr>
        <w:t> </w:t>
      </w:r>
      <w:r>
        <w:rPr/>
        <w:t>contenidas</w:t>
      </w:r>
      <w:r>
        <w:rPr>
          <w:spacing w:val="-5"/>
        </w:rPr>
        <w:t> </w:t>
      </w:r>
      <w:r>
        <w:rPr/>
        <w:t>en</w:t>
      </w:r>
      <w:r>
        <w:rPr>
          <w:spacing w:val="-3"/>
        </w:rPr>
        <w:t> </w:t>
      </w:r>
      <w:r>
        <w:rPr/>
        <w:t>el</w:t>
      </w:r>
      <w:r>
        <w:rPr>
          <w:spacing w:val="-4"/>
        </w:rPr>
        <w:t> </w:t>
      </w:r>
      <w:r>
        <w:rPr/>
        <w:t>programa</w:t>
      </w:r>
      <w:r>
        <w:rPr>
          <w:spacing w:val="-5"/>
        </w:rPr>
        <w:t> </w:t>
      </w:r>
      <w:r>
        <w:rPr/>
        <w:t>de</w:t>
      </w:r>
      <w:r>
        <w:rPr>
          <w:spacing w:val="-6"/>
        </w:rPr>
        <w:t> </w:t>
      </w:r>
      <w:r>
        <w:rPr/>
        <w:t>simulación</w:t>
      </w:r>
      <w:r>
        <w:rPr>
          <w:spacing w:val="-4"/>
        </w:rPr>
        <w:t> </w:t>
      </w:r>
      <w:r>
        <w:rPr/>
        <w:t>econométrica</w:t>
      </w:r>
      <w:r>
        <w:rPr>
          <w:spacing w:val="-6"/>
        </w:rPr>
        <w:t> </w:t>
      </w:r>
      <w:r>
        <w:rPr/>
        <w:t>para</w:t>
      </w:r>
      <w:r>
        <w:rPr>
          <w:spacing w:val="-7"/>
        </w:rPr>
        <w:t> </w:t>
      </w:r>
      <w:r>
        <w:rPr/>
        <w:t>el</w:t>
      </w:r>
      <w:r>
        <w:rPr>
          <w:spacing w:val="-4"/>
        </w:rPr>
        <w:t> </w:t>
      </w:r>
      <w:r>
        <w:rPr/>
        <w:t>análisis</w:t>
      </w:r>
      <w:r>
        <w:rPr>
          <w:spacing w:val="-4"/>
        </w:rPr>
        <w:t> </w:t>
      </w:r>
      <w:r>
        <w:rPr/>
        <w:t>del</w:t>
      </w:r>
      <w:r>
        <w:rPr>
          <w:spacing w:val="-4"/>
        </w:rPr>
        <w:t> </w:t>
      </w:r>
      <w:r>
        <w:rPr/>
        <w:t>riesgo (Simetar</w:t>
      </w:r>
      <w:r>
        <w:rPr>
          <w:position w:val="9"/>
          <w:sz w:val="16"/>
        </w:rPr>
        <w:t>©</w:t>
      </w:r>
      <w:r>
        <w:rPr/>
        <w:t>). Los parámetros de distribución de probabilidad se estiman utilizando un hipercubo</w:t>
      </w:r>
      <w:r>
        <w:rPr>
          <w:spacing w:val="-16"/>
        </w:rPr>
        <w:t> </w:t>
      </w:r>
      <w:r>
        <w:rPr/>
        <w:t>latino</w:t>
      </w:r>
      <w:r>
        <w:rPr>
          <w:spacing w:val="-15"/>
        </w:rPr>
        <w:t> </w:t>
      </w:r>
      <w:r>
        <w:rPr/>
        <w:t>procedimiento</w:t>
      </w:r>
      <w:r>
        <w:rPr>
          <w:spacing w:val="-16"/>
        </w:rPr>
        <w:t> </w:t>
      </w:r>
      <w:r>
        <w:rPr/>
        <w:t>de</w:t>
      </w:r>
      <w:r>
        <w:rPr>
          <w:spacing w:val="-17"/>
        </w:rPr>
        <w:t> </w:t>
      </w:r>
      <w:r>
        <w:rPr/>
        <w:t>muestreo</w:t>
      </w:r>
      <w:r>
        <w:rPr>
          <w:spacing w:val="-16"/>
        </w:rPr>
        <w:t> </w:t>
      </w:r>
      <w:r>
        <w:rPr/>
        <w:t>para</w:t>
      </w:r>
      <w:r>
        <w:rPr>
          <w:spacing w:val="-17"/>
        </w:rPr>
        <w:t> </w:t>
      </w:r>
      <w:r>
        <w:rPr/>
        <w:t>la</w:t>
      </w:r>
      <w:r>
        <w:rPr>
          <w:spacing w:val="-16"/>
        </w:rPr>
        <w:t> </w:t>
      </w:r>
      <w:r>
        <w:rPr/>
        <w:t>simulación</w:t>
      </w:r>
      <w:r>
        <w:rPr>
          <w:spacing w:val="-15"/>
        </w:rPr>
        <w:t> </w:t>
      </w:r>
      <w:r>
        <w:rPr/>
        <w:t>de</w:t>
      </w:r>
      <w:r>
        <w:rPr>
          <w:spacing w:val="-17"/>
        </w:rPr>
        <w:t> </w:t>
      </w:r>
      <w:r>
        <w:rPr/>
        <w:t>números</w:t>
      </w:r>
      <w:r>
        <w:rPr>
          <w:spacing w:val="-14"/>
        </w:rPr>
        <w:t> </w:t>
      </w:r>
      <w:r>
        <w:rPr/>
        <w:t>pseudo-aleatorios (Richardson</w:t>
      </w:r>
      <w:r>
        <w:rPr>
          <w:spacing w:val="-12"/>
        </w:rPr>
        <w:t> </w:t>
      </w:r>
      <w:r>
        <w:rPr/>
        <w:t>et</w:t>
      </w:r>
      <w:r>
        <w:rPr>
          <w:spacing w:val="-8"/>
        </w:rPr>
        <w:t> </w:t>
      </w:r>
      <w:r>
        <w:rPr/>
        <w:t>al.,</w:t>
      </w:r>
      <w:r>
        <w:rPr>
          <w:spacing w:val="-11"/>
        </w:rPr>
        <w:t> </w:t>
      </w:r>
      <w:r>
        <w:rPr/>
        <w:t>2000).</w:t>
      </w:r>
      <w:r>
        <w:rPr>
          <w:spacing w:val="-8"/>
        </w:rPr>
        <w:t> </w:t>
      </w:r>
      <w:r>
        <w:rPr/>
        <w:t>El</w:t>
      </w:r>
      <w:r>
        <w:rPr>
          <w:spacing w:val="-11"/>
        </w:rPr>
        <w:t> </w:t>
      </w:r>
      <w:r>
        <w:rPr/>
        <w:t>modelo</w:t>
      </w:r>
      <w:r>
        <w:rPr>
          <w:spacing w:val="-11"/>
        </w:rPr>
        <w:t> </w:t>
      </w:r>
      <w:r>
        <w:rPr/>
        <w:t>proyecta</w:t>
      </w:r>
      <w:r>
        <w:rPr>
          <w:spacing w:val="-9"/>
        </w:rPr>
        <w:t> </w:t>
      </w:r>
      <w:r>
        <w:rPr/>
        <w:t>la</w:t>
      </w:r>
      <w:r>
        <w:rPr>
          <w:spacing w:val="-12"/>
        </w:rPr>
        <w:t> </w:t>
      </w:r>
      <w:r>
        <w:rPr/>
        <w:t>viabilidad</w:t>
      </w:r>
      <w:r>
        <w:rPr>
          <w:spacing w:val="-12"/>
        </w:rPr>
        <w:t> </w:t>
      </w:r>
      <w:r>
        <w:rPr/>
        <w:t>económica</w:t>
      </w:r>
      <w:r>
        <w:rPr>
          <w:spacing w:val="-8"/>
        </w:rPr>
        <w:t> </w:t>
      </w:r>
      <w:r>
        <w:rPr/>
        <w:t>y</w:t>
      </w:r>
      <w:r>
        <w:rPr>
          <w:spacing w:val="-13"/>
        </w:rPr>
        <w:t> </w:t>
      </w:r>
      <w:r>
        <w:rPr/>
        <w:t>financiera</w:t>
      </w:r>
      <w:r>
        <w:rPr>
          <w:spacing w:val="-12"/>
        </w:rPr>
        <w:t> </w:t>
      </w:r>
      <w:r>
        <w:rPr/>
        <w:t>utilizando información histórica de variables técnicas, económicas y de un año base recaba de productores, e información de la tendencia de variables macro (Inflación, tipo de cambio y tasa de interés) y microeconómicas (precios de insumos y productos) estimadas por la SAGARPA para el periodo</w:t>
      </w:r>
      <w:r>
        <w:rPr>
          <w:spacing w:val="-5"/>
        </w:rPr>
        <w:t> </w:t>
      </w:r>
      <w:r>
        <w:rPr/>
        <w:t>2010-2019.</w:t>
      </w:r>
    </w:p>
    <w:p>
      <w:pPr>
        <w:pStyle w:val="BodyText"/>
      </w:pPr>
    </w:p>
    <w:p>
      <w:pPr>
        <w:pStyle w:val="BodyText"/>
      </w:pPr>
    </w:p>
    <w:p>
      <w:pPr>
        <w:pStyle w:val="BodyText"/>
        <w:spacing w:before="6"/>
        <w:rPr>
          <w:sz w:val="23"/>
        </w:rPr>
      </w:pPr>
    </w:p>
    <w:p>
      <w:pPr>
        <w:pStyle w:val="BodyText"/>
        <w:spacing w:line="360" w:lineRule="auto"/>
        <w:ind w:left="102" w:right="118"/>
        <w:jc w:val="both"/>
      </w:pPr>
      <w:r>
        <w:rPr/>
        <w:t>El modelo pondera las estimaciones de probabilidad con los siguientes supuestos, la escala de</w:t>
      </w:r>
      <w:r>
        <w:rPr>
          <w:spacing w:val="-12"/>
        </w:rPr>
        <w:t> </w:t>
      </w:r>
      <w:r>
        <w:rPr/>
        <w:t>producción</w:t>
      </w:r>
      <w:r>
        <w:rPr>
          <w:spacing w:val="-8"/>
        </w:rPr>
        <w:t> </w:t>
      </w:r>
      <w:r>
        <w:rPr/>
        <w:t>(hectáreas</w:t>
      </w:r>
      <w:r>
        <w:rPr>
          <w:spacing w:val="-8"/>
        </w:rPr>
        <w:t> </w:t>
      </w:r>
      <w:r>
        <w:rPr/>
        <w:t>y</w:t>
      </w:r>
      <w:r>
        <w:rPr>
          <w:spacing w:val="-13"/>
        </w:rPr>
        <w:t> </w:t>
      </w:r>
      <w:r>
        <w:rPr/>
        <w:t>vacas</w:t>
      </w:r>
      <w:r>
        <w:rPr>
          <w:spacing w:val="-11"/>
        </w:rPr>
        <w:t> </w:t>
      </w:r>
      <w:r>
        <w:rPr/>
        <w:t>en</w:t>
      </w:r>
      <w:r>
        <w:rPr>
          <w:spacing w:val="-11"/>
        </w:rPr>
        <w:t> </w:t>
      </w:r>
      <w:r>
        <w:rPr/>
        <w:t>producción)</w:t>
      </w:r>
      <w:r>
        <w:rPr>
          <w:spacing w:val="-11"/>
        </w:rPr>
        <w:t> </w:t>
      </w:r>
      <w:r>
        <w:rPr/>
        <w:t>se</w:t>
      </w:r>
      <w:r>
        <w:rPr>
          <w:spacing w:val="-10"/>
        </w:rPr>
        <w:t> </w:t>
      </w:r>
      <w:r>
        <w:rPr/>
        <w:t>mantiene</w:t>
      </w:r>
      <w:r>
        <w:rPr>
          <w:spacing w:val="-12"/>
        </w:rPr>
        <w:t> </w:t>
      </w:r>
      <w:r>
        <w:rPr/>
        <w:t>constante</w:t>
      </w:r>
      <w:r>
        <w:rPr>
          <w:spacing w:val="-9"/>
        </w:rPr>
        <w:t> </w:t>
      </w:r>
      <w:r>
        <w:rPr/>
        <w:t>a</w:t>
      </w:r>
      <w:r>
        <w:rPr>
          <w:spacing w:val="-12"/>
        </w:rPr>
        <w:t> </w:t>
      </w:r>
      <w:r>
        <w:rPr/>
        <w:t>través</w:t>
      </w:r>
      <w:r>
        <w:rPr>
          <w:spacing w:val="-11"/>
        </w:rPr>
        <w:t> </w:t>
      </w:r>
      <w:r>
        <w:rPr/>
        <w:t>del</w:t>
      </w:r>
      <w:r>
        <w:rPr>
          <w:spacing w:val="-11"/>
        </w:rPr>
        <w:t> </w:t>
      </w:r>
      <w:r>
        <w:rPr/>
        <w:t>horizonte de planeación (2010-2019); la producción de leche por vaca y la capacidad aprovechada de las instalaciones se mantienen constantes; el nivel tecnológico se mantuvo inalterado, lo</w:t>
      </w:r>
      <w:r>
        <w:rPr>
          <w:spacing w:val="-31"/>
        </w:rPr>
        <w:t> </w:t>
      </w:r>
      <w:r>
        <w:rPr/>
        <w:t>que permitió atribuir los cambios observados a permutaciones en las condiciones económicas; los coeficientes técnicos se mantienen invariables; el número de productores que se dedican a</w:t>
      </w:r>
      <w:r>
        <w:rPr>
          <w:spacing w:val="-5"/>
        </w:rPr>
        <w:t> </w:t>
      </w:r>
      <w:r>
        <w:rPr/>
        <w:t>la</w:t>
      </w:r>
      <w:r>
        <w:rPr>
          <w:spacing w:val="-4"/>
        </w:rPr>
        <w:t> </w:t>
      </w:r>
      <w:r>
        <w:rPr/>
        <w:t>actividad</w:t>
      </w:r>
      <w:r>
        <w:rPr>
          <w:spacing w:val="-4"/>
        </w:rPr>
        <w:t> </w:t>
      </w:r>
      <w:r>
        <w:rPr/>
        <w:t>se</w:t>
      </w:r>
      <w:r>
        <w:rPr>
          <w:spacing w:val="-5"/>
        </w:rPr>
        <w:t> </w:t>
      </w:r>
      <w:r>
        <w:rPr/>
        <w:t>mantiene</w:t>
      </w:r>
      <w:r>
        <w:rPr>
          <w:spacing w:val="-5"/>
        </w:rPr>
        <w:t> </w:t>
      </w:r>
      <w:r>
        <w:rPr/>
        <w:t>constante,</w:t>
      </w:r>
      <w:r>
        <w:rPr>
          <w:spacing w:val="-4"/>
        </w:rPr>
        <w:t> </w:t>
      </w:r>
      <w:r>
        <w:rPr/>
        <w:t>es</w:t>
      </w:r>
      <w:r>
        <w:rPr>
          <w:spacing w:val="-4"/>
        </w:rPr>
        <w:t> </w:t>
      </w:r>
      <w:r>
        <w:rPr/>
        <w:t>decir</w:t>
      </w:r>
      <w:r>
        <w:rPr>
          <w:spacing w:val="-4"/>
        </w:rPr>
        <w:t> </w:t>
      </w:r>
      <w:r>
        <w:rPr/>
        <w:t>que</w:t>
      </w:r>
      <w:r>
        <w:rPr>
          <w:spacing w:val="-5"/>
        </w:rPr>
        <w:t> </w:t>
      </w:r>
      <w:r>
        <w:rPr/>
        <w:t>la</w:t>
      </w:r>
      <w:r>
        <w:rPr>
          <w:spacing w:val="-5"/>
        </w:rPr>
        <w:t> </w:t>
      </w:r>
      <w:r>
        <w:rPr/>
        <w:t>incorporación</w:t>
      </w:r>
      <w:r>
        <w:rPr>
          <w:spacing w:val="-3"/>
        </w:rPr>
        <w:t> </w:t>
      </w:r>
      <w:r>
        <w:rPr/>
        <w:t>o</w:t>
      </w:r>
      <w:r>
        <w:rPr>
          <w:spacing w:val="-4"/>
        </w:rPr>
        <w:t> </w:t>
      </w:r>
      <w:r>
        <w:rPr/>
        <w:t>retiro</w:t>
      </w:r>
      <w:r>
        <w:rPr>
          <w:spacing w:val="-5"/>
        </w:rPr>
        <w:t> </w:t>
      </w:r>
      <w:r>
        <w:rPr/>
        <w:t>de</w:t>
      </w:r>
      <w:r>
        <w:rPr>
          <w:spacing w:val="-5"/>
        </w:rPr>
        <w:t> </w:t>
      </w:r>
      <w:r>
        <w:rPr/>
        <w:t>productores</w:t>
      </w:r>
      <w:r>
        <w:rPr>
          <w:spacing w:val="-4"/>
        </w:rPr>
        <w:t> </w:t>
      </w:r>
      <w:r>
        <w:rPr/>
        <w:t>no altera</w:t>
      </w:r>
      <w:r>
        <w:rPr>
          <w:spacing w:val="-6"/>
        </w:rPr>
        <w:t> </w:t>
      </w:r>
      <w:r>
        <w:rPr/>
        <w:t>los</w:t>
      </w:r>
      <w:r>
        <w:rPr>
          <w:spacing w:val="-2"/>
        </w:rPr>
        <w:t> </w:t>
      </w:r>
      <w:r>
        <w:rPr/>
        <w:t>resultados;</w:t>
      </w:r>
      <w:r>
        <w:rPr>
          <w:spacing w:val="-3"/>
        </w:rPr>
        <w:t> </w:t>
      </w:r>
      <w:r>
        <w:rPr/>
        <w:t>la</w:t>
      </w:r>
      <w:r>
        <w:rPr>
          <w:spacing w:val="-4"/>
        </w:rPr>
        <w:t> </w:t>
      </w:r>
      <w:r>
        <w:rPr/>
        <w:t>tasa</w:t>
      </w:r>
      <w:r>
        <w:rPr>
          <w:spacing w:val="-5"/>
        </w:rPr>
        <w:t> </w:t>
      </w:r>
      <w:r>
        <w:rPr/>
        <w:t>de</w:t>
      </w:r>
      <w:r>
        <w:rPr>
          <w:spacing w:val="-5"/>
        </w:rPr>
        <w:t> </w:t>
      </w:r>
      <w:r>
        <w:rPr/>
        <w:t>descuento</w:t>
      </w:r>
      <w:r>
        <w:rPr>
          <w:spacing w:val="-1"/>
        </w:rPr>
        <w:t> </w:t>
      </w:r>
      <w:r>
        <w:rPr/>
        <w:t>empleada</w:t>
      </w:r>
      <w:r>
        <w:rPr>
          <w:spacing w:val="-5"/>
        </w:rPr>
        <w:t> </w:t>
      </w:r>
      <w:r>
        <w:rPr/>
        <w:t>para</w:t>
      </w:r>
      <w:r>
        <w:rPr>
          <w:spacing w:val="-5"/>
        </w:rPr>
        <w:t> </w:t>
      </w:r>
      <w:r>
        <w:rPr/>
        <w:t>evaluar</w:t>
      </w:r>
      <w:r>
        <w:rPr>
          <w:spacing w:val="-3"/>
        </w:rPr>
        <w:t> </w:t>
      </w:r>
      <w:r>
        <w:rPr/>
        <w:t>el</w:t>
      </w:r>
      <w:r>
        <w:rPr>
          <w:spacing w:val="-3"/>
        </w:rPr>
        <w:t> </w:t>
      </w:r>
      <w:r>
        <w:rPr/>
        <w:t>proyecto</w:t>
      </w:r>
      <w:r>
        <w:rPr>
          <w:spacing w:val="-4"/>
        </w:rPr>
        <w:t> </w:t>
      </w:r>
      <w:r>
        <w:rPr/>
        <w:t>se</w:t>
      </w:r>
      <w:r>
        <w:rPr>
          <w:spacing w:val="-5"/>
        </w:rPr>
        <w:t> </w:t>
      </w:r>
      <w:r>
        <w:rPr/>
        <w:t>estableció</w:t>
      </w:r>
      <w:r>
        <w:rPr>
          <w:spacing w:val="-3"/>
        </w:rPr>
        <w:t> </w:t>
      </w:r>
      <w:r>
        <w:rPr/>
        <w:t>en 10.0%; para las probabilidades de obtener flujo neto de efectivo y reservas finales negativas se consideró un ingreso mínimo igual a cero y un máximo igual al ingreso promedio del periodo analizado más 25.0%; el pago de mano de obra familiar y los retiros de efectivo realizados</w:t>
      </w:r>
      <w:r>
        <w:rPr>
          <w:spacing w:val="-6"/>
        </w:rPr>
        <w:t> </w:t>
      </w:r>
      <w:r>
        <w:rPr/>
        <w:t>por</w:t>
      </w:r>
      <w:r>
        <w:rPr>
          <w:spacing w:val="-5"/>
        </w:rPr>
        <w:t> </w:t>
      </w:r>
      <w:r>
        <w:rPr/>
        <w:t>el</w:t>
      </w:r>
      <w:r>
        <w:rPr>
          <w:spacing w:val="-6"/>
        </w:rPr>
        <w:t> </w:t>
      </w:r>
      <w:r>
        <w:rPr/>
        <w:t>productor</w:t>
      </w:r>
      <w:r>
        <w:rPr>
          <w:spacing w:val="-7"/>
        </w:rPr>
        <w:t> </w:t>
      </w:r>
      <w:r>
        <w:rPr/>
        <w:t>son</w:t>
      </w:r>
      <w:r>
        <w:rPr>
          <w:spacing w:val="-6"/>
        </w:rPr>
        <w:t> </w:t>
      </w:r>
      <w:r>
        <w:rPr/>
        <w:t>incluidos</w:t>
      </w:r>
      <w:r>
        <w:rPr>
          <w:spacing w:val="-6"/>
        </w:rPr>
        <w:t> </w:t>
      </w:r>
      <w:r>
        <w:rPr/>
        <w:t>en</w:t>
      </w:r>
      <w:r>
        <w:rPr>
          <w:spacing w:val="-4"/>
        </w:rPr>
        <w:t> </w:t>
      </w:r>
      <w:r>
        <w:rPr/>
        <w:t>el</w:t>
      </w:r>
      <w:r>
        <w:rPr>
          <w:spacing w:val="-6"/>
        </w:rPr>
        <w:t> </w:t>
      </w:r>
      <w:r>
        <w:rPr/>
        <w:t>proceso</w:t>
      </w:r>
      <w:r>
        <w:rPr>
          <w:spacing w:val="-6"/>
        </w:rPr>
        <w:t> </w:t>
      </w:r>
      <w:r>
        <w:rPr/>
        <w:t>de</w:t>
      </w:r>
      <w:r>
        <w:rPr>
          <w:spacing w:val="-5"/>
        </w:rPr>
        <w:t> </w:t>
      </w:r>
      <w:r>
        <w:rPr/>
        <w:t>simulación;</w:t>
      </w:r>
      <w:r>
        <w:rPr>
          <w:spacing w:val="-6"/>
        </w:rPr>
        <w:t> </w:t>
      </w:r>
      <w:r>
        <w:rPr/>
        <w:t>los</w:t>
      </w:r>
      <w:r>
        <w:rPr>
          <w:spacing w:val="-6"/>
        </w:rPr>
        <w:t> </w:t>
      </w:r>
      <w:r>
        <w:rPr/>
        <w:t>déficits</w:t>
      </w:r>
      <w:r>
        <w:rPr>
          <w:spacing w:val="-6"/>
        </w:rPr>
        <w:t> </w:t>
      </w:r>
      <w:r>
        <w:rPr/>
        <w:t>de</w:t>
      </w:r>
      <w:r>
        <w:rPr>
          <w:spacing w:val="-5"/>
        </w:rPr>
        <w:t> </w:t>
      </w:r>
      <w:r>
        <w:rPr/>
        <w:t>flujo</w:t>
      </w:r>
      <w:r>
        <w:rPr>
          <w:spacing w:val="-6"/>
        </w:rPr>
        <w:t> </w:t>
      </w:r>
      <w:r>
        <w:rPr/>
        <w:t>de efectivo son financiados con recursos de otras actividades. Para estos recursos se consideró un costo de oportunidad del capital, medido por una tasa de interés real de 2.0%; la URP8 está sujeta al pago de impuestos</w:t>
      </w:r>
      <w:r>
        <w:rPr>
          <w:spacing w:val="-10"/>
        </w:rPr>
        <w:t> </w:t>
      </w:r>
      <w:r>
        <w:rPr/>
        <w:t>(predial).</w:t>
      </w:r>
    </w:p>
    <w:p>
      <w:pPr>
        <w:spacing w:after="0" w:line="360" w:lineRule="auto"/>
        <w:jc w:val="both"/>
        <w:sectPr>
          <w:pgSz w:w="12240" w:h="15840"/>
          <w:pgMar w:header="0" w:footer="657" w:top="1360" w:bottom="840" w:left="1600" w:right="1580"/>
        </w:sectPr>
      </w:pPr>
    </w:p>
    <w:p>
      <w:pPr>
        <w:pStyle w:val="BodyText"/>
        <w:spacing w:line="360" w:lineRule="auto" w:before="50"/>
        <w:ind w:left="102" w:right="117"/>
        <w:jc w:val="both"/>
      </w:pPr>
      <w:r>
        <w:rPr/>
        <w:t>El</w:t>
      </w:r>
      <w:r>
        <w:rPr>
          <w:spacing w:val="-11"/>
        </w:rPr>
        <w:t> </w:t>
      </w:r>
      <w:r>
        <w:rPr/>
        <w:t>modelo</w:t>
      </w:r>
      <w:r>
        <w:rPr>
          <w:spacing w:val="-11"/>
        </w:rPr>
        <w:t> </w:t>
      </w:r>
      <w:r>
        <w:rPr/>
        <w:t>opera</w:t>
      </w:r>
      <w:r>
        <w:rPr>
          <w:spacing w:val="-13"/>
        </w:rPr>
        <w:t> </w:t>
      </w:r>
      <w:r>
        <w:rPr/>
        <w:t>de</w:t>
      </w:r>
      <w:r>
        <w:rPr>
          <w:spacing w:val="-12"/>
        </w:rPr>
        <w:t> </w:t>
      </w:r>
      <w:r>
        <w:rPr/>
        <w:t>año</w:t>
      </w:r>
      <w:r>
        <w:rPr>
          <w:spacing w:val="-11"/>
        </w:rPr>
        <w:t> </w:t>
      </w:r>
      <w:r>
        <w:rPr/>
        <w:t>en</w:t>
      </w:r>
      <w:r>
        <w:rPr>
          <w:spacing w:val="-11"/>
        </w:rPr>
        <w:t> </w:t>
      </w:r>
      <w:r>
        <w:rPr/>
        <w:t>año</w:t>
      </w:r>
      <w:r>
        <w:rPr>
          <w:spacing w:val="-11"/>
        </w:rPr>
        <w:t> </w:t>
      </w:r>
      <w:r>
        <w:rPr/>
        <w:t>a</w:t>
      </w:r>
      <w:r>
        <w:rPr>
          <w:spacing w:val="-12"/>
        </w:rPr>
        <w:t> </w:t>
      </w:r>
      <w:r>
        <w:rPr/>
        <w:t>nivel</w:t>
      </w:r>
      <w:r>
        <w:rPr>
          <w:spacing w:val="-11"/>
        </w:rPr>
        <w:t> </w:t>
      </w:r>
      <w:r>
        <w:rPr/>
        <w:t>estratégico,</w:t>
      </w:r>
      <w:r>
        <w:rPr>
          <w:spacing w:val="-11"/>
        </w:rPr>
        <w:t> </w:t>
      </w:r>
      <w:r>
        <w:rPr/>
        <w:t>y</w:t>
      </w:r>
      <w:r>
        <w:rPr>
          <w:spacing w:val="-13"/>
        </w:rPr>
        <w:t> </w:t>
      </w:r>
      <w:r>
        <w:rPr/>
        <w:t>produce</w:t>
      </w:r>
      <w:r>
        <w:rPr>
          <w:spacing w:val="-12"/>
        </w:rPr>
        <w:t> </w:t>
      </w:r>
      <w:r>
        <w:rPr/>
        <w:t>informes</w:t>
      </w:r>
      <w:r>
        <w:rPr>
          <w:spacing w:val="-11"/>
        </w:rPr>
        <w:t> </w:t>
      </w:r>
      <w:r>
        <w:rPr/>
        <w:t>financieros</w:t>
      </w:r>
      <w:r>
        <w:rPr>
          <w:spacing w:val="-11"/>
        </w:rPr>
        <w:t> </w:t>
      </w:r>
      <w:r>
        <w:rPr/>
        <w:t>pro-forma, Ingresos netos en efectivo, reservas finales de efectivo, cambio en el capital neto real, Valor Actual Neto (VAN), tasa de retorno sobre activos (TRA), etc. Los informes financieros se derivan de ecuaciones funcionales que vinculan la producción lechera, su venta, regímenes de subvenciones, venta de subproductos derivados de la actividad (vacas de desecho, toros, novillas, toretes etc.), producción y compra de insumos, operaciones de capital, las actividades de consumo y</w:t>
      </w:r>
      <w:r>
        <w:rPr>
          <w:spacing w:val="-10"/>
        </w:rPr>
        <w:t> </w:t>
      </w:r>
      <w:r>
        <w:rPr/>
        <w:t>financiación.</w:t>
      </w:r>
    </w:p>
    <w:p>
      <w:pPr>
        <w:pStyle w:val="BodyText"/>
      </w:pPr>
    </w:p>
    <w:p>
      <w:pPr>
        <w:pStyle w:val="BodyText"/>
      </w:pPr>
    </w:p>
    <w:p>
      <w:pPr>
        <w:pStyle w:val="BodyText"/>
        <w:spacing w:before="8"/>
        <w:rPr>
          <w:sz w:val="23"/>
        </w:rPr>
      </w:pPr>
    </w:p>
    <w:p>
      <w:pPr>
        <w:pStyle w:val="Heading1"/>
        <w:spacing w:before="1"/>
      </w:pPr>
      <w:r>
        <w:rPr/>
        <w:t>Modelación estocástica Monte Carlo</w:t>
      </w:r>
    </w:p>
    <w:p>
      <w:pPr>
        <w:pStyle w:val="BodyText"/>
        <w:rPr>
          <w:b/>
        </w:rPr>
      </w:pPr>
    </w:p>
    <w:p>
      <w:pPr>
        <w:pStyle w:val="BodyText"/>
        <w:rPr>
          <w:b/>
        </w:rPr>
      </w:pPr>
    </w:p>
    <w:p>
      <w:pPr>
        <w:pStyle w:val="BodyText"/>
        <w:spacing w:before="5"/>
        <w:rPr>
          <w:b/>
          <w:sz w:val="34"/>
        </w:rPr>
      </w:pPr>
    </w:p>
    <w:p>
      <w:pPr>
        <w:pStyle w:val="BodyText"/>
        <w:spacing w:line="360" w:lineRule="auto"/>
        <w:ind w:left="102" w:right="118"/>
        <w:jc w:val="both"/>
      </w:pPr>
      <w:r>
        <w:rPr/>
        <w:t>Se siguieron los pasos descritos por Richardson (2006) para desarrollar un análisis de viabilidad</w:t>
      </w:r>
      <w:r>
        <w:rPr>
          <w:spacing w:val="-11"/>
        </w:rPr>
        <w:t> </w:t>
      </w:r>
      <w:r>
        <w:rPr/>
        <w:t>económica,</w:t>
      </w:r>
      <w:r>
        <w:rPr>
          <w:spacing w:val="-9"/>
        </w:rPr>
        <w:t> </w:t>
      </w:r>
      <w:r>
        <w:rPr/>
        <w:t>mediante</w:t>
      </w:r>
      <w:r>
        <w:rPr>
          <w:spacing w:val="-12"/>
        </w:rPr>
        <w:t> </w:t>
      </w:r>
      <w:r>
        <w:rPr/>
        <w:t>modelación</w:t>
      </w:r>
      <w:r>
        <w:rPr>
          <w:spacing w:val="-11"/>
        </w:rPr>
        <w:t> </w:t>
      </w:r>
      <w:r>
        <w:rPr/>
        <w:t>tipo</w:t>
      </w:r>
      <w:r>
        <w:rPr>
          <w:spacing w:val="-11"/>
        </w:rPr>
        <w:t> </w:t>
      </w:r>
      <w:r>
        <w:rPr/>
        <w:t>Monte</w:t>
      </w:r>
      <w:r>
        <w:rPr>
          <w:spacing w:val="-11"/>
        </w:rPr>
        <w:t> </w:t>
      </w:r>
      <w:r>
        <w:rPr/>
        <w:t>Carlo.</w:t>
      </w:r>
      <w:r>
        <w:rPr>
          <w:spacing w:val="-11"/>
        </w:rPr>
        <w:t> </w:t>
      </w:r>
      <w:r>
        <w:rPr/>
        <w:t>Primero,</w:t>
      </w:r>
      <w:r>
        <w:rPr>
          <w:spacing w:val="-10"/>
        </w:rPr>
        <w:t> </w:t>
      </w:r>
      <w:r>
        <w:rPr/>
        <w:t>las</w:t>
      </w:r>
      <w:r>
        <w:rPr>
          <w:spacing w:val="-11"/>
        </w:rPr>
        <w:t> </w:t>
      </w:r>
      <w:r>
        <w:rPr/>
        <w:t>distribuciones</w:t>
      </w:r>
      <w:r>
        <w:rPr>
          <w:spacing w:val="-11"/>
        </w:rPr>
        <w:t> </w:t>
      </w:r>
      <w:r>
        <w:rPr/>
        <w:t>de probabilidad para todas las variables de riesgo fueron definidas con parámetros y validadas. Segundo, los valores de las distribuciones de probabilidad se usaron en las ecuaciones de contabilidad a calcular la producción, los ingresos, los gastos, flujos de efectivo y las variables del balance de la finca. Tercero, el modelo estocástico se completó simulando 500 iteraciones utilizando valores aleatorios para las variables de riesgo. Los resultados de las 500 muestras proporcionaron información utilizada para estimar distribuciones empíricas</w:t>
      </w:r>
      <w:r>
        <w:rPr>
          <w:spacing w:val="-35"/>
        </w:rPr>
        <w:t> </w:t>
      </w:r>
      <w:r>
        <w:rPr/>
        <w:t>de probabilidad para las variables de entrada no observables (por ejemplo, valor presente del patrimonio, el valor actual neto y de flujos de efectivo anuales), de manera que los analistas puedan evaluar la probabilidad de éxito o la viabilidad económica del sistema. En cuarto lugar, se analizaron escenarios de gestión y se presentan los resultados</w:t>
      </w:r>
      <w:r>
        <w:rPr>
          <w:spacing w:val="-9"/>
        </w:rPr>
        <w:t> </w:t>
      </w:r>
      <w:r>
        <w:rPr/>
        <w:t>finales.</w:t>
      </w:r>
    </w:p>
    <w:p>
      <w:pPr>
        <w:spacing w:after="0" w:line="360" w:lineRule="auto"/>
        <w:jc w:val="both"/>
        <w:sectPr>
          <w:pgSz w:w="12240" w:h="15840"/>
          <w:pgMar w:header="0" w:footer="657" w:top="1360" w:bottom="840" w:left="1600" w:right="1580"/>
        </w:sectPr>
      </w:pPr>
    </w:p>
    <w:p>
      <w:pPr>
        <w:pStyle w:val="Heading1"/>
      </w:pPr>
      <w:r>
        <w:rPr/>
        <w:t>Variables estocásticas</w:t>
      </w:r>
    </w:p>
    <w:p>
      <w:pPr>
        <w:pStyle w:val="BodyText"/>
        <w:rPr>
          <w:b/>
        </w:rPr>
      </w:pPr>
    </w:p>
    <w:p>
      <w:pPr>
        <w:pStyle w:val="BodyText"/>
        <w:rPr>
          <w:b/>
        </w:rPr>
      </w:pPr>
    </w:p>
    <w:p>
      <w:pPr>
        <w:pStyle w:val="BodyText"/>
        <w:spacing w:before="5"/>
        <w:rPr>
          <w:b/>
          <w:sz w:val="34"/>
        </w:rPr>
      </w:pPr>
    </w:p>
    <w:p>
      <w:pPr>
        <w:pStyle w:val="BodyText"/>
        <w:spacing w:line="360" w:lineRule="auto"/>
        <w:ind w:left="102" w:right="118"/>
        <w:jc w:val="both"/>
      </w:pPr>
      <w:r>
        <w:rPr/>
        <w:t>Las</w:t>
      </w:r>
      <w:r>
        <w:rPr>
          <w:spacing w:val="-5"/>
        </w:rPr>
        <w:t> </w:t>
      </w:r>
      <w:r>
        <w:rPr/>
        <w:t>variables</w:t>
      </w:r>
      <w:r>
        <w:rPr>
          <w:spacing w:val="-5"/>
        </w:rPr>
        <w:t> </w:t>
      </w:r>
      <w:r>
        <w:rPr/>
        <w:t>estocásticas</w:t>
      </w:r>
      <w:r>
        <w:rPr>
          <w:spacing w:val="-5"/>
        </w:rPr>
        <w:t> </w:t>
      </w:r>
      <w:r>
        <w:rPr/>
        <w:t>quedaron</w:t>
      </w:r>
      <w:r>
        <w:rPr>
          <w:spacing w:val="-6"/>
        </w:rPr>
        <w:t> </w:t>
      </w:r>
      <w:r>
        <w:rPr/>
        <w:t>determinadas</w:t>
      </w:r>
      <w:r>
        <w:rPr>
          <w:spacing w:val="-2"/>
        </w:rPr>
        <w:t> </w:t>
      </w:r>
      <w:r>
        <w:rPr/>
        <w:t>en</w:t>
      </w:r>
      <w:r>
        <w:rPr>
          <w:spacing w:val="-5"/>
        </w:rPr>
        <w:t> </w:t>
      </w:r>
      <w:r>
        <w:rPr/>
        <w:t>la</w:t>
      </w:r>
      <w:r>
        <w:rPr>
          <w:spacing w:val="-5"/>
        </w:rPr>
        <w:t> </w:t>
      </w:r>
      <w:r>
        <w:rPr/>
        <w:t>siguiente</w:t>
      </w:r>
      <w:r>
        <w:rPr>
          <w:spacing w:val="-6"/>
        </w:rPr>
        <w:t> </w:t>
      </w:r>
      <w:r>
        <w:rPr/>
        <w:t>ecuación</w:t>
      </w:r>
      <w:r>
        <w:rPr>
          <w:spacing w:val="-4"/>
        </w:rPr>
        <w:t> </w:t>
      </w:r>
      <w:r>
        <w:rPr/>
        <w:t>(Richardson</w:t>
      </w:r>
      <w:r>
        <w:rPr>
          <w:spacing w:val="-5"/>
        </w:rPr>
        <w:t> </w:t>
      </w:r>
      <w:r>
        <w:rPr/>
        <w:t>et</w:t>
      </w:r>
      <w:r>
        <w:rPr>
          <w:spacing w:val="-4"/>
        </w:rPr>
        <w:t> </w:t>
      </w:r>
      <w:r>
        <w:rPr/>
        <w:t>al. 2007a):</w:t>
      </w:r>
    </w:p>
    <w:p>
      <w:pPr>
        <w:tabs>
          <w:tab w:pos="8750" w:val="left" w:leader="none"/>
        </w:tabs>
        <w:spacing w:before="203"/>
        <w:ind w:left="3798" w:right="0" w:firstLine="0"/>
        <w:jc w:val="left"/>
        <w:rPr>
          <w:sz w:val="24"/>
        </w:rPr>
      </w:pPr>
      <w:r>
        <w:rPr>
          <w:i/>
          <w:sz w:val="24"/>
        </w:rPr>
        <w:t>Ã = Ậ</w:t>
      </w:r>
      <w:r>
        <w:rPr>
          <w:i/>
          <w:spacing w:val="-2"/>
          <w:sz w:val="24"/>
        </w:rPr>
        <w:t> </w:t>
      </w:r>
      <w:r>
        <w:rPr>
          <w:i/>
          <w:sz w:val="24"/>
        </w:rPr>
        <w:t>+ ẽ</w:t>
        <w:tab/>
      </w:r>
      <w:r>
        <w:rPr>
          <w:sz w:val="24"/>
        </w:rPr>
        <w:t>1)</w:t>
      </w:r>
    </w:p>
    <w:p>
      <w:pPr>
        <w:pStyle w:val="BodyText"/>
      </w:pPr>
    </w:p>
    <w:p>
      <w:pPr>
        <w:pStyle w:val="BodyText"/>
      </w:pPr>
    </w:p>
    <w:p>
      <w:pPr>
        <w:pStyle w:val="BodyText"/>
        <w:spacing w:line="360" w:lineRule="auto" w:before="201"/>
        <w:ind w:left="102" w:right="120"/>
        <w:jc w:val="both"/>
      </w:pPr>
      <w:r>
        <w:rPr/>
        <w:t>Donde </w:t>
      </w:r>
      <w:r>
        <w:rPr>
          <w:i/>
        </w:rPr>
        <w:t>Ã, </w:t>
      </w:r>
      <w:r>
        <w:rPr/>
        <w:t>es el componente determinista </w:t>
      </w:r>
      <w:r>
        <w:rPr>
          <w:spacing w:val="-3"/>
        </w:rPr>
        <w:t>y, </w:t>
      </w:r>
      <w:r>
        <w:rPr>
          <w:i/>
        </w:rPr>
        <w:t>ẽ, </w:t>
      </w:r>
      <w:r>
        <w:rPr/>
        <w:t>es el componente estocástico, el último de los cuales</w:t>
      </w:r>
      <w:r>
        <w:rPr>
          <w:spacing w:val="-9"/>
        </w:rPr>
        <w:t> </w:t>
      </w:r>
      <w:r>
        <w:rPr/>
        <w:t>es</w:t>
      </w:r>
      <w:r>
        <w:rPr>
          <w:spacing w:val="-11"/>
        </w:rPr>
        <w:t> </w:t>
      </w:r>
      <w:r>
        <w:rPr/>
        <w:t>pronosticado</w:t>
      </w:r>
      <w:r>
        <w:rPr>
          <w:spacing w:val="-9"/>
        </w:rPr>
        <w:t> </w:t>
      </w:r>
      <w:r>
        <w:rPr/>
        <w:t>mediante</w:t>
      </w:r>
      <w:r>
        <w:rPr>
          <w:spacing w:val="-12"/>
        </w:rPr>
        <w:t> </w:t>
      </w:r>
      <w:r>
        <w:rPr/>
        <w:t>la</w:t>
      </w:r>
      <w:r>
        <w:rPr>
          <w:spacing w:val="-9"/>
        </w:rPr>
        <w:t> </w:t>
      </w:r>
      <w:r>
        <w:rPr/>
        <w:t>simulación</w:t>
      </w:r>
      <w:r>
        <w:rPr>
          <w:spacing w:val="-11"/>
        </w:rPr>
        <w:t> </w:t>
      </w:r>
      <w:r>
        <w:rPr/>
        <w:t>de</w:t>
      </w:r>
      <w:r>
        <w:rPr>
          <w:spacing w:val="-10"/>
        </w:rPr>
        <w:t> </w:t>
      </w:r>
      <w:r>
        <w:rPr/>
        <w:t>valores</w:t>
      </w:r>
      <w:r>
        <w:rPr>
          <w:spacing w:val="-11"/>
        </w:rPr>
        <w:t> </w:t>
      </w:r>
      <w:r>
        <w:rPr/>
        <w:t>de</w:t>
      </w:r>
      <w:r>
        <w:rPr>
          <w:spacing w:val="-12"/>
        </w:rPr>
        <w:t> </w:t>
      </w:r>
      <w:r>
        <w:rPr/>
        <w:t>una</w:t>
      </w:r>
      <w:r>
        <w:rPr>
          <w:spacing w:val="-10"/>
        </w:rPr>
        <w:t> </w:t>
      </w:r>
      <w:r>
        <w:rPr/>
        <w:t>distribución</w:t>
      </w:r>
      <w:r>
        <w:rPr>
          <w:spacing w:val="-11"/>
        </w:rPr>
        <w:t> </w:t>
      </w:r>
      <w:r>
        <w:rPr/>
        <w:t>de</w:t>
      </w:r>
      <w:r>
        <w:rPr>
          <w:spacing w:val="-12"/>
        </w:rPr>
        <w:t> </w:t>
      </w:r>
      <w:r>
        <w:rPr/>
        <w:t>probabilidad basándose en datos</w:t>
      </w:r>
      <w:r>
        <w:rPr>
          <w:spacing w:val="-4"/>
        </w:rPr>
        <w:t> </w:t>
      </w:r>
      <w:r>
        <w:rPr/>
        <w:t>históricos.</w:t>
      </w:r>
    </w:p>
    <w:p>
      <w:pPr>
        <w:pStyle w:val="BodyText"/>
      </w:pPr>
    </w:p>
    <w:p>
      <w:pPr>
        <w:pStyle w:val="BodyText"/>
      </w:pPr>
    </w:p>
    <w:p>
      <w:pPr>
        <w:pStyle w:val="BodyText"/>
        <w:spacing w:before="1"/>
        <w:rPr>
          <w:sz w:val="23"/>
        </w:rPr>
      </w:pPr>
    </w:p>
    <w:p>
      <w:pPr>
        <w:pStyle w:val="BodyText"/>
        <w:spacing w:line="360" w:lineRule="auto"/>
        <w:ind w:left="102" w:right="117"/>
        <w:jc w:val="both"/>
      </w:pPr>
      <w:r>
        <w:rPr/>
        <w:t>El modelo determinista para esta investigación se compone de las siguientes variables de entrada (VE): producción por vaca (litros/año); precio de la leche ($/litro); precio de la electricidad</w:t>
      </w:r>
      <w:r>
        <w:rPr>
          <w:spacing w:val="-15"/>
        </w:rPr>
        <w:t> </w:t>
      </w:r>
      <w:r>
        <w:rPr/>
        <w:t>($/kwt);</w:t>
      </w:r>
      <w:r>
        <w:rPr>
          <w:spacing w:val="-12"/>
        </w:rPr>
        <w:t> </w:t>
      </w:r>
      <w:r>
        <w:rPr/>
        <w:t>precio</w:t>
      </w:r>
      <w:r>
        <w:rPr>
          <w:spacing w:val="-14"/>
        </w:rPr>
        <w:t> </w:t>
      </w:r>
      <w:r>
        <w:rPr/>
        <w:t>de</w:t>
      </w:r>
      <w:r>
        <w:rPr>
          <w:spacing w:val="-15"/>
        </w:rPr>
        <w:t> </w:t>
      </w:r>
      <w:r>
        <w:rPr/>
        <w:t>la</w:t>
      </w:r>
      <w:r>
        <w:rPr>
          <w:spacing w:val="-17"/>
        </w:rPr>
        <w:t> </w:t>
      </w:r>
      <w:r>
        <w:rPr/>
        <w:t>cuota</w:t>
      </w:r>
      <w:r>
        <w:rPr>
          <w:spacing w:val="-15"/>
        </w:rPr>
        <w:t> </w:t>
      </w:r>
      <w:r>
        <w:rPr/>
        <w:t>agua</w:t>
      </w:r>
      <w:r>
        <w:rPr>
          <w:spacing w:val="-15"/>
        </w:rPr>
        <w:t> </w:t>
      </w:r>
      <w:r>
        <w:rPr/>
        <w:t>($/años);</w:t>
      </w:r>
      <w:r>
        <w:rPr>
          <w:spacing w:val="-14"/>
        </w:rPr>
        <w:t> </w:t>
      </w:r>
      <w:r>
        <w:rPr/>
        <w:t>precio</w:t>
      </w:r>
      <w:r>
        <w:rPr>
          <w:spacing w:val="-14"/>
        </w:rPr>
        <w:t> </w:t>
      </w:r>
      <w:r>
        <w:rPr/>
        <w:t>de</w:t>
      </w:r>
      <w:r>
        <w:rPr>
          <w:spacing w:val="-15"/>
        </w:rPr>
        <w:t> </w:t>
      </w:r>
      <w:r>
        <w:rPr/>
        <w:t>vacas</w:t>
      </w:r>
      <w:r>
        <w:rPr>
          <w:spacing w:val="-14"/>
        </w:rPr>
        <w:t> </w:t>
      </w:r>
      <w:r>
        <w:rPr/>
        <w:t>de</w:t>
      </w:r>
      <w:r>
        <w:rPr>
          <w:spacing w:val="-15"/>
        </w:rPr>
        <w:t> </w:t>
      </w:r>
      <w:r>
        <w:rPr/>
        <w:t>desecho,</w:t>
      </w:r>
      <w:r>
        <w:rPr>
          <w:spacing w:val="-14"/>
        </w:rPr>
        <w:t> </w:t>
      </w:r>
      <w:r>
        <w:rPr/>
        <w:t>reemplazos comprados y vendidos ($/kg); precio de fertilizantes ($/ton); precio de las semillas de maíz, alfalfa y avena ($/kg); tasa de cambio para salarios e impuestos y</w:t>
      </w:r>
      <w:r>
        <w:rPr>
          <w:spacing w:val="-14"/>
        </w:rPr>
        <w:t> </w:t>
      </w:r>
      <w:r>
        <w:rPr/>
        <w:t>subvenciones.</w:t>
      </w:r>
    </w:p>
    <w:p>
      <w:pPr>
        <w:pStyle w:val="BodyText"/>
      </w:pPr>
    </w:p>
    <w:p>
      <w:pPr>
        <w:pStyle w:val="BodyText"/>
        <w:spacing w:line="360" w:lineRule="auto" w:before="143"/>
        <w:ind w:left="102" w:right="114"/>
        <w:jc w:val="both"/>
      </w:pPr>
      <w:r>
        <w:rPr/>
        <w:t>Una</w:t>
      </w:r>
      <w:r>
        <w:rPr>
          <w:spacing w:val="-12"/>
        </w:rPr>
        <w:t> </w:t>
      </w:r>
      <w:r>
        <w:rPr/>
        <w:t>vez</w:t>
      </w:r>
      <w:r>
        <w:rPr>
          <w:spacing w:val="-10"/>
        </w:rPr>
        <w:t> </w:t>
      </w:r>
      <w:r>
        <w:rPr/>
        <w:t>identificadas</w:t>
      </w:r>
      <w:r>
        <w:rPr>
          <w:spacing w:val="-11"/>
        </w:rPr>
        <w:t> </w:t>
      </w:r>
      <w:r>
        <w:rPr/>
        <w:t>las</w:t>
      </w:r>
      <w:r>
        <w:rPr>
          <w:spacing w:val="-9"/>
        </w:rPr>
        <w:t> </w:t>
      </w:r>
      <w:r>
        <w:rPr/>
        <w:t>VE,</w:t>
      </w:r>
      <w:r>
        <w:rPr>
          <w:spacing w:val="-11"/>
        </w:rPr>
        <w:t> </w:t>
      </w:r>
      <w:r>
        <w:rPr/>
        <w:t>se</w:t>
      </w:r>
      <w:r>
        <w:rPr>
          <w:spacing w:val="-9"/>
        </w:rPr>
        <w:t> </w:t>
      </w:r>
      <w:r>
        <w:rPr/>
        <w:t>generó</w:t>
      </w:r>
      <w:r>
        <w:rPr>
          <w:spacing w:val="-9"/>
        </w:rPr>
        <w:t> </w:t>
      </w:r>
      <w:r>
        <w:rPr/>
        <w:t>el</w:t>
      </w:r>
      <w:r>
        <w:rPr>
          <w:spacing w:val="-11"/>
        </w:rPr>
        <w:t> </w:t>
      </w:r>
      <w:r>
        <w:rPr/>
        <w:t>componente</w:t>
      </w:r>
      <w:r>
        <w:rPr>
          <w:spacing w:val="-11"/>
        </w:rPr>
        <w:t> </w:t>
      </w:r>
      <w:r>
        <w:rPr/>
        <w:t>estocástico</w:t>
      </w:r>
      <w:r>
        <w:rPr>
          <w:spacing w:val="-11"/>
        </w:rPr>
        <w:t> </w:t>
      </w:r>
      <w:r>
        <w:rPr/>
        <w:t>del</w:t>
      </w:r>
      <w:r>
        <w:rPr>
          <w:spacing w:val="-11"/>
        </w:rPr>
        <w:t> </w:t>
      </w:r>
      <w:r>
        <w:rPr/>
        <w:t>modelo</w:t>
      </w:r>
      <w:r>
        <w:rPr>
          <w:spacing w:val="-11"/>
        </w:rPr>
        <w:t> </w:t>
      </w:r>
      <w:r>
        <w:rPr/>
        <w:t>utilizando</w:t>
      </w:r>
      <w:r>
        <w:rPr>
          <w:spacing w:val="-11"/>
        </w:rPr>
        <w:t> </w:t>
      </w:r>
      <w:r>
        <w:rPr/>
        <w:t>una distribución multivariante empírica (Richardson et al., 2000). Para la UPR8 la simulación consideró 500 iteraciones, </w:t>
      </w:r>
      <w:r>
        <w:rPr>
          <w:spacing w:val="-3"/>
        </w:rPr>
        <w:t>ya </w:t>
      </w:r>
      <w:r>
        <w:rPr/>
        <w:t>que este número mostró una tendencia hacia la normal estándar.</w:t>
      </w:r>
    </w:p>
    <w:p>
      <w:pPr>
        <w:pStyle w:val="BodyText"/>
      </w:pPr>
    </w:p>
    <w:p>
      <w:pPr>
        <w:pStyle w:val="BodyText"/>
      </w:pPr>
    </w:p>
    <w:p>
      <w:pPr>
        <w:pStyle w:val="BodyText"/>
        <w:spacing w:before="6"/>
        <w:rPr>
          <w:sz w:val="23"/>
        </w:rPr>
      </w:pPr>
    </w:p>
    <w:p>
      <w:pPr>
        <w:pStyle w:val="Heading1"/>
        <w:spacing w:before="0"/>
      </w:pPr>
      <w:r>
        <w:rPr/>
        <w:t>Modelo financiero</w:t>
      </w:r>
    </w:p>
    <w:p>
      <w:pPr>
        <w:pStyle w:val="BodyText"/>
        <w:rPr>
          <w:b/>
        </w:rPr>
      </w:pPr>
    </w:p>
    <w:p>
      <w:pPr>
        <w:pStyle w:val="BodyText"/>
        <w:rPr>
          <w:b/>
        </w:rPr>
      </w:pPr>
    </w:p>
    <w:p>
      <w:pPr>
        <w:pStyle w:val="BodyText"/>
        <w:spacing w:before="5"/>
        <w:rPr>
          <w:b/>
          <w:sz w:val="34"/>
        </w:rPr>
      </w:pPr>
    </w:p>
    <w:p>
      <w:pPr>
        <w:pStyle w:val="BodyText"/>
        <w:spacing w:line="360" w:lineRule="auto"/>
        <w:ind w:left="102" w:right="116"/>
        <w:jc w:val="both"/>
      </w:pPr>
      <w:r>
        <w:rPr/>
        <w:t>El modelo financiero, que de acuerdo con Richardson y Mapp (1976), Gill et al., (2003) y Richardson et al., (2007b) analiza la viabilidad económica mediante el criterio de un VAN positivo. En simulación tipo Monte Carlo se registra un "uno" para las iteraciones cuando la</w:t>
      </w:r>
    </w:p>
    <w:p>
      <w:pPr>
        <w:spacing w:after="0" w:line="360" w:lineRule="auto"/>
        <w:jc w:val="both"/>
        <w:sectPr>
          <w:footerReference w:type="default" r:id="rId125"/>
          <w:pgSz w:w="12240" w:h="15840"/>
          <w:pgMar w:footer="657" w:header="0" w:top="1360" w:bottom="840" w:left="1600" w:right="1580"/>
          <w:pgNumType w:start="150"/>
        </w:sectPr>
      </w:pPr>
    </w:p>
    <w:p>
      <w:pPr>
        <w:pStyle w:val="BodyText"/>
        <w:spacing w:line="360" w:lineRule="auto" w:before="50"/>
        <w:ind w:left="102" w:right="120"/>
        <w:jc w:val="both"/>
      </w:pPr>
      <w:r>
        <w:rPr/>
        <w:t>URP8 tiene un impacto positivo en el VAN y un "cero" en caso contrario. La probabilidad de éxito económico se calcula como la suma de los "unos" en la variable del contador VAN dividido por el número de iteraciones. La TRA también fue utilizada para determinar la capacidad económica de los activos en generar un retorno positivo y la probabilidad de descapitalización de la URP8 durante el horizonte de planeación. Las fórmulas utilizadas para estimar las variables de salida del modelo financiero son:</w:t>
      </w:r>
    </w:p>
    <w:p>
      <w:pPr>
        <w:pStyle w:val="BodyText"/>
      </w:pPr>
    </w:p>
    <w:p>
      <w:pPr>
        <w:pStyle w:val="BodyText"/>
      </w:pPr>
    </w:p>
    <w:p>
      <w:pPr>
        <w:pStyle w:val="BodyText"/>
        <w:rPr>
          <w:sz w:val="23"/>
        </w:rPr>
      </w:pPr>
    </w:p>
    <w:p>
      <w:pPr>
        <w:pStyle w:val="BodyText"/>
        <w:tabs>
          <w:tab w:pos="8745" w:val="left" w:leader="none"/>
        </w:tabs>
        <w:spacing w:line="345" w:lineRule="auto"/>
        <w:ind w:left="102" w:right="114"/>
        <w:jc w:val="both"/>
      </w:pPr>
      <w:r>
        <w:rPr>
          <w:b/>
          <w:position w:val="2"/>
        </w:rPr>
        <w:t>VAN </w:t>
      </w:r>
      <w:r>
        <w:rPr>
          <w:position w:val="2"/>
        </w:rPr>
        <w:t>= -Valor actual del capital neto real + </w:t>
      </w:r>
      <w:r>
        <w:rPr>
          <w:i/>
          <w:position w:val="2"/>
        </w:rPr>
        <w:t>Σ </w:t>
      </w:r>
      <w:r>
        <w:rPr>
          <w:position w:val="2"/>
        </w:rPr>
        <w:t>(Valor de ingresos familiares</w:t>
      </w:r>
      <w:r>
        <w:rPr>
          <w:sz w:val="16"/>
        </w:rPr>
        <w:t>i </w:t>
      </w:r>
      <w:r>
        <w:rPr>
          <w:position w:val="2"/>
        </w:rPr>
        <w:t>+ ΔCapital neto inicial</w:t>
      </w:r>
      <w:r>
        <w:rPr>
          <w:sz w:val="16"/>
        </w:rPr>
        <w:t>i</w:t>
      </w:r>
      <w:r>
        <w:rPr>
          <w:position w:val="2"/>
        </w:rPr>
        <w:t>)/</w:t>
      </w:r>
      <w:r>
        <w:rPr>
          <w:spacing w:val="30"/>
          <w:position w:val="2"/>
        </w:rPr>
        <w:t> </w:t>
      </w:r>
      <w:r>
        <w:rPr>
          <w:position w:val="2"/>
        </w:rPr>
        <w:t>(0.10)^</w:t>
      </w:r>
      <w:r>
        <w:rPr>
          <w:position w:val="11"/>
          <w:sz w:val="16"/>
        </w:rPr>
        <w:t>10</w:t>
        <w:tab/>
      </w:r>
      <w:r>
        <w:rPr>
          <w:spacing w:val="-1"/>
          <w:position w:val="2"/>
        </w:rPr>
        <w:t>2)</w:t>
      </w:r>
    </w:p>
    <w:p>
      <w:pPr>
        <w:pStyle w:val="BodyText"/>
        <w:spacing w:before="210"/>
        <w:ind w:left="102"/>
        <w:jc w:val="both"/>
      </w:pPr>
      <w:r>
        <w:rPr/>
        <w:t>Donde:</w:t>
      </w:r>
    </w:p>
    <w:p>
      <w:pPr>
        <w:pStyle w:val="BodyText"/>
        <w:rPr>
          <w:sz w:val="28"/>
        </w:rPr>
      </w:pPr>
    </w:p>
    <w:p>
      <w:pPr>
        <w:tabs>
          <w:tab w:pos="8738" w:val="left" w:leader="none"/>
        </w:tabs>
        <w:spacing w:before="0"/>
        <w:ind w:left="102" w:right="0" w:firstLine="0"/>
        <w:jc w:val="both"/>
        <w:rPr>
          <w:sz w:val="24"/>
        </w:rPr>
      </w:pPr>
      <w:r>
        <w:rPr>
          <w:b/>
          <w:position w:val="2"/>
          <w:sz w:val="24"/>
        </w:rPr>
        <w:t>Valor</w:t>
      </w:r>
      <w:r>
        <w:rPr>
          <w:b/>
          <w:spacing w:val="-12"/>
          <w:position w:val="2"/>
          <w:sz w:val="24"/>
        </w:rPr>
        <w:t> </w:t>
      </w:r>
      <w:r>
        <w:rPr>
          <w:b/>
          <w:position w:val="2"/>
          <w:sz w:val="24"/>
        </w:rPr>
        <w:t>actual</w:t>
      </w:r>
      <w:r>
        <w:rPr>
          <w:b/>
          <w:spacing w:val="-10"/>
          <w:position w:val="2"/>
          <w:sz w:val="24"/>
        </w:rPr>
        <w:t> </w:t>
      </w:r>
      <w:r>
        <w:rPr>
          <w:b/>
          <w:position w:val="2"/>
          <w:sz w:val="24"/>
        </w:rPr>
        <w:t>del</w:t>
      </w:r>
      <w:r>
        <w:rPr>
          <w:b/>
          <w:spacing w:val="-11"/>
          <w:position w:val="2"/>
          <w:sz w:val="24"/>
        </w:rPr>
        <w:t> </w:t>
      </w:r>
      <w:r>
        <w:rPr>
          <w:b/>
          <w:position w:val="2"/>
          <w:sz w:val="24"/>
        </w:rPr>
        <w:t>capital</w:t>
      </w:r>
      <w:r>
        <w:rPr>
          <w:b/>
          <w:spacing w:val="-8"/>
          <w:position w:val="2"/>
          <w:sz w:val="24"/>
        </w:rPr>
        <w:t> </w:t>
      </w:r>
      <w:r>
        <w:rPr>
          <w:b/>
          <w:position w:val="2"/>
          <w:sz w:val="24"/>
        </w:rPr>
        <w:t>neto</w:t>
      </w:r>
      <w:r>
        <w:rPr>
          <w:b/>
          <w:spacing w:val="-12"/>
          <w:position w:val="2"/>
          <w:sz w:val="24"/>
        </w:rPr>
        <w:t> </w:t>
      </w:r>
      <w:r>
        <w:rPr>
          <w:b/>
          <w:position w:val="2"/>
          <w:sz w:val="24"/>
        </w:rPr>
        <w:t>real</w:t>
      </w:r>
      <w:r>
        <w:rPr>
          <w:position w:val="2"/>
          <w:sz w:val="24"/>
        </w:rPr>
        <w:t>=</w:t>
      </w:r>
      <w:r>
        <w:rPr>
          <w:spacing w:val="-12"/>
          <w:position w:val="2"/>
          <w:sz w:val="24"/>
        </w:rPr>
        <w:t> </w:t>
      </w:r>
      <w:r>
        <w:rPr>
          <w:position w:val="2"/>
          <w:sz w:val="24"/>
        </w:rPr>
        <w:t>Valor</w:t>
      </w:r>
      <w:r>
        <w:rPr>
          <w:spacing w:val="-9"/>
          <w:position w:val="2"/>
          <w:sz w:val="24"/>
        </w:rPr>
        <w:t> </w:t>
      </w:r>
      <w:r>
        <w:rPr>
          <w:position w:val="2"/>
          <w:sz w:val="24"/>
        </w:rPr>
        <w:t>actual</w:t>
      </w:r>
      <w:r>
        <w:rPr>
          <w:spacing w:val="-11"/>
          <w:position w:val="2"/>
          <w:sz w:val="24"/>
        </w:rPr>
        <w:t> </w:t>
      </w:r>
      <w:r>
        <w:rPr>
          <w:position w:val="2"/>
          <w:sz w:val="24"/>
        </w:rPr>
        <w:t>del</w:t>
      </w:r>
      <w:r>
        <w:rPr>
          <w:spacing w:val="-11"/>
          <w:position w:val="2"/>
          <w:sz w:val="24"/>
        </w:rPr>
        <w:t> </w:t>
      </w:r>
      <w:r>
        <w:rPr>
          <w:position w:val="2"/>
          <w:sz w:val="24"/>
        </w:rPr>
        <w:t>capital</w:t>
      </w:r>
      <w:r>
        <w:rPr>
          <w:spacing w:val="-8"/>
          <w:position w:val="2"/>
          <w:sz w:val="24"/>
        </w:rPr>
        <w:t> </w:t>
      </w:r>
      <w:r>
        <w:rPr>
          <w:position w:val="2"/>
          <w:sz w:val="24"/>
        </w:rPr>
        <w:t>neto</w:t>
      </w:r>
      <w:r>
        <w:rPr>
          <w:spacing w:val="-11"/>
          <w:position w:val="2"/>
          <w:sz w:val="24"/>
        </w:rPr>
        <w:t> </w:t>
      </w:r>
      <w:r>
        <w:rPr>
          <w:position w:val="2"/>
          <w:sz w:val="24"/>
        </w:rPr>
        <w:t>real</w:t>
      </w:r>
      <w:r>
        <w:rPr>
          <w:sz w:val="16"/>
        </w:rPr>
        <w:t>10</w:t>
      </w:r>
      <w:r>
        <w:rPr>
          <w:position w:val="2"/>
          <w:sz w:val="24"/>
        </w:rPr>
        <w:t>/(1+0.10)^</w:t>
      </w:r>
      <w:r>
        <w:rPr>
          <w:position w:val="11"/>
          <w:sz w:val="16"/>
        </w:rPr>
        <w:t>t.n</w:t>
        <w:tab/>
      </w:r>
      <w:r>
        <w:rPr>
          <w:position w:val="2"/>
          <w:sz w:val="24"/>
        </w:rPr>
        <w:t>3)</w:t>
      </w:r>
    </w:p>
    <w:p>
      <w:pPr>
        <w:pStyle w:val="BodyText"/>
        <w:rPr>
          <w:sz w:val="29"/>
        </w:rPr>
      </w:pPr>
    </w:p>
    <w:p>
      <w:pPr>
        <w:spacing w:before="0"/>
        <w:ind w:left="102" w:right="0" w:firstLine="0"/>
        <w:jc w:val="both"/>
        <w:rPr>
          <w:sz w:val="24"/>
        </w:rPr>
      </w:pPr>
      <w:r>
        <w:rPr>
          <w:b/>
          <w:sz w:val="24"/>
        </w:rPr>
        <w:t>Ingresos familiares</w:t>
      </w:r>
      <w:r>
        <w:rPr>
          <w:sz w:val="24"/>
        </w:rPr>
        <w:t>= </w:t>
      </w:r>
      <w:r>
        <w:rPr>
          <w:i/>
          <w:sz w:val="24"/>
        </w:rPr>
        <w:t>Σ </w:t>
      </w:r>
      <w:r>
        <w:rPr>
          <w:sz w:val="24"/>
        </w:rPr>
        <w:t>del valor actual de los ingresos familiares, donde;</w:t>
      </w:r>
    </w:p>
    <w:p>
      <w:pPr>
        <w:pStyle w:val="BodyText"/>
        <w:spacing w:before="1"/>
        <w:rPr>
          <w:sz w:val="28"/>
        </w:rPr>
      </w:pPr>
    </w:p>
    <w:p>
      <w:pPr>
        <w:pStyle w:val="BodyText"/>
        <w:tabs>
          <w:tab w:pos="8738" w:val="left" w:leader="none"/>
        </w:tabs>
        <w:ind w:left="102"/>
        <w:jc w:val="both"/>
      </w:pPr>
      <w:r>
        <w:rPr/>
        <w:t>Ingresos</w:t>
      </w:r>
      <w:r>
        <w:rPr>
          <w:spacing w:val="-16"/>
        </w:rPr>
        <w:t> </w:t>
      </w:r>
      <w:r>
        <w:rPr/>
        <w:t>familiares=</w:t>
      </w:r>
      <w:r>
        <w:rPr>
          <w:spacing w:val="-15"/>
        </w:rPr>
        <w:t> </w:t>
      </w:r>
      <w:r>
        <w:rPr/>
        <w:t>Retiros</w:t>
      </w:r>
      <w:r>
        <w:rPr>
          <w:spacing w:val="-17"/>
        </w:rPr>
        <w:t> </w:t>
      </w:r>
      <w:r>
        <w:rPr/>
        <w:t>familiares/(1</w:t>
      </w:r>
      <w:r>
        <w:rPr>
          <w:spacing w:val="-15"/>
        </w:rPr>
        <w:t> </w:t>
      </w:r>
      <w:r>
        <w:rPr/>
        <w:t>+</w:t>
      </w:r>
      <w:r>
        <w:rPr>
          <w:spacing w:val="-16"/>
        </w:rPr>
        <w:t> </w:t>
      </w:r>
      <w:r>
        <w:rPr/>
        <w:t>0.10)^</w:t>
      </w:r>
      <w:r>
        <w:rPr>
          <w:position w:val="9"/>
          <w:sz w:val="16"/>
        </w:rPr>
        <w:t>t.n</w:t>
        <w:tab/>
      </w:r>
      <w:r>
        <w:rPr/>
        <w:t>4)</w:t>
      </w:r>
    </w:p>
    <w:p>
      <w:pPr>
        <w:pStyle w:val="BodyText"/>
        <w:spacing w:before="5"/>
        <w:rPr>
          <w:sz w:val="29"/>
        </w:rPr>
      </w:pPr>
    </w:p>
    <w:p>
      <w:pPr>
        <w:pStyle w:val="BodyText"/>
        <w:tabs>
          <w:tab w:pos="8737" w:val="left" w:leader="none"/>
        </w:tabs>
        <w:spacing w:line="360" w:lineRule="auto"/>
        <w:ind w:left="102" w:right="116"/>
        <w:jc w:val="both"/>
      </w:pPr>
      <w:r>
        <w:rPr>
          <w:b/>
        </w:rPr>
        <w:t>Tasa de retorno sobre activos</w:t>
      </w:r>
      <w:r>
        <w:rPr/>
        <w:t>= Ingreso neto de la URP + </w:t>
      </w:r>
      <w:r>
        <w:rPr>
          <w:i/>
        </w:rPr>
        <w:t>Σ </w:t>
      </w:r>
      <w:r>
        <w:rPr/>
        <w:t>(Intereses de crédito a largo plazo + Intereses de crédito a mediano plazo + Intereses de crédito a corto plazo + Créditos pasados</w:t>
      </w:r>
      <w:r>
        <w:rPr>
          <w:spacing w:val="-16"/>
        </w:rPr>
        <w:t> </w:t>
      </w:r>
      <w:r>
        <w:rPr/>
        <w:t>pendientes)</w:t>
      </w:r>
      <w:r>
        <w:rPr>
          <w:spacing w:val="-16"/>
        </w:rPr>
        <w:t> </w:t>
      </w:r>
      <w:r>
        <w:rPr/>
        <w:t>/</w:t>
      </w:r>
      <w:r>
        <w:rPr>
          <w:spacing w:val="-15"/>
        </w:rPr>
        <w:t> </w:t>
      </w:r>
      <w:r>
        <w:rPr/>
        <w:t>Activos</w:t>
      </w:r>
      <w:r>
        <w:rPr>
          <w:spacing w:val="-14"/>
        </w:rPr>
        <w:t> </w:t>
      </w:r>
      <w:r>
        <w:rPr/>
        <w:t>totales</w:t>
        <w:tab/>
        <w:t>5)</w:t>
      </w:r>
    </w:p>
    <w:p>
      <w:pPr>
        <w:pStyle w:val="BodyText"/>
        <w:tabs>
          <w:tab w:pos="8738" w:val="left" w:leader="none"/>
        </w:tabs>
        <w:spacing w:line="360" w:lineRule="auto" w:before="190"/>
        <w:ind w:left="102" w:right="117"/>
        <w:jc w:val="both"/>
      </w:pPr>
      <w:r>
        <w:rPr>
          <w:b/>
        </w:rPr>
        <w:t>Costo</w:t>
      </w:r>
      <w:r>
        <w:rPr>
          <w:b/>
          <w:spacing w:val="-13"/>
        </w:rPr>
        <w:t> </w:t>
      </w:r>
      <w:r>
        <w:rPr>
          <w:b/>
        </w:rPr>
        <w:t>beneficio</w:t>
      </w:r>
      <w:r>
        <w:rPr/>
        <w:t>=</w:t>
      </w:r>
      <w:r>
        <w:rPr>
          <w:spacing w:val="-14"/>
        </w:rPr>
        <w:t> </w:t>
      </w:r>
      <w:r>
        <w:rPr/>
        <w:t>Capital</w:t>
      </w:r>
      <w:r>
        <w:rPr>
          <w:spacing w:val="-11"/>
        </w:rPr>
        <w:t> </w:t>
      </w:r>
      <w:r>
        <w:rPr/>
        <w:t>neto</w:t>
      </w:r>
      <w:r>
        <w:rPr>
          <w:spacing w:val="-13"/>
        </w:rPr>
        <w:t> </w:t>
      </w:r>
      <w:r>
        <w:rPr/>
        <w:t>inicial</w:t>
      </w:r>
      <w:r>
        <w:rPr>
          <w:spacing w:val="-13"/>
        </w:rPr>
        <w:t> </w:t>
      </w:r>
      <w:r>
        <w:rPr/>
        <w:t>/</w:t>
      </w:r>
      <w:r>
        <w:rPr>
          <w:spacing w:val="-11"/>
        </w:rPr>
        <w:t> </w:t>
      </w:r>
      <w:r>
        <w:rPr/>
        <w:t>(</w:t>
      </w:r>
      <w:r>
        <w:rPr>
          <w:i/>
        </w:rPr>
        <w:t>Σ</w:t>
      </w:r>
      <w:r>
        <w:rPr>
          <w:i/>
          <w:spacing w:val="-12"/>
        </w:rPr>
        <w:t> </w:t>
      </w:r>
      <w:r>
        <w:rPr/>
        <w:t>del</w:t>
      </w:r>
      <w:r>
        <w:rPr>
          <w:spacing w:val="-13"/>
        </w:rPr>
        <w:t> </w:t>
      </w:r>
      <w:r>
        <w:rPr/>
        <w:t>valor</w:t>
      </w:r>
      <w:r>
        <w:rPr>
          <w:spacing w:val="-11"/>
        </w:rPr>
        <w:t> </w:t>
      </w:r>
      <w:r>
        <w:rPr/>
        <w:t>actual</w:t>
      </w:r>
      <w:r>
        <w:rPr>
          <w:spacing w:val="-13"/>
        </w:rPr>
        <w:t> </w:t>
      </w:r>
      <w:r>
        <w:rPr/>
        <w:t>de</w:t>
      </w:r>
      <w:r>
        <w:rPr>
          <w:spacing w:val="-14"/>
        </w:rPr>
        <w:t> </w:t>
      </w:r>
      <w:r>
        <w:rPr/>
        <w:t>los</w:t>
      </w:r>
      <w:r>
        <w:rPr>
          <w:spacing w:val="-13"/>
        </w:rPr>
        <w:t> </w:t>
      </w:r>
      <w:r>
        <w:rPr/>
        <w:t>ingresos</w:t>
      </w:r>
      <w:r>
        <w:rPr>
          <w:spacing w:val="-11"/>
        </w:rPr>
        <w:t> </w:t>
      </w:r>
      <w:r>
        <w:rPr/>
        <w:t>familiares)</w:t>
      </w:r>
      <w:r>
        <w:rPr>
          <w:position w:val="9"/>
          <w:sz w:val="16"/>
        </w:rPr>
        <w:t>n</w:t>
      </w:r>
      <w:r>
        <w:rPr>
          <w:spacing w:val="8"/>
          <w:position w:val="9"/>
          <w:sz w:val="16"/>
        </w:rPr>
        <w:t> </w:t>
      </w:r>
      <w:r>
        <w:rPr/>
        <w:t>+</w:t>
      </w:r>
      <w:r>
        <w:rPr>
          <w:spacing w:val="-14"/>
        </w:rPr>
        <w:t> </w:t>
      </w:r>
      <w:r>
        <w:rPr/>
        <w:t>Valor actual del capital</w:t>
      </w:r>
      <w:r>
        <w:rPr>
          <w:spacing w:val="-45"/>
        </w:rPr>
        <w:t> </w:t>
      </w:r>
      <w:r>
        <w:rPr/>
        <w:t>neto</w:t>
      </w:r>
      <w:r>
        <w:rPr>
          <w:spacing w:val="-15"/>
        </w:rPr>
        <w:t> </w:t>
      </w:r>
      <w:r>
        <w:rPr/>
        <w:t>real</w:t>
        <w:tab/>
        <w:t>6)</w:t>
      </w:r>
    </w:p>
    <w:p>
      <w:pPr>
        <w:pStyle w:val="BodyText"/>
        <w:spacing w:before="205"/>
        <w:ind w:left="102"/>
        <w:jc w:val="both"/>
      </w:pPr>
      <w:r>
        <w:rPr/>
        <w:t>Donde:</w:t>
      </w:r>
    </w:p>
    <w:p>
      <w:pPr>
        <w:pStyle w:val="BodyText"/>
        <w:spacing w:before="1"/>
        <w:rPr>
          <w:sz w:val="28"/>
        </w:rPr>
      </w:pPr>
    </w:p>
    <w:p>
      <w:pPr>
        <w:spacing w:before="0"/>
        <w:ind w:left="102" w:right="0" w:firstLine="0"/>
        <w:jc w:val="both"/>
        <w:rPr>
          <w:sz w:val="24"/>
        </w:rPr>
      </w:pPr>
      <w:r>
        <w:rPr>
          <w:b/>
          <w:sz w:val="24"/>
        </w:rPr>
        <w:t>Valor actual de los ingresos familiares</w:t>
      </w:r>
      <w:r>
        <w:rPr>
          <w:sz w:val="24"/>
        </w:rPr>
        <w:t>= Retiro en efectivo de los familiares/(1+.10)^</w:t>
      </w:r>
      <w:r>
        <w:rPr>
          <w:position w:val="9"/>
          <w:sz w:val="16"/>
        </w:rPr>
        <w:t>t.n  </w:t>
      </w:r>
      <w:r>
        <w:rPr>
          <w:sz w:val="24"/>
        </w:rPr>
        <w:t>7)</w:t>
      </w:r>
    </w:p>
    <w:p>
      <w:pPr>
        <w:spacing w:after="0"/>
        <w:jc w:val="both"/>
        <w:rPr>
          <w:sz w:val="24"/>
        </w:rPr>
        <w:sectPr>
          <w:pgSz w:w="12240" w:h="15840"/>
          <w:pgMar w:header="0" w:footer="657" w:top="1360" w:bottom="840" w:left="1600" w:right="1580"/>
        </w:sectPr>
      </w:pPr>
    </w:p>
    <w:p>
      <w:pPr>
        <w:pStyle w:val="Heading1"/>
      </w:pPr>
      <w:r>
        <w:rPr/>
        <w:t>Viabilidad económica</w:t>
      </w:r>
    </w:p>
    <w:p>
      <w:pPr>
        <w:pStyle w:val="BodyText"/>
        <w:rPr>
          <w:b/>
        </w:rPr>
      </w:pPr>
    </w:p>
    <w:p>
      <w:pPr>
        <w:pStyle w:val="BodyText"/>
        <w:rPr>
          <w:b/>
        </w:rPr>
      </w:pPr>
    </w:p>
    <w:p>
      <w:pPr>
        <w:pStyle w:val="BodyText"/>
        <w:spacing w:before="5"/>
        <w:rPr>
          <w:b/>
          <w:sz w:val="34"/>
        </w:rPr>
      </w:pPr>
    </w:p>
    <w:p>
      <w:pPr>
        <w:pStyle w:val="BodyText"/>
        <w:spacing w:line="360" w:lineRule="auto"/>
        <w:ind w:left="102" w:right="119"/>
        <w:jc w:val="both"/>
      </w:pPr>
      <w:r>
        <w:rPr/>
        <w:t>La viabilidad económica representa la probabilidad de que los ingresos netos en efectivo y de descapitalización sean negativos, si la probabilidad promedio de ambos es menor de 25.0% se considera una situación económica favorable, si es mayor a 25.0% pero menor a 50.0% se considera una situación precautoria y mayor de 50.0% desfavorable.</w:t>
      </w:r>
    </w:p>
    <w:p>
      <w:pPr>
        <w:pStyle w:val="BodyText"/>
      </w:pPr>
    </w:p>
    <w:p>
      <w:pPr>
        <w:pStyle w:val="BodyText"/>
      </w:pPr>
    </w:p>
    <w:p>
      <w:pPr>
        <w:pStyle w:val="BodyText"/>
        <w:spacing w:before="1"/>
        <w:rPr>
          <w:sz w:val="23"/>
        </w:rPr>
      </w:pPr>
    </w:p>
    <w:p>
      <w:pPr>
        <w:pStyle w:val="BodyText"/>
        <w:spacing w:line="360" w:lineRule="auto"/>
        <w:ind w:left="102" w:right="119"/>
        <w:jc w:val="both"/>
      </w:pPr>
      <w:r>
        <w:rPr/>
        <w:t>Se analizaron dos modelos para determinar la viabilidad económica y financiera, así como, cuantificar los efectos económicos en el tiempo del costo atribuido al insumo MOF de una URP8 en lechería de pequeña escala. Los modelos consideraron: 1) el costo económico de los insumos de producción; y 2) la proyección estocástica descontando el costo económico del insumo MOF.</w:t>
      </w:r>
    </w:p>
    <w:p>
      <w:pPr>
        <w:pStyle w:val="BodyText"/>
      </w:pPr>
    </w:p>
    <w:p>
      <w:pPr>
        <w:pStyle w:val="BodyText"/>
      </w:pPr>
    </w:p>
    <w:p>
      <w:pPr>
        <w:pStyle w:val="BodyText"/>
        <w:spacing w:before="8"/>
        <w:rPr>
          <w:sz w:val="23"/>
        </w:rPr>
      </w:pPr>
    </w:p>
    <w:p>
      <w:pPr>
        <w:pStyle w:val="Heading1"/>
        <w:spacing w:before="0"/>
      </w:pPr>
      <w:r>
        <w:rPr/>
        <w:t>RESULTADOS</w:t>
      </w:r>
    </w:p>
    <w:p>
      <w:pPr>
        <w:pStyle w:val="BodyText"/>
        <w:rPr>
          <w:b/>
        </w:rPr>
      </w:pPr>
    </w:p>
    <w:p>
      <w:pPr>
        <w:pStyle w:val="BodyText"/>
        <w:rPr>
          <w:b/>
        </w:rPr>
      </w:pPr>
    </w:p>
    <w:p>
      <w:pPr>
        <w:pStyle w:val="BodyText"/>
        <w:spacing w:before="3"/>
        <w:rPr>
          <w:b/>
          <w:sz w:val="34"/>
        </w:rPr>
      </w:pPr>
    </w:p>
    <w:p>
      <w:pPr>
        <w:pStyle w:val="BodyText"/>
        <w:spacing w:line="360" w:lineRule="auto"/>
        <w:ind w:left="102" w:right="114"/>
        <w:jc w:val="both"/>
      </w:pPr>
      <w:r>
        <w:rPr/>
        <w:t>En la figura 1, se muestra la FPA de la URP8 para los Ingresos netos en efectivo (INE). La FPA</w:t>
      </w:r>
      <w:r>
        <w:rPr>
          <w:spacing w:val="-12"/>
        </w:rPr>
        <w:t> </w:t>
      </w:r>
      <w:r>
        <w:rPr/>
        <w:t>en</w:t>
      </w:r>
      <w:r>
        <w:rPr>
          <w:spacing w:val="-11"/>
        </w:rPr>
        <w:t> </w:t>
      </w:r>
      <w:r>
        <w:rPr/>
        <w:t>el</w:t>
      </w:r>
      <w:r>
        <w:rPr>
          <w:spacing w:val="-11"/>
        </w:rPr>
        <w:t> </w:t>
      </w:r>
      <w:r>
        <w:rPr/>
        <w:t>modelo</w:t>
      </w:r>
      <w:r>
        <w:rPr>
          <w:spacing w:val="-11"/>
        </w:rPr>
        <w:t> </w:t>
      </w:r>
      <w:r>
        <w:rPr/>
        <w:t>1,</w:t>
      </w:r>
      <w:r>
        <w:rPr>
          <w:spacing w:val="-11"/>
        </w:rPr>
        <w:t> </w:t>
      </w:r>
      <w:r>
        <w:rPr/>
        <w:t>muestra</w:t>
      </w:r>
      <w:r>
        <w:rPr>
          <w:spacing w:val="-12"/>
        </w:rPr>
        <w:t> </w:t>
      </w:r>
      <w:r>
        <w:rPr/>
        <w:t>un</w:t>
      </w:r>
      <w:r>
        <w:rPr>
          <w:spacing w:val="-11"/>
        </w:rPr>
        <w:t> </w:t>
      </w:r>
      <w:r>
        <w:rPr/>
        <w:t>mínimo</w:t>
      </w:r>
      <w:r>
        <w:rPr>
          <w:spacing w:val="-11"/>
        </w:rPr>
        <w:t> </w:t>
      </w:r>
      <w:r>
        <w:rPr/>
        <w:t>de</w:t>
      </w:r>
      <w:r>
        <w:rPr>
          <w:spacing w:val="-11"/>
        </w:rPr>
        <w:t> </w:t>
      </w:r>
      <w:r>
        <w:rPr/>
        <w:t>$-107.91</w:t>
      </w:r>
      <w:r>
        <w:rPr>
          <w:spacing w:val="-11"/>
        </w:rPr>
        <w:t> </w:t>
      </w:r>
      <w:r>
        <w:rPr/>
        <w:t>a</w:t>
      </w:r>
      <w:r>
        <w:rPr>
          <w:spacing w:val="-12"/>
        </w:rPr>
        <w:t> </w:t>
      </w:r>
      <w:r>
        <w:rPr/>
        <w:t>un</w:t>
      </w:r>
      <w:r>
        <w:rPr>
          <w:spacing w:val="-11"/>
        </w:rPr>
        <w:t> </w:t>
      </w:r>
      <w:r>
        <w:rPr/>
        <w:t>máximo</w:t>
      </w:r>
      <w:r>
        <w:rPr>
          <w:spacing w:val="-11"/>
        </w:rPr>
        <w:t> </w:t>
      </w:r>
      <w:r>
        <w:rPr/>
        <w:t>de</w:t>
      </w:r>
      <w:r>
        <w:rPr>
          <w:spacing w:val="-12"/>
        </w:rPr>
        <w:t> </w:t>
      </w:r>
      <w:r>
        <w:rPr/>
        <w:t>$249.03</w:t>
      </w:r>
      <w:r>
        <w:rPr>
          <w:spacing w:val="-11"/>
        </w:rPr>
        <w:t> </w:t>
      </w:r>
      <w:r>
        <w:rPr/>
        <w:t>miles</w:t>
      </w:r>
      <w:r>
        <w:rPr>
          <w:spacing w:val="-11"/>
        </w:rPr>
        <w:t> </w:t>
      </w:r>
      <w:r>
        <w:rPr/>
        <w:t>de</w:t>
      </w:r>
      <w:r>
        <w:rPr>
          <w:spacing w:val="-12"/>
        </w:rPr>
        <w:t> </w:t>
      </w:r>
      <w:r>
        <w:rPr/>
        <w:t>pesos anuales, y una probabilidad del 90.0% de obtener un INE positivo ($50,470.00 pesos). Así mismo, el valor medio del INE fue de $115.00 mil pesos durante el horizonte de planeación 2010-2019, es decir, más del 50.0% de los gastos ($58,000 pesos anuales) utilizados para la manutención</w:t>
      </w:r>
      <w:r>
        <w:rPr>
          <w:spacing w:val="-12"/>
        </w:rPr>
        <w:t> </w:t>
      </w:r>
      <w:r>
        <w:rPr/>
        <w:t>del</w:t>
      </w:r>
      <w:r>
        <w:rPr>
          <w:spacing w:val="-10"/>
        </w:rPr>
        <w:t> </w:t>
      </w:r>
      <w:r>
        <w:rPr/>
        <w:t>núcleo</w:t>
      </w:r>
      <w:r>
        <w:rPr>
          <w:spacing w:val="-11"/>
        </w:rPr>
        <w:t> </w:t>
      </w:r>
      <w:r>
        <w:rPr/>
        <w:t>familiar.</w:t>
      </w:r>
      <w:r>
        <w:rPr>
          <w:spacing w:val="-13"/>
        </w:rPr>
        <w:t> </w:t>
      </w:r>
      <w:r>
        <w:rPr/>
        <w:t>El</w:t>
      </w:r>
      <w:r>
        <w:rPr>
          <w:spacing w:val="-12"/>
        </w:rPr>
        <w:t> </w:t>
      </w:r>
      <w:r>
        <w:rPr/>
        <w:t>modelo</w:t>
      </w:r>
      <w:r>
        <w:rPr>
          <w:spacing w:val="-13"/>
        </w:rPr>
        <w:t> </w:t>
      </w:r>
      <w:r>
        <w:rPr/>
        <w:t>2,</w:t>
      </w:r>
      <w:r>
        <w:rPr>
          <w:spacing w:val="-10"/>
        </w:rPr>
        <w:t> </w:t>
      </w:r>
      <w:r>
        <w:rPr/>
        <w:t>mostró</w:t>
      </w:r>
      <w:r>
        <w:rPr>
          <w:spacing w:val="-13"/>
        </w:rPr>
        <w:t> </w:t>
      </w:r>
      <w:r>
        <w:rPr/>
        <w:t>una</w:t>
      </w:r>
      <w:r>
        <w:rPr>
          <w:spacing w:val="-11"/>
        </w:rPr>
        <w:t> </w:t>
      </w:r>
      <w:r>
        <w:rPr/>
        <w:t>FPA</w:t>
      </w:r>
      <w:r>
        <w:rPr>
          <w:spacing w:val="-13"/>
        </w:rPr>
        <w:t> </w:t>
      </w:r>
      <w:r>
        <w:rPr/>
        <w:t>mínima</w:t>
      </w:r>
      <w:r>
        <w:rPr>
          <w:spacing w:val="-13"/>
        </w:rPr>
        <w:t> </w:t>
      </w:r>
      <w:r>
        <w:rPr/>
        <w:t>de</w:t>
      </w:r>
      <w:r>
        <w:rPr>
          <w:spacing w:val="-13"/>
        </w:rPr>
        <w:t> </w:t>
      </w:r>
      <w:r>
        <w:rPr/>
        <w:t>$-62.30</w:t>
      </w:r>
      <w:r>
        <w:rPr>
          <w:spacing w:val="-8"/>
        </w:rPr>
        <w:t> </w:t>
      </w:r>
      <w:r>
        <w:rPr/>
        <w:t>y</w:t>
      </w:r>
      <w:r>
        <w:rPr>
          <w:spacing w:val="-17"/>
        </w:rPr>
        <w:t> </w:t>
      </w:r>
      <w:r>
        <w:rPr/>
        <w:t>máxima de</w:t>
      </w:r>
      <w:r>
        <w:rPr>
          <w:spacing w:val="-7"/>
        </w:rPr>
        <w:t> </w:t>
      </w:r>
      <w:r>
        <w:rPr/>
        <w:t>$276.27</w:t>
      </w:r>
      <w:r>
        <w:rPr>
          <w:spacing w:val="-6"/>
        </w:rPr>
        <w:t> </w:t>
      </w:r>
      <w:r>
        <w:rPr/>
        <w:t>miles</w:t>
      </w:r>
      <w:r>
        <w:rPr>
          <w:spacing w:val="-7"/>
        </w:rPr>
        <w:t> </w:t>
      </w:r>
      <w:r>
        <w:rPr/>
        <w:t>de</w:t>
      </w:r>
      <w:r>
        <w:rPr>
          <w:spacing w:val="-7"/>
        </w:rPr>
        <w:t> </w:t>
      </w:r>
      <w:r>
        <w:rPr/>
        <w:t>pesos.</w:t>
      </w:r>
      <w:r>
        <w:rPr>
          <w:spacing w:val="-4"/>
        </w:rPr>
        <w:t> </w:t>
      </w:r>
      <w:r>
        <w:rPr/>
        <w:t>La</w:t>
      </w:r>
      <w:r>
        <w:rPr>
          <w:spacing w:val="-7"/>
        </w:rPr>
        <w:t> </w:t>
      </w:r>
      <w:r>
        <w:rPr/>
        <w:t>media</w:t>
      </w:r>
      <w:r>
        <w:rPr>
          <w:spacing w:val="-5"/>
        </w:rPr>
        <w:t> </w:t>
      </w:r>
      <w:r>
        <w:rPr/>
        <w:t>del</w:t>
      </w:r>
      <w:r>
        <w:rPr>
          <w:spacing w:val="-1"/>
        </w:rPr>
        <w:t> </w:t>
      </w:r>
      <w:r>
        <w:rPr/>
        <w:t>INE</w:t>
      </w:r>
      <w:r>
        <w:rPr>
          <w:spacing w:val="-7"/>
        </w:rPr>
        <w:t> </w:t>
      </w:r>
      <w:r>
        <w:rPr/>
        <w:t>durante</w:t>
      </w:r>
      <w:r>
        <w:rPr>
          <w:spacing w:val="-7"/>
        </w:rPr>
        <w:t> </w:t>
      </w:r>
      <w:r>
        <w:rPr/>
        <w:t>el</w:t>
      </w:r>
      <w:r>
        <w:rPr>
          <w:spacing w:val="-6"/>
        </w:rPr>
        <w:t> </w:t>
      </w:r>
      <w:r>
        <w:rPr/>
        <w:t>horizonte</w:t>
      </w:r>
      <w:r>
        <w:rPr>
          <w:spacing w:val="-7"/>
        </w:rPr>
        <w:t> </w:t>
      </w:r>
      <w:r>
        <w:rPr/>
        <w:t>de</w:t>
      </w:r>
      <w:r>
        <w:rPr>
          <w:spacing w:val="-5"/>
        </w:rPr>
        <w:t> </w:t>
      </w:r>
      <w:r>
        <w:rPr/>
        <w:t>planeación</w:t>
      </w:r>
      <w:r>
        <w:rPr>
          <w:spacing w:val="-6"/>
        </w:rPr>
        <w:t> </w:t>
      </w:r>
      <w:r>
        <w:rPr/>
        <w:t>aumentó</w:t>
      </w:r>
      <w:r>
        <w:rPr>
          <w:spacing w:val="-6"/>
        </w:rPr>
        <w:t> </w:t>
      </w:r>
      <w:r>
        <w:rPr/>
        <w:t>de 115 a 145 mil pesos, con un crecimiento de 26.0%. Este comportamiento demuestra la importancia del valor económico que se atribuye al insumo MOF de la URP8 y se observa en un desplazamiento de la FPA positivamente en el mediano y largo</w:t>
      </w:r>
      <w:r>
        <w:rPr>
          <w:spacing w:val="-12"/>
        </w:rPr>
        <w:t> </w:t>
      </w:r>
      <w:r>
        <w:rPr/>
        <w:t>plazo.</w:t>
      </w:r>
    </w:p>
    <w:p>
      <w:pPr>
        <w:spacing w:after="0" w:line="360" w:lineRule="auto"/>
        <w:jc w:val="both"/>
        <w:sectPr>
          <w:pgSz w:w="12240" w:h="15840"/>
          <w:pgMar w:header="0" w:footer="657" w:top="1360" w:bottom="840" w:left="1600" w:right="1580"/>
        </w:sectPr>
      </w:pPr>
    </w:p>
    <w:p>
      <w:pPr>
        <w:pStyle w:val="BodyText"/>
        <w:spacing w:before="50"/>
        <w:ind w:left="923" w:right="1135"/>
      </w:pPr>
      <w:r>
        <w:rPr/>
        <w:pict>
          <v:group style="position:absolute;margin-left:84.830002pt;margin-top:25.213154pt;width:441.4pt;height:184.6pt;mso-position-horizontal-relative:page;mso-position-vertical-relative:paragraph;z-index:5224" coordorigin="1697,504" coordsize="8828,3692">
            <v:shape style="position:absolute;left:2126;top:730;width:3389;height:2662" coordorigin="2126,730" coordsize="3389,2662" path="m2126,3392l5515,3392m2126,3096l5515,3096m2126,2801l5515,2801m2126,2506l5515,2506m2126,2211l5515,2211m2126,1913l5515,1913m2196,1618l5515,1618m2196,1323l5515,1323m2196,1028l5515,1028m2126,730l5515,730e" filled="false" stroked="true" strokeweight=".72pt" strokecolor="#c0c0c0">
              <v:path arrowok="t"/>
            </v:shape>
            <v:shape style="position:absolute;left:2126;top:730;width:3389;height:3017" coordorigin="2126,730" coordsize="3389,3017" path="m3482,3689l3482,730m3422,3689l3482,3689m3422,3392l3482,3392m3422,3096l3482,3096m3422,2801l3482,2801m3422,2506l3482,2506m3422,2211l3482,2211m3422,1913l3482,1913m3422,1618l3482,1618m3422,1323l3482,1323m3422,1028l3482,1028m3422,730l3482,730m2126,3689l5515,3689m2126,3689l2126,3747m2806,3689l2806,3747m3482,3689l3482,3747m4159,3689l4159,3747m4838,3689l4838,3747m5515,3689l5515,3747e" filled="false" stroked="true" strokeweight=".72pt" strokecolor="#858585">
              <v:path arrowok="t"/>
            </v:shape>
            <v:shape style="position:absolute;left:2752;top:731;width:2420;height:2957" coordorigin="2752,731" coordsize="2420,2957" path="m2752,3688l2793,3687,2833,3685,2875,3684,2919,3682,2971,3681,3028,3679,3082,3678,3122,3676,3136,3675,3147,3673,3156,3671,3163,3670,3180,3669,3200,3667,3219,3666,3233,3664,3238,3664,3241,3659,3242,3658,3243,3656,3243,3654,3244,3652,3245,3652,3246,3647,3250,3647,3267,3645,3291,3644,3315,3642,3334,3641,3344,3639,3346,3636,3354,3635,3368,3633,3385,3632,3403,3630,3416,3629,3423,3628,3424,3624,3428,3623,3484,3614,3496,3613,3505,3611,3510,3610,3513,3606,3514,3605,3517,3603,3517,3601,3521,3599,3524,3597,3531,3595,3534,3593,3537,3591,3536,3589,3540,3587,3543,3585,3546,3583,3553,3581,3561,3579,3582,3577,3588,3575,3590,3574,3586,3570,3588,3569,3591,3568,3606,3566,3610,3564,3613,3562,3612,3559,3614,3558,3616,3556,3621,3554,3623,3552,3625,3550,3624,3548,3628,3546,3632,3544,3641,3542,3646,3540,3651,3538,3654,3536,3656,3534,3659,3532,3660,3530,3663,3528,3667,3526,3675,3524,3679,3522,3682,3520,3681,3518,3685,3516,3689,3514,3701,3512,3704,3510,3707,3509,3705,3506,3707,3504,3711,3502,3720,3500,3725,3498,3730,3496,3734,3494,3738,3492,3742,3490,3745,3489,3748,3487,3750,3485,3749,3483,3753,3481,3756,3479,3765,3477,3768,3475,3772,3473,3773,3471,3774,3469,3776,3467,3777,3465,3778,3463,3779,3461,3781,3459,3782,3457,3783,3455,3783,3453,3784,3451,3784,3449,3784,3447,3785,3445,3785,3443,3786,3441,3786,3439,3786,3437,3785,3435,3787,3433,3788,3431,3793,3429,3796,3427,3799,3425,3802,3423,3804,3421,3806,3419,3806,3417,3807,3415,3808,3413,3808,3411,3811,3410,3814,3408,3822,3406,3825,3404,3828,3402,3829,3400,3830,3398,3831,3396,3828,3394,3830,3392,3832,3390,3840,3388,3842,3386,3844,3384,3843,3382,3844,3380,3852,3370,3853,3368,3854,3366,3852,3364,3854,3362,3856,3360,3864,3358,3866,3356,3868,3354,3865,3352,3867,3350,3868,3348,3873,3346,3875,3344,3876,3342,3875,3340,3877,3338,3879,3336,3884,3334,3886,3332,3888,3330,3888,3329,3889,3327,3890,3325,3891,3323,3893,3321,3894,3319,3896,3317,3897,3315,3898,3313,3895,3310,3897,3309,3900,3307,3910,3305,3914,3303,3917,3301,3917,3299,3918,3297,3919,3295,3920,3293,3920,3291,3921,3289,3918,3287,3920,3285,3923,3283,3932,3281,3935,3279,3938,3277,3939,3275,3939,3273,3940,3271,3939,3269,3940,3267,3940,3265,3942,3263,3943,3261,3943,3259,3944,3257,3944,3255,3944,3253,3944,3251,3944,3250,3944,3248,3945,3246,3945,3244,3945,3242,3946,3240,3947,3238,3947,3236,3946,3234,3947,3232,3948,3230,3953,3228,3954,3226,3956,3224,3954,3222,3954,3220,3955,3218,3954,3216,3955,3214,3955,3212,3957,3210,3957,3208,3957,3206,3957,3204,3957,3202,3962,3192,3962,3190,3963,3188,3962,3186,3963,3184,3969,3174,3970,3172,3970,3171,3970,3169,3970,3167,3971,3165,3971,3163,3972,3161,3973,3159,3973,3157,3974,3155,3975,3153,3975,3151,3976,3149,3976,3147,3978,3145,3979,3143,3980,3141,3981,3139,3982,3137,3982,3135,3982,3133,3983,3131,3983,3129,3984,3127,3985,3125,3985,3123,3986,3121,3986,3119,3987,3117,3987,3115,3988,3113,3988,3111,3988,3109,3988,3107,3989,3105,3988,3103,3990,3101,3991,3099,3997,3097,3998,3095,4000,3093,3999,3092,3999,3090,4000,3088,4000,3086,4000,3084,4001,3082,4002,3080,4002,3078,4003,3076,4004,3074,4004,3072,4005,3070,4005,3068,4005,3066,4005,3064,4004,3062,4005,3060,4006,3058,4009,3056,4011,3054,4012,3052,4012,3050,4013,3048,4014,3046,4014,3044,4015,3042,4016,3040,4019,3038,4021,3036,4022,3034,4023,3032,4024,3030,4026,3028,4027,3026,4028,3024,4028,3022,4028,3020,4029,3018,4029,3016,4031,3014,4031,3012,4031,3011,4031,3009,4031,3007,4032,3005,4032,3003,4033,3001,4034,2999,4036,2997,4038,2995,4039,2993,4039,2991,4040,2989,4041,2987,4043,2985,4043,2983,4044,2981,4044,2979,4045,2977,4045,2975,4045,2973,4045,2971,4045,2969,4045,2967,4045,2965,4046,2963,4046,2961,4047,2959,4047,2957,4046,2955,4047,2953,4048,2951,4050,2949,4051,2947,4052,2945,4052,2943,4052,2941,4052,2939,4052,2937,4052,2935,4053,2933,4055,2932,4056,2930,4057,2928,4057,2926,4058,2924,4060,2922,4064,2920,4065,2918,4066,2916,4066,2914,4066,2912,4067,2910,4068,2908,4068,2906,4068,2904,4068,2902,4068,2900,4068,2898,4068,2896,4068,2894,4068,2892,4068,2890,4069,2888,4070,2886,4071,2884,4073,2882,4074,2880,4076,2878,4077,2876,4077,2874,4077,2872,4077,2870,4077,2868,4077,2866,4077,2864,4077,2862,4077,2860,4077,2858,4078,2856,4078,2854,4078,2853,4078,2851,4079,2849,4079,2847,4080,2845,4081,2843,4081,2841,4082,2839,4083,2837,4083,2835,4083,2833,4082,2831,4083,2829,4083,2827,4085,2825,4086,2823,4086,2821,4086,2819,4087,2817,4088,2815,4090,2813,4091,2811,4092,2809,4090,2807,4091,2805,4092,2803,4097,2801,4099,2799,4101,2797,4100,2795,4101,2793,4102,2791,4105,2789,4106,2787,4107,2785,4107,2783,4107,2781,4108,2779,4108,2777,4109,2775,4110,2774,4112,2772,4113,2770,4114,2768,4113,2766,4114,2764,4115,2762,4117,2760,4118,2758,4119,2756,4119,2754,4121,2752,4122,2750,4124,2748,4126,2746,4128,2744,4129,2742,4130,2740,4131,2738,4130,2736,4130,2734,4130,2732,4131,2730,4131,2728,4131,2726,4130,2724,4131,2722,4132,2720,4134,2718,4134,2716,4135,2714,4134,2712,4135,2710,4135,2708,4137,2706,4138,2704,4139,2702,4140,2700,4141,2698,4142,2696,4144,2694,4145,2693,4145,2691,4146,2689,4146,2687,4146,2685,4146,2683,4146,2681,4146,2679,4146,2677,4147,2675,4147,2673,4149,2671,4149,2669,4149,2667,4148,2665,4149,2663,4149,2661,4150,2659,4152,2657,4154,2655,4159,2653,4161,2651,4163,2649,4162,2647,4162,2645,4163,2643,4162,2641,4163,2639,4163,2637,4166,2635,4167,2633,4168,2631,4168,2629,4168,2627,4168,2625,4169,2623,4169,2621,4170,2619,4170,2617,4170,2615,4170,2614,4170,2612,4171,2610,4171,2608,4172,2606,4173,2604,4174,2602,4175,2600,4176,2598,4177,2596,4178,2594,4179,2592,4179,2590,4180,2588,4181,2586,4181,2584,4181,2582,4181,2580,4182,2578,4183,2576,4184,2574,4184,2572,4184,2570,4184,2568,4185,2566,4185,2564,4186,2562,4186,2560,4186,2558,4186,2556,4187,2554,4186,2552,4187,2550,4187,2548,4189,2546,4190,2544,4190,2542,4189,2540,4190,2538,4190,2536,4191,2535,4192,2533,4192,2531,4192,2529,4193,2527,4194,2525,4195,2523,4195,2521,4196,2519,4197,2517,4197,2515,4198,2513,4198,2511,4198,2509,4198,2507,4199,2505,4200,2503,4200,2501,4200,2499,4200,2497,4201,2495,4202,2493,4202,2491,4203,2489,4202,2487,4203,2485,4203,2483,4206,2481,4207,2479,4208,2477,4207,2475,4207,2473,4208,2471,4209,2469,4209,2467,4209,2465,4210,2463,4210,2461,4210,2459,4209,2457,4210,2456,4210,2454,4210,2452,4211,2450,4211,2448,4211,2446,4212,2444,4212,2442,4212,2440,4212,2438,4212,2436,4212,2434,4212,2432,4213,2430,4215,2428,4216,2426,4216,2424,4216,2422,4217,2420,4217,2418,4217,2416,4218,2414,4218,2412,4218,2410,4219,2408,4220,2406,4222,2404,4223,2402,4223,2400,4224,2398,4224,2396,4224,2394,4224,2392,4224,2390,4225,2388,4226,2386,4227,2384,4227,2382,4227,2380,4228,2378,4228,2376,4229,2375,4229,2373,4230,2371,4230,2369,4231,2367,4231,2365,4232,2363,4233,2361,4233,2359,4234,2357,4234,2355,4235,2353,4235,2351,4235,2349,4235,2347,4235,2345,4235,2343,4235,2341,4235,2339,4235,2337,4236,2335,4238,2333,4239,2331,4239,2329,4239,2327,4239,2325,4239,2323,4239,2321,4239,2319,4239,2317,4239,2315,4239,2313,4239,2311,4240,2309,4240,2307,4240,2305,4241,2303,4242,2301,4242,2299,4244,2297,4244,2296,4245,2294,4246,2292,4246,2290,4246,2288,4246,2286,4246,2284,4247,2282,4246,2280,4247,2278,4247,2276,4250,2274,4250,2272,4251,2270,4250,2268,4250,2266,4250,2264,4250,2262,4250,2260,4250,2258,4250,2256,4250,2254,4251,2252,4255,2250,4256,2248,4256,2246,4256,2244,4256,2242,4261,2232,4261,2230,4262,2228,4262,2226,4262,2224,4262,2222,4263,2220,4263,2218,4263,2217,4263,2215,4264,2213,4264,2211,4264,2209,4264,2207,4264,2205,4265,2203,4266,2201,4267,2199,4270,2197,4271,2195,4272,2193,4271,2191,4272,2189,4272,2187,4273,2185,4273,2183,4274,2181,4275,2179,4275,2177,4276,2175,4275,2173,4275,2171,4276,2169,4275,2167,4276,2165,4276,2163,4278,2161,4279,2159,4280,2157,4280,2155,4280,2153,4280,2151,4280,2149,4280,2147,4281,2145,4283,2143,4283,2141,4284,2139,4283,2138,4284,2136,4284,2134,4285,2132,4286,2130,4286,2128,4286,2126,4287,2124,4287,2122,4287,2120,4288,2118,4288,2116,4289,2114,4290,2112,4290,2110,4289,2108,4290,2106,4290,2104,4292,2102,4293,2100,4294,2098,4294,2096,4296,2094,4297,2092,4300,2090,4301,2088,4301,2086,4300,2084,4301,2082,4301,2080,4302,2078,4303,2076,4304,2074,4305,2072,4306,2070,4307,2068,4306,2066,4307,2064,4308,2062,4309,2060,4310,2059,4311,2057,4310,2055,4310,2053,4311,2051,4311,2049,4311,2047,4311,2045,4310,2043,4311,2041,4312,2039,4315,2037,4316,2035,4317,2033,4316,2031,4316,2029,4316,2027,4316,2025,4317,2023,4318,2021,4321,2019,4322,2017,4323,2015,4322,2013,4322,2011,4323,2009,4326,2007,4327,2005,4328,2003,4328,2001,4328,1999,4328,1997,4328,1995,4328,1993,4329,1991,4330,1989,4331,1987,4333,1985,4335,1983,4337,1981,4338,1979,4338,1978,4339,1976,4340,1974,4342,1972,4343,1970,4344,1968,4343,1966,4343,1964,4343,1962,4345,1960,4345,1958,4346,1956,4346,1954,4346,1952,4347,1950,4348,1948,4348,1946,4349,1944,4349,1942,4350,1940,4350,1938,4350,1936,4350,1934,4352,1924,4353,1922,4354,1920,4354,1918,4354,1916,4355,1914,4354,1912,4355,1910,4356,1908,4359,1906,4360,1904,4362,1902,4361,1900,4361,1899,4361,1897,4362,1895,4362,1893,4362,1891,4362,1889,4362,1887,4363,1885,4364,1883,4364,1881,4365,1879,4365,1877,4365,1875,4365,1873,4366,1871,4367,1869,4367,1867,4366,1865,4367,1863,4368,1861,4371,1859,4372,1857,4373,1855,4372,1853,4373,1851,4373,1849,4374,1847,4375,1845,4376,1843,4376,1841,4378,1839,4379,1837,4382,1835,4383,1833,4384,1831,4382,1829,4383,1827,4384,1825,4385,1823,4386,1821,4387,1820,4388,1818,4389,1816,4390,1814,4391,1812,4391,1810,4391,1808,4391,1806,4391,1804,4391,1802,4391,1800,4391,1798,4392,1796,4394,1794,4395,1792,4395,1790,4394,1788,4395,1786,4395,1784,4395,1782,4397,1780,4398,1778,4401,1776,4403,1774,4406,1772,4409,1770,4411,1768,4412,1766,4412,1764,4412,1762,4413,1760,4413,1758,4413,1756,4414,1754,4415,1752,4416,1750,4416,1748,4415,1746,4417,1744,4418,1742,4422,1741,4423,1739,4424,1737,4423,1735,4423,1733,4423,1731,4423,1729,4423,1727,4423,1725,4423,1723,4424,1721,4424,1719,4424,1717,4425,1715,4426,1713,4427,1711,4427,1709,4428,1707,4428,1705,4428,1703,4429,1701,4428,1699,4429,1697,4429,1695,4432,1693,4433,1691,4434,1689,4433,1687,4434,1685,4434,1683,4436,1681,4436,1679,4437,1677,4438,1675,4438,1673,4438,1671,4438,1669,4438,1667,4438,1665,4440,1663,4440,1661,4440,1660,4440,1658,4441,1656,4441,1654,4443,1652,4443,1650,4444,1648,4444,1646,4444,1644,4444,1642,4444,1640,4444,1638,4445,1636,4445,1634,4446,1632,4446,1630,4446,1628,4447,1626,4448,1624,4451,1622,4453,1620,4455,1618,4457,1616,4458,1614,4460,1612,4461,1610,4463,1608,4466,1606,4472,1604,4474,1602,4476,1600,4474,1598,4475,1596,4475,1594,4476,1592,4477,1590,4478,1588,4480,1586,4480,1584,4481,1582,4481,1581,4481,1579,4482,1577,4482,1575,4483,1573,4483,1571,4484,1569,4485,1567,4485,1565,4485,1563,4486,1561,4486,1559,4487,1557,4488,1555,4488,1553,4487,1551,4488,1549,4488,1547,4490,1545,4490,1543,4491,1541,4491,1539,4491,1537,4491,1535,4492,1533,4492,1531,4492,1529,4493,1527,4493,1525,4494,1523,4496,1521,4496,1519,4497,1517,4495,1515,4496,1513,4497,1511,4501,1509,4503,1507,4504,1505,4505,1503,4505,1502,4506,1500,4505,1498,4506,1496,4506,1494,4506,1492,4506,1490,4507,1488,4507,1486,4507,1484,4508,1482,4510,1480,4510,1478,4511,1476,4511,1474,4511,1472,4512,1470,4511,1468,4511,1466,4512,1464,4511,1462,4512,1460,4512,1458,4514,1456,4514,1454,4515,1452,4515,1450,4515,1448,4515,1446,4516,1444,4516,1442,4516,1440,4516,1438,4516,1436,4516,1434,4515,1432,4516,1430,4518,1428,4523,1426,4525,1424,4526,1423,4527,1421,4527,1419,4528,1417,4527,1415,4528,1413,4529,1411,4530,1409,4531,1407,4531,1405,4531,1403,4531,1401,4531,1399,4531,1397,4532,1395,4532,1393,4532,1391,4533,1389,4534,1387,4535,1385,4536,1383,4537,1381,4538,1379,4539,1377,4541,1375,4544,1373,4545,1371,4546,1369,4544,1367,4545,1365,4546,1363,4549,1361,4550,1359,4551,1357,4550,1355,4550,1353,4550,1351,4550,1349,4551,1347,4551,1345,4552,1343,4553,1342,4555,1340,4558,1338,4559,1336,4560,1334,4558,1332,4559,1330,4559,1328,4561,1326,4562,1324,4562,1322,4561,1320,4562,1318,4563,1316,4567,1314,4569,1312,4570,1310,4570,1308,4570,1306,4571,1304,4571,1302,4571,1300,4572,1298,4572,1296,4572,1294,4573,1292,4573,1290,4574,1288,4574,1286,4574,1284,4575,1282,4575,1280,4575,1278,4575,1276,4575,1274,4575,1272,4575,1270,4575,1268,4576,1266,4576,1264,4577,1263,4576,1261,4577,1259,4577,1257,4580,1255,4580,1253,4581,1251,4580,1249,4581,1247,4581,1245,4581,1243,4581,1241,4582,1239,4584,1237,4584,1235,4585,1233,4585,1231,4585,1229,4585,1227,4585,1225,4585,1223,4585,1221,4586,1219,4586,1217,4586,1215,4587,1213,4587,1211,4587,1209,4588,1207,4588,1205,4588,1203,4588,1201,4589,1199,4590,1197,4591,1195,4592,1193,4594,1191,4595,1189,4596,1187,4597,1185,4597,1184,4598,1182,4600,1180,4602,1178,4603,1176,4604,1174,4604,1172,4604,1170,4605,1168,4606,1166,4606,1164,4607,1162,4607,1160,4608,1158,4608,1156,4608,1154,4608,1152,4609,1150,4609,1148,4610,1146,4611,1144,4613,1142,4614,1140,4616,1138,4617,1136,4619,1134,4620,1132,4619,1130,4621,1128,4622,1126,4626,1124,4628,1122,4630,1120,4630,1118,4631,1116,4632,1114,4635,1112,4636,1110,4637,1108,4638,1106,4638,1105,4639,1103,4637,1101,4639,1099,4640,1097,4646,1095,4647,1093,4649,1091,4646,1089,4647,1087,4648,1085,4652,1083,4653,1081,4654,1079,4654,1077,4654,1075,4654,1073,4654,1071,4654,1069,4655,1067,4655,1065,4656,1063,4656,1061,4656,1059,4656,1057,4656,1055,4655,1053,4656,1051,4657,1049,4661,1047,4662,1045,4664,1043,4662,1041,4664,1039,4666,1037,4671,1035,4673,1033,4676,1031,4676,1029,4678,1027,4679,1025,4682,1024,4683,1022,4684,1020,4682,1017,4685,1016,4687,1014,4697,1012,4700,1010,4703,1008,4702,1006,4703,1004,4704,1002,4704,1000,4705,998,4706,996,4708,994,4708,992,4709,990,4708,988,4709,986,4710,984,4713,982,4714,980,4715,978,4715,976,4715,974,4716,972,4715,970,4717,968,4718,966,4723,964,4725,962,4727,960,4728,958,4729,956,4730,954,4730,952,4731,950,4731,948,4732,946,4733,945,4733,943,4733,941,4735,939,4737,937,4742,935,4744,933,4746,931,4746,929,4748,927,4749,925,4753,923,4754,921,4756,919,4756,917,4758,915,4760,913,4766,911,4768,909,4769,907,4768,905,4768,903,4768,901,4768,899,4769,897,4770,895,4771,893,4775,891,4778,889,4784,887,4788,885,4791,883,4792,881,4796,879,4801,877,4811,875,4816,873,4821,871,4822,869,4824,867,4826,866,4826,864,4827,862,4829,860,4833,858,4834,856,4836,854,4834,852,4835,850,4836,848,4836,846,4839,844,4843,842,4853,840,4857,838,4860,836,4857,834,4859,832,4862,830,4871,828,4875,826,4879,824,4881,822,4884,820,4887,818,4889,816,4890,814,4892,812,4892,810,4895,808,4897,806,4903,804,4907,802,4910,800,4913,798,4915,796,4918,794,4921,792,4923,790,4924,788,4923,787,4924,785,4924,783,4926,781,4927,779,4929,777,4930,775,4932,773,4934,771,4936,769,4939,767,4943,765,4947,763,4954,761,4960,759,4966,757,4977,755,4987,754,4999,752,5011,751,5023,749,5088,742,5119,739,5132,737,5149,735,5158,733,5171,731e" filled="false" stroked="true" strokeweight="3pt" strokecolor="#000000">
              <v:path arrowok="t"/>
            </v:shape>
            <v:rect style="position:absolute;left:1702;top:509;width:4279;height:3682" filled="false" stroked="true" strokeweight=".48pt" strokecolor="#000000"/>
            <v:shape style="position:absolute;left:6497;top:730;width:3653;height:2693" coordorigin="6497,730" coordsize="3653,2693" path="m6497,3423l10150,3423m6497,3123l10150,3123m6497,2825l10150,2825m6497,2525l10150,2525m6497,2225l10150,2225m6497,1928l10150,1928m6497,1628l10063,1628m6497,1328l10063,1328m6497,1030l10063,1030m6497,730l10063,730e" filled="false" stroked="true" strokeweight=".72pt" strokecolor="#c0c0c0">
              <v:path arrowok="t"/>
            </v:shape>
            <v:shape style="position:absolute;left:6497;top:730;width:3653;height:3051" coordorigin="6497,730" coordsize="3653,3051" path="m7409,3720l7409,730m7351,3720l7409,3720m7351,3423l7409,3423m7351,3123l7409,3123m7351,2825l7409,2825m7351,2525l7409,2525m7351,2225l7409,2225m7351,1928l7409,1928m7351,1628l7409,1628m7351,1328l7409,1328m7351,1030l7409,1030m7351,730l7409,730m6497,3720l10150,3720m6497,3720l6497,3780m7409,3720l7409,3780m8323,3720l8323,3780m9238,3720l9238,3780m10150,3720l10150,3780e" filled="false" stroked="true" strokeweight=".72pt" strokecolor="#858585">
              <v:path arrowok="t"/>
            </v:shape>
            <v:shape style="position:absolute;left:6841;top:731;width:3092;height:2991" coordorigin="6841,731" coordsize="3092,2991" path="m6841,3722l6914,3720,6987,3719,7059,3717,7125,3716,7188,3714,7248,3713,7348,3710,7409,3707,7482,3701,7503,3697,7500,3692,7501,3692,7537,3683,7548,3681,7557,3680,7559,3679,7561,3674,7566,3674,7585,3672,7612,3671,7639,3669,7660,3668,7679,3666,7681,3663,7698,3662,7716,3660,7738,3659,7759,3657,7778,3656,7829,3645,7833,3644,7838,3642,7843,3640,7849,3638,7855,3636,7864,3634,7867,3632,7869,3630,7865,3627,7868,3626,7871,3624,7884,3622,7888,3620,7890,3618,7885,3615,7888,3614,7892,3612,7910,3610,7914,3608,7917,3607,7915,3603,7915,3602,7916,3601,7917,3597,7921,3596,7927,3594,7949,3592,7955,3590,7958,3589,7955,3585,7956,3584,7957,3582,7960,3580,7965,3578,7971,3576,7979,3574,7987,3572,7994,3570,8003,3568,8010,3566,8018,3564,8028,3562,8033,3560,8036,3558,8034,3555,8037,3554,8041,3552,8052,3550,8056,3548,8059,3546,8059,3544,8060,3542,8061,3540,8063,3538,8064,3536,8065,3534,8066,3532,8068,3530,8069,3528,8069,3526,8073,3524,8077,3522,8087,3520,8092,3518,8096,3516,8097,3514,8102,3512,8106,3510,8115,3508,8118,3506,8120,3504,8119,3502,8120,3500,8120,3498,8121,3496,8122,3494,8122,3492,8122,3490,8124,3488,8126,3486,8132,3484,8134,3482,8137,3480,8138,3478,8139,3476,8140,3474,8140,3472,8141,3470,8141,3468,8140,3466,8141,3464,8142,3462,8144,3460,8146,3458,8148,3456,8150,3454,8152,3452,8154,3450,8156,3448,8157,3446,8158,3444,8157,3442,8158,3440,8158,3438,8158,3436,8161,3434,8165,3432,8173,3430,8178,3428,8204,3412,8206,3410,8207,3408,8208,3406,8208,3404,8209,3402,8209,3400,8210,3398,8211,3396,8212,3394,8213,3392,8214,3390,8213,3388,8215,3386,8239,3374,8245,3372,8257,3370,8262,3368,8265,3366,8266,3364,8267,3362,8270,3360,8274,3358,8276,3356,8278,3354,8278,3352,8278,3350,8278,3348,8278,3346,8279,3344,8279,3342,8279,3340,8281,3338,8282,3336,8288,3334,8290,3332,8292,3330,8292,3328,8293,3326,8294,3324,8294,3322,8294,3320,8294,3318,8294,3316,8294,3314,8294,3312,8294,3310,8294,3308,8295,3306,8297,3304,8298,3302,8299,3300,8299,3298,8299,3296,8300,3294,8300,3292,8301,3290,8301,3288,8303,3286,8303,3284,8304,3282,8304,3280,8306,3278,8307,3276,8311,3274,8312,3272,8314,3270,8313,3268,8313,3266,8314,3264,8314,3262,8316,3260,8318,3258,8323,3256,8325,3254,8327,3252,8328,3250,8329,3248,8330,3246,8330,3244,8331,3242,8332,3240,8333,3238,8333,3236,8334,3234,8333,3232,8334,3230,8334,3228,8335,3226,8335,3224,8336,3222,8336,3220,8336,3218,8337,3216,8337,3214,8337,3212,8338,3210,8338,3208,8338,3206,8338,3204,8339,3202,8339,3200,8340,3198,8340,3196,8340,3194,8340,3192,8341,3190,8341,3188,8342,3186,8342,3184,8343,3182,8344,3180,8346,3178,8347,3176,8347,3174,8347,3172,8347,3170,8347,3168,8347,3166,8348,3164,8350,3162,8354,3160,8356,3158,8358,3156,8356,3154,8358,3152,8361,3150,8366,3148,8368,3146,8371,3144,8372,3142,8374,3140,8376,3138,8380,3136,8381,3134,8382,3132,8382,3130,8382,3128,8382,3126,8383,3124,8383,3122,8383,3120,8382,3118,8383,3116,8385,3114,8391,3112,8393,3110,8395,3108,8394,3106,8394,3104,8395,3102,8395,3100,8396,3098,8396,3096,8396,3094,8396,3092,8396,3090,8397,3088,8397,3086,8397,3084,8398,3082,8398,3080,8398,3078,8398,3076,8398,3074,8398,3072,8399,3070,8399,3068,8400,3066,8401,3064,8401,3062,8402,3060,8402,3058,8403,3056,8403,3054,8404,3052,8404,3050,8405,3048,8407,3046,8408,3044,8408,3042,8408,3040,8408,3038,8409,3036,8410,3034,8410,3032,8411,3030,8411,3028,8412,3026,8413,3024,8415,3022,8417,3020,8418,3018,8421,3016,8422,3014,8423,3012,8423,3010,8424,3008,8424,3006,8424,3004,8426,3002,8427,3000,8432,2998,8433,2996,8435,2994,8433,2992,8434,2990,8434,2988,8434,2986,8434,2984,8435,2982,8436,2980,8437,2978,8438,2976,8439,2974,8440,2973,8441,2971,8443,2969,8444,2967,8445,2965,8446,2963,8447,2961,8448,2959,8448,2957,8449,2955,8450,2953,8452,2951,8453,2949,8454,2947,8454,2945,8454,2943,8455,2941,8452,2939,8454,2937,8456,2935,8464,2933,8467,2931,8469,2929,8468,2927,8468,2925,8469,2923,8469,2921,8469,2919,8470,2917,8472,2915,8472,2913,8473,2911,8472,2909,8473,2907,8474,2905,8477,2903,8478,2901,8479,2899,8478,2897,8479,2895,8485,2885,8486,2883,8488,2881,8488,2879,8489,2877,8489,2875,8490,2873,8490,2871,8490,2869,8490,2867,8490,2865,8491,2863,8492,2861,8493,2859,8493,2857,8493,2855,8493,2853,8494,2851,8494,2849,8495,2847,8496,2845,8499,2843,8500,2841,8501,2839,8502,2837,8502,2835,8503,2833,8502,2831,8505,2829,8507,2827,8513,2825,8515,2823,8517,2821,8519,2819,8519,2817,8520,2815,8520,2813,8521,2811,8522,2809,8524,2807,8525,2805,8527,2803,8525,2801,8527,2799,8529,2797,8536,2795,8538,2793,8540,2791,8540,2789,8541,2787,8542,2785,8542,2783,8542,2781,8543,2779,8543,2777,8543,2775,8544,2773,8546,2771,8547,2769,8548,2767,8548,2765,8548,2763,8548,2761,8548,2759,8549,2757,8549,2755,8551,2753,8552,2751,8552,2749,8551,2747,8552,2745,8552,2743,8554,2741,8555,2739,8555,2737,8555,2735,8556,2733,8556,2731,8557,2729,8558,2727,8559,2725,8560,2723,8561,2721,8562,2719,8561,2717,8564,2715,8567,2713,8575,2711,8577,2709,8579,2707,8577,2705,8577,2703,8578,2701,8577,2699,8578,2697,8579,2695,8582,2693,8583,2691,8584,2689,8583,2687,8584,2685,8586,2683,8590,2681,8591,2679,8593,2677,8591,2675,8591,2673,8592,2671,8592,2669,8593,2667,8594,2665,8595,2663,8596,2661,8596,2659,8595,2657,8596,2655,8597,2653,8600,2651,8600,2649,8601,2647,8599,2645,8600,2643,8601,2641,8605,2639,8606,2637,8607,2635,8607,2633,8607,2631,8607,2629,8608,2627,8608,2625,8608,2623,8608,2621,8608,2619,8608,2617,8608,2615,8609,2613,8609,2611,8610,2609,8611,2607,8611,2605,8611,2603,8612,2601,8612,2599,8612,2597,8612,2595,8613,2593,8612,2591,8613,2589,8614,2587,8616,2585,8618,2583,8619,2581,8620,2579,8620,2577,8621,2575,8622,2573,8622,2571,8623,2569,8621,2567,8623,2565,8624,2563,8629,2561,8630,2559,8632,2557,8631,2555,8631,2553,8631,2551,8630,2549,8631,2547,8632,2545,8635,2543,8636,2541,8637,2539,8638,2537,8639,2535,8640,2533,8640,2531,8641,2529,8641,2527,8642,2525,8642,2523,8642,2521,8643,2519,8643,2517,8643,2515,8643,2513,8643,2511,8643,2509,8643,2507,8643,2505,8644,2503,8646,2501,8647,2499,8648,2497,8650,2495,8651,2493,8652,2491,8652,2489,8652,2487,8653,2485,8652,2483,8653,2481,8653,2479,8653,2477,8654,2475,8656,2473,8658,2471,8659,2469,8660,2467,8660,2465,8661,2463,8662,2461,8664,2459,8664,2457,8665,2455,8664,2453,8664,2451,8665,2449,8667,2447,8667,2445,8668,2443,8668,2441,8669,2439,8669,2437,8670,2435,8670,2433,8670,2431,8671,2429,8671,2427,8672,2425,8673,2423,8674,2421,8674,2419,8675,2417,8675,2415,8676,2413,8677,2411,8678,2409,8678,2407,8679,2405,8679,2403,8679,2401,8680,2399,8680,2397,8681,2395,8681,2393,8681,2391,8681,2389,8681,2387,8681,2385,8682,2383,8682,2381,8682,2379,8682,2377,8682,2375,8682,2373,8683,2371,8684,2369,8685,2367,8686,2365,8687,2363,8688,2361,8689,2359,8690,2357,8692,2355,8694,2353,8697,2351,8698,2349,8700,2347,8699,2345,8699,2343,8700,2341,8700,2339,8700,2337,8700,2335,8700,2333,8701,2331,8701,2329,8701,2327,8702,2325,8702,2323,8702,2321,8702,2319,8702,2317,8704,2315,8704,2313,8705,2311,8704,2309,8705,2307,8705,2305,8705,2303,8705,2301,8705,2299,8707,2297,8707,2295,8708,2293,8706,2291,8707,2289,8708,2287,8710,2285,8712,2283,8714,2281,8720,2279,8721,2277,8723,2275,8722,2273,8723,2271,8723,2269,8723,2267,8724,2265,8725,2263,8728,2261,8729,2259,8730,2257,8729,2255,8730,2253,8730,2251,8732,2249,8732,2247,8733,2245,8732,2243,8732,2241,8732,2239,8733,2237,8733,2235,8733,2233,8733,2231,8733,2229,8734,2227,8734,2225,8734,2223,8734,2221,8733,2219,8734,2217,8735,2215,8737,2213,8738,2211,8739,2209,8741,2207,8741,2205,8742,2203,8742,2201,8742,2199,8743,2197,8742,2195,8743,2193,8744,2191,8746,2189,8747,2187,8748,2185,8747,2183,8747,2181,8748,2179,8748,2177,8748,2175,8748,2173,8748,2171,8748,2169,8749,2167,8749,2165,8750,2163,8750,2161,8750,2159,8751,2157,8751,2155,8752,2153,8752,2151,8753,2149,8754,2147,8754,2145,8755,2143,8755,2142,8755,2140,8755,2138,8754,2136,8755,2134,8756,2132,8757,2130,8758,2128,8759,2126,8759,2124,8760,2122,8761,2120,8763,2118,8764,2116,8765,2114,8763,2112,8764,2110,8765,2108,8768,2106,8769,2104,8771,2102,8770,2100,8772,2098,8773,2096,8777,2094,8778,2092,8779,2090,8778,2088,8778,2086,8778,2084,8778,2082,8779,2080,8780,2078,8785,2076,8786,2074,8787,2072,8786,2070,8786,2068,8786,2066,8786,2064,8787,2062,8787,2060,8788,2058,8789,2056,8789,2054,8790,2052,8791,2050,8792,2048,8793,2046,8794,2044,8795,2042,8796,2040,8796,2038,8797,2036,8798,2034,8799,2032,8800,2030,8801,2028,8802,2026,8803,2024,8803,2022,8804,2020,8804,2018,8805,2016,8806,2014,8806,2012,8805,2010,8806,2008,8807,2006,8810,2004,8811,2002,8813,2000,8813,1998,8814,1996,8814,1994,8815,1992,8815,1990,8816,1988,8816,1986,8817,1984,8817,1982,8816,1980,8817,1978,8819,1976,8822,1974,8824,1972,8826,1970,8826,1968,8827,1966,8827,1964,8827,1962,8827,1960,8828,1958,8830,1956,8830,1954,8831,1952,8831,1950,8831,1948,8832,1946,8834,1944,8835,1942,8836,1940,8837,1938,8837,1936,8838,1934,8836,1932,8838,1930,8840,1928,8846,1926,8848,1924,8850,1922,8850,1920,8850,1918,8851,1916,8851,1914,8851,1912,8852,1910,8852,1908,8852,1906,8853,1904,8853,1902,8854,1900,8854,1898,8856,1896,8857,1894,8858,1892,8856,1890,8857,1888,8859,1886,8864,1884,8866,1882,8868,1880,8869,1878,8870,1876,8870,1874,8870,1872,8870,1870,8870,1868,8871,1866,8871,1864,8871,1862,8871,1860,8871,1858,8872,1856,8871,1854,8872,1852,8873,1850,8877,1848,8878,1846,8878,1844,8876,1842,8878,1840,8881,1838,8892,1836,8895,1834,8898,1832,8895,1830,8895,1828,8896,1826,8897,1824,8898,1822,8898,1820,8898,1818,8898,1816,8898,1814,8898,1812,8898,1810,8899,1808,8901,1806,8902,1804,8904,1802,8906,1800,8907,1798,8909,1796,8907,1794,8909,1792,8911,1790,8915,1788,8917,1786,8919,1784,8921,1782,8922,1780,8923,1778,8923,1776,8923,1774,8923,1772,8924,1770,8924,1768,8925,1766,8925,1764,8926,1762,8927,1760,8929,1758,8930,1756,8930,1754,8930,1752,8931,1750,8932,1748,8933,1746,8934,1744,8935,1742,8936,1740,8936,1738,8936,1736,8936,1734,8936,1732,8937,1730,8938,1728,8938,1726,8938,1724,8938,1722,8938,1720,8939,1718,8939,1716,8940,1714,8941,1712,8944,1710,8946,1708,8947,1706,8946,1704,8947,1702,8947,1700,8948,1698,8949,1696,8949,1694,8948,1692,8949,1690,8949,1688,8950,1686,8950,1684,8951,1682,8951,1680,8951,1678,8952,1676,8953,1674,8955,1672,8956,1670,8959,1668,8961,1666,8964,1664,8968,1662,8970,1660,8972,1658,8971,1656,8972,1654,8972,1652,8971,1650,8974,1648,8976,1646,8984,1644,8986,1642,8988,1640,8986,1638,8986,1636,8986,1634,8987,1632,8987,1630,8987,1628,8986,1626,8987,1624,8987,1622,8989,1620,8989,1618,8990,1616,8988,1614,8990,1612,8992,1610,8998,1608,9001,1606,9003,1604,9004,1602,9004,1600,9005,1598,9005,1596,9005,1594,9006,1592,9006,1590,9007,1588,9007,1586,9006,1584,9007,1582,9008,1580,9010,1578,9011,1576,9012,1574,9012,1572,9013,1570,9013,1568,9013,1566,9014,1564,9015,1562,9019,1560,9020,1558,9021,1556,9019,1554,9020,1552,9021,1550,9025,1548,9026,1546,9028,1544,9026,1542,9027,1540,9027,1538,9029,1536,9030,1534,9030,1532,9030,1530,9030,1528,9030,1526,9031,1524,9031,1522,9032,1520,9033,1518,9033,1516,9034,1514,9033,1512,9035,1510,9037,1508,9042,1506,9044,1504,9045,1502,9044,1500,9045,1498,9045,1496,9045,1494,9046,1492,9047,1490,9049,1488,9051,1486,9052,1484,9055,1482,9056,1480,9057,1478,9056,1476,9056,1474,9056,1472,9056,1470,9056,1468,9057,1466,9059,1464,9061,1462,9062,1460,9063,1458,9063,1456,9064,1454,9063,1452,9063,1450,9063,1448,9064,1446,9064,1444,9064,1442,9064,1440,9065,1438,9065,1436,9065,1434,9066,1432,9066,1430,9065,1428,9067,1426,9069,1424,9075,1422,9077,1420,9079,1418,9078,1416,9078,1414,9079,1412,9078,1410,9078,1408,9079,1406,9079,1404,9079,1402,9079,1400,9078,1398,9080,1396,9081,1394,9086,1392,9088,1390,9089,1388,9087,1386,9088,1384,9089,1382,9092,1380,9093,1378,9094,1376,9094,1374,9094,1372,9095,1370,9095,1368,9095,1366,9095,1364,9094,1362,9096,1360,9097,1358,9103,1356,9104,1354,9106,1352,9104,1350,9105,1348,9105,1346,9107,1344,9108,1342,9109,1340,9108,1338,9109,1336,9110,1334,9112,1332,9114,1330,9115,1328,9117,1326,9118,1324,9118,1322,9117,1320,9118,1318,9120,1316,9126,1314,9127,1313,9128,1311,9127,1309,9127,1307,9128,1305,9129,1303,9129,1301,9130,1299,9129,1297,9130,1295,9130,1293,9134,1291,9134,1289,9135,1287,9135,1285,9135,1283,9135,1281,9136,1279,9136,1277,9136,1275,9135,1273,9136,1271,9137,1269,9141,1267,9142,1265,9143,1263,9143,1261,9144,1259,9144,1257,9145,1255,9146,1253,9147,1251,9149,1249,9150,1247,9151,1245,9151,1243,9151,1241,9152,1239,9152,1237,9152,1235,9153,1233,9153,1231,9154,1229,9154,1227,9156,1225,9157,1223,9158,1221,9157,1219,9158,1217,9158,1215,9158,1213,9158,1211,9159,1209,9160,1207,9161,1205,9162,1203,9164,1201,9164,1199,9165,1197,9163,1195,9165,1193,9166,1191,9170,1189,9171,1187,9173,1185,9173,1183,9174,1181,9174,1179,9174,1177,9175,1175,9175,1173,9176,1171,9176,1169,9176,1167,9176,1165,9176,1163,9177,1161,9180,1159,9181,1157,9182,1155,9181,1153,9182,1151,9182,1149,9181,1146,9183,1145,9186,1143,9193,1141,9199,1139,9205,1137,9217,1135,9220,1133,9223,1131,9220,1128,9220,1127,9221,1125,9222,1123,9223,1121,9223,1119,9222,1117,9223,1115,9224,1113,9228,1111,9229,1109,9230,1107,9230,1105,9231,1103,9231,1101,9231,1099,9232,1097,9232,1095,9233,1093,9234,1091,9235,1089,9234,1087,9235,1085,9236,1083,9238,1081,9239,1079,9240,1077,9240,1075,9242,1073,9243,1071,9246,1069,9248,1067,9251,1065,9252,1063,9254,1061,9257,1059,9260,1057,9263,1055,9270,1045,9271,1043,9272,1041,9270,1039,9272,1037,9274,1035,9281,1033,9285,1031,9288,1029,9290,1027,9292,1025,9293,1023,9293,1021,9294,1019,9295,1017,9295,1015,9296,1013,9297,1011,9300,1009,9300,1007,9301,1005,9301,1003,9301,1001,9302,999,9302,997,9303,995,9305,993,9309,991,9311,989,9313,987,9312,985,9314,983,9316,981,9320,979,9322,977,9324,975,9324,973,9325,971,9325,969,9325,967,9325,965,9326,963,9325,961,9328,959,9330,957,9335,955,9339,953,9343,951,9347,949,9352,947,9356,945,9363,943,9366,941,9368,939,9367,937,9368,935,9368,933,9367,931,9368,929,9369,927,9372,925,9373,923,9375,921,9374,919,9375,917,9376,915,9378,913,9379,911,9380,909,9380,907,9381,905,9382,903,9383,901,9385,899,9387,898,9390,894,9396,893,9404,891,9425,889,9436,887,9446,885,9455,883,9461,881,9465,879,9465,877,9467,875,9470,873,9475,871,9477,869,9480,867,9480,865,9482,863,9484,861,9487,859,9491,857,9495,855,9502,853,9506,851,9509,849,9509,847,9511,845,9513,843,9512,841,9516,839,9519,837,9530,835,9533,833,9535,832,9531,828,9533,827,9537,825,9552,823,9557,821,9560,820,9558,816,9562,815,9567,813,9584,811,9589,809,9592,808,9590,804,9590,803,9591,801,9593,799,9594,797,9594,795,9592,793,9594,791,9596,789,9604,787,9606,785,9608,783,9604,781,9607,779,9609,777,9618,775,9622,773,9626,771,9629,769,9630,767,9631,766,9628,762,9631,761,9695,752,9714,751,9733,749,9751,748,9769,746,9787,745,9856,739,9917,733,9932,731e" filled="false" stroked="true" strokeweight="3pt" strokecolor="#000000">
              <v:path arrowok="t"/>
            </v:shape>
            <v:shape style="position:absolute;left:7146;top:3648;width:86;height:137" coordorigin="7146,3648" coordsize="86,137" path="m7200,3648l7183,3648,7177,3650,7171,3654,7164,3660,7158,3668,7153,3679,7149,3690,7146,3703,7147,3720,7147,3730,7149,3742,7152,3753,7157,3763,7165,3778,7176,3785,7195,3785,7201,3783,7206,3779,7181,3779,7176,3774,7172,3764,7169,3755,7167,3745,7166,3733,7166,3726,7166,3709,7166,3697,7168,3686,7170,3674,7173,3666,7178,3661,7181,3657,7185,3655,7210,3655,7209,3653,7200,3648xm7210,3655l7193,3655,7196,3656,7199,3658,7203,3661,7206,3666,7208,3674,7211,3684,7213,3696,7213,3718,7213,3726,7212,3738,7210,3749,7208,3758,7206,3766,7203,3771,7200,3774,7196,3777,7192,3779,7206,3779,7208,3778,7215,3773,7221,3765,7225,3755,7230,3744,7232,3731,7232,3716,7231,3700,7228,3686,7223,3674,7217,3664,7210,3655xe" filled="true" fillcolor="#000000" stroked="false">
              <v:path arrowok="t"/>
              <v:fill type="solid"/>
            </v:shape>
            <v:shape style="position:absolute;left:7146;top:3648;width:86;height:137" coordorigin="7146,3648" coordsize="86,137" path="m7189,3655l7185,3655,7181,3657,7178,3661,7173,3666,7170,3674,7168,3686,7166,3697,7166,3709,7166,3720,7166,3733,7167,3745,7169,3755,7172,3764,7176,3774,7181,3779,7189,3779,7192,3779,7196,3777,7200,3774,7203,3771,7206,3766,7208,3758,7210,3749,7212,3738,7213,3726,7213,3711,7213,3696,7211,3684,7208,3674,7206,3666,7203,3661,7199,3658,7196,3656,7193,3655,7189,3655xm7189,3648l7200,3648,7209,3653,7217,3664,7223,3674,7228,3686,7231,3700,7232,3716,7232,3731,7230,3744,7225,3755,7221,3765,7215,3773,7208,3778,7201,3783,7195,3785,7188,3785,7176,3785,7165,3778,7157,3763,7152,3753,7149,3742,7147,3730,7146,3718,7146,3703,7149,3690,7153,3679,7158,3668,7164,3660,7171,3654,7177,3650,7183,3648,7189,3648xe" filled="false" stroked="true" strokeweight=".72pt" strokecolor="#000000">
              <v:path arrowok="t"/>
            </v:shape>
            <v:shape style="position:absolute;left:6989;top:3342;width:234;height:152" type="#_x0000_t75" stroked="false">
              <v:imagedata r:id="rId126" o:title=""/>
            </v:shape>
            <v:shape style="position:absolute;left:6989;top:3043;width:250;height:152" type="#_x0000_t75" stroked="false">
              <v:imagedata r:id="rId127" o:title=""/>
            </v:shape>
            <v:shape style="position:absolute;left:6989;top:2744;width:242;height:152" type="#_x0000_t75" stroked="false">
              <v:imagedata r:id="rId128" o:title=""/>
            </v:shape>
            <v:shape style="position:absolute;left:6989;top:2445;width:251;height:152" type="#_x0000_t75" stroked="false">
              <v:imagedata r:id="rId129" o:title=""/>
            </v:shape>
            <v:shape style="position:absolute;left:6989;top:2146;width:245;height:152" type="#_x0000_t75" stroked="false">
              <v:imagedata r:id="rId130" o:title=""/>
            </v:shape>
            <v:shape style="position:absolute;left:6989;top:1847;width:250;height:152" type="#_x0000_t75" stroked="false">
              <v:imagedata r:id="rId131" o:title=""/>
            </v:shape>
            <v:shape style="position:absolute;left:6989;top:1547;width:249;height:152" type="#_x0000_t75" stroked="false">
              <v:imagedata r:id="rId132" o:title=""/>
            </v:shape>
            <v:shape style="position:absolute;left:6989;top:1248;width:247;height:152" type="#_x0000_t75" stroked="false">
              <v:imagedata r:id="rId133" o:title=""/>
            </v:shape>
            <v:shape style="position:absolute;left:6989;top:949;width:250;height:152" type="#_x0000_t75" stroked="false">
              <v:imagedata r:id="rId134" o:title=""/>
            </v:shape>
            <v:shape style="position:absolute;left:7163;top:657;width:52;height:135" coordorigin="7163,657" coordsize="52,135" path="m7215,788l7165,788,7165,792,7215,792,7215,788xm7198,673l7176,673,7177,674,7180,676,7180,677,7181,679,7182,682,7182,781,7180,785,7179,786,7177,787,7175,788,7171,788,7209,788,7205,788,7203,787,7201,786,7199,784,7198,781,7198,776,7198,673xm7198,657l7195,657,7163,673,7164,676,7168,674,7172,673,7198,673,7198,657xe" filled="true" fillcolor="#000000" stroked="false">
              <v:path arrowok="t"/>
              <v:fill type="solid"/>
            </v:shape>
            <v:shape style="position:absolute;left:7163;top:657;width:52;height:135" coordorigin="7163,657" coordsize="52,135" path="m7195,657l7198,657,7198,769,7198,776,7209,788,7215,788,7215,792,7165,792,7165,788,7171,788,7175,788,7177,787,7179,786,7180,785,7181,783,7182,781,7182,777,7182,769,7182,698,7182,688,7182,682,7181,679,7180,677,7180,676,7178,675,7177,674,7176,673,7174,673,7172,673,7168,674,7164,676,7163,673,7195,657xe" filled="false" stroked="true" strokeweight=".72pt" strokecolor="#000000">
              <v:path arrowok="t"/>
            </v:shape>
            <v:shape style="position:absolute;left:6299;top:3876;width:380;height:151" type="#_x0000_t75" stroked="false">
              <v:imagedata r:id="rId135" o:title=""/>
            </v:shape>
            <v:shape style="position:absolute;left:7367;top:3883;width:86;height:137" coordorigin="7367,3883" coordsize="86,137" path="m7420,3883l7403,3883,7397,3885,7392,3889,7384,3895,7378,3903,7373,3914,7369,3925,7367,3937,7367,3955,7367,3965,7369,3977,7373,3988,7377,3998,7386,4013,7396,4020,7415,4020,7422,4018,7427,4014,7402,4014,7396,4009,7392,3999,7389,3990,7387,3980,7386,3968,7386,3961,7386,3944,7387,3932,7388,3921,7390,3909,7393,3901,7398,3895,7401,3891,7405,3890,7430,3890,7429,3888,7420,3883xm7430,3890l7413,3890,7416,3891,7419,3893,7423,3896,7426,3901,7431,3919,7433,3931,7433,3950,7433,3961,7432,3973,7430,3984,7428,3993,7426,4001,7424,4006,7416,4012,7412,4014,7427,4014,7435,4008,7441,4000,7445,3989,7450,3979,7452,3966,7452,3950,7451,3935,7448,3921,7443,3909,7437,3899,7430,3890xe" filled="true" fillcolor="#000000" stroked="false">
              <v:path arrowok="t"/>
              <v:fill type="solid"/>
            </v:shape>
            <v:shape style="position:absolute;left:7367;top:3883;width:86;height:137" coordorigin="7367,3883" coordsize="86,137" path="m7410,3890l7405,3890,7401,3891,7398,3895,7393,3901,7390,3909,7388,3921,7387,3932,7386,3944,7386,3955,7386,3968,7387,3980,7389,3990,7392,3999,7396,4009,7402,4014,7409,4014,7412,4014,7416,4012,7420,4009,7424,4006,7426,4001,7428,3993,7430,3984,7432,3973,7433,3961,7433,3946,7433,3931,7431,3919,7428,3909,7426,3901,7423,3896,7419,3893,7416,3891,7413,3890,7410,3890xm7410,3883l7420,3883,7429,3888,7437,3899,7443,3909,7448,3921,7451,3935,7452,3950,7452,3966,7450,3979,7445,3989,7441,4000,7435,4008,7428,4013,7422,4018,7415,4020,7409,4020,7396,4020,7386,4013,7377,3998,7373,3988,7369,3977,7367,3965,7367,3953,7367,3937,7369,3925,7373,3914,7378,3903,7384,3895,7392,3889,7397,3885,7403,3883,7410,3883xe" filled="false" stroked="true" strokeweight=".72pt" strokecolor="#000000">
              <v:path arrowok="t"/>
            </v:shape>
            <v:shape style="position:absolute;left:8189;top:3876;width:283;height:151" type="#_x0000_t75" stroked="false">
              <v:imagedata r:id="rId136" o:title=""/>
            </v:shape>
            <v:shape style="position:absolute;left:9084;top:3876;width:302;height:151" type="#_x0000_t75" stroked="false">
              <v:imagedata r:id="rId137" o:title=""/>
            </v:shape>
            <v:shape style="position:absolute;left:10001;top:3876;width:298;height:151" type="#_x0000_t75" stroked="false">
              <v:imagedata r:id="rId138" o:title=""/>
            </v:shape>
            <v:shape style="position:absolute;left:6295;top:2055;width:142;height:350" type="#_x0000_t75" stroked="false">
              <v:imagedata r:id="rId139" o:title=""/>
            </v:shape>
            <v:rect style="position:absolute;left:6010;top:512;width:4510;height:3679" filled="false" stroked="true" strokeweight=".48pt" strokecolor="#000000"/>
            <v:shape style="position:absolute;left:2716;top:726;width:7224;height:3017" coordorigin="2716,726" coordsize="7224,3017" path="m2716,3690l2728,748m6824,3743l6836,801m9928,3683l9940,741m5185,3668l5197,726e" filled="false" stroked="true" strokeweight="2.04pt" strokecolor="#ff0000">
              <v:path arrowok="t"/>
              <v:stroke dashstyle="longDash"/>
            </v:shape>
            <v:shape style="position:absolute;left:5657;top:737;width:137;height:1097" type="#_x0000_t75" stroked="false">
              <v:imagedata r:id="rId140" o:title=""/>
            </v:shape>
            <v:shape style="position:absolute;left:1990;top:734;width:132;height:1097" type="#_x0000_t75" stroked="false">
              <v:imagedata r:id="rId140" o:title=""/>
            </v:shape>
            <v:shape style="position:absolute;left:10140;top:629;width:175;height:1159" type="#_x0000_t75" stroked="false">
              <v:imagedata r:id="rId141" o:title=""/>
            </v:shape>
            <v:shape style="position:absolute;left:6245;top:763;width:168;height:1073" type="#_x0000_t75" stroked="false">
              <v:imagedata r:id="rId142" o:title=""/>
            </v:shape>
            <v:shape style="position:absolute;left:3457;top:2195;width:989;height:1476" coordorigin="3457,2195" coordsize="989,1476" path="m3457,2195l4446,2195m4432,2207l4420,3671e" filled="false" stroked="true" strokeweight="2.04pt" strokecolor="#ff0000">
              <v:path arrowok="t"/>
              <v:stroke dashstyle="longDash"/>
            </v:shape>
            <v:line style="position:absolute" from="7415,2217" to="8742,2217" stroked="true" strokeweight="2.04pt" strokecolor="#ff0000">
              <v:stroke dashstyle="longDash"/>
            </v:line>
            <v:line style="position:absolute" from="8730,2246" to="8718,3710" stroked="true" strokeweight="2.04pt" strokecolor="#ff0000">
              <v:stroke dashstyle="longDash"/>
            </v:line>
            <v:shape style="position:absolute;left:4426;top:2801;width:766;height:296" type="#_x0000_t202" filled="false" stroked="false">
              <v:textbox inset="0,0,0,0">
                <w:txbxContent>
                  <w:p>
                    <w:pPr>
                      <w:spacing w:before="80"/>
                      <w:ind w:left="161" w:right="0" w:firstLine="0"/>
                      <w:jc w:val="left"/>
                      <w:rPr>
                        <w:sz w:val="12"/>
                      </w:rPr>
                    </w:pPr>
                    <w:r>
                      <w:rPr>
                        <w:sz w:val="12"/>
                      </w:rPr>
                      <w:t>FPA 1</w:t>
                    </w:r>
                  </w:p>
                </w:txbxContent>
              </v:textbox>
              <w10:wrap type="none"/>
            </v:shape>
            <v:shape style="position:absolute;left:8724;top:2825;width:1210;height:298" type="#_x0000_t202" filled="false" stroked="false">
              <v:textbox inset="0,0,0,0">
                <w:txbxContent>
                  <w:p>
                    <w:pPr>
                      <w:spacing w:before="82"/>
                      <w:ind w:left="188" w:right="0" w:firstLine="0"/>
                      <w:jc w:val="left"/>
                      <w:rPr>
                        <w:sz w:val="12"/>
                      </w:rPr>
                    </w:pPr>
                    <w:r>
                      <w:rPr>
                        <w:sz w:val="12"/>
                      </w:rPr>
                      <w:t>FPA 2</w:t>
                    </w:r>
                  </w:p>
                </w:txbxContent>
              </v:textbox>
              <w10:wrap type="none"/>
            </v:shape>
            <v:shape style="position:absolute;left:3063;top:632;width:251;height:3158" type="#_x0000_t202" filled="false" stroked="false">
              <v:textbox inset="0,0,0,0">
                <w:txbxContent>
                  <w:p>
                    <w:pPr>
                      <w:spacing w:line="204" w:lineRule="exact" w:before="0"/>
                      <w:ind w:left="148" w:right="0" w:firstLine="0"/>
                      <w:jc w:val="center"/>
                      <w:rPr>
                        <w:b/>
                        <w:sz w:val="20"/>
                      </w:rPr>
                    </w:pPr>
                    <w:r>
                      <w:rPr>
                        <w:b/>
                        <w:w w:val="99"/>
                        <w:sz w:val="20"/>
                      </w:rPr>
                      <w:t>1</w:t>
                    </w:r>
                  </w:p>
                  <w:p>
                    <w:pPr>
                      <w:spacing w:before="65"/>
                      <w:ind w:left="0" w:right="0" w:firstLine="0"/>
                      <w:jc w:val="center"/>
                      <w:rPr>
                        <w:b/>
                        <w:sz w:val="20"/>
                      </w:rPr>
                    </w:pPr>
                    <w:r>
                      <w:rPr>
                        <w:b/>
                        <w:sz w:val="20"/>
                      </w:rPr>
                      <w:t>0.9</w:t>
                    </w:r>
                  </w:p>
                  <w:p>
                    <w:pPr>
                      <w:spacing w:before="66"/>
                      <w:ind w:left="0" w:right="0" w:firstLine="0"/>
                      <w:jc w:val="center"/>
                      <w:rPr>
                        <w:b/>
                        <w:sz w:val="20"/>
                      </w:rPr>
                    </w:pPr>
                    <w:r>
                      <w:rPr>
                        <w:b/>
                        <w:sz w:val="20"/>
                      </w:rPr>
                      <w:t>0.8</w:t>
                    </w:r>
                  </w:p>
                  <w:p>
                    <w:pPr>
                      <w:spacing w:before="66"/>
                      <w:ind w:left="0" w:right="0" w:firstLine="0"/>
                      <w:jc w:val="center"/>
                      <w:rPr>
                        <w:b/>
                        <w:sz w:val="20"/>
                      </w:rPr>
                    </w:pPr>
                    <w:r>
                      <w:rPr>
                        <w:b/>
                        <w:sz w:val="20"/>
                      </w:rPr>
                      <w:t>0.7</w:t>
                    </w:r>
                  </w:p>
                  <w:p>
                    <w:pPr>
                      <w:spacing w:before="65"/>
                      <w:ind w:left="0" w:right="0" w:firstLine="0"/>
                      <w:jc w:val="center"/>
                      <w:rPr>
                        <w:b/>
                        <w:sz w:val="20"/>
                      </w:rPr>
                    </w:pPr>
                    <w:r>
                      <w:rPr>
                        <w:b/>
                        <w:sz w:val="20"/>
                      </w:rPr>
                      <w:t>0.6</w:t>
                    </w:r>
                  </w:p>
                  <w:p>
                    <w:pPr>
                      <w:spacing w:before="66"/>
                      <w:ind w:left="0" w:right="0" w:firstLine="0"/>
                      <w:jc w:val="center"/>
                      <w:rPr>
                        <w:b/>
                        <w:sz w:val="20"/>
                      </w:rPr>
                    </w:pPr>
                    <w:r>
                      <w:rPr>
                        <w:b/>
                        <w:sz w:val="20"/>
                      </w:rPr>
                      <w:t>0.5</w:t>
                    </w:r>
                  </w:p>
                  <w:p>
                    <w:pPr>
                      <w:spacing w:before="65"/>
                      <w:ind w:left="0" w:right="0" w:firstLine="0"/>
                      <w:jc w:val="center"/>
                      <w:rPr>
                        <w:b/>
                        <w:sz w:val="20"/>
                      </w:rPr>
                    </w:pPr>
                    <w:r>
                      <w:rPr>
                        <w:b/>
                        <w:sz w:val="20"/>
                      </w:rPr>
                      <w:t>0.4</w:t>
                    </w:r>
                  </w:p>
                  <w:p>
                    <w:pPr>
                      <w:spacing w:before="66"/>
                      <w:ind w:left="0" w:right="0" w:firstLine="0"/>
                      <w:jc w:val="center"/>
                      <w:rPr>
                        <w:b/>
                        <w:sz w:val="20"/>
                      </w:rPr>
                    </w:pPr>
                    <w:r>
                      <w:rPr>
                        <w:b/>
                        <w:sz w:val="20"/>
                      </w:rPr>
                      <w:t>0.3</w:t>
                    </w:r>
                  </w:p>
                  <w:p>
                    <w:pPr>
                      <w:spacing w:before="66"/>
                      <w:ind w:left="0" w:right="0" w:firstLine="0"/>
                      <w:jc w:val="center"/>
                      <w:rPr>
                        <w:b/>
                        <w:sz w:val="20"/>
                      </w:rPr>
                    </w:pPr>
                    <w:r>
                      <w:rPr>
                        <w:b/>
                        <w:sz w:val="20"/>
                      </w:rPr>
                      <w:t>0.2</w:t>
                    </w:r>
                  </w:p>
                  <w:p>
                    <w:pPr>
                      <w:spacing w:before="66"/>
                      <w:ind w:left="0" w:right="0" w:firstLine="0"/>
                      <w:jc w:val="center"/>
                      <w:rPr>
                        <w:b/>
                        <w:sz w:val="20"/>
                      </w:rPr>
                    </w:pPr>
                    <w:r>
                      <w:rPr>
                        <w:b/>
                        <w:sz w:val="20"/>
                      </w:rPr>
                      <w:t>0.1</w:t>
                    </w:r>
                  </w:p>
                  <w:p>
                    <w:pPr>
                      <w:spacing w:line="226" w:lineRule="exact" w:before="65"/>
                      <w:ind w:left="148" w:right="0" w:firstLine="0"/>
                      <w:jc w:val="center"/>
                      <w:rPr>
                        <w:b/>
                        <w:sz w:val="20"/>
                      </w:rPr>
                    </w:pPr>
                    <w:r>
                      <w:rPr>
                        <w:b/>
                        <w:w w:val="99"/>
                        <w:sz w:val="20"/>
                      </w:rPr>
                      <w:t>0</w:t>
                    </w:r>
                  </w:p>
                </w:txbxContent>
              </v:textbox>
              <w10:wrap type="none"/>
            </v:shape>
            <v:shape style="position:absolute;left:1944;top:3826;width:1044;height:200" type="#_x0000_t202" filled="false" stroked="false">
              <v:textbox inset="0,0,0,0">
                <w:txbxContent>
                  <w:p>
                    <w:pPr>
                      <w:tabs>
                        <w:tab w:pos="677" w:val="left" w:leader="none"/>
                      </w:tabs>
                      <w:spacing w:line="199" w:lineRule="exact" w:before="0"/>
                      <w:ind w:left="0" w:right="0" w:firstLine="0"/>
                      <w:jc w:val="left"/>
                      <w:rPr>
                        <w:b/>
                        <w:sz w:val="20"/>
                      </w:rPr>
                    </w:pPr>
                    <w:r>
                      <w:rPr>
                        <w:b/>
                        <w:sz w:val="20"/>
                      </w:rPr>
                      <w:t>-200</w:t>
                      <w:tab/>
                    </w:r>
                    <w:r>
                      <w:rPr>
                        <w:b/>
                        <w:w w:val="95"/>
                        <w:sz w:val="20"/>
                      </w:rPr>
                      <w:t>-100</w:t>
                    </w:r>
                  </w:p>
                </w:txbxContent>
              </v:textbox>
              <w10:wrap type="none"/>
            </v:shape>
            <v:shape style="position:absolute;left:3433;top:3826;width:100;height:200" type="#_x0000_t202" filled="false" stroked="false">
              <v:textbox inset="0,0,0,0">
                <w:txbxContent>
                  <w:p>
                    <w:pPr>
                      <w:spacing w:line="199" w:lineRule="exact" w:before="0"/>
                      <w:ind w:left="0" w:right="0" w:firstLine="0"/>
                      <w:jc w:val="left"/>
                      <w:rPr>
                        <w:b/>
                        <w:sz w:val="20"/>
                      </w:rPr>
                    </w:pPr>
                    <w:r>
                      <w:rPr>
                        <w:b/>
                        <w:w w:val="99"/>
                        <w:sz w:val="20"/>
                      </w:rPr>
                      <w:t>0</w:t>
                    </w:r>
                  </w:p>
                </w:txbxContent>
              </v:textbox>
              <w10:wrap type="none"/>
            </v:shape>
            <v:shape style="position:absolute;left:4011;top:3826;width:1655;height:200" type="#_x0000_t202" filled="false" stroked="false">
              <v:textbox inset="0,0,0,0">
                <w:txbxContent>
                  <w:p>
                    <w:pPr>
                      <w:tabs>
                        <w:tab w:pos="677" w:val="left" w:leader="none"/>
                        <w:tab w:pos="1355" w:val="left" w:leader="none"/>
                      </w:tabs>
                      <w:spacing w:line="199" w:lineRule="exact" w:before="0"/>
                      <w:ind w:left="0" w:right="0" w:firstLine="0"/>
                      <w:jc w:val="left"/>
                      <w:rPr>
                        <w:b/>
                        <w:sz w:val="20"/>
                      </w:rPr>
                    </w:pPr>
                    <w:r>
                      <w:rPr>
                        <w:b/>
                        <w:sz w:val="20"/>
                      </w:rPr>
                      <w:t>100</w:t>
                      <w:tab/>
                      <w:t>200</w:t>
                      <w:tab/>
                    </w:r>
                    <w:r>
                      <w:rPr>
                        <w:b/>
                        <w:w w:val="95"/>
                        <w:sz w:val="20"/>
                      </w:rPr>
                      <w:t>300</w:t>
                    </w:r>
                  </w:p>
                </w:txbxContent>
              </v:textbox>
              <w10:wrap type="none"/>
            </v:shape>
            <w10:wrap type="none"/>
          </v:group>
        </w:pict>
      </w:r>
      <w:r>
        <w:rPr/>
        <w:pict>
          <v:shape style="position:absolute;margin-left:93.755447pt;margin-top:99.00795pt;width:12pt;height:23.15pt;mso-position-horizontal-relative:page;mso-position-vertical-relative:paragraph;z-index:5248" type="#_x0000_t202" filled="false" stroked="false">
            <v:textbox inset="0,0,0,0" style="layout-flow:vertical;mso-layout-flow-alt:bottom-to-top">
              <w:txbxContent>
                <w:p>
                  <w:pPr>
                    <w:spacing w:line="224" w:lineRule="exact" w:before="0"/>
                    <w:ind w:left="20" w:right="-222" w:firstLine="0"/>
                    <w:jc w:val="left"/>
                    <w:rPr>
                      <w:b/>
                      <w:sz w:val="20"/>
                    </w:rPr>
                  </w:pPr>
                  <w:r>
                    <w:rPr>
                      <w:b/>
                      <w:color w:val="0D0D0D"/>
                      <w:w w:val="99"/>
                      <w:sz w:val="20"/>
                    </w:rPr>
                    <w:t>Pr</w:t>
                  </w:r>
                  <w:r>
                    <w:rPr>
                      <w:b/>
                      <w:color w:val="0D0D0D"/>
                      <w:spacing w:val="1"/>
                      <w:w w:val="99"/>
                      <w:sz w:val="20"/>
                    </w:rPr>
                    <w:t>o</w:t>
                  </w:r>
                  <w:r>
                    <w:rPr>
                      <w:b/>
                      <w:color w:val="0D0D0D"/>
                      <w:w w:val="99"/>
                      <w:sz w:val="20"/>
                    </w:rPr>
                    <w:t>b</w:t>
                  </w:r>
                </w:p>
              </w:txbxContent>
            </v:textbox>
            <w10:wrap type="none"/>
          </v:shape>
        </w:pict>
      </w:r>
      <w:r>
        <w:rPr/>
        <w:pict>
          <v:shape style="position:absolute;margin-left:99.259468pt;margin-top:48.744293pt;width:9pt;height:36.65pt;mso-position-horizontal-relative:page;mso-position-vertical-relative:paragraph;z-index:5272" type="#_x0000_t202" filled="false" stroked="false">
            <v:textbox inset="0,0,0,0" style="layout-flow:vertical;mso-layout-flow-alt:bottom-to-top">
              <w:txbxContent>
                <w:p>
                  <w:pPr>
                    <w:spacing w:before="1"/>
                    <w:ind w:left="20" w:right="-282" w:firstLine="0"/>
                    <w:jc w:val="left"/>
                    <w:rPr>
                      <w:sz w:val="14"/>
                    </w:rPr>
                  </w:pPr>
                  <w:r>
                    <w:rPr>
                      <w:spacing w:val="-1"/>
                      <w:w w:val="99"/>
                      <w:sz w:val="14"/>
                    </w:rPr>
                    <w:t>I</w:t>
                  </w:r>
                  <w:r>
                    <w:rPr>
                      <w:w w:val="99"/>
                      <w:sz w:val="14"/>
                    </w:rPr>
                    <w:t>NE</w:t>
                  </w:r>
                  <w:r>
                    <w:rPr>
                      <w:spacing w:val="2"/>
                      <w:sz w:val="14"/>
                    </w:rPr>
                    <w:t> </w:t>
                  </w:r>
                  <w:r>
                    <w:rPr>
                      <w:spacing w:val="-3"/>
                      <w:w w:val="99"/>
                      <w:sz w:val="14"/>
                    </w:rPr>
                    <w:t>m</w:t>
                  </w:r>
                  <w:r>
                    <w:rPr>
                      <w:spacing w:val="1"/>
                      <w:w w:val="99"/>
                      <w:sz w:val="14"/>
                    </w:rPr>
                    <w:t>í</w:t>
                  </w:r>
                  <w:r>
                    <w:rPr>
                      <w:w w:val="99"/>
                      <w:sz w:val="14"/>
                    </w:rPr>
                    <w:t>n</w:t>
                  </w:r>
                  <w:r>
                    <w:rPr>
                      <w:spacing w:val="1"/>
                      <w:w w:val="99"/>
                      <w:sz w:val="14"/>
                    </w:rPr>
                    <w:t>i</w:t>
                  </w:r>
                  <w:r>
                    <w:rPr>
                      <w:spacing w:val="-3"/>
                      <w:w w:val="99"/>
                      <w:sz w:val="14"/>
                    </w:rPr>
                    <w:t>m</w:t>
                  </w:r>
                  <w:r>
                    <w:rPr>
                      <w:w w:val="99"/>
                      <w:sz w:val="14"/>
                    </w:rPr>
                    <w:t>a</w:t>
                  </w:r>
                </w:p>
              </w:txbxContent>
            </v:textbox>
            <w10:wrap type="none"/>
          </v:shape>
        </w:pict>
      </w:r>
      <w:r>
        <w:rPr/>
        <w:pict>
          <v:shape style="position:absolute;margin-left:282.669464pt;margin-top:47.660213pt;width:9pt;height:37.85pt;mso-position-horizontal-relative:page;mso-position-vertical-relative:paragraph;z-index:5296" type="#_x0000_t202" filled="false" stroked="false">
            <v:textbox inset="0,0,0,0" style="layout-flow:vertical;mso-layout-flow-alt:bottom-to-top">
              <w:txbxContent>
                <w:p>
                  <w:pPr>
                    <w:spacing w:before="1"/>
                    <w:ind w:left="20" w:right="-306" w:firstLine="0"/>
                    <w:jc w:val="left"/>
                    <w:rPr>
                      <w:sz w:val="14"/>
                    </w:rPr>
                  </w:pPr>
                  <w:r>
                    <w:rPr>
                      <w:spacing w:val="-1"/>
                      <w:w w:val="99"/>
                      <w:sz w:val="14"/>
                    </w:rPr>
                    <w:t>I</w:t>
                  </w:r>
                  <w:r>
                    <w:rPr>
                      <w:w w:val="99"/>
                      <w:sz w:val="14"/>
                    </w:rPr>
                    <w:t>NE</w:t>
                  </w:r>
                  <w:r>
                    <w:rPr>
                      <w:spacing w:val="2"/>
                      <w:sz w:val="14"/>
                    </w:rPr>
                    <w:t> </w:t>
                  </w:r>
                  <w:r>
                    <w:rPr>
                      <w:spacing w:val="-3"/>
                      <w:w w:val="99"/>
                      <w:sz w:val="14"/>
                    </w:rPr>
                    <w:t>m</w:t>
                  </w:r>
                  <w:r>
                    <w:rPr>
                      <w:spacing w:val="2"/>
                      <w:w w:val="99"/>
                      <w:sz w:val="14"/>
                    </w:rPr>
                    <w:t>á</w:t>
                  </w:r>
                  <w:r>
                    <w:rPr>
                      <w:w w:val="99"/>
                      <w:sz w:val="14"/>
                    </w:rPr>
                    <w:t>x</w:t>
                  </w:r>
                  <w:r>
                    <w:rPr>
                      <w:spacing w:val="1"/>
                      <w:w w:val="99"/>
                      <w:sz w:val="14"/>
                    </w:rPr>
                    <w:t>i</w:t>
                  </w:r>
                  <w:r>
                    <w:rPr>
                      <w:spacing w:val="-3"/>
                      <w:w w:val="99"/>
                      <w:sz w:val="14"/>
                    </w:rPr>
                    <w:t>m</w:t>
                  </w:r>
                  <w:r>
                    <w:rPr>
                      <w:w w:val="99"/>
                      <w:sz w:val="14"/>
                    </w:rPr>
                    <w:t>a</w:t>
                  </w:r>
                </w:p>
              </w:txbxContent>
            </v:textbox>
            <w10:wrap type="none"/>
          </v:shape>
        </w:pict>
      </w:r>
      <w:r>
        <w:rPr/>
        <w:pict>
          <v:shape style="position:absolute;margin-left:312.069458pt;margin-top:48.964294pt;width:9pt;height:36.65pt;mso-position-horizontal-relative:page;mso-position-vertical-relative:paragraph;z-index:5320" type="#_x0000_t202" filled="false" stroked="false">
            <v:textbox inset="0,0,0,0" style="layout-flow:vertical;mso-layout-flow-alt:bottom-to-top">
              <w:txbxContent>
                <w:p>
                  <w:pPr>
                    <w:spacing w:before="1"/>
                    <w:ind w:left="20" w:right="-282" w:firstLine="0"/>
                    <w:jc w:val="left"/>
                    <w:rPr>
                      <w:sz w:val="14"/>
                    </w:rPr>
                  </w:pPr>
                  <w:r>
                    <w:rPr>
                      <w:spacing w:val="-1"/>
                      <w:w w:val="99"/>
                      <w:sz w:val="14"/>
                    </w:rPr>
                    <w:t>I</w:t>
                  </w:r>
                  <w:r>
                    <w:rPr>
                      <w:w w:val="99"/>
                      <w:sz w:val="14"/>
                    </w:rPr>
                    <w:t>NE</w:t>
                  </w:r>
                  <w:r>
                    <w:rPr>
                      <w:spacing w:val="2"/>
                      <w:sz w:val="14"/>
                    </w:rPr>
                    <w:t> </w:t>
                  </w:r>
                  <w:r>
                    <w:rPr>
                      <w:spacing w:val="-3"/>
                      <w:w w:val="99"/>
                      <w:sz w:val="14"/>
                    </w:rPr>
                    <w:t>m</w:t>
                  </w:r>
                  <w:r>
                    <w:rPr>
                      <w:spacing w:val="1"/>
                      <w:w w:val="99"/>
                      <w:sz w:val="14"/>
                    </w:rPr>
                    <w:t>í</w:t>
                  </w:r>
                  <w:r>
                    <w:rPr>
                      <w:w w:val="99"/>
                      <w:sz w:val="14"/>
                    </w:rPr>
                    <w:t>n</w:t>
                  </w:r>
                  <w:r>
                    <w:rPr>
                      <w:spacing w:val="1"/>
                      <w:w w:val="99"/>
                      <w:sz w:val="14"/>
                    </w:rPr>
                    <w:t>i</w:t>
                  </w:r>
                  <w:r>
                    <w:rPr>
                      <w:spacing w:val="-3"/>
                      <w:w w:val="99"/>
                      <w:sz w:val="14"/>
                    </w:rPr>
                    <w:t>m</w:t>
                  </w:r>
                  <w:r>
                    <w:rPr>
                      <w:w w:val="99"/>
                      <w:sz w:val="14"/>
                    </w:rPr>
                    <w:t>a</w:t>
                  </w:r>
                </w:p>
              </w:txbxContent>
            </v:textbox>
            <w10:wrap type="none"/>
          </v:shape>
        </w:pict>
      </w:r>
      <w:r>
        <w:rPr/>
        <w:pict>
          <v:shape style="position:absolute;margin-left:506.859467pt;margin-top:45.400211pt;width:9pt;height:37.85pt;mso-position-horizontal-relative:page;mso-position-vertical-relative:paragraph;z-index:5344" type="#_x0000_t202" filled="false" stroked="false">
            <v:textbox inset="0,0,0,0" style="layout-flow:vertical;mso-layout-flow-alt:bottom-to-top">
              <w:txbxContent>
                <w:p>
                  <w:pPr>
                    <w:spacing w:before="1"/>
                    <w:ind w:left="20" w:right="-306" w:firstLine="0"/>
                    <w:jc w:val="left"/>
                    <w:rPr>
                      <w:sz w:val="14"/>
                    </w:rPr>
                  </w:pPr>
                  <w:r>
                    <w:rPr>
                      <w:spacing w:val="-1"/>
                      <w:w w:val="99"/>
                      <w:sz w:val="14"/>
                    </w:rPr>
                    <w:t>I</w:t>
                  </w:r>
                  <w:r>
                    <w:rPr>
                      <w:w w:val="99"/>
                      <w:sz w:val="14"/>
                    </w:rPr>
                    <w:t>NE</w:t>
                  </w:r>
                  <w:r>
                    <w:rPr>
                      <w:spacing w:val="2"/>
                      <w:sz w:val="14"/>
                    </w:rPr>
                    <w:t> </w:t>
                  </w:r>
                  <w:r>
                    <w:rPr>
                      <w:spacing w:val="-3"/>
                      <w:w w:val="99"/>
                      <w:sz w:val="14"/>
                    </w:rPr>
                    <w:t>m</w:t>
                  </w:r>
                  <w:r>
                    <w:rPr>
                      <w:spacing w:val="2"/>
                      <w:w w:val="99"/>
                      <w:sz w:val="14"/>
                    </w:rPr>
                    <w:t>á</w:t>
                  </w:r>
                  <w:r>
                    <w:rPr>
                      <w:w w:val="99"/>
                      <w:sz w:val="14"/>
                    </w:rPr>
                    <w:t>x</w:t>
                  </w:r>
                  <w:r>
                    <w:rPr>
                      <w:spacing w:val="1"/>
                      <w:w w:val="99"/>
                      <w:sz w:val="14"/>
                    </w:rPr>
                    <w:t>i</w:t>
                  </w:r>
                  <w:r>
                    <w:rPr>
                      <w:spacing w:val="-3"/>
                      <w:w w:val="99"/>
                      <w:sz w:val="14"/>
                    </w:rPr>
                    <w:t>m</w:t>
                  </w:r>
                  <w:r>
                    <w:rPr>
                      <w:w w:val="99"/>
                      <w:sz w:val="14"/>
                    </w:rPr>
                    <w:t>a</w:t>
                  </w:r>
                </w:p>
              </w:txbxContent>
            </v:textbox>
            <w10:wrap type="none"/>
          </v:shape>
        </w:pict>
      </w:r>
      <w:r>
        <w:rPr>
          <w:b/>
        </w:rPr>
        <w:t>Figura 1. </w:t>
      </w:r>
      <w:r>
        <w:rPr/>
        <w:t>FPA para ingresos netos en efectivo, 2010-2019 (miles de pesos)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pPr>
    </w:p>
    <w:p>
      <w:pPr>
        <w:spacing w:before="0"/>
        <w:ind w:left="122" w:right="0" w:firstLine="0"/>
        <w:jc w:val="both"/>
        <w:rPr>
          <w:sz w:val="20"/>
        </w:rPr>
      </w:pPr>
      <w:r>
        <w:rPr>
          <w:sz w:val="20"/>
        </w:rPr>
        <w:t>Fuente: Elaboración propia.</w:t>
      </w: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line="360" w:lineRule="auto" w:before="1"/>
        <w:ind w:left="122" w:right="1698"/>
        <w:jc w:val="both"/>
      </w:pPr>
      <w:r>
        <w:rPr/>
        <w:t>Los</w:t>
      </w:r>
      <w:r>
        <w:rPr>
          <w:spacing w:val="-8"/>
        </w:rPr>
        <w:t> </w:t>
      </w:r>
      <w:r>
        <w:rPr/>
        <w:t>resultados</w:t>
      </w:r>
      <w:r>
        <w:rPr>
          <w:spacing w:val="-11"/>
        </w:rPr>
        <w:t> </w:t>
      </w:r>
      <w:r>
        <w:rPr/>
        <w:t>de</w:t>
      </w:r>
      <w:r>
        <w:rPr>
          <w:spacing w:val="-12"/>
        </w:rPr>
        <w:t> </w:t>
      </w:r>
      <w:r>
        <w:rPr/>
        <w:t>la</w:t>
      </w:r>
      <w:r>
        <w:rPr>
          <w:spacing w:val="-9"/>
        </w:rPr>
        <w:t> </w:t>
      </w:r>
      <w:r>
        <w:rPr/>
        <w:t>FPA</w:t>
      </w:r>
      <w:r>
        <w:rPr>
          <w:spacing w:val="-9"/>
        </w:rPr>
        <w:t> </w:t>
      </w:r>
      <w:r>
        <w:rPr/>
        <w:t>en</w:t>
      </w:r>
      <w:r>
        <w:rPr>
          <w:spacing w:val="-11"/>
        </w:rPr>
        <w:t> </w:t>
      </w:r>
      <w:r>
        <w:rPr/>
        <w:t>el</w:t>
      </w:r>
      <w:r>
        <w:rPr>
          <w:spacing w:val="-11"/>
        </w:rPr>
        <w:t> </w:t>
      </w:r>
      <w:r>
        <w:rPr/>
        <w:t>modelo</w:t>
      </w:r>
      <w:r>
        <w:rPr>
          <w:spacing w:val="-9"/>
        </w:rPr>
        <w:t> </w:t>
      </w:r>
      <w:r>
        <w:rPr/>
        <w:t>1,</w:t>
      </w:r>
      <w:r>
        <w:rPr>
          <w:spacing w:val="-11"/>
        </w:rPr>
        <w:t> </w:t>
      </w:r>
      <w:r>
        <w:rPr/>
        <w:t>indicaron</w:t>
      </w:r>
      <w:r>
        <w:rPr>
          <w:spacing w:val="-10"/>
        </w:rPr>
        <w:t> </w:t>
      </w:r>
      <w:r>
        <w:rPr/>
        <w:t>que</w:t>
      </w:r>
      <w:r>
        <w:rPr>
          <w:spacing w:val="-12"/>
        </w:rPr>
        <w:t> </w:t>
      </w:r>
      <w:r>
        <w:rPr/>
        <w:t>las</w:t>
      </w:r>
      <w:r>
        <w:rPr>
          <w:spacing w:val="-9"/>
        </w:rPr>
        <w:t> </w:t>
      </w:r>
      <w:r>
        <w:rPr/>
        <w:t>reservas</w:t>
      </w:r>
      <w:r>
        <w:rPr>
          <w:spacing w:val="-5"/>
        </w:rPr>
        <w:t> </w:t>
      </w:r>
      <w:r>
        <w:rPr/>
        <w:t>finales</w:t>
      </w:r>
      <w:r>
        <w:rPr>
          <w:spacing w:val="-9"/>
        </w:rPr>
        <w:t> </w:t>
      </w:r>
      <w:r>
        <w:rPr/>
        <w:t>de</w:t>
      </w:r>
      <w:r>
        <w:rPr>
          <w:spacing w:val="-12"/>
        </w:rPr>
        <w:t> </w:t>
      </w:r>
      <w:r>
        <w:rPr/>
        <w:t>efectivo</w:t>
      </w:r>
      <w:r>
        <w:rPr>
          <w:spacing w:val="-11"/>
        </w:rPr>
        <w:t> </w:t>
      </w:r>
      <w:r>
        <w:rPr/>
        <w:t>(RFE) variaron entre $-803.16 a $1,061.71 miles de pesos, sus valores medios se ubicaron en $70 mil pesos en 2010 y $587 en 2019. La probabilidad de que las RFE sean menores a cero (P(RFE&lt;0) fue de 16.0%, es decir, existe una mayor probabilidad de que esta sea mayor</w:t>
      </w:r>
      <w:r>
        <w:rPr>
          <w:spacing w:val="-42"/>
        </w:rPr>
        <w:t> </w:t>
      </w:r>
      <w:r>
        <w:rPr/>
        <w:t>que cero.</w:t>
      </w:r>
      <w:r>
        <w:rPr>
          <w:spacing w:val="-6"/>
        </w:rPr>
        <w:t> </w:t>
      </w:r>
      <w:r>
        <w:rPr/>
        <w:t>La</w:t>
      </w:r>
      <w:r>
        <w:rPr>
          <w:spacing w:val="-8"/>
        </w:rPr>
        <w:t> </w:t>
      </w:r>
      <w:r>
        <w:rPr/>
        <w:t>FPA</w:t>
      </w:r>
      <w:r>
        <w:rPr>
          <w:spacing w:val="-8"/>
        </w:rPr>
        <w:t> </w:t>
      </w:r>
      <w:r>
        <w:rPr/>
        <w:t>en</w:t>
      </w:r>
      <w:r>
        <w:rPr>
          <w:spacing w:val="-7"/>
        </w:rPr>
        <w:t> </w:t>
      </w:r>
      <w:r>
        <w:rPr/>
        <w:t>el</w:t>
      </w:r>
      <w:r>
        <w:rPr>
          <w:spacing w:val="-7"/>
        </w:rPr>
        <w:t> </w:t>
      </w:r>
      <w:r>
        <w:rPr/>
        <w:t>modelo</w:t>
      </w:r>
      <w:r>
        <w:rPr>
          <w:spacing w:val="-7"/>
        </w:rPr>
        <w:t> </w:t>
      </w:r>
      <w:r>
        <w:rPr/>
        <w:t>2,</w:t>
      </w:r>
      <w:r>
        <w:rPr>
          <w:spacing w:val="-7"/>
        </w:rPr>
        <w:t> </w:t>
      </w:r>
      <w:r>
        <w:rPr/>
        <w:t>mostró</w:t>
      </w:r>
      <w:r>
        <w:rPr>
          <w:spacing w:val="-8"/>
        </w:rPr>
        <w:t> </w:t>
      </w:r>
      <w:r>
        <w:rPr/>
        <w:t>una</w:t>
      </w:r>
      <w:r>
        <w:rPr>
          <w:spacing w:val="-8"/>
        </w:rPr>
        <w:t> </w:t>
      </w:r>
      <w:r>
        <w:rPr/>
        <w:t>variabilidad</w:t>
      </w:r>
      <w:r>
        <w:rPr>
          <w:spacing w:val="-7"/>
        </w:rPr>
        <w:t> </w:t>
      </w:r>
      <w:r>
        <w:rPr/>
        <w:t>menor</w:t>
      </w:r>
      <w:r>
        <w:rPr>
          <w:spacing w:val="-8"/>
        </w:rPr>
        <w:t> </w:t>
      </w:r>
      <w:r>
        <w:rPr/>
        <w:t>respecto</w:t>
      </w:r>
      <w:r>
        <w:rPr>
          <w:spacing w:val="-7"/>
        </w:rPr>
        <w:t> </w:t>
      </w:r>
      <w:r>
        <w:rPr/>
        <w:t>a</w:t>
      </w:r>
      <w:r>
        <w:rPr>
          <w:spacing w:val="-8"/>
        </w:rPr>
        <w:t> </w:t>
      </w:r>
      <w:r>
        <w:rPr/>
        <w:t>sus</w:t>
      </w:r>
      <w:r>
        <w:rPr>
          <w:spacing w:val="-7"/>
        </w:rPr>
        <w:t> </w:t>
      </w:r>
      <w:r>
        <w:rPr/>
        <w:t>valores</w:t>
      </w:r>
      <w:r>
        <w:rPr>
          <w:spacing w:val="-7"/>
        </w:rPr>
        <w:t> </w:t>
      </w:r>
      <w:r>
        <w:rPr/>
        <w:t>extremos de</w:t>
      </w:r>
      <w:r>
        <w:rPr>
          <w:spacing w:val="-10"/>
        </w:rPr>
        <w:t> </w:t>
      </w:r>
      <w:r>
        <w:rPr/>
        <w:t>$-564.69</w:t>
      </w:r>
      <w:r>
        <w:rPr>
          <w:spacing w:val="-2"/>
        </w:rPr>
        <w:t> </w:t>
      </w:r>
      <w:r>
        <w:rPr/>
        <w:t>y</w:t>
      </w:r>
      <w:r>
        <w:rPr>
          <w:spacing w:val="-13"/>
        </w:rPr>
        <w:t> </w:t>
      </w:r>
      <w:r>
        <w:rPr/>
        <w:t>$1,229.85</w:t>
      </w:r>
      <w:r>
        <w:rPr>
          <w:spacing w:val="-6"/>
        </w:rPr>
        <w:t> </w:t>
      </w:r>
      <w:r>
        <w:rPr/>
        <w:t>respectivamente,</w:t>
      </w:r>
      <w:r>
        <w:rPr>
          <w:spacing w:val="-7"/>
        </w:rPr>
        <w:t> </w:t>
      </w:r>
      <w:r>
        <w:rPr/>
        <w:t>así</w:t>
      </w:r>
      <w:r>
        <w:rPr>
          <w:spacing w:val="-8"/>
        </w:rPr>
        <w:t> </w:t>
      </w:r>
      <w:r>
        <w:rPr/>
        <w:t>mismo,</w:t>
      </w:r>
      <w:r>
        <w:rPr>
          <w:spacing w:val="-8"/>
        </w:rPr>
        <w:t> </w:t>
      </w:r>
      <w:r>
        <w:rPr/>
        <w:t>el</w:t>
      </w:r>
      <w:r>
        <w:rPr>
          <w:spacing w:val="-8"/>
        </w:rPr>
        <w:t> </w:t>
      </w:r>
      <w:r>
        <w:rPr/>
        <w:t>valor</w:t>
      </w:r>
      <w:r>
        <w:rPr>
          <w:spacing w:val="-7"/>
        </w:rPr>
        <w:t> </w:t>
      </w:r>
      <w:r>
        <w:rPr/>
        <w:t>medio</w:t>
      </w:r>
      <w:r>
        <w:rPr>
          <w:spacing w:val="-6"/>
        </w:rPr>
        <w:t> </w:t>
      </w:r>
      <w:r>
        <w:rPr/>
        <w:t>en</w:t>
      </w:r>
      <w:r>
        <w:rPr>
          <w:spacing w:val="-9"/>
        </w:rPr>
        <w:t> </w:t>
      </w:r>
      <w:r>
        <w:rPr/>
        <w:t>cada</w:t>
      </w:r>
      <w:r>
        <w:rPr>
          <w:spacing w:val="-10"/>
        </w:rPr>
        <w:t> </w:t>
      </w:r>
      <w:r>
        <w:rPr/>
        <w:t>modelo</w:t>
      </w:r>
      <w:r>
        <w:rPr>
          <w:spacing w:val="-9"/>
        </w:rPr>
        <w:t> </w:t>
      </w:r>
      <w:r>
        <w:rPr/>
        <w:t>paso</w:t>
      </w:r>
      <w:r>
        <w:rPr>
          <w:spacing w:val="-8"/>
        </w:rPr>
        <w:t> </w:t>
      </w:r>
      <w:r>
        <w:rPr/>
        <w:t>de</w:t>
      </w:r>
    </w:p>
    <w:p>
      <w:pPr>
        <w:pStyle w:val="BodyText"/>
        <w:spacing w:line="360" w:lineRule="auto" w:before="6"/>
        <w:ind w:left="122" w:right="1696"/>
        <w:jc w:val="both"/>
      </w:pPr>
      <w:r>
        <w:rPr/>
        <w:t>$70</w:t>
      </w:r>
      <w:r>
        <w:rPr>
          <w:spacing w:val="-4"/>
        </w:rPr>
        <w:t> </w:t>
      </w:r>
      <w:r>
        <w:rPr/>
        <w:t>a</w:t>
      </w:r>
      <w:r>
        <w:rPr>
          <w:spacing w:val="-5"/>
        </w:rPr>
        <w:t> </w:t>
      </w:r>
      <w:r>
        <w:rPr/>
        <w:t>97</w:t>
      </w:r>
      <w:r>
        <w:rPr>
          <w:spacing w:val="-2"/>
        </w:rPr>
        <w:t> </w:t>
      </w:r>
      <w:r>
        <w:rPr/>
        <w:t>y</w:t>
      </w:r>
      <w:r>
        <w:rPr>
          <w:spacing w:val="-11"/>
        </w:rPr>
        <w:t> </w:t>
      </w:r>
      <w:r>
        <w:rPr/>
        <w:t>de</w:t>
      </w:r>
      <w:r>
        <w:rPr>
          <w:spacing w:val="-5"/>
        </w:rPr>
        <w:t> </w:t>
      </w:r>
      <w:r>
        <w:rPr/>
        <w:t>$587</w:t>
      </w:r>
      <w:r>
        <w:rPr>
          <w:spacing w:val="-4"/>
        </w:rPr>
        <w:t> </w:t>
      </w:r>
      <w:r>
        <w:rPr/>
        <w:t>a</w:t>
      </w:r>
      <w:r>
        <w:rPr>
          <w:spacing w:val="-5"/>
        </w:rPr>
        <w:t> </w:t>
      </w:r>
      <w:r>
        <w:rPr/>
        <w:t>943</w:t>
      </w:r>
      <w:r>
        <w:rPr>
          <w:spacing w:val="-4"/>
        </w:rPr>
        <w:t> </w:t>
      </w:r>
      <w:r>
        <w:rPr/>
        <w:t>mil</w:t>
      </w:r>
      <w:r>
        <w:rPr>
          <w:spacing w:val="-3"/>
        </w:rPr>
        <w:t> </w:t>
      </w:r>
      <w:r>
        <w:rPr/>
        <w:t>de</w:t>
      </w:r>
      <w:r>
        <w:rPr>
          <w:spacing w:val="-5"/>
        </w:rPr>
        <w:t> </w:t>
      </w:r>
      <w:r>
        <w:rPr/>
        <w:t>pesos</w:t>
      </w:r>
      <w:r>
        <w:rPr>
          <w:spacing w:val="-3"/>
        </w:rPr>
        <w:t> </w:t>
      </w:r>
      <w:r>
        <w:rPr/>
        <w:t>(Figura</w:t>
      </w:r>
      <w:r>
        <w:rPr>
          <w:spacing w:val="-6"/>
        </w:rPr>
        <w:t> </w:t>
      </w:r>
      <w:r>
        <w:rPr/>
        <w:t>2).</w:t>
      </w:r>
      <w:r>
        <w:rPr>
          <w:spacing w:val="-2"/>
        </w:rPr>
        <w:t> </w:t>
      </w:r>
      <w:r>
        <w:rPr/>
        <w:t>La</w:t>
      </w:r>
      <w:r>
        <w:rPr>
          <w:spacing w:val="-5"/>
        </w:rPr>
        <w:t> </w:t>
      </w:r>
      <w:r>
        <w:rPr/>
        <w:t>probabilidad</w:t>
      </w:r>
      <w:r>
        <w:rPr>
          <w:spacing w:val="-4"/>
        </w:rPr>
        <w:t> </w:t>
      </w:r>
      <w:r>
        <w:rPr/>
        <w:t>(riesgo)</w:t>
      </w:r>
      <w:r>
        <w:rPr>
          <w:spacing w:val="-2"/>
        </w:rPr>
        <w:t> </w:t>
      </w:r>
      <w:r>
        <w:rPr/>
        <w:t>de</w:t>
      </w:r>
      <w:r>
        <w:rPr>
          <w:spacing w:val="-6"/>
        </w:rPr>
        <w:t> </w:t>
      </w:r>
      <w:r>
        <w:rPr/>
        <w:t>que</w:t>
      </w:r>
      <w:r>
        <w:rPr>
          <w:spacing w:val="-5"/>
        </w:rPr>
        <w:t> </w:t>
      </w:r>
      <w:r>
        <w:rPr/>
        <w:t>P(RFE&lt;0) en el modelo 2 representó ocho puntos porcentuales menos respecto del modelo 1, lo que significa un mayor riesgo del modelo 1 y este es explicado por la contabilidad del costo atribuido a la</w:t>
      </w:r>
      <w:r>
        <w:rPr>
          <w:spacing w:val="-6"/>
        </w:rPr>
        <w:t> </w:t>
      </w:r>
      <w:r>
        <w:rPr/>
        <w:t>MOF.</w:t>
      </w:r>
    </w:p>
    <w:p>
      <w:pPr>
        <w:spacing w:after="0" w:line="360" w:lineRule="auto"/>
        <w:jc w:val="both"/>
        <w:sectPr>
          <w:pgSz w:w="12240" w:h="15840"/>
          <w:pgMar w:header="0" w:footer="657" w:top="1360" w:bottom="840" w:left="1580" w:right="0"/>
        </w:sectPr>
      </w:pPr>
    </w:p>
    <w:p>
      <w:pPr>
        <w:pStyle w:val="BodyText"/>
        <w:spacing w:before="50"/>
        <w:ind w:left="841" w:right="1135"/>
      </w:pPr>
      <w:r>
        <w:rPr/>
        <w:pict>
          <v:group style="position:absolute;margin-left:84.589996pt;margin-top:29.893154pt;width:443.9pt;height:186.4pt;mso-position-horizontal-relative:page;mso-position-vertical-relative:paragraph;z-index:-458056" coordorigin="1692,598" coordsize="8878,3728">
            <v:shape style="position:absolute;left:2220;top:821;width:3420;height:3113" coordorigin="2220,821" coordsize="3420,3113" path="m3588,3881l3588,821m3528,3881l3588,3881m3528,3574l3588,3574m3528,3269l3588,3269m3528,2962l3588,2962m3528,2657l3588,2657m3528,2350l3588,2350m3528,2045l3588,2045m3528,1738l3588,1738m3528,1433l3588,1433m3528,1128l3588,1128m3528,821l3588,821m2220,3881l5640,3881m2220,3881l2220,3934m2904,3881l2904,3934m3588,3881l3588,3934m4272,3881l4272,3934m4956,3881l4956,3934m5640,3881l5640,3934e" filled="false" stroked="true" strokeweight=".48pt" strokecolor="#888888">
              <v:path arrowok="t"/>
            </v:shape>
            <v:shape style="position:absolute;left:2490;top:822;width:2549;height:3058" coordorigin="2490,822" coordsize="2549,3058" path="m2490,3880l2491,3880,2497,3874,2506,3874,2568,3873,2657,3871,2755,3870,2845,3869,2908,3868,2924,3867,2937,3862,2939,3862,2945,3860,2949,3857,2951,3855,2952,3855,2949,3850,2952,3849,2958,3847,2982,3845,2991,3843,2997,3842,2999,3839,3003,3837,3008,3835,3014,3833,3022,3831,3029,3829,3037,3827,3047,3825,3057,3823,3102,3811,3101,3808,3102,3806,3102,3805,3100,3802,3103,3800,3175,3791,3201,3790,3222,3788,3240,3786,3253,3784,3258,3782,3262,3781,3260,3777,3262,3776,3265,3774,3276,3772,3280,3770,3284,3768,3286,3766,3287,3764,3289,3762,3289,3759,3290,3757,3290,3757,3288,3752,3291,3751,3297,3749,3320,3747,3329,3745,3336,3743,3337,3741,3343,3739,3350,3737,3366,3735,3372,3733,3375,3732,3374,3728,3374,3727,3375,3725,3376,3723,3376,3721,3376,3720,3373,3716,3376,3715,3382,3713,3402,3710,3408,3708,3411,3707,3410,3703,3411,3702,3412,3700,3413,3698,3414,3696,3415,3694,3415,3692,3416,3690,3418,3688,3422,3686,3423,3684,3425,3682,3424,3680,3424,3678,3424,3676,3423,3674,3426,3672,3428,3670,3434,3668,3438,3666,3442,3663,3446,3661,3450,3659,3453,3657,3457,3655,3461,3653,3464,3651,3468,3649,3469,3647,3471,3645,3469,3643,3469,3641,3470,3639,3471,3637,3472,3635,3472,3633,3470,3630,3472,3629,3476,3627,3490,3625,3496,3623,3502,3621,3505,3619,3508,3617,3510,3614,3508,3612,3510,3610,3511,3608,3513,3606,3514,3604,3515,3602,3514,3600,3515,3598,3516,3596,3518,3594,3519,3592,3520,3590,3520,3588,3521,3586,3522,3584,3523,3582,3524,3580,3525,3578,3526,3576,3526,3574,3527,3572,3526,3570,3528,3567,3529,3565,3534,3563,3536,3561,3537,3560,3535,3557,3538,3555,3542,3553,3555,3551,3559,3549,3562,3548,3558,3545,3560,3543,3563,3541,3574,3539,3577,3537,3580,3535,3580,3533,3581,3531,3582,3529,3583,3527,3584,3525,3585,3523,3588,3521,3589,3518,3590,3516,3589,3514,3590,3512,3591,3510,3595,3508,3597,3506,3600,3504,3604,3502,3606,3500,3608,3498,3609,3496,3609,3494,3610,3492,3608,3490,3609,3488,3611,3486,3618,3484,3620,3482,3623,3480,3622,3478,3623,3476,3624,3474,3624,3472,3625,3469,3627,3467,3630,3465,3631,3463,3633,3461,3632,3459,3633,3457,3634,3455,3635,3453,3636,3451,3637,3449,3637,3447,3638,3445,3640,3443,3642,3441,3644,3439,3647,3437,3651,3435,3652,3433,3654,3431,3654,3429,3655,3427,3655,3425,3655,3422,3655,3420,3655,3418,3654,3416,3655,3414,3656,3412,3659,3410,3661,3408,3677,3398,3679,3396,3681,3394,3680,3392,3680,3390,3680,3388,3679,3386,3680,3384,3681,3382,3685,3380,3686,3378,3687,3376,3684,3373,3686,3371,3688,3369,3697,3367,3699,3365,3702,3363,3701,3361,3702,3359,3703,3357,3703,3355,3704,3353,3705,3351,3708,3349,3709,3347,3710,3345,3710,3343,3710,3341,3711,3339,3712,3337,3714,3335,3716,3333,3720,3331,3722,3329,3724,3326,3728,3324,3729,3322,3730,3320,3729,3318,3730,3316,3730,3314,3729,3312,3730,3310,3741,3300,3743,3298,3744,3296,3745,3294,3745,3292,3746,3290,3745,3288,3745,3286,3746,3284,3746,3282,3747,3280,3747,3277,3749,3275,3749,3273,3749,3271,3749,3269,3750,3267,3750,3265,3750,3263,3750,3261,3751,3259,3752,3257,3752,3255,3753,3253,3753,3251,3754,3249,3755,3247,3756,3245,3757,3243,3757,3241,3757,3239,3758,3237,3758,3235,3758,3233,3758,3230,3758,3228,3757,3226,3758,3224,3759,3222,3761,3220,3762,3218,3764,3216,3766,3214,3767,3212,3768,3210,3769,3208,3770,3206,3770,3204,3770,3202,3770,3200,3770,3198,3770,3196,3770,3194,3770,3192,3771,3190,3771,3188,3771,3186,3771,3184,3771,3181,3771,3179,3773,3177,3773,3175,3774,3173,3773,3171,3773,3169,3774,3167,3777,3165,3777,3163,3778,3161,3777,3159,3778,3157,3778,3155,3779,3153,3779,3151,3779,3149,3780,3147,3780,3145,3780,3143,3781,3141,3781,3139,3782,3137,3783,3134,3784,3132,3784,3130,3783,3128,3784,3126,3785,3124,3786,3122,3787,3120,3788,3118,3787,3116,3788,3114,3789,3112,3792,3110,3793,3108,3794,3106,3793,3104,3794,3102,3794,3100,3794,3098,3796,3096,3797,3094,3800,3092,3801,3090,3803,3088,3804,3085,3805,3083,3806,3081,3806,3079,3807,3077,3808,3075,3814,3065,3814,3063,3813,3061,3815,3059,3817,3057,3830,3047,3831,3045,3830,3043,3830,3041,3830,3038,3831,3036,3831,3034,3831,3032,3831,3030,3831,3028,3832,3026,3833,3024,3833,3022,3834,3020,3834,3018,3835,3016,3836,3014,3837,3012,3838,3010,3839,3008,3839,3006,3839,3004,3839,3002,3840,3000,3840,2998,3840,2996,3841,2994,3842,2992,3843,2989,3845,2987,3846,2985,3847,2983,3847,2981,3848,2979,3849,2977,3851,2975,3853,2973,3854,2971,3857,2969,3858,2967,3859,2965,3858,2963,3859,2961,3861,2951,3861,2949,3861,2947,3861,2945,3861,2942,3861,2940,3862,2938,3862,2936,3862,2934,3862,2932,3862,2930,3863,2928,3865,2926,3866,2924,3867,2922,3868,2920,3869,2918,3869,2916,3869,2914,3869,2912,3869,2910,3870,2908,3872,2906,3873,2904,3875,2902,3876,2900,3877,2898,3877,2896,3877,2893,3878,2891,3878,2889,3878,2887,3879,2885,3878,2883,3878,2881,3882,2871,3883,2869,3884,2867,3884,2865,3885,2863,3886,2861,3887,2859,3888,2857,3889,2855,3890,2853,3891,2851,3891,2849,3891,2847,3892,2844,3893,2842,3895,2840,3896,2838,3897,2836,3898,2834,3898,2832,3899,2830,3898,2828,3899,2826,3899,2824,3901,2822,3902,2820,3902,2818,3901,2816,3902,2814,3902,2812,3904,2810,3905,2808,3906,2806,3905,2804,3906,2802,3906,2800,3908,2797,3909,2795,3910,2793,3912,2791,3912,2789,3913,2787,3913,2785,3914,2783,3914,2781,3913,2779,3914,2777,3914,2775,3917,2773,3918,2771,3919,2769,3919,2767,3919,2765,3920,2763,3920,2761,3920,2759,3920,2757,3921,2755,3921,2753,3922,2751,3923,2748,3924,2746,3924,2744,3925,2742,3925,2740,3925,2738,3925,2736,3925,2734,3925,2732,3926,2730,3926,2728,3926,2726,3926,2724,3926,2722,3927,2720,3927,2718,3928,2716,3928,2714,3928,2712,3929,2710,3929,2708,3929,2706,3930,2704,3930,2701,3931,2699,3931,2697,3932,2695,3932,2693,3933,2691,3933,2689,3933,2687,3933,2685,3934,2683,3934,2681,3934,2679,3934,2677,3934,2675,3935,2673,3935,2671,3935,2669,3935,2667,3935,2665,3936,2663,3936,2661,3937,2659,3936,2657,3937,2655,3937,2652,3938,2650,3939,2648,3940,2646,3942,2644,3943,2642,3943,2640,3943,2638,3943,2636,3943,2634,3943,2632,3944,2630,3945,2628,3947,2626,3948,2624,3949,2622,3950,2620,3951,2618,3952,2616,3954,2614,3955,2612,3956,2610,3957,2608,3957,2605,3957,2603,3957,2601,3957,2599,3958,2597,3957,2595,3959,2593,3960,2591,3964,2589,3965,2587,3966,2585,3965,2583,3966,2581,3967,2579,3969,2577,3969,2575,3970,2573,3970,2571,3970,2569,3970,2567,3971,2565,3972,2563,3972,2561,3972,2559,3972,2556,3972,2554,3973,2552,3973,2550,3974,2548,3976,2546,3977,2544,3978,2542,3978,2540,3979,2538,3979,2536,3979,2534,3980,2532,3981,2530,3983,2528,3984,2526,3985,2524,3985,2522,3985,2520,3985,2518,3985,2516,3986,2514,3986,2512,3987,2509,3987,2507,3988,2505,3987,2503,3988,2501,3988,2499,3989,2497,3990,2495,3990,2493,3990,2491,3990,2489,3991,2487,3991,2485,3991,2483,3991,2481,3992,2479,3992,2477,3992,2475,3992,2473,3992,2471,3992,2469,3992,2467,3993,2465,3993,2463,3993,2460,3993,2458,3993,2456,3993,2454,3993,2452,3993,2450,3994,2448,3994,2446,3994,2444,3995,2442,3995,2440,3996,2438,3996,2436,3996,2434,3997,2432,3999,2430,3999,2428,4000,2426,3999,2424,4000,2422,4000,2420,4001,2418,4002,2416,4004,2413,4006,2411,4007,2409,4008,2407,4010,2405,4011,2403,4012,2401,4012,2399,4013,2397,4013,2395,4013,2393,4013,2391,4013,2389,4013,2387,4013,2385,4013,2383,4013,2381,4013,2379,4014,2377,4017,2375,4018,2373,4019,2371,4020,2369,4020,2367,4021,2364,4021,2362,4021,2360,4021,2358,4021,2356,4021,2354,4022,2352,4024,2350,4025,2348,4026,2346,4025,2344,4025,2342,4025,2340,4026,2338,4027,2336,4027,2334,4028,2332,4028,2330,4028,2328,4028,2326,4029,2324,4029,2322,4029,2320,4030,2317,4030,2315,4030,2313,4031,2311,4031,2309,4032,2307,4033,2305,4033,2303,4033,2301,4034,2299,4035,2297,4036,2295,4037,2293,4037,2291,4037,2289,4038,2287,4038,2285,4038,2283,4038,2281,4038,2279,4038,2277,4039,2275,4041,2273,4043,2271,4046,2268,4048,2266,4052,2264,4053,2262,4054,2260,4053,2258,4054,2256,4055,2254,4058,2252,4059,2250,4061,2248,4061,2246,4062,2244,4063,2242,4063,2240,4064,2238,4065,2236,4068,2234,4070,2232,4071,2230,4072,2228,4073,2226,4074,2224,4075,2222,4076,2219,4076,2217,4077,2215,4078,2213,4079,2211,4082,2209,4083,2207,4084,2205,4083,2203,4084,2201,4084,2199,4085,2197,4086,2195,4086,2193,4085,2191,4086,2189,4086,2187,4087,2185,4088,2183,4089,2181,4090,2179,4091,2177,4091,2175,4091,2172,4091,2170,4091,2168,4091,2166,4092,2164,4092,2162,4092,2160,4093,2158,4093,2156,4093,2154,4094,2152,4095,2150,4099,2148,4100,2146,4101,2144,4102,2142,4102,2140,4103,2138,4104,2136,4105,2134,4106,2132,4106,2130,4106,2128,4106,2126,4107,2123,4107,2121,4108,2119,4109,2117,4109,2115,4110,2113,4110,2111,4110,2109,4110,2107,4109,2105,4110,2103,4110,2101,4112,2099,4113,2097,4114,2095,4116,2093,4116,2091,4117,2089,4117,2087,4117,2085,4117,2083,4117,2081,4117,2079,4118,2076,4119,2074,4120,2072,4121,2070,4121,2068,4122,2066,4123,2064,4125,2062,4126,2060,4128,2058,4130,2056,4131,2054,4132,2052,4133,2050,4134,2048,4135,2046,4136,2044,4136,2042,4137,2040,4137,2038,4137,2036,4137,2034,4138,2032,4139,2030,4139,2027,4139,2025,4140,2023,4140,2021,4141,2019,4142,2017,4142,2015,4142,2013,4143,2011,4143,2009,4145,2007,4145,2005,4146,2003,4146,2001,4146,1999,4146,1997,4147,1995,4147,1993,4147,1991,4146,1989,4147,1987,4148,1985,4151,1983,4152,1980,4153,1978,4151,1976,4152,1974,4154,1972,4158,1970,4159,1968,4160,1966,4159,1964,4159,1962,4160,1960,4160,1958,4160,1956,4161,1954,4163,1952,4163,1950,4164,1948,4164,1946,4165,1944,4165,1942,4165,1940,4165,1938,4169,1927,4170,1925,4171,1923,4169,1921,4170,1919,4171,1917,4175,1915,4176,1913,4178,1911,4178,1909,4179,1907,4179,1905,4180,1903,4181,1901,4181,1899,4180,1897,4181,1895,4182,1893,4184,1891,4185,1889,4186,1887,4186,1884,4187,1882,4188,1880,4191,1878,4192,1876,4193,1874,4191,1872,4192,1870,4193,1868,4196,1866,4197,1864,4198,1862,4198,1860,4198,1858,4203,1848,4204,1846,4205,1844,4205,1842,4205,1840,4205,1838,4206,1835,4206,1833,4206,1831,4206,1829,4206,1827,4206,1825,4207,1823,4207,1821,4208,1819,4208,1817,4209,1815,4209,1813,4210,1811,4211,1809,4211,1807,4210,1805,4211,1803,4213,1801,4216,1799,4218,1797,4219,1795,4219,1793,4219,1791,4219,1788,4219,1786,4219,1784,4219,1782,4219,1780,4219,1778,4220,1776,4220,1774,4221,1772,4222,1770,4223,1768,4225,1766,4226,1764,4227,1762,4227,1760,4228,1758,4228,1756,4230,1754,4231,1752,4236,1750,4237,1748,4239,1746,4237,1744,4238,1742,4238,1739,4239,1737,4239,1735,4240,1733,4240,1731,4240,1729,4240,1727,4240,1725,4241,1723,4241,1721,4241,1719,4242,1717,4242,1715,4246,1705,4248,1703,4253,1701,4254,1699,4256,1697,4255,1695,4255,1692,4256,1690,4257,1688,4257,1686,4258,1684,4257,1682,4258,1680,4258,1678,4260,1676,4261,1674,4263,1672,4265,1670,4266,1668,4268,1666,4268,1664,4268,1662,4269,1660,4269,1658,4269,1656,4269,1654,4271,1652,4271,1650,4271,1648,4271,1646,4271,1643,4272,1641,4272,1639,4272,1637,4273,1635,4274,1633,4274,1631,4274,1629,4274,1627,4274,1625,4275,1623,4279,1621,4279,1619,4280,1617,4280,1615,4280,1613,4280,1611,4280,1609,4281,1607,4281,1605,4282,1603,4283,1601,4284,1599,4284,1597,4285,1594,4285,1592,4285,1590,4285,1588,4286,1586,4286,1584,4289,1582,4292,1580,4300,1578,4303,1576,4306,1574,4305,1572,4306,1570,4308,1568,4311,1566,4312,1564,4314,1562,4314,1560,4315,1558,4316,1556,4316,1554,4317,1552,4317,1550,4317,1547,4317,1545,4317,1543,4317,1541,4317,1539,4317,1537,4317,1535,4317,1533,4317,1531,4319,1529,4319,1527,4320,1525,4321,1523,4321,1521,4321,1519,4321,1517,4321,1515,4321,1513,4321,1511,4321,1509,4321,1507,4321,1505,4321,1503,4322,1501,4322,1498,4322,1496,4323,1494,4323,1492,4324,1490,4325,1488,4326,1486,4326,1484,4327,1482,4326,1480,4327,1478,4328,1476,4332,1474,4334,1472,4335,1470,4335,1468,4336,1466,4336,1464,4337,1462,4338,1460,4339,1458,4341,1456,4342,1454,4343,1451,4343,1449,4343,1447,4344,1445,4344,1443,4345,1441,4345,1439,4345,1437,4345,1435,4346,1433,4346,1431,4346,1429,4346,1427,4346,1425,4346,1423,4347,1421,4347,1419,4348,1417,4348,1415,4348,1413,4349,1411,4349,1409,4350,1407,4351,1405,4351,1402,4352,1400,4353,1398,4353,1396,4355,1394,4356,1392,4356,1390,4356,1388,4356,1386,4356,1384,4357,1382,4358,1380,4358,1378,4358,1376,4359,1374,4359,1372,4361,1370,4363,1368,4364,1366,4365,1364,4366,1362,4367,1360,4367,1358,4368,1355,4369,1353,4371,1351,4372,1349,4373,1347,4374,1345,4375,1343,4375,1341,4374,1339,4375,1337,4375,1335,4377,1333,4378,1331,4380,1329,4382,1327,4383,1325,4384,1323,4383,1321,4384,1319,4386,1317,4389,1315,4391,1313,4393,1311,4395,1309,4396,1306,4397,1304,4397,1302,4397,1300,4398,1298,4399,1296,4401,1294,4402,1292,4404,1290,4406,1288,4407,1286,4408,1284,4409,1282,4410,1280,4411,1278,4411,1276,4412,1274,4412,1272,4413,1270,4413,1268,4414,1266,4414,1264,4414,1262,4414,1259,4414,1257,4414,1255,4415,1253,4415,1251,4416,1249,4415,1247,4416,1245,4416,1243,4416,1241,4416,1239,4417,1237,4417,1235,4418,1233,4420,1231,4423,1229,4424,1227,4425,1225,4425,1223,4426,1221,4427,1219,4430,1217,4430,1215,4431,1213,4430,1210,4431,1208,4431,1206,4431,1204,4431,1202,4431,1200,4431,1198,4432,1196,4432,1194,4434,1192,4434,1190,4435,1188,4435,1186,4436,1184,4437,1182,4438,1180,4440,1178,4441,1176,4443,1174,4446,1172,4450,1170,4460,1168,4463,1166,4466,1164,4465,1161,4465,1159,4466,1157,4466,1155,4467,1153,4467,1151,4468,1149,4469,1147,4470,1145,4470,1143,4471,1141,4472,1139,4473,1137,4475,1135,4477,1133,4482,1131,4483,1129,4485,1127,4483,1125,4483,1123,4483,1121,4484,1119,4484,1117,4484,1114,4484,1112,4484,1110,4497,1100,4499,1098,4501,1096,4501,1094,4502,1092,4503,1090,4504,1088,4505,1086,4507,1084,4512,1082,4513,1080,4515,1078,4514,1076,4514,1074,4514,1072,4513,1070,4515,1067,4517,1065,4522,1063,4525,1061,4528,1059,4531,1057,4532,1055,4534,1053,4533,1051,4536,1049,4538,1047,4544,1045,4546,1043,4549,1041,4547,1039,4550,1037,4553,1035,4559,1033,4564,1031,4569,1029,4577,1027,4580,1025,4582,1023,4580,1020,4580,1018,4580,1016,4580,1014,4581,1012,4581,1010,4582,1008,4583,1006,4583,1004,4583,1002,4583,1000,4584,998,4583,996,4584,994,4586,992,4591,990,4592,988,4594,986,4594,984,4594,982,4595,980,4595,978,4595,976,4595,974,4595,972,4596,969,4598,967,4603,965,4606,963,4608,961,4608,959,4613,957,4617,955,4628,953,4632,951,4637,949,4639,947,4642,945,4645,943,4648,941,4649,939,4650,938,4646,934,4649,933,4654,931,4671,929,4676,927,4679,925,4679,922,4680,920,4680,919,4678,916,4681,914,4684,912,4695,910,4700,908,4705,906,4708,904,4710,902,4713,900,4715,898,4717,896,4719,894,4720,892,4723,890,4725,888,4729,886,4732,884,4735,882,4740,880,4743,878,4746,876,4748,873,4751,871,4754,869,4759,867,4763,865,4766,863,4770,861,4771,859,4773,857,4772,855,4772,853,4772,851,4770,849,4772,847,4816,838,4831,836,4841,835,4843,834,4846,829,4852,829,4886,827,4934,825,4988,824,5039,822e" filled="false" stroked="true" strokeweight="3pt" strokecolor="#000000">
              <v:path arrowok="t"/>
            </v:shape>
            <v:rect style="position:absolute;left:1697;top:603;width:4286;height:3718" filled="false" stroked="true" strokeweight=".48pt" strokecolor="#000000"/>
            <v:shape style="position:absolute;left:6396;top:843;width:3538;height:3080" coordorigin="6396,843" coordsize="3538,3080" path="m7812,3862l7812,843m7752,3862l7812,3862m7752,3562l7812,3562m7752,3260l7812,3260m7752,2957l7812,2957m7752,2655l7812,2655m7752,2352l7812,2352m7752,2052l7812,2052m7752,1750l7812,1750m7752,1448l7812,1448m7752,1145l7812,1145m7752,843l7812,843m6396,3862l9934,3862m6396,3862l6396,3922m7104,3862l7104,3922m7812,3862l7812,3922m8520,3862l8520,3922m9226,3862l9226,3922m9934,3862l9934,3922e" filled="false" stroked="true" strokeweight=".48pt" strokecolor="#888888">
              <v:path arrowok="t"/>
            </v:shape>
            <v:shape style="position:absolute;left:6968;top:844;width:2585;height:3020" coordorigin="6968,844" coordsize="2585,3020" path="m6968,3863l6979,3862,6994,3860,7014,3858,7038,3857,7104,3856,7196,3855,7295,3854,7384,3852,7445,3851,7451,3851,7456,3845,7458,3844,7456,3840,7512,3830,7523,3828,7554,3820,7553,3816,7557,3815,7563,3813,7585,3811,7590,3809,7593,3808,7589,3804,7591,3803,7594,3801,7605,3799,7609,3797,7613,3795,7614,3793,7617,3791,7618,3790,7621,3785,7626,3785,7639,3783,7657,3782,7677,3780,7695,3778,7713,3777,7731,3775,7747,3774,7761,3772,7776,3771,7785,3768,7790,3766,7793,3765,7792,3762,7793,3760,7796,3758,7803,3756,7805,3754,7808,3752,7809,3750,7811,3748,7812,3746,7814,3744,7815,3742,7816,3741,7813,3738,7816,3736,7819,3734,7833,3732,7838,3730,7843,3728,7843,3726,7846,3724,7849,3722,7852,3720,7855,3718,7858,3716,7858,3714,7862,3712,7867,3710,7876,3708,7881,3706,7887,3704,7893,3702,7896,3700,7897,3698,7894,3695,7897,3694,7900,3692,7914,3690,7919,3688,7923,3686,7925,3683,7926,3682,7927,3680,7927,3678,7927,3676,7927,3674,7926,3672,7927,3670,7928,3668,7930,3666,7932,3664,7933,3662,7936,3659,7938,3657,7938,3656,7936,3653,7938,3651,7941,3649,7950,3647,7955,3645,7960,3643,7966,3641,7970,3639,7974,3637,7976,3635,7978,3633,7980,3631,7981,3629,7982,3627,7983,3625,7982,3623,7983,3621,7984,3619,7987,3617,7988,3615,7989,3613,7987,3611,7988,3609,7989,3607,7992,3605,7993,3603,7994,3601,7994,3599,7996,3597,7998,3595,8001,3593,8004,3591,8006,3589,8007,3587,8009,3585,8011,3583,8014,3581,8016,3579,8017,3577,8017,3575,8017,3573,8017,3571,8017,3569,8017,3567,8018,3565,8020,3563,8021,3561,8021,3559,8020,3557,8022,3555,8023,3553,8029,3551,8031,3549,8034,3547,8034,3545,8036,3543,8046,3532,8048,3530,8049,3528,8049,3526,8050,3524,8051,3522,8051,3520,8052,3518,8053,3516,8057,3514,8058,3512,8059,3510,8057,3508,8058,3506,8070,3496,8073,3494,8076,3492,8077,3490,8079,3488,8081,3486,8081,3484,8084,3482,8086,3480,8092,3478,8094,3476,8096,3474,8094,3472,8094,3470,8095,3468,8097,3466,8098,3464,8100,3462,8103,3460,8104,3458,8105,3456,8104,3454,8105,3452,8105,3450,8107,3448,8107,3446,8108,3444,8107,3442,8108,3440,8109,3438,8111,3436,8113,3434,8115,3432,8118,3430,8120,3428,8121,3426,8121,3424,8122,3422,8123,3420,8123,3417,8127,3415,8131,3413,8145,3411,8151,3409,8157,3407,8160,3405,8162,3403,8164,3401,8164,3399,8164,3397,8165,3395,8165,3393,8165,3391,8172,3381,8173,3379,8173,3377,8171,3375,8173,3373,8175,3371,8182,3369,8184,3367,8186,3365,8184,3363,8186,3361,8187,3359,8191,3357,8192,3355,8193,3353,8193,3351,8194,3349,8194,3347,8194,3345,8195,3343,8195,3341,8195,3339,8196,3337,8196,3335,8197,3333,8198,3331,8199,3329,8200,3327,8201,3325,8203,3323,8205,3321,8206,3319,8206,3317,8206,3315,8207,3313,8207,3311,8208,3309,8209,3307,8209,3305,8209,3303,8210,3301,8210,3298,8210,3296,8211,3294,8211,3292,8213,3290,8214,3288,8215,3286,8215,3284,8215,3282,8216,3280,8216,3278,8217,3276,8218,3274,8218,3272,8219,3270,8219,3268,8221,3266,8221,3264,8222,3262,8222,3260,8222,3258,8223,3256,8224,3254,8224,3252,8225,3250,8225,3248,8226,3246,8226,3244,8226,3242,8226,3240,8226,3238,8226,3236,8228,3234,8229,3232,8234,3230,8236,3228,8238,3226,8238,3224,8239,3222,8239,3220,8239,3218,8239,3216,8240,3214,8240,3212,8241,3210,8241,3208,8242,3206,8242,3204,8243,3202,8244,3200,8245,3198,8246,3196,8247,3194,8248,3192,8248,3190,8248,3188,8248,3186,8248,3184,8248,3182,8248,3179,8249,3177,8249,3175,8250,3173,8250,3171,8249,3169,8250,3167,8250,3165,8253,3163,8253,3161,8254,3159,8253,3157,8253,3155,8254,3153,8254,3151,8255,3149,8255,3147,8255,3145,8256,3143,8256,3141,8256,3139,8256,3137,8256,3135,8256,3133,8256,3131,8256,3129,8256,3127,8257,3125,8258,3123,8260,3121,8261,3119,8262,3117,8261,3115,8262,3113,8262,3111,8263,3109,8263,3107,8264,3105,8265,3103,8266,3101,8266,3099,8266,3097,8267,3095,8267,3093,8267,3091,8268,3089,8285,3079,8287,3077,8289,3075,8287,3073,8288,3071,8288,3069,8291,3067,8292,3065,8293,3063,8293,3060,8293,3058,8294,3057,8291,3054,8294,3052,8296,3050,8305,3048,8308,3046,8311,3044,8312,3042,8313,3040,8314,3038,8313,3036,8313,3034,8314,3032,8314,3030,8314,3028,8314,3026,8315,3024,8315,3022,8316,3020,8317,3018,8318,3016,8319,3014,8320,3012,8320,3010,8321,3008,8321,3006,8322,3004,8322,3002,8321,3000,8323,2998,8324,2996,8329,2994,8330,2992,8331,2990,8330,2988,8330,2986,8330,2984,8331,2982,8331,2980,8331,2978,8331,2976,8331,2974,8332,2972,8333,2970,8334,2968,8334,2966,8335,2964,8335,2962,8336,2960,8336,2958,8336,2956,8337,2954,8337,2952,8337,2950,8338,2948,8338,2946,8338,2944,8338,2942,8338,2939,8338,2937,8338,2935,8339,2933,8339,2931,8339,2929,8340,2927,8340,2925,8341,2923,8341,2921,8341,2919,8341,2917,8341,2915,8342,2913,8342,2911,8343,2909,8344,2907,8346,2905,8350,2903,8351,2901,8353,2899,8353,2897,8354,2895,8354,2893,8354,2891,8354,2889,8354,2887,8353,2885,8354,2883,8355,2881,8360,2879,8361,2877,8363,2875,8363,2873,8364,2871,8364,2869,8364,2867,8364,2865,8364,2863,8364,2861,8364,2859,8364,2857,8365,2855,8366,2853,8366,2851,8367,2849,8367,2847,8367,2845,8368,2843,8368,2841,8368,2839,8367,2837,8369,2835,8370,2833,8374,2831,8376,2829,8377,2827,8377,2825,8377,2823,8378,2820,8380,2818,8380,2816,8381,2814,8381,2812,8381,2810,8382,2808,8382,2806,8383,2804,8388,2794,8388,2792,8389,2790,8389,2788,8390,2786,8390,2784,8390,2782,8390,2780,8391,2778,8390,2776,8391,2774,8391,2772,8390,2770,8391,2768,8392,2766,8395,2764,8396,2762,8398,2760,8398,2758,8399,2756,8399,2754,8398,2752,8399,2750,8400,2748,8402,2746,8404,2744,8410,2732,8410,2730,8411,2728,8411,2726,8411,2724,8411,2722,8411,2720,8411,2718,8413,2716,8413,2714,8413,2712,8413,2710,8413,2708,8414,2706,8415,2704,8416,2702,8417,2699,8418,2697,8418,2695,8419,2693,8418,2691,8418,2689,8418,2687,8419,2685,8419,2683,8420,2681,8420,2679,8420,2677,8421,2675,8421,2673,8421,2671,8422,2669,8421,2667,8422,2665,8423,2663,8427,2661,8428,2659,8429,2657,8428,2655,8428,2653,8429,2651,8431,2649,8431,2647,8432,2645,8432,2643,8432,2641,8432,2639,8432,2637,8432,2635,8432,2633,8432,2631,8432,2629,8432,2627,8432,2625,8432,2623,8433,2621,8433,2619,8434,2617,8434,2615,8435,2613,8436,2611,8437,2609,8437,2607,8437,2605,8437,2603,8437,2601,8437,2599,8438,2597,8440,2595,8441,2593,8442,2591,8443,2589,8444,2587,8444,2585,8444,2583,8445,2580,8445,2578,8446,2576,8446,2574,8446,2572,8447,2570,8447,2568,8447,2566,8448,2564,8449,2562,8449,2560,8449,2558,8450,2556,8450,2554,8450,2552,8451,2550,8452,2548,8453,2546,8454,2544,8455,2542,8454,2540,8454,2538,8455,2536,8455,2534,8455,2532,8455,2530,8455,2528,8455,2526,8456,2524,8458,2522,8459,2520,8460,2518,8460,2516,8460,2514,8461,2512,8462,2510,8462,2508,8463,2506,8462,2504,8463,2502,8464,2500,8466,2498,8466,2496,8467,2494,8467,2492,8468,2490,8468,2488,8468,2486,8468,2484,8468,2482,8468,2480,8469,2478,8469,2476,8471,2474,8471,2472,8472,2470,8471,2468,8471,2466,8472,2464,8472,2461,8472,2459,8472,2457,8473,2455,8474,2453,8475,2451,8476,2449,8476,2447,8477,2445,8476,2443,8476,2441,8477,2439,8480,2437,8481,2435,8482,2433,8481,2431,8481,2429,8482,2427,8483,2425,8484,2423,8486,2421,8487,2419,8489,2417,8490,2415,8492,2413,8492,2411,8493,2409,8492,2407,8493,2405,8495,2395,8496,2393,8496,2391,8497,2389,8497,2387,8497,2385,8497,2383,8497,2381,8497,2379,8498,2377,8498,2375,8498,2373,8497,2371,8498,2369,8498,2367,8500,2365,8501,2363,8502,2361,8502,2359,8503,2357,8503,2355,8502,2353,8503,2351,8503,2349,8503,2347,8503,2345,8504,2343,8506,2340,8507,2338,8507,2336,8507,2334,8508,2332,8509,2330,8511,2328,8512,2326,8513,2324,8512,2322,8512,2320,8513,2318,8513,2316,8513,2314,8513,2312,8514,2310,8514,2308,8514,2306,8513,2304,8514,2302,8515,2300,8519,2298,8520,2296,8521,2294,8521,2292,8521,2290,8522,2288,8523,2286,8524,2284,8525,2282,8527,2280,8527,2278,8528,2276,8527,2274,8527,2272,8528,2270,8531,2268,8532,2266,8533,2264,8531,2262,8533,2260,8535,2258,8542,2256,8544,2254,8546,2252,8545,2250,8545,2248,8546,2246,8546,2244,8549,2242,8552,2240,8560,2238,8563,2236,8565,2234,8563,2232,8563,2230,8564,2228,8565,2226,8565,2224,8566,2221,8567,2219,8568,2217,8569,2215,8570,2213,8570,2211,8570,2209,8570,2207,8570,2205,8571,2203,8572,2201,8573,2199,8574,2197,8574,2195,8574,2193,8575,2191,8575,2189,8576,2187,8576,2185,8576,2183,8577,2181,8577,2179,8578,2177,8578,2175,8579,2173,8579,2171,8580,2169,8581,2167,8581,2165,8582,2163,8583,2161,8584,2159,8585,2157,8585,2155,8587,2153,8588,2151,8589,2149,8591,2147,8591,2145,8592,2143,8591,2141,8591,2139,8591,2137,8592,2135,8592,2133,8592,2131,8593,2129,8593,2127,8594,2125,8593,2123,8594,2121,8594,2119,8596,2117,8596,2115,8597,2113,8597,2111,8598,2109,8598,2107,8597,2105,8598,2103,8599,2100,8601,2098,8602,2096,8604,2094,8607,2092,8608,2090,8609,2088,8608,2086,8609,2084,8609,2082,8610,2080,8611,2078,8611,2076,8611,2074,8611,2072,8611,2070,8611,2068,8612,2066,8612,2064,8611,2062,8612,2060,8613,2058,8616,2056,8617,2054,8618,2052,8617,2050,8618,2048,8620,2046,8624,2044,8625,2042,8627,2040,8628,2038,8629,2036,8630,2034,8629,2032,8630,2030,8631,2028,8633,2026,8634,2024,8634,2022,8634,2020,8634,2018,8634,2016,8635,2014,8635,2012,8635,2010,8635,2008,8635,2006,8635,2004,8635,2002,8636,2000,8637,1998,8640,1996,8641,1994,8643,1992,8645,1990,8645,1988,8646,1986,8646,1984,8646,1981,8646,1979,8646,1977,8646,1975,8646,1973,8646,1971,8647,1969,8648,1967,8649,1965,8649,1963,8650,1961,8650,1959,8650,1957,8650,1955,8651,1953,8651,1951,8651,1949,8652,1947,8652,1945,8652,1943,8653,1941,8653,1939,8661,1929,8663,1927,8664,1925,8665,1923,8665,1921,8666,1919,8665,1917,8665,1915,8666,1913,8669,1911,8670,1909,8671,1907,8672,1905,8673,1903,8674,1901,8676,1899,8677,1897,8678,1895,8678,1893,8679,1891,8679,1889,8679,1887,8679,1885,8680,1883,8679,1881,8680,1879,8680,1877,8681,1875,8681,1873,8682,1871,8683,1869,8684,1867,8685,1865,8685,1862,8686,1860,8687,1858,8688,1856,8688,1854,8689,1852,8688,1850,8689,1848,8690,1846,8693,1844,8693,1842,8694,1840,8694,1838,8694,1836,8694,1834,8694,1832,8694,1830,8694,1828,8692,1826,8694,1824,8695,1822,8700,1820,8702,1818,8703,1816,8701,1814,8702,1812,8703,1810,8707,1808,8708,1806,8709,1804,8708,1802,8709,1800,8710,1798,8712,1796,8713,1794,8713,1792,8712,1790,8713,1788,8714,1786,8715,1784,8716,1782,8717,1780,8719,1778,8720,1776,8721,1774,8720,1772,8720,1770,8721,1768,8722,1766,8723,1764,8723,1762,8723,1760,8723,1758,8723,1756,8723,1754,8723,1752,8732,1741,8733,1739,8734,1737,8733,1735,8734,1733,8735,1731,8739,1729,8740,1727,8742,1725,8743,1723,8744,1721,8745,1719,8745,1717,8745,1715,8745,1713,8745,1711,8746,1709,8747,1707,8750,1705,8751,1703,8752,1701,8751,1699,8752,1697,8752,1695,8753,1693,8753,1691,8753,1689,8753,1687,8753,1685,8754,1683,8756,1681,8757,1679,8758,1677,8759,1675,8759,1673,8759,1671,8759,1669,8760,1667,8760,1665,8760,1663,8761,1661,8762,1659,8763,1657,8764,1655,8764,1653,8764,1651,8764,1649,8764,1647,8764,1645,8765,1643,8765,1641,8764,1639,8766,1637,8767,1635,8771,1633,8773,1631,8774,1629,8773,1627,8773,1625,8773,1622,8773,1620,8774,1618,8776,1616,8779,1614,8780,1612,8782,1610,8781,1608,8782,1606,8783,1604,8785,1602,8787,1600,8788,1598,8791,1596,8793,1594,8795,1592,8796,1590,8797,1588,8799,1586,8802,1584,8803,1582,8804,1580,8803,1578,8803,1576,8803,1574,8803,1572,8803,1570,8803,1568,8803,1566,8804,1564,8804,1562,8805,1560,8805,1558,8806,1556,8807,1554,8808,1552,8808,1550,8808,1548,8808,1546,8809,1544,8809,1542,8809,1540,8810,1538,8811,1536,8812,1534,8813,1532,8815,1530,8816,1528,8817,1526,8817,1524,8818,1522,8818,1520,8820,1518,8821,1516,8823,1514,8825,1512,8826,1510,8827,1508,8827,1506,8827,1504,8828,1501,8828,1499,8829,1497,8829,1495,8829,1493,8829,1491,8830,1489,8829,1487,8830,1485,8830,1483,8832,1481,8832,1479,8833,1477,8833,1475,8833,1473,8833,1471,8834,1469,8835,1467,8835,1465,8835,1463,8836,1461,8836,1459,8838,1457,8838,1455,8839,1453,8838,1451,8839,1449,8839,1447,8841,1445,8841,1443,8842,1441,8842,1439,8842,1437,8842,1435,8842,1433,8842,1431,8843,1429,8843,1427,8844,1425,8844,1423,8845,1421,8846,1419,8846,1417,8847,1415,8847,1413,8847,1411,8847,1409,8848,1407,8848,1405,8850,1403,8850,1401,8850,1399,8850,1397,8851,1395,8851,1393,8850,1391,8851,1389,8852,1387,8856,1385,8857,1382,8859,1380,8858,1378,8858,1376,8859,1374,8857,1372,8859,1370,8861,1368,8868,1366,8871,1364,8873,1362,8872,1360,8873,1358,8873,1356,8874,1354,8875,1352,8875,1350,8874,1348,8875,1346,8877,1344,8881,1342,8882,1340,8884,1338,8884,1336,8884,1334,8885,1332,8885,1330,8885,1328,8885,1326,8885,1324,8886,1322,8886,1320,8889,1318,8890,1316,8891,1314,8891,1312,8891,1310,8891,1308,8890,1306,8891,1304,8892,1302,8894,1300,8896,1298,8898,1296,8902,1294,8904,1292,8905,1290,8902,1288,8904,1286,8905,1284,8910,1282,8912,1280,8913,1278,8911,1276,8913,1274,8914,1272,8918,1270,8920,1268,8921,1266,8920,1264,8921,1261,8922,1259,8925,1257,8926,1255,8927,1253,8928,1251,8928,1249,8929,1247,8929,1245,8929,1243,8929,1241,8930,1239,8930,1237,8930,1235,8930,1233,8931,1231,8931,1229,8931,1227,8932,1225,8932,1223,8934,1221,8935,1219,8936,1217,8935,1215,8936,1213,8936,1211,8938,1209,8938,1207,8939,1205,8938,1203,8938,1201,8939,1199,8940,1197,8941,1195,8942,1193,8944,1191,8945,1189,8946,1187,8945,1185,8945,1183,8945,1181,8944,1179,8945,1177,8947,1175,8951,1173,8953,1171,8956,1169,8957,1167,8958,1165,8959,1163,8960,1161,8961,1159,8962,1157,8962,1155,8964,1153,8965,1151,8966,1149,8969,1147,8971,1145,8976,1142,8978,1140,8981,1138,8980,1136,8983,1134,8986,1132,8993,1130,8995,1128,8997,1126,8995,1124,8996,1122,8996,1120,8998,1118,8999,1116,9000,1114,9000,1112,9002,1110,9004,1108,9008,1106,9010,1104,9011,1102,9012,1100,9013,1098,9014,1096,9015,1094,9016,1092,9016,1090,9016,1088,9017,1086,9018,1084,9019,1082,9020,1080,9022,1078,9023,1076,9024,1074,9025,1072,9024,1070,9026,1068,9028,1066,9032,1064,9037,1062,9042,1060,9053,1058,9058,1056,9063,1054,9063,1052,9067,1050,9072,1048,9082,1046,9085,1044,9088,1042,9088,1039,9088,1038,9089,1036,9089,1034,9090,1032,9090,1030,9090,1028,9091,1026,9092,1023,9094,1021,9094,1019,9095,1017,9094,1015,9094,1013,9095,1011,9096,1009,9097,1007,9098,1005,9098,1003,9099,1001,9099,999,9102,997,9103,995,9103,993,9101,991,9103,989,9105,987,9115,985,9118,983,9120,981,9117,979,9119,977,9121,975,9126,973,9130,971,9134,969,9141,967,9144,965,9147,963,9145,961,9147,959,9149,957,9151,955,9154,953,9158,951,9162,949,9167,947,9172,945,9179,943,9185,941,9190,939,9196,937,9199,935,9202,933,9200,931,9202,929,9203,927,9209,925,9210,923,9212,921,9209,919,9211,917,9239,905,9246,902,9260,900,9265,898,9267,897,9265,894,9265,892,9266,890,9269,888,9271,886,9272,884,9271,882,9273,880,9275,878,9280,876,9282,874,9284,872,9282,870,9285,868,9326,858,9335,856,9336,856,9342,851,9350,850,9388,849,9440,847,9498,846,9553,844e" filled="false" stroked="true" strokeweight="3pt" strokecolor="#000000">
              <v:path arrowok="t"/>
            </v:shape>
            <v:rect style="position:absolute;left:6017;top:603;width:4514;height:3718" filled="false" stroked="true" strokeweight=".48pt" strokecolor="#000000"/>
            <v:shape style="position:absolute;left:2526;top:842;width:4433;height:3016" coordorigin="2526,842" coordsize="4433,3016" path="m2526,3822l2526,842m6959,3858l6959,878e" filled="false" stroked="true" strokeweight="2.04pt" strokecolor="#ff0000">
              <v:path arrowok="t"/>
              <v:stroke dashstyle="longDash"/>
            </v:shape>
            <v:rect style="position:absolute;left:4771;top:1690;width:1181;height:2146" filled="true" fillcolor="#ffffff" stroked="false">
              <v:fill type="solid"/>
            </v:rect>
            <v:line style="position:absolute" from="5000,1942" to="5492,1942" stroked="true" strokeweight=".48pt" strokecolor="#000000"/>
            <v:line style="position:absolute" from="5492,1942" to="5502,1942" stroked="true" strokeweight=".48pt" strokecolor="#000000"/>
            <v:line style="position:absolute" from="5502,1942" to="5989,1942" stroked="true" strokeweight=".48pt" strokecolor="#000000"/>
            <v:line style="position:absolute" from="4995,1938" to="4995,3829" stroked="true" strokeweight=".48pt" strokecolor="#000000"/>
            <v:rect style="position:absolute;left:8758;top:1776;width:1740;height:2064" filled="true" fillcolor="#ffffff" stroked="false">
              <v:fill type="solid"/>
            </v:rect>
            <v:line style="position:absolute" from="9513,2029" to="10036,2029" stroked="true" strokeweight=".48pt" strokecolor="#000000"/>
            <v:line style="position:absolute" from="10036,2029" to="10046,2029" stroked="true" strokeweight=".48pt" strokecolor="#000000"/>
            <v:line style="position:absolute" from="10046,2029" to="10564,2029" stroked="true" strokeweight=".48pt" strokecolor="#000000"/>
            <v:line style="position:absolute" from="9508,2024" to="9508,3724" stroked="true" strokeweight=".48001pt" strokecolor="#000000"/>
            <v:shape style="position:absolute;left:3706;top:761;width:312;height:1380" type="#_x0000_t75" stroked="false">
              <v:imagedata r:id="rId143" o:title=""/>
            </v:shape>
            <v:shape style="position:absolute;left:2136;top:774;width:242;height:1286" type="#_x0000_t75" stroked="false">
              <v:imagedata r:id="rId144" o:title=""/>
            </v:shape>
            <v:rect style="position:absolute;left:4682;top:968;width:1150;height:343" filled="true" fillcolor="#ffffff" stroked="false">
              <v:fill type="solid"/>
            </v:rect>
            <v:shape style="position:absolute;left:8251;top:692;width:300;height:1368" type="#_x0000_t75" stroked="false">
              <v:imagedata r:id="rId145" o:title=""/>
            </v:shape>
            <v:shape style="position:absolute;left:7073;top:1018;width:242;height:1073" type="#_x0000_t75" stroked="false">
              <v:imagedata r:id="rId146" o:title=""/>
            </v:shape>
            <v:shape style="position:absolute;left:4094;top:1023;width:6255;height:2355" coordorigin="4094,1023" coordsize="6255,2355" path="m4889,2595l4094,2595,4094,3377,4889,3377,4889,2595m9449,2576l8654,2576,8654,3360,9449,3360,9449,2576m10349,1023l9206,1023,9206,1373,10349,1373,10349,1023e" filled="true" fillcolor="#ffffff" stroked="false">
              <v:path arrowok="t"/>
              <v:fill type="solid"/>
            </v:shape>
            <v:shape style="position:absolute;left:3168;top:723;width:251;height:1729" type="#_x0000_t202" filled="false" stroked="false">
              <v:textbox inset="0,0,0,0">
                <w:txbxContent>
                  <w:p>
                    <w:pPr>
                      <w:spacing w:line="204" w:lineRule="exact" w:before="0"/>
                      <w:ind w:left="150" w:right="0" w:firstLine="0"/>
                      <w:jc w:val="center"/>
                      <w:rPr>
                        <w:b/>
                        <w:sz w:val="20"/>
                      </w:rPr>
                    </w:pPr>
                    <w:r>
                      <w:rPr>
                        <w:b/>
                        <w:w w:val="99"/>
                        <w:sz w:val="20"/>
                      </w:rPr>
                      <w:t>1</w:t>
                    </w:r>
                  </w:p>
                  <w:p>
                    <w:pPr>
                      <w:spacing w:before="76"/>
                      <w:ind w:left="0" w:right="0" w:firstLine="0"/>
                      <w:jc w:val="center"/>
                      <w:rPr>
                        <w:b/>
                        <w:sz w:val="20"/>
                      </w:rPr>
                    </w:pPr>
                    <w:r>
                      <w:rPr>
                        <w:b/>
                        <w:sz w:val="20"/>
                      </w:rPr>
                      <w:t>0.9</w:t>
                    </w:r>
                  </w:p>
                  <w:p>
                    <w:pPr>
                      <w:spacing w:before="76"/>
                      <w:ind w:left="0" w:right="0" w:firstLine="0"/>
                      <w:jc w:val="center"/>
                      <w:rPr>
                        <w:b/>
                        <w:sz w:val="20"/>
                      </w:rPr>
                    </w:pPr>
                    <w:r>
                      <w:rPr>
                        <w:b/>
                        <w:sz w:val="20"/>
                      </w:rPr>
                      <w:t>0.8</w:t>
                    </w:r>
                  </w:p>
                  <w:p>
                    <w:pPr>
                      <w:spacing w:before="75"/>
                      <w:ind w:left="0" w:right="0" w:firstLine="0"/>
                      <w:jc w:val="center"/>
                      <w:rPr>
                        <w:b/>
                        <w:sz w:val="20"/>
                      </w:rPr>
                    </w:pPr>
                    <w:r>
                      <w:rPr>
                        <w:b/>
                        <w:sz w:val="20"/>
                      </w:rPr>
                      <w:t>0.7</w:t>
                    </w:r>
                  </w:p>
                  <w:p>
                    <w:pPr>
                      <w:spacing w:before="76"/>
                      <w:ind w:left="0" w:right="0" w:firstLine="0"/>
                      <w:jc w:val="center"/>
                      <w:rPr>
                        <w:b/>
                        <w:sz w:val="20"/>
                      </w:rPr>
                    </w:pPr>
                    <w:r>
                      <w:rPr>
                        <w:b/>
                        <w:sz w:val="20"/>
                      </w:rPr>
                      <w:t>0.6</w:t>
                    </w:r>
                  </w:p>
                  <w:p>
                    <w:pPr>
                      <w:spacing w:line="226" w:lineRule="exact" w:before="75"/>
                      <w:ind w:left="0" w:right="0" w:firstLine="0"/>
                      <w:jc w:val="center"/>
                      <w:rPr>
                        <w:b/>
                        <w:sz w:val="20"/>
                      </w:rPr>
                    </w:pPr>
                    <w:r>
                      <w:rPr>
                        <w:b/>
                        <w:sz w:val="20"/>
                      </w:rPr>
                      <w:t>0.5</w:t>
                    </w:r>
                  </w:p>
                </w:txbxContent>
              </v:textbox>
              <w10:wrap type="none"/>
            </v:shape>
            <v:shape style="position:absolute;left:4832;top:1060;width:738;height:140" type="#_x0000_t202" filled="false" stroked="false">
              <v:textbox inset="0,0,0,0">
                <w:txbxContent>
                  <w:p>
                    <w:pPr>
                      <w:spacing w:line="139" w:lineRule="exact" w:before="0"/>
                      <w:ind w:left="0" w:right="-15" w:firstLine="0"/>
                      <w:jc w:val="left"/>
                      <w:rPr>
                        <w:sz w:val="14"/>
                      </w:rPr>
                    </w:pPr>
                    <w:r>
                      <w:rPr>
                        <w:sz w:val="14"/>
                      </w:rPr>
                      <w:t>RFE</w:t>
                    </w:r>
                    <w:r>
                      <w:rPr>
                        <w:spacing w:val="-10"/>
                        <w:sz w:val="14"/>
                      </w:rPr>
                      <w:t> </w:t>
                    </w:r>
                    <w:r>
                      <w:rPr>
                        <w:sz w:val="14"/>
                      </w:rPr>
                      <w:t>máxima</w:t>
                    </w:r>
                  </w:p>
                </w:txbxContent>
              </v:textbox>
              <w10:wrap type="none"/>
            </v:shape>
            <v:shape style="position:absolute;left:5377;top:1782;width:290;height:140" type="#_x0000_t202" filled="false" stroked="false">
              <v:textbox inset="0,0,0,0">
                <w:txbxContent>
                  <w:p>
                    <w:pPr>
                      <w:spacing w:line="139" w:lineRule="exact" w:before="0"/>
                      <w:ind w:left="0" w:right="-18" w:firstLine="0"/>
                      <w:jc w:val="left"/>
                      <w:rPr>
                        <w:sz w:val="14"/>
                      </w:rPr>
                    </w:pPr>
                    <w:r>
                      <w:rPr>
                        <w:spacing w:val="-2"/>
                        <w:sz w:val="14"/>
                      </w:rPr>
                      <w:t>Años</w:t>
                    </w:r>
                  </w:p>
                </w:txbxContent>
              </v:textbox>
              <w10:wrap type="none"/>
            </v:shape>
            <v:shape style="position:absolute;left:3168;top:2558;width:251;height:1423" type="#_x0000_t202" filled="false" stroked="false">
              <v:textbox inset="0,0,0,0">
                <w:txbxContent>
                  <w:p>
                    <w:pPr>
                      <w:spacing w:line="204" w:lineRule="exact" w:before="0"/>
                      <w:ind w:left="0" w:right="0" w:firstLine="0"/>
                      <w:jc w:val="center"/>
                      <w:rPr>
                        <w:b/>
                        <w:sz w:val="20"/>
                      </w:rPr>
                    </w:pPr>
                    <w:r>
                      <w:rPr>
                        <w:b/>
                        <w:sz w:val="20"/>
                      </w:rPr>
                      <w:t>0.4</w:t>
                    </w:r>
                  </w:p>
                  <w:p>
                    <w:pPr>
                      <w:spacing w:before="76"/>
                      <w:ind w:left="0" w:right="0" w:firstLine="0"/>
                      <w:jc w:val="center"/>
                      <w:rPr>
                        <w:b/>
                        <w:sz w:val="20"/>
                      </w:rPr>
                    </w:pPr>
                    <w:r>
                      <w:rPr>
                        <w:b/>
                        <w:sz w:val="20"/>
                      </w:rPr>
                      <w:t>0.3</w:t>
                    </w:r>
                  </w:p>
                  <w:p>
                    <w:pPr>
                      <w:spacing w:before="76"/>
                      <w:ind w:left="0" w:right="0" w:firstLine="0"/>
                      <w:jc w:val="center"/>
                      <w:rPr>
                        <w:b/>
                        <w:sz w:val="20"/>
                      </w:rPr>
                    </w:pPr>
                    <w:r>
                      <w:rPr>
                        <w:b/>
                        <w:sz w:val="20"/>
                      </w:rPr>
                      <w:t>0.2</w:t>
                    </w:r>
                  </w:p>
                  <w:p>
                    <w:pPr>
                      <w:spacing w:before="76"/>
                      <w:ind w:left="0" w:right="0" w:firstLine="0"/>
                      <w:jc w:val="center"/>
                      <w:rPr>
                        <w:b/>
                        <w:sz w:val="20"/>
                      </w:rPr>
                    </w:pPr>
                    <w:r>
                      <w:rPr>
                        <w:b/>
                        <w:sz w:val="20"/>
                      </w:rPr>
                      <w:t>0.1</w:t>
                    </w:r>
                  </w:p>
                  <w:p>
                    <w:pPr>
                      <w:spacing w:line="226" w:lineRule="exact" w:before="76"/>
                      <w:ind w:left="150" w:right="0" w:firstLine="0"/>
                      <w:jc w:val="center"/>
                      <w:rPr>
                        <w:b/>
                        <w:sz w:val="20"/>
                      </w:rPr>
                    </w:pPr>
                    <w:r>
                      <w:rPr>
                        <w:b/>
                        <w:w w:val="99"/>
                        <w:sz w:val="20"/>
                      </w:rPr>
                      <w:t>0</w:t>
                    </w:r>
                  </w:p>
                </w:txbxContent>
              </v:textbox>
              <w10:wrap type="none"/>
            </v:shape>
            <v:shape style="position:absolute;left:4352;top:2687;width:467;height:300" type="#_x0000_t202" filled="false" stroked="false">
              <v:textbox inset="0,0,0,0">
                <w:txbxContent>
                  <w:p>
                    <w:pPr>
                      <w:spacing w:line="142" w:lineRule="exact" w:before="0"/>
                      <w:ind w:left="0" w:right="-20" w:firstLine="55"/>
                      <w:jc w:val="left"/>
                      <w:rPr>
                        <w:sz w:val="14"/>
                      </w:rPr>
                    </w:pPr>
                    <w:r>
                      <w:rPr>
                        <w:sz w:val="14"/>
                      </w:rPr>
                      <w:t>Media</w:t>
                    </w:r>
                  </w:p>
                  <w:p>
                    <w:pPr>
                      <w:spacing w:line="158" w:lineRule="exact" w:before="0"/>
                      <w:ind w:left="0" w:right="-20" w:firstLine="0"/>
                      <w:jc w:val="left"/>
                      <w:rPr>
                        <w:sz w:val="14"/>
                      </w:rPr>
                    </w:pPr>
                    <w:r>
                      <w:rPr>
                        <w:w w:val="95"/>
                        <w:sz w:val="14"/>
                      </w:rPr>
                      <w:t>($'1000)</w:t>
                    </w:r>
                  </w:p>
                </w:txbxContent>
              </v:textbox>
              <w10:wrap type="none"/>
            </v:shape>
            <v:shape style="position:absolute;left:5103;top:1965;width:778;height:1656" type="#_x0000_t202" filled="false" stroked="false">
              <v:textbox inset="0,0,0,0">
                <w:txbxContent>
                  <w:p>
                    <w:pPr>
                      <w:tabs>
                        <w:tab w:pos="506" w:val="left" w:leader="none"/>
                      </w:tabs>
                      <w:spacing w:line="141" w:lineRule="exact" w:before="0"/>
                      <w:ind w:left="0" w:right="0" w:firstLine="0"/>
                      <w:jc w:val="center"/>
                      <w:rPr>
                        <w:b/>
                        <w:sz w:val="14"/>
                      </w:rPr>
                    </w:pPr>
                    <w:r>
                      <w:rPr>
                        <w:b/>
                        <w:sz w:val="14"/>
                      </w:rPr>
                      <w:t>2010</w:t>
                      <w:tab/>
                    </w:r>
                    <w:r>
                      <w:rPr>
                        <w:b/>
                        <w:spacing w:val="-2"/>
                        <w:w w:val="95"/>
                        <w:sz w:val="14"/>
                      </w:rPr>
                      <w:t>2011</w:t>
                    </w:r>
                  </w:p>
                  <w:p>
                    <w:pPr>
                      <w:tabs>
                        <w:tab w:pos="563" w:val="left" w:leader="none"/>
                      </w:tabs>
                      <w:spacing w:line="160" w:lineRule="exact" w:before="0"/>
                      <w:ind w:left="139" w:right="0" w:firstLine="0"/>
                      <w:jc w:val="center"/>
                      <w:rPr>
                        <w:sz w:val="14"/>
                      </w:rPr>
                    </w:pPr>
                    <w:r>
                      <w:rPr>
                        <w:sz w:val="14"/>
                      </w:rPr>
                      <w:t>70</w:t>
                      <w:tab/>
                      <w:t>120</w:t>
                    </w:r>
                  </w:p>
                  <w:p>
                    <w:pPr>
                      <w:tabs>
                        <w:tab w:pos="496" w:val="left" w:leader="none"/>
                      </w:tabs>
                      <w:spacing w:before="9"/>
                      <w:ind w:left="-1" w:right="0" w:firstLine="0"/>
                      <w:jc w:val="center"/>
                      <w:rPr>
                        <w:b/>
                        <w:sz w:val="14"/>
                      </w:rPr>
                    </w:pPr>
                    <w:r>
                      <w:rPr>
                        <w:b/>
                        <w:sz w:val="14"/>
                      </w:rPr>
                      <w:t>2012</w:t>
                      <w:tab/>
                    </w:r>
                    <w:r>
                      <w:rPr>
                        <w:b/>
                        <w:w w:val="95"/>
                        <w:sz w:val="14"/>
                      </w:rPr>
                      <w:t>2013</w:t>
                    </w:r>
                  </w:p>
                  <w:p>
                    <w:pPr>
                      <w:tabs>
                        <w:tab w:pos="566" w:val="left" w:leader="none"/>
                      </w:tabs>
                      <w:spacing w:before="7"/>
                      <w:ind w:left="69" w:right="0" w:firstLine="0"/>
                      <w:jc w:val="left"/>
                      <w:rPr>
                        <w:sz w:val="14"/>
                      </w:rPr>
                    </w:pPr>
                    <w:r>
                      <w:rPr>
                        <w:sz w:val="14"/>
                      </w:rPr>
                      <w:t>174</w:t>
                      <w:tab/>
                      <w:t>240</w:t>
                    </w:r>
                  </w:p>
                  <w:p>
                    <w:pPr>
                      <w:tabs>
                        <w:tab w:pos="496" w:val="left" w:leader="none"/>
                      </w:tabs>
                      <w:spacing w:before="12"/>
                      <w:ind w:left="-1" w:right="0" w:firstLine="0"/>
                      <w:jc w:val="center"/>
                      <w:rPr>
                        <w:b/>
                        <w:sz w:val="14"/>
                      </w:rPr>
                    </w:pPr>
                    <w:r>
                      <w:rPr>
                        <w:b/>
                        <w:sz w:val="14"/>
                      </w:rPr>
                      <w:t>2014</w:t>
                      <w:tab/>
                    </w:r>
                    <w:r>
                      <w:rPr>
                        <w:b/>
                        <w:w w:val="95"/>
                        <w:sz w:val="14"/>
                      </w:rPr>
                      <w:t>2015</w:t>
                    </w:r>
                  </w:p>
                  <w:p>
                    <w:pPr>
                      <w:tabs>
                        <w:tab w:pos="566" w:val="left" w:leader="none"/>
                      </w:tabs>
                      <w:spacing w:before="7"/>
                      <w:ind w:left="69" w:right="0" w:firstLine="0"/>
                      <w:jc w:val="left"/>
                      <w:rPr>
                        <w:sz w:val="14"/>
                      </w:rPr>
                    </w:pPr>
                    <w:r>
                      <w:rPr>
                        <w:sz w:val="14"/>
                      </w:rPr>
                      <w:t>296</w:t>
                      <w:tab/>
                      <w:t>356</w:t>
                    </w:r>
                  </w:p>
                  <w:p>
                    <w:pPr>
                      <w:tabs>
                        <w:tab w:pos="496" w:val="left" w:leader="none"/>
                      </w:tabs>
                      <w:spacing w:before="12"/>
                      <w:ind w:left="-1" w:right="0" w:firstLine="0"/>
                      <w:jc w:val="center"/>
                      <w:rPr>
                        <w:b/>
                        <w:sz w:val="14"/>
                      </w:rPr>
                    </w:pPr>
                    <w:r>
                      <w:rPr>
                        <w:b/>
                        <w:sz w:val="14"/>
                      </w:rPr>
                      <w:t>2016</w:t>
                      <w:tab/>
                    </w:r>
                    <w:r>
                      <w:rPr>
                        <w:b/>
                        <w:w w:val="95"/>
                        <w:sz w:val="14"/>
                      </w:rPr>
                      <w:t>2017</w:t>
                    </w:r>
                  </w:p>
                  <w:p>
                    <w:pPr>
                      <w:tabs>
                        <w:tab w:pos="566" w:val="left" w:leader="none"/>
                      </w:tabs>
                      <w:spacing w:before="7"/>
                      <w:ind w:left="76" w:right="0" w:firstLine="0"/>
                      <w:jc w:val="left"/>
                      <w:rPr>
                        <w:sz w:val="14"/>
                      </w:rPr>
                    </w:pPr>
                    <w:r>
                      <w:rPr>
                        <w:sz w:val="14"/>
                      </w:rPr>
                      <w:t>411</w:t>
                      <w:tab/>
                      <w:t>456</w:t>
                    </w:r>
                  </w:p>
                  <w:p>
                    <w:pPr>
                      <w:tabs>
                        <w:tab w:pos="496" w:val="left" w:leader="none"/>
                      </w:tabs>
                      <w:spacing w:before="9"/>
                      <w:ind w:left="-1" w:right="0" w:firstLine="0"/>
                      <w:jc w:val="center"/>
                      <w:rPr>
                        <w:b/>
                        <w:sz w:val="14"/>
                      </w:rPr>
                    </w:pPr>
                    <w:r>
                      <w:rPr>
                        <w:b/>
                        <w:sz w:val="14"/>
                      </w:rPr>
                      <w:t>2018</w:t>
                      <w:tab/>
                    </w:r>
                    <w:r>
                      <w:rPr>
                        <w:b/>
                        <w:w w:val="95"/>
                        <w:sz w:val="14"/>
                      </w:rPr>
                      <w:t>2019</w:t>
                    </w:r>
                  </w:p>
                  <w:p>
                    <w:pPr>
                      <w:tabs>
                        <w:tab w:pos="566" w:val="left" w:leader="none"/>
                      </w:tabs>
                      <w:spacing w:line="158" w:lineRule="exact" w:before="7"/>
                      <w:ind w:left="69" w:right="0" w:firstLine="0"/>
                      <w:jc w:val="left"/>
                      <w:rPr>
                        <w:sz w:val="14"/>
                      </w:rPr>
                    </w:pPr>
                    <w:r>
                      <w:rPr>
                        <w:sz w:val="14"/>
                      </w:rPr>
                      <w:t>520</w:t>
                      <w:tab/>
                      <w:t>587</w:t>
                    </w:r>
                  </w:p>
                </w:txbxContent>
              </v:textbox>
              <w10:wrap type="none"/>
            </v:shape>
            <v:shape style="position:absolute;left:7392;top:745;width:251;height:3219" type="#_x0000_t202" filled="false" stroked="false">
              <v:textbox inset="0,0,0,0">
                <w:txbxContent>
                  <w:p>
                    <w:pPr>
                      <w:spacing w:line="204" w:lineRule="exact" w:before="0"/>
                      <w:ind w:left="148" w:right="0" w:firstLine="0"/>
                      <w:jc w:val="center"/>
                      <w:rPr>
                        <w:b/>
                        <w:sz w:val="20"/>
                      </w:rPr>
                    </w:pPr>
                    <w:r>
                      <w:rPr>
                        <w:b/>
                        <w:w w:val="99"/>
                        <w:sz w:val="20"/>
                      </w:rPr>
                      <w:t>1</w:t>
                    </w:r>
                  </w:p>
                  <w:p>
                    <w:pPr>
                      <w:spacing w:before="72"/>
                      <w:ind w:left="-1" w:right="0" w:firstLine="0"/>
                      <w:jc w:val="center"/>
                      <w:rPr>
                        <w:b/>
                        <w:sz w:val="20"/>
                      </w:rPr>
                    </w:pPr>
                    <w:r>
                      <w:rPr>
                        <w:b/>
                        <w:sz w:val="20"/>
                      </w:rPr>
                      <w:t>0.9</w:t>
                    </w:r>
                  </w:p>
                  <w:p>
                    <w:pPr>
                      <w:spacing w:before="72"/>
                      <w:ind w:left="-1" w:right="0" w:firstLine="0"/>
                      <w:jc w:val="center"/>
                      <w:rPr>
                        <w:b/>
                        <w:sz w:val="20"/>
                      </w:rPr>
                    </w:pPr>
                    <w:r>
                      <w:rPr>
                        <w:b/>
                        <w:sz w:val="20"/>
                      </w:rPr>
                      <w:t>0.8</w:t>
                    </w:r>
                  </w:p>
                  <w:p>
                    <w:pPr>
                      <w:spacing w:before="72"/>
                      <w:ind w:left="-1" w:right="0" w:firstLine="0"/>
                      <w:jc w:val="center"/>
                      <w:rPr>
                        <w:b/>
                        <w:sz w:val="20"/>
                      </w:rPr>
                    </w:pPr>
                    <w:r>
                      <w:rPr>
                        <w:b/>
                        <w:sz w:val="20"/>
                      </w:rPr>
                      <w:t>0.7</w:t>
                    </w:r>
                  </w:p>
                  <w:p>
                    <w:pPr>
                      <w:spacing w:before="72"/>
                      <w:ind w:left="-1" w:right="0" w:firstLine="0"/>
                      <w:jc w:val="center"/>
                      <w:rPr>
                        <w:b/>
                        <w:sz w:val="20"/>
                      </w:rPr>
                    </w:pPr>
                    <w:r>
                      <w:rPr>
                        <w:b/>
                        <w:sz w:val="20"/>
                      </w:rPr>
                      <w:t>0.6</w:t>
                    </w:r>
                  </w:p>
                  <w:p>
                    <w:pPr>
                      <w:spacing w:before="72"/>
                      <w:ind w:left="-1" w:right="0" w:firstLine="0"/>
                      <w:jc w:val="center"/>
                      <w:rPr>
                        <w:b/>
                        <w:sz w:val="20"/>
                      </w:rPr>
                    </w:pPr>
                    <w:r>
                      <w:rPr>
                        <w:b/>
                        <w:sz w:val="20"/>
                      </w:rPr>
                      <w:t>0.5</w:t>
                    </w:r>
                  </w:p>
                  <w:p>
                    <w:pPr>
                      <w:spacing w:before="72"/>
                      <w:ind w:left="-1" w:right="0" w:firstLine="0"/>
                      <w:jc w:val="center"/>
                      <w:rPr>
                        <w:b/>
                        <w:sz w:val="20"/>
                      </w:rPr>
                    </w:pPr>
                    <w:r>
                      <w:rPr>
                        <w:b/>
                        <w:sz w:val="20"/>
                      </w:rPr>
                      <w:t>0.4</w:t>
                    </w:r>
                  </w:p>
                  <w:p>
                    <w:pPr>
                      <w:spacing w:before="72"/>
                      <w:ind w:left="-1" w:right="0" w:firstLine="0"/>
                      <w:jc w:val="center"/>
                      <w:rPr>
                        <w:b/>
                        <w:sz w:val="20"/>
                      </w:rPr>
                    </w:pPr>
                    <w:r>
                      <w:rPr>
                        <w:b/>
                        <w:sz w:val="20"/>
                      </w:rPr>
                      <w:t>0.3</w:t>
                    </w:r>
                  </w:p>
                  <w:p>
                    <w:pPr>
                      <w:spacing w:before="72"/>
                      <w:ind w:left="-1" w:right="0" w:firstLine="0"/>
                      <w:jc w:val="center"/>
                      <w:rPr>
                        <w:b/>
                        <w:sz w:val="20"/>
                      </w:rPr>
                    </w:pPr>
                    <w:r>
                      <w:rPr>
                        <w:b/>
                        <w:sz w:val="20"/>
                      </w:rPr>
                      <w:t>0.2</w:t>
                    </w:r>
                  </w:p>
                  <w:p>
                    <w:pPr>
                      <w:spacing w:before="72"/>
                      <w:ind w:left="-1" w:right="0" w:firstLine="0"/>
                      <w:jc w:val="center"/>
                      <w:rPr>
                        <w:b/>
                        <w:sz w:val="20"/>
                      </w:rPr>
                    </w:pPr>
                    <w:r>
                      <w:rPr>
                        <w:b/>
                        <w:sz w:val="20"/>
                      </w:rPr>
                      <w:t>0.1</w:t>
                    </w:r>
                  </w:p>
                  <w:p>
                    <w:pPr>
                      <w:spacing w:line="226" w:lineRule="exact" w:before="72"/>
                      <w:ind w:left="148" w:right="0" w:firstLine="0"/>
                      <w:jc w:val="center"/>
                      <w:rPr>
                        <w:b/>
                        <w:sz w:val="20"/>
                      </w:rPr>
                    </w:pPr>
                    <w:r>
                      <w:rPr>
                        <w:b/>
                        <w:w w:val="99"/>
                        <w:sz w:val="20"/>
                      </w:rPr>
                      <w:t>0</w:t>
                    </w:r>
                  </w:p>
                </w:txbxContent>
              </v:textbox>
              <w10:wrap type="none"/>
            </v:shape>
            <v:shape style="position:absolute;left:9357;top:1115;width:738;height:140" type="#_x0000_t202" filled="false" stroked="false">
              <v:textbox inset="0,0,0,0">
                <w:txbxContent>
                  <w:p>
                    <w:pPr>
                      <w:spacing w:line="139" w:lineRule="exact" w:before="0"/>
                      <w:ind w:left="0" w:right="-15" w:firstLine="0"/>
                      <w:jc w:val="left"/>
                      <w:rPr>
                        <w:sz w:val="14"/>
                      </w:rPr>
                    </w:pPr>
                    <w:r>
                      <w:rPr>
                        <w:sz w:val="14"/>
                      </w:rPr>
                      <w:t>RFE</w:t>
                    </w:r>
                    <w:r>
                      <w:rPr>
                        <w:spacing w:val="-10"/>
                        <w:sz w:val="14"/>
                      </w:rPr>
                      <w:t> </w:t>
                    </w:r>
                    <w:r>
                      <w:rPr>
                        <w:sz w:val="14"/>
                      </w:rPr>
                      <w:t>máxima</w:t>
                    </w:r>
                  </w:p>
                </w:txbxContent>
              </v:textbox>
              <w10:wrap type="none"/>
            </v:shape>
            <v:shape style="position:absolute;left:9828;top:1869;width:292;height:140" type="#_x0000_t202" filled="false" stroked="false">
              <v:textbox inset="0,0,0,0">
                <w:txbxContent>
                  <w:p>
                    <w:pPr>
                      <w:spacing w:line="139" w:lineRule="exact" w:before="0"/>
                      <w:ind w:left="0" w:right="-20" w:firstLine="0"/>
                      <w:jc w:val="left"/>
                      <w:rPr>
                        <w:sz w:val="14"/>
                      </w:rPr>
                    </w:pPr>
                    <w:r>
                      <w:rPr>
                        <w:spacing w:val="-1"/>
                        <w:sz w:val="14"/>
                      </w:rPr>
                      <w:t>Años</w:t>
                    </w:r>
                  </w:p>
                </w:txbxContent>
              </v:textbox>
              <w10:wrap type="none"/>
            </v:shape>
            <v:shape style="position:absolute;left:8913;top:2668;width:467;height:300" type="#_x0000_t202" filled="false" stroked="false">
              <v:textbox inset="0,0,0,0">
                <w:txbxContent>
                  <w:p>
                    <w:pPr>
                      <w:spacing w:line="142" w:lineRule="exact" w:before="0"/>
                      <w:ind w:left="0" w:right="-20" w:firstLine="55"/>
                      <w:jc w:val="left"/>
                      <w:rPr>
                        <w:sz w:val="14"/>
                      </w:rPr>
                    </w:pPr>
                    <w:r>
                      <w:rPr>
                        <w:sz w:val="14"/>
                      </w:rPr>
                      <w:t>Media</w:t>
                    </w:r>
                  </w:p>
                  <w:p>
                    <w:pPr>
                      <w:spacing w:line="158" w:lineRule="exact" w:before="0"/>
                      <w:ind w:left="0" w:right="-20" w:firstLine="0"/>
                      <w:jc w:val="left"/>
                      <w:rPr>
                        <w:sz w:val="14"/>
                      </w:rPr>
                    </w:pPr>
                    <w:r>
                      <w:rPr>
                        <w:w w:val="95"/>
                        <w:sz w:val="14"/>
                      </w:rPr>
                      <w:t>($'1000)</w:t>
                    </w:r>
                  </w:p>
                </w:txbxContent>
              </v:textbox>
              <w10:wrap type="none"/>
            </v:shape>
            <v:shape style="position:absolute;left:1989;top:4004;width:1082;height:180" type="#_x0000_t202" filled="false" stroked="false">
              <v:textbox inset="0,0,0,0">
                <w:txbxContent>
                  <w:p>
                    <w:pPr>
                      <w:tabs>
                        <w:tab w:pos="751" w:val="left" w:leader="none"/>
                      </w:tabs>
                      <w:spacing w:line="180" w:lineRule="exact" w:before="0"/>
                      <w:ind w:left="0" w:right="0" w:firstLine="0"/>
                      <w:jc w:val="left"/>
                      <w:rPr>
                        <w:b/>
                        <w:sz w:val="18"/>
                      </w:rPr>
                    </w:pPr>
                    <w:r>
                      <w:rPr>
                        <w:b/>
                        <w:sz w:val="18"/>
                      </w:rPr>
                      <w:t>-1,000</w:t>
                      <w:tab/>
                      <w:t>-500</w:t>
                    </w:r>
                  </w:p>
                </w:txbxContent>
              </v:textbox>
              <w10:wrap type="none"/>
            </v:shape>
            <v:shape style="position:absolute;left:3544;top:4004;width:90;height:180" type="#_x0000_t202" filled="false" stroked="false">
              <v:textbox inset="0,0,0,0">
                <w:txbxContent>
                  <w:p>
                    <w:pPr>
                      <w:spacing w:line="180" w:lineRule="exact" w:before="0"/>
                      <w:ind w:left="0" w:right="0" w:firstLine="0"/>
                      <w:jc w:val="left"/>
                      <w:rPr>
                        <w:b/>
                        <w:sz w:val="18"/>
                      </w:rPr>
                    </w:pPr>
                    <w:r>
                      <w:rPr>
                        <w:b/>
                        <w:sz w:val="18"/>
                      </w:rPr>
                      <w:t>0</w:t>
                    </w:r>
                  </w:p>
                </w:txbxContent>
              </v:textbox>
              <w10:wrap type="none"/>
            </v:shape>
            <v:shape style="position:absolute;left:4138;top:4000;width:3150;height:200" type="#_x0000_t202" filled="false" stroked="false">
              <v:textbox inset="0,0,0,0">
                <w:txbxContent>
                  <w:p>
                    <w:pPr>
                      <w:tabs>
                        <w:tab w:pos="615" w:val="left" w:leader="none"/>
                        <w:tab w:pos="1299" w:val="left" w:leader="none"/>
                        <w:tab w:pos="2000" w:val="left" w:leader="none"/>
                        <w:tab w:pos="2783" w:val="left" w:leader="none"/>
                      </w:tabs>
                      <w:spacing w:line="199" w:lineRule="exact" w:before="0"/>
                      <w:ind w:left="0" w:right="0" w:firstLine="0"/>
                      <w:jc w:val="left"/>
                      <w:rPr>
                        <w:b/>
                        <w:sz w:val="20"/>
                      </w:rPr>
                    </w:pPr>
                    <w:r>
                      <w:rPr>
                        <w:b/>
                        <w:position w:val="1"/>
                        <w:sz w:val="18"/>
                      </w:rPr>
                      <w:t>500</w:t>
                      <w:tab/>
                      <w:t>1,000</w:t>
                      <w:tab/>
                      <w:t>1,500</w:t>
                      <w:tab/>
                    </w:r>
                    <w:r>
                      <w:rPr>
                        <w:b/>
                        <w:sz w:val="20"/>
                      </w:rPr>
                      <w:t>-1,000</w:t>
                      <w:tab/>
                    </w:r>
                    <w:r>
                      <w:rPr>
                        <w:b/>
                        <w:w w:val="95"/>
                        <w:sz w:val="20"/>
                      </w:rPr>
                      <w:t>-500</w:t>
                    </w:r>
                  </w:p>
                </w:txbxContent>
              </v:textbox>
              <w10:wrap type="none"/>
            </v:shape>
            <v:shape style="position:absolute;left:7763;top:4000;width:100;height:200" type="#_x0000_t202" filled="false" stroked="false">
              <v:textbox inset="0,0,0,0">
                <w:txbxContent>
                  <w:p>
                    <w:pPr>
                      <w:spacing w:line="199" w:lineRule="exact" w:before="0"/>
                      <w:ind w:left="0" w:right="0" w:firstLine="0"/>
                      <w:jc w:val="left"/>
                      <w:rPr>
                        <w:b/>
                        <w:sz w:val="20"/>
                      </w:rPr>
                    </w:pPr>
                    <w:r>
                      <w:rPr>
                        <w:b/>
                        <w:w w:val="99"/>
                        <w:sz w:val="20"/>
                      </w:rPr>
                      <w:t>0</w:t>
                    </w:r>
                  </w:p>
                </w:txbxContent>
              </v:textbox>
              <w10:wrap type="none"/>
            </v:shape>
            <v:shape style="position:absolute;left:8370;top:4000;width:1791;height:200" type="#_x0000_t202" filled="false" stroked="false">
              <v:textbox inset="0,0,0,0">
                <w:txbxContent>
                  <w:p>
                    <w:pPr>
                      <w:tabs>
                        <w:tab w:pos="633" w:val="left" w:leader="none"/>
                        <w:tab w:pos="1341" w:val="left" w:leader="none"/>
                      </w:tabs>
                      <w:spacing w:line="199" w:lineRule="exact" w:before="0"/>
                      <w:ind w:left="0" w:right="0" w:firstLine="0"/>
                      <w:jc w:val="left"/>
                      <w:rPr>
                        <w:b/>
                        <w:sz w:val="20"/>
                      </w:rPr>
                    </w:pPr>
                    <w:r>
                      <w:rPr>
                        <w:b/>
                        <w:sz w:val="20"/>
                      </w:rPr>
                      <w:t>500</w:t>
                      <w:tab/>
                      <w:t>1,000</w:t>
                      <w:tab/>
                    </w:r>
                    <w:r>
                      <w:rPr>
                        <w:b/>
                        <w:w w:val="95"/>
                        <w:sz w:val="20"/>
                      </w:rPr>
                      <w:t>1,500</w:t>
                    </w:r>
                  </w:p>
                </w:txbxContent>
              </v:textbox>
              <w10:wrap type="none"/>
            </v:shape>
            <w10:wrap type="none"/>
          </v:group>
        </w:pict>
      </w:r>
      <w:r>
        <w:rPr/>
        <w:pict>
          <v:shape style="position:absolute;margin-left:98.435448pt;margin-top:106.087952pt;width:12pt;height:23.15pt;mso-position-horizontal-relative:page;mso-position-vertical-relative:paragraph;z-index:5752" type="#_x0000_t202" filled="false" stroked="false">
            <v:textbox inset="0,0,0,0" style="layout-flow:vertical;mso-layout-flow-alt:bottom-to-top">
              <w:txbxContent>
                <w:p>
                  <w:pPr>
                    <w:spacing w:line="224" w:lineRule="exact" w:before="0"/>
                    <w:ind w:left="20" w:right="-222" w:firstLine="0"/>
                    <w:jc w:val="left"/>
                    <w:rPr>
                      <w:b/>
                      <w:sz w:val="20"/>
                    </w:rPr>
                  </w:pPr>
                  <w:r>
                    <w:rPr>
                      <w:b/>
                      <w:w w:val="99"/>
                      <w:sz w:val="20"/>
                    </w:rPr>
                    <w:t>Pr</w:t>
                  </w:r>
                  <w:r>
                    <w:rPr>
                      <w:b/>
                      <w:spacing w:val="1"/>
                      <w:w w:val="99"/>
                      <w:sz w:val="20"/>
                    </w:rPr>
                    <w:t>o</w:t>
                  </w:r>
                  <w:r>
                    <w:rPr>
                      <w:b/>
                      <w:w w:val="99"/>
                      <w:sz w:val="20"/>
                    </w:rPr>
                    <w:t>b</w:t>
                  </w:r>
                </w:p>
              </w:txbxContent>
            </v:textbox>
            <w10:wrap type="none"/>
          </v:shape>
        </w:pict>
      </w:r>
      <w:r>
        <w:rPr/>
        <w:pict>
          <v:shape style="position:absolute;margin-left:106.609467pt;margin-top:59.011093pt;width:9pt;height:37.85pt;mso-position-horizontal-relative:page;mso-position-vertical-relative:paragraph;z-index:5776" type="#_x0000_t202" filled="false" stroked="false">
            <v:textbox inset="0,0,0,0" style="layout-flow:vertical;mso-layout-flow-alt:bottom-to-top">
              <w:txbxContent>
                <w:p>
                  <w:pPr>
                    <w:spacing w:before="1"/>
                    <w:ind w:left="20" w:right="-282" w:firstLine="0"/>
                    <w:jc w:val="left"/>
                    <w:rPr>
                      <w:sz w:val="14"/>
                    </w:rPr>
                  </w:pPr>
                  <w:r>
                    <w:rPr>
                      <w:w w:val="99"/>
                      <w:sz w:val="14"/>
                    </w:rPr>
                    <w:t>R</w:t>
                  </w:r>
                  <w:r>
                    <w:rPr>
                      <w:spacing w:val="-1"/>
                      <w:w w:val="99"/>
                      <w:sz w:val="14"/>
                    </w:rPr>
                    <w:t>F</w:t>
                  </w:r>
                  <w:r>
                    <w:rPr>
                      <w:w w:val="99"/>
                      <w:sz w:val="14"/>
                    </w:rPr>
                    <w:t>E</w:t>
                  </w:r>
                  <w:r>
                    <w:rPr>
                      <w:spacing w:val="2"/>
                      <w:sz w:val="14"/>
                    </w:rPr>
                    <w:t> </w:t>
                  </w:r>
                  <w:r>
                    <w:rPr>
                      <w:spacing w:val="-3"/>
                      <w:w w:val="99"/>
                      <w:sz w:val="14"/>
                    </w:rPr>
                    <w:t>m</w:t>
                  </w:r>
                  <w:r>
                    <w:rPr>
                      <w:w w:val="99"/>
                      <w:sz w:val="14"/>
                    </w:rPr>
                    <w:t>í</w:t>
                  </w:r>
                  <w:r>
                    <w:rPr>
                      <w:spacing w:val="1"/>
                      <w:w w:val="99"/>
                      <w:sz w:val="14"/>
                    </w:rPr>
                    <w:t>ni</w:t>
                  </w:r>
                  <w:r>
                    <w:rPr>
                      <w:spacing w:val="-3"/>
                      <w:w w:val="99"/>
                      <w:sz w:val="14"/>
                    </w:rPr>
                    <w:t>m</w:t>
                  </w:r>
                  <w:r>
                    <w:rPr>
                      <w:w w:val="99"/>
                      <w:sz w:val="14"/>
                    </w:rPr>
                    <w:t>a</w:t>
                  </w:r>
                </w:p>
              </w:txbxContent>
            </v:textbox>
            <w10:wrap type="none"/>
          </v:shape>
        </w:pict>
      </w:r>
      <w:r>
        <w:rPr/>
        <w:pict>
          <v:shape style="position:absolute;margin-left:188.949463pt;margin-top:48.864433pt;width:9pt;height:51.65pt;mso-position-horizontal-relative:page;mso-position-vertical-relative:paragraph;z-index:5800" type="#_x0000_t202" filled="false" stroked="false">
            <v:textbox inset="0,0,0,0" style="layout-flow:vertical;mso-layout-flow-alt:bottom-to-top">
              <w:txbxContent>
                <w:p>
                  <w:pPr>
                    <w:spacing w:before="1"/>
                    <w:ind w:left="20" w:right="-455" w:firstLine="0"/>
                    <w:jc w:val="left"/>
                    <w:rPr>
                      <w:sz w:val="14"/>
                    </w:rPr>
                  </w:pPr>
                  <w:r>
                    <w:rPr>
                      <w:w w:val="99"/>
                      <w:sz w:val="14"/>
                    </w:rPr>
                    <w:t>R</w:t>
                  </w:r>
                  <w:r>
                    <w:rPr>
                      <w:spacing w:val="-1"/>
                      <w:w w:val="99"/>
                      <w:sz w:val="14"/>
                    </w:rPr>
                    <w:t>F</w:t>
                  </w:r>
                  <w:r>
                    <w:rPr>
                      <w:w w:val="99"/>
                      <w:sz w:val="14"/>
                    </w:rPr>
                    <w:t>E</w:t>
                  </w:r>
                  <w:r>
                    <w:rPr>
                      <w:spacing w:val="-1"/>
                      <w:sz w:val="14"/>
                    </w:rPr>
                    <w:t> </w:t>
                  </w:r>
                  <w:r>
                    <w:rPr>
                      <w:w w:val="99"/>
                      <w:sz w:val="14"/>
                    </w:rPr>
                    <w:t>MOD</w:t>
                  </w:r>
                  <w:r>
                    <w:rPr>
                      <w:spacing w:val="1"/>
                      <w:w w:val="99"/>
                      <w:sz w:val="14"/>
                    </w:rPr>
                    <w:t>E</w:t>
                  </w:r>
                  <w:r>
                    <w:rPr>
                      <w:spacing w:val="-2"/>
                      <w:w w:val="99"/>
                      <w:sz w:val="14"/>
                    </w:rPr>
                    <w:t>L</w:t>
                  </w:r>
                  <w:r>
                    <w:rPr>
                      <w:w w:val="99"/>
                      <w:sz w:val="14"/>
                    </w:rPr>
                    <w:t>O</w:t>
                  </w:r>
                  <w:r>
                    <w:rPr>
                      <w:spacing w:val="1"/>
                      <w:sz w:val="14"/>
                    </w:rPr>
                    <w:t> </w:t>
                  </w:r>
                  <w:r>
                    <w:rPr>
                      <w:w w:val="99"/>
                      <w:sz w:val="14"/>
                    </w:rPr>
                    <w:t>1</w:t>
                  </w:r>
                </w:p>
              </w:txbxContent>
            </v:textbox>
            <w10:wrap type="none"/>
          </v:shape>
        </w:pict>
      </w:r>
      <w:r>
        <w:rPr/>
        <w:pict>
          <v:shape style="position:absolute;margin-left:303.410004pt;margin-top:106.995689pt;width:12pt;height:21.65pt;mso-position-horizontal-relative:page;mso-position-vertical-relative:paragraph;z-index:5824" type="#_x0000_t202" filled="false" stroked="false">
            <v:textbox inset="0,0,0,0" style="layout-flow:vertical;mso-layout-flow-alt:bottom-to-top">
              <w:txbxContent>
                <w:p>
                  <w:pPr>
                    <w:spacing w:line="223" w:lineRule="exact" w:before="0"/>
                    <w:ind w:left="20" w:right="-190" w:firstLine="0"/>
                    <w:jc w:val="left"/>
                    <w:rPr>
                      <w:rFonts w:ascii="Calibri"/>
                      <w:b/>
                      <w:sz w:val="20"/>
                    </w:rPr>
                  </w:pPr>
                  <w:r>
                    <w:rPr>
                      <w:rFonts w:ascii="Calibri"/>
                      <w:b/>
                      <w:spacing w:val="-1"/>
                      <w:w w:val="99"/>
                      <w:sz w:val="20"/>
                    </w:rPr>
                    <w:t>P</w:t>
                  </w:r>
                  <w:r>
                    <w:rPr>
                      <w:rFonts w:ascii="Calibri"/>
                      <w:b/>
                      <w:w w:val="99"/>
                      <w:sz w:val="20"/>
                    </w:rPr>
                    <w:t>rob</w:t>
                  </w:r>
                </w:p>
              </w:txbxContent>
            </v:textbox>
            <w10:wrap type="none"/>
          </v:shape>
        </w:pict>
      </w:r>
      <w:r>
        <w:rPr/>
        <w:pict>
          <v:shape style="position:absolute;margin-left:353.469482pt;margin-top:60.571095pt;width:9pt;height:37.85pt;mso-position-horizontal-relative:page;mso-position-vertical-relative:paragraph;z-index:5848" type="#_x0000_t202" filled="false" stroked="false">
            <v:textbox inset="0,0,0,0" style="layout-flow:vertical;mso-layout-flow-alt:bottom-to-top">
              <w:txbxContent>
                <w:p>
                  <w:pPr>
                    <w:spacing w:before="1"/>
                    <w:ind w:left="20" w:right="-282" w:firstLine="0"/>
                    <w:jc w:val="left"/>
                    <w:rPr>
                      <w:sz w:val="14"/>
                    </w:rPr>
                  </w:pPr>
                  <w:r>
                    <w:rPr>
                      <w:w w:val="99"/>
                      <w:sz w:val="14"/>
                    </w:rPr>
                    <w:t>R</w:t>
                  </w:r>
                  <w:r>
                    <w:rPr>
                      <w:spacing w:val="-1"/>
                      <w:w w:val="99"/>
                      <w:sz w:val="14"/>
                    </w:rPr>
                    <w:t>F</w:t>
                  </w:r>
                  <w:r>
                    <w:rPr>
                      <w:w w:val="99"/>
                      <w:sz w:val="14"/>
                    </w:rPr>
                    <w:t>E</w:t>
                  </w:r>
                  <w:r>
                    <w:rPr>
                      <w:spacing w:val="2"/>
                      <w:sz w:val="14"/>
                    </w:rPr>
                    <w:t> </w:t>
                  </w:r>
                  <w:r>
                    <w:rPr>
                      <w:spacing w:val="-3"/>
                      <w:w w:val="99"/>
                      <w:sz w:val="14"/>
                    </w:rPr>
                    <w:t>m</w:t>
                  </w:r>
                  <w:r>
                    <w:rPr>
                      <w:w w:val="99"/>
                      <w:sz w:val="14"/>
                    </w:rPr>
                    <w:t>í</w:t>
                  </w:r>
                  <w:r>
                    <w:rPr>
                      <w:spacing w:val="1"/>
                      <w:w w:val="99"/>
                      <w:sz w:val="14"/>
                    </w:rPr>
                    <w:t>ni</w:t>
                  </w:r>
                  <w:r>
                    <w:rPr>
                      <w:spacing w:val="-3"/>
                      <w:w w:val="99"/>
                      <w:sz w:val="14"/>
                    </w:rPr>
                    <w:t>m</w:t>
                  </w:r>
                  <w:r>
                    <w:rPr>
                      <w:w w:val="99"/>
                      <w:sz w:val="14"/>
                    </w:rPr>
                    <w:t>a</w:t>
                  </w:r>
                </w:p>
              </w:txbxContent>
            </v:textbox>
            <w10:wrap type="none"/>
          </v:shape>
        </w:pict>
      </w:r>
      <w:r>
        <w:rPr/>
        <w:pict>
          <v:shape style="position:absolute;margin-left:416.25946pt;margin-top:44.884434pt;width:9pt;height:51.65pt;mso-position-horizontal-relative:page;mso-position-vertical-relative:paragraph;z-index:5872" type="#_x0000_t202" filled="false" stroked="false">
            <v:textbox inset="0,0,0,0" style="layout-flow:vertical;mso-layout-flow-alt:bottom-to-top">
              <w:txbxContent>
                <w:p>
                  <w:pPr>
                    <w:spacing w:before="1"/>
                    <w:ind w:left="20" w:right="-455" w:firstLine="0"/>
                    <w:jc w:val="left"/>
                    <w:rPr>
                      <w:sz w:val="14"/>
                    </w:rPr>
                  </w:pPr>
                  <w:r>
                    <w:rPr>
                      <w:w w:val="99"/>
                      <w:sz w:val="14"/>
                    </w:rPr>
                    <w:t>R</w:t>
                  </w:r>
                  <w:r>
                    <w:rPr>
                      <w:spacing w:val="-1"/>
                      <w:w w:val="99"/>
                      <w:sz w:val="14"/>
                    </w:rPr>
                    <w:t>F</w:t>
                  </w:r>
                  <w:r>
                    <w:rPr>
                      <w:w w:val="99"/>
                      <w:sz w:val="14"/>
                    </w:rPr>
                    <w:t>E</w:t>
                  </w:r>
                  <w:r>
                    <w:rPr>
                      <w:spacing w:val="-1"/>
                      <w:sz w:val="14"/>
                    </w:rPr>
                    <w:t> </w:t>
                  </w:r>
                  <w:r>
                    <w:rPr>
                      <w:w w:val="99"/>
                      <w:sz w:val="14"/>
                    </w:rPr>
                    <w:t>MOD</w:t>
                  </w:r>
                  <w:r>
                    <w:rPr>
                      <w:spacing w:val="1"/>
                      <w:w w:val="99"/>
                      <w:sz w:val="14"/>
                    </w:rPr>
                    <w:t>E</w:t>
                  </w:r>
                  <w:r>
                    <w:rPr>
                      <w:spacing w:val="-2"/>
                      <w:w w:val="99"/>
                      <w:sz w:val="14"/>
                    </w:rPr>
                    <w:t>L</w:t>
                  </w:r>
                  <w:r>
                    <w:rPr>
                      <w:w w:val="99"/>
                      <w:sz w:val="14"/>
                    </w:rPr>
                    <w:t>O</w:t>
                  </w:r>
                  <w:r>
                    <w:rPr>
                      <w:spacing w:val="1"/>
                      <w:sz w:val="14"/>
                    </w:rPr>
                    <w:t> </w:t>
                  </w:r>
                  <w:r>
                    <w:rPr>
                      <w:w w:val="99"/>
                      <w:sz w:val="14"/>
                    </w:rPr>
                    <w:t>2</w:t>
                  </w:r>
                </w:p>
              </w:txbxContent>
            </v:textbox>
            <w10:wrap type="none"/>
          </v:shape>
        </w:pict>
      </w:r>
      <w:r>
        <w:rPr>
          <w:b/>
        </w:rPr>
        <w:t>Figura 2. </w:t>
      </w:r>
      <w:r>
        <w:rPr/>
        <w:t>FPA para reservas de efectivo anuales, 2010-2019 (miles de pesos)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pPr>
    </w:p>
    <w:tbl>
      <w:tblPr>
        <w:tblW w:w="0" w:type="auto"/>
        <w:jc w:val="left"/>
        <w:tblInd w:w="80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
        <w:gridCol w:w="482"/>
      </w:tblGrid>
      <w:tr>
        <w:trPr>
          <w:trHeight w:val="214" w:hRule="exact"/>
        </w:trPr>
        <w:tc>
          <w:tcPr>
            <w:tcW w:w="439" w:type="dxa"/>
          </w:tcPr>
          <w:p>
            <w:pPr>
              <w:pStyle w:val="TableParagraph"/>
              <w:spacing w:before="47"/>
              <w:ind w:right="125"/>
              <w:rPr>
                <w:b/>
                <w:sz w:val="14"/>
              </w:rPr>
            </w:pPr>
            <w:r>
              <w:rPr>
                <w:b/>
                <w:w w:val="95"/>
                <w:sz w:val="14"/>
              </w:rPr>
              <w:t>2010</w:t>
            </w:r>
          </w:p>
        </w:tc>
        <w:tc>
          <w:tcPr>
            <w:tcW w:w="482" w:type="dxa"/>
          </w:tcPr>
          <w:p>
            <w:pPr>
              <w:pStyle w:val="TableParagraph"/>
              <w:spacing w:before="47"/>
              <w:ind w:left="102" w:right="47"/>
              <w:jc w:val="center"/>
              <w:rPr>
                <w:b/>
                <w:sz w:val="14"/>
              </w:rPr>
            </w:pPr>
            <w:r>
              <w:rPr>
                <w:b/>
                <w:sz w:val="14"/>
              </w:rPr>
              <w:t>2011</w:t>
            </w:r>
          </w:p>
        </w:tc>
      </w:tr>
      <w:tr>
        <w:trPr>
          <w:trHeight w:val="166" w:hRule="exact"/>
        </w:trPr>
        <w:tc>
          <w:tcPr>
            <w:tcW w:w="439" w:type="dxa"/>
          </w:tcPr>
          <w:p>
            <w:pPr>
              <w:pStyle w:val="TableParagraph"/>
              <w:spacing w:line="152" w:lineRule="exact"/>
              <w:ind w:right="121"/>
              <w:rPr>
                <w:sz w:val="14"/>
              </w:rPr>
            </w:pPr>
            <w:r>
              <w:rPr>
                <w:w w:val="95"/>
                <w:sz w:val="14"/>
              </w:rPr>
              <w:t>97</w:t>
            </w:r>
          </w:p>
        </w:tc>
        <w:tc>
          <w:tcPr>
            <w:tcW w:w="482" w:type="dxa"/>
          </w:tcPr>
          <w:p>
            <w:pPr>
              <w:pStyle w:val="TableParagraph"/>
              <w:spacing w:line="152" w:lineRule="exact"/>
              <w:ind w:left="166" w:right="53"/>
              <w:jc w:val="center"/>
              <w:rPr>
                <w:sz w:val="14"/>
              </w:rPr>
            </w:pPr>
            <w:r>
              <w:rPr>
                <w:sz w:val="14"/>
              </w:rPr>
              <w:t>176</w:t>
            </w:r>
          </w:p>
        </w:tc>
      </w:tr>
      <w:tr>
        <w:trPr>
          <w:trHeight w:val="169" w:hRule="exact"/>
        </w:trPr>
        <w:tc>
          <w:tcPr>
            <w:tcW w:w="439" w:type="dxa"/>
          </w:tcPr>
          <w:p>
            <w:pPr>
              <w:pStyle w:val="TableParagraph"/>
              <w:spacing w:line="159" w:lineRule="exact"/>
              <w:ind w:right="125"/>
              <w:rPr>
                <w:b/>
                <w:sz w:val="14"/>
              </w:rPr>
            </w:pPr>
            <w:r>
              <w:rPr>
                <w:b/>
                <w:w w:val="95"/>
                <w:sz w:val="14"/>
              </w:rPr>
              <w:t>2012</w:t>
            </w:r>
          </w:p>
        </w:tc>
        <w:tc>
          <w:tcPr>
            <w:tcW w:w="482" w:type="dxa"/>
          </w:tcPr>
          <w:p>
            <w:pPr>
              <w:pStyle w:val="TableParagraph"/>
              <w:spacing w:line="159" w:lineRule="exact"/>
              <w:ind w:left="97" w:right="53"/>
              <w:jc w:val="center"/>
              <w:rPr>
                <w:b/>
                <w:sz w:val="14"/>
              </w:rPr>
            </w:pPr>
            <w:r>
              <w:rPr>
                <w:b/>
                <w:sz w:val="14"/>
              </w:rPr>
              <w:t>2013</w:t>
            </w:r>
          </w:p>
        </w:tc>
      </w:tr>
      <w:tr>
        <w:trPr>
          <w:trHeight w:val="169" w:hRule="exact"/>
        </w:trPr>
        <w:tc>
          <w:tcPr>
            <w:tcW w:w="439" w:type="dxa"/>
          </w:tcPr>
          <w:p>
            <w:pPr>
              <w:pStyle w:val="TableParagraph"/>
              <w:spacing w:line="155" w:lineRule="exact"/>
              <w:ind w:right="125"/>
              <w:rPr>
                <w:sz w:val="14"/>
              </w:rPr>
            </w:pPr>
            <w:r>
              <w:rPr>
                <w:w w:val="95"/>
                <w:sz w:val="14"/>
              </w:rPr>
              <w:t>261</w:t>
            </w:r>
          </w:p>
        </w:tc>
        <w:tc>
          <w:tcPr>
            <w:tcW w:w="482" w:type="dxa"/>
          </w:tcPr>
          <w:p>
            <w:pPr>
              <w:pStyle w:val="TableParagraph"/>
              <w:spacing w:line="155" w:lineRule="exact"/>
              <w:ind w:left="166" w:right="53"/>
              <w:jc w:val="center"/>
              <w:rPr>
                <w:sz w:val="14"/>
              </w:rPr>
            </w:pPr>
            <w:r>
              <w:rPr>
                <w:sz w:val="14"/>
              </w:rPr>
              <w:t>361</w:t>
            </w:r>
          </w:p>
        </w:tc>
      </w:tr>
      <w:tr>
        <w:trPr>
          <w:trHeight w:val="170" w:hRule="exact"/>
        </w:trPr>
        <w:tc>
          <w:tcPr>
            <w:tcW w:w="439" w:type="dxa"/>
          </w:tcPr>
          <w:p>
            <w:pPr>
              <w:pStyle w:val="TableParagraph"/>
              <w:spacing w:line="159" w:lineRule="exact"/>
              <w:ind w:right="125"/>
              <w:rPr>
                <w:b/>
                <w:sz w:val="14"/>
              </w:rPr>
            </w:pPr>
            <w:r>
              <w:rPr>
                <w:b/>
                <w:w w:val="95"/>
                <w:sz w:val="14"/>
              </w:rPr>
              <w:t>2014</w:t>
            </w:r>
          </w:p>
        </w:tc>
        <w:tc>
          <w:tcPr>
            <w:tcW w:w="482" w:type="dxa"/>
          </w:tcPr>
          <w:p>
            <w:pPr>
              <w:pStyle w:val="TableParagraph"/>
              <w:spacing w:line="159" w:lineRule="exact"/>
              <w:ind w:left="97" w:right="53"/>
              <w:jc w:val="center"/>
              <w:rPr>
                <w:b/>
                <w:sz w:val="14"/>
              </w:rPr>
            </w:pPr>
            <w:r>
              <w:rPr>
                <w:b/>
                <w:sz w:val="14"/>
              </w:rPr>
              <w:t>2015</w:t>
            </w:r>
          </w:p>
        </w:tc>
      </w:tr>
      <w:tr>
        <w:trPr>
          <w:trHeight w:val="170" w:hRule="exact"/>
        </w:trPr>
        <w:tc>
          <w:tcPr>
            <w:tcW w:w="439" w:type="dxa"/>
          </w:tcPr>
          <w:p>
            <w:pPr>
              <w:pStyle w:val="TableParagraph"/>
              <w:spacing w:line="157" w:lineRule="exact"/>
              <w:ind w:right="125"/>
              <w:rPr>
                <w:sz w:val="14"/>
              </w:rPr>
            </w:pPr>
            <w:r>
              <w:rPr>
                <w:w w:val="95"/>
                <w:sz w:val="14"/>
              </w:rPr>
              <w:t>451</w:t>
            </w:r>
          </w:p>
        </w:tc>
        <w:tc>
          <w:tcPr>
            <w:tcW w:w="482" w:type="dxa"/>
          </w:tcPr>
          <w:p>
            <w:pPr>
              <w:pStyle w:val="TableParagraph"/>
              <w:spacing w:line="157" w:lineRule="exact"/>
              <w:ind w:left="166" w:right="53"/>
              <w:jc w:val="center"/>
              <w:rPr>
                <w:sz w:val="14"/>
              </w:rPr>
            </w:pPr>
            <w:r>
              <w:rPr>
                <w:sz w:val="14"/>
              </w:rPr>
              <w:t>547</w:t>
            </w:r>
          </w:p>
        </w:tc>
      </w:tr>
      <w:tr>
        <w:trPr>
          <w:trHeight w:val="170" w:hRule="exact"/>
        </w:trPr>
        <w:tc>
          <w:tcPr>
            <w:tcW w:w="439" w:type="dxa"/>
          </w:tcPr>
          <w:p>
            <w:pPr>
              <w:pStyle w:val="TableParagraph"/>
              <w:spacing w:line="159" w:lineRule="exact"/>
              <w:ind w:right="125"/>
              <w:rPr>
                <w:b/>
                <w:sz w:val="14"/>
              </w:rPr>
            </w:pPr>
            <w:r>
              <w:rPr>
                <w:b/>
                <w:w w:val="95"/>
                <w:sz w:val="14"/>
              </w:rPr>
              <w:t>2016</w:t>
            </w:r>
          </w:p>
        </w:tc>
        <w:tc>
          <w:tcPr>
            <w:tcW w:w="482" w:type="dxa"/>
          </w:tcPr>
          <w:p>
            <w:pPr>
              <w:pStyle w:val="TableParagraph"/>
              <w:spacing w:line="159" w:lineRule="exact"/>
              <w:ind w:left="97" w:right="53"/>
              <w:jc w:val="center"/>
              <w:rPr>
                <w:b/>
                <w:sz w:val="14"/>
              </w:rPr>
            </w:pPr>
            <w:r>
              <w:rPr>
                <w:b/>
                <w:sz w:val="14"/>
              </w:rPr>
              <w:t>2017</w:t>
            </w:r>
          </w:p>
        </w:tc>
      </w:tr>
      <w:tr>
        <w:trPr>
          <w:trHeight w:val="170" w:hRule="exact"/>
        </w:trPr>
        <w:tc>
          <w:tcPr>
            <w:tcW w:w="439" w:type="dxa"/>
          </w:tcPr>
          <w:p>
            <w:pPr>
              <w:pStyle w:val="TableParagraph"/>
              <w:spacing w:line="157" w:lineRule="exact"/>
              <w:ind w:right="125"/>
              <w:rPr>
                <w:sz w:val="14"/>
              </w:rPr>
            </w:pPr>
            <w:r>
              <w:rPr>
                <w:w w:val="95"/>
                <w:sz w:val="14"/>
              </w:rPr>
              <w:t>640</w:t>
            </w:r>
          </w:p>
        </w:tc>
        <w:tc>
          <w:tcPr>
            <w:tcW w:w="482" w:type="dxa"/>
          </w:tcPr>
          <w:p>
            <w:pPr>
              <w:pStyle w:val="TableParagraph"/>
              <w:spacing w:line="157" w:lineRule="exact"/>
              <w:ind w:left="166" w:right="53"/>
              <w:jc w:val="center"/>
              <w:rPr>
                <w:sz w:val="14"/>
              </w:rPr>
            </w:pPr>
            <w:r>
              <w:rPr>
                <w:sz w:val="14"/>
              </w:rPr>
              <w:t>726</w:t>
            </w:r>
          </w:p>
        </w:tc>
      </w:tr>
      <w:tr>
        <w:trPr>
          <w:trHeight w:val="170" w:hRule="exact"/>
        </w:trPr>
        <w:tc>
          <w:tcPr>
            <w:tcW w:w="439" w:type="dxa"/>
          </w:tcPr>
          <w:p>
            <w:pPr>
              <w:pStyle w:val="TableParagraph"/>
              <w:spacing w:line="159" w:lineRule="exact"/>
              <w:ind w:right="125"/>
              <w:rPr>
                <w:b/>
                <w:sz w:val="14"/>
              </w:rPr>
            </w:pPr>
            <w:r>
              <w:rPr>
                <w:b/>
                <w:w w:val="95"/>
                <w:sz w:val="14"/>
              </w:rPr>
              <w:t>2018</w:t>
            </w:r>
          </w:p>
        </w:tc>
        <w:tc>
          <w:tcPr>
            <w:tcW w:w="482" w:type="dxa"/>
          </w:tcPr>
          <w:p>
            <w:pPr>
              <w:pStyle w:val="TableParagraph"/>
              <w:spacing w:line="159" w:lineRule="exact"/>
              <w:ind w:left="97" w:right="53"/>
              <w:jc w:val="center"/>
              <w:rPr>
                <w:b/>
                <w:sz w:val="14"/>
              </w:rPr>
            </w:pPr>
            <w:r>
              <w:rPr>
                <w:b/>
                <w:sz w:val="14"/>
              </w:rPr>
              <w:t>2019</w:t>
            </w:r>
          </w:p>
        </w:tc>
      </w:tr>
      <w:tr>
        <w:trPr>
          <w:trHeight w:val="253" w:hRule="exact"/>
        </w:trPr>
        <w:tc>
          <w:tcPr>
            <w:tcW w:w="439" w:type="dxa"/>
          </w:tcPr>
          <w:p>
            <w:pPr>
              <w:pStyle w:val="TableParagraph"/>
              <w:spacing w:line="156" w:lineRule="exact"/>
              <w:ind w:right="125"/>
              <w:rPr>
                <w:sz w:val="14"/>
              </w:rPr>
            </w:pPr>
            <w:r>
              <w:rPr>
                <w:w w:val="95"/>
                <w:sz w:val="14"/>
              </w:rPr>
              <w:t>832</w:t>
            </w:r>
          </w:p>
        </w:tc>
        <w:tc>
          <w:tcPr>
            <w:tcW w:w="482" w:type="dxa"/>
          </w:tcPr>
          <w:p>
            <w:pPr>
              <w:pStyle w:val="TableParagraph"/>
              <w:spacing w:line="156" w:lineRule="exact"/>
              <w:ind w:left="166" w:right="53"/>
              <w:jc w:val="center"/>
              <w:rPr>
                <w:sz w:val="14"/>
              </w:rPr>
            </w:pPr>
            <w:r>
              <w:rPr>
                <w:sz w:val="14"/>
              </w:rPr>
              <w:t>943</w:t>
            </w:r>
          </w:p>
        </w:tc>
      </w:tr>
    </w:tbl>
    <w:p>
      <w:pPr>
        <w:pStyle w:val="BodyText"/>
      </w:pPr>
    </w:p>
    <w:p>
      <w:pPr>
        <w:pStyle w:val="BodyText"/>
        <w:spacing w:before="5"/>
        <w:rPr>
          <w:sz w:val="20"/>
        </w:rPr>
      </w:pPr>
    </w:p>
    <w:p>
      <w:pPr>
        <w:spacing w:before="0"/>
        <w:ind w:left="122" w:right="0" w:firstLine="0"/>
        <w:jc w:val="both"/>
        <w:rPr>
          <w:sz w:val="20"/>
        </w:rPr>
      </w:pPr>
      <w:r>
        <w:rPr>
          <w:sz w:val="20"/>
        </w:rPr>
        <w:t>Fuente: Elaboración propia.</w:t>
      </w: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60" w:lineRule="auto"/>
        <w:ind w:left="122" w:right="1696"/>
        <w:jc w:val="both"/>
      </w:pPr>
      <w:r>
        <w:rPr/>
        <w:t>El VAN osciló entre $-700.00 y $735.00 mil pesos para el modelo 1, esto significa que la probabilidad</w:t>
      </w:r>
      <w:r>
        <w:rPr>
          <w:spacing w:val="-4"/>
        </w:rPr>
        <w:t> </w:t>
      </w:r>
      <w:r>
        <w:rPr/>
        <w:t>de</w:t>
      </w:r>
      <w:r>
        <w:rPr>
          <w:spacing w:val="-5"/>
        </w:rPr>
        <w:t> </w:t>
      </w:r>
      <w:r>
        <w:rPr/>
        <w:t>que</w:t>
      </w:r>
      <w:r>
        <w:rPr>
          <w:spacing w:val="-5"/>
        </w:rPr>
        <w:t> </w:t>
      </w:r>
      <w:r>
        <w:rPr/>
        <w:t>sea mayor</w:t>
      </w:r>
      <w:r>
        <w:rPr>
          <w:spacing w:val="-2"/>
        </w:rPr>
        <w:t> </w:t>
      </w:r>
      <w:r>
        <w:rPr/>
        <w:t>que</w:t>
      </w:r>
      <w:r>
        <w:rPr>
          <w:spacing w:val="-2"/>
        </w:rPr>
        <w:t> </w:t>
      </w:r>
      <w:r>
        <w:rPr/>
        <w:t>cero</w:t>
      </w:r>
      <w:r>
        <w:rPr>
          <w:spacing w:val="-1"/>
        </w:rPr>
        <w:t> </w:t>
      </w:r>
      <w:r>
        <w:rPr/>
        <w:t>fue</w:t>
      </w:r>
      <w:r>
        <w:rPr>
          <w:spacing w:val="-5"/>
        </w:rPr>
        <w:t> </w:t>
      </w:r>
      <w:r>
        <w:rPr/>
        <w:t>de</w:t>
      </w:r>
      <w:r>
        <w:rPr>
          <w:spacing w:val="-5"/>
        </w:rPr>
        <w:t> </w:t>
      </w:r>
      <w:r>
        <w:rPr/>
        <w:t>81.3%;</w:t>
      </w:r>
      <w:r>
        <w:rPr>
          <w:spacing w:val="-3"/>
        </w:rPr>
        <w:t> </w:t>
      </w:r>
      <w:r>
        <w:rPr/>
        <w:t>en</w:t>
      </w:r>
      <w:r>
        <w:rPr>
          <w:spacing w:val="-4"/>
        </w:rPr>
        <w:t> </w:t>
      </w:r>
      <w:r>
        <w:rPr/>
        <w:t>el</w:t>
      </w:r>
      <w:r>
        <w:rPr>
          <w:spacing w:val="-3"/>
        </w:rPr>
        <w:t> </w:t>
      </w:r>
      <w:r>
        <w:rPr/>
        <w:t>segundo</w:t>
      </w:r>
      <w:r>
        <w:rPr>
          <w:spacing w:val="-2"/>
        </w:rPr>
        <w:t> </w:t>
      </w:r>
      <w:r>
        <w:rPr/>
        <w:t>modelo</w:t>
      </w:r>
      <w:r>
        <w:rPr>
          <w:spacing w:val="-3"/>
        </w:rPr>
        <w:t> </w:t>
      </w:r>
      <w:r>
        <w:rPr/>
        <w:t>estuvo</w:t>
      </w:r>
      <w:r>
        <w:rPr>
          <w:spacing w:val="-3"/>
        </w:rPr>
        <w:t> </w:t>
      </w:r>
      <w:r>
        <w:rPr/>
        <w:t>entre</w:t>
      </w:r>
      <w:r>
        <w:rPr>
          <w:spacing w:val="-5"/>
        </w:rPr>
        <w:t> </w:t>
      </w:r>
      <w:r>
        <w:rPr/>
        <w:t>$-</w:t>
      </w:r>
    </w:p>
    <w:p>
      <w:pPr>
        <w:pStyle w:val="BodyText"/>
        <w:spacing w:line="360" w:lineRule="auto" w:before="4"/>
        <w:ind w:left="122" w:right="1700"/>
        <w:jc w:val="both"/>
      </w:pPr>
      <w:r>
        <w:rPr/>
        <w:t>513.00 a $862.00 mil pesos con una probabilidad del 93.7%. En promedio existe una diferencia de $137 mil pesos entre ambos modelos. La probabilidad de obtener una TRR mayor a cero (P(TRR&gt;0), en ambos modelos, fue del 99.0%. En el modelo 2, la relación costo beneficio (C/B) fue mayor a la del modelo 1, lo que significó que el costo del modelo 1 es mayor. Finalmente, la TRA en el modelo 2 es ligeramente más eficiente lo que indica que la MOF tiene un mínimo impacto en esta escala de producción (Cuadro 1).</w:t>
      </w:r>
    </w:p>
    <w:p>
      <w:pPr>
        <w:spacing w:after="0" w:line="360" w:lineRule="auto"/>
        <w:jc w:val="both"/>
        <w:sectPr>
          <w:pgSz w:w="12240" w:h="15840"/>
          <w:pgMar w:header="0" w:footer="657" w:top="1360" w:bottom="840" w:left="1580" w:right="0"/>
        </w:sectPr>
      </w:pPr>
    </w:p>
    <w:p>
      <w:pPr>
        <w:pStyle w:val="BodyText"/>
        <w:spacing w:before="50"/>
        <w:ind w:left="142"/>
      </w:pPr>
      <w:r>
        <w:rPr>
          <w:b/>
        </w:rPr>
        <w:t>Cuadro 1. </w:t>
      </w:r>
      <w:r>
        <w:rPr/>
        <w:t>Indicadores financieros en el horizonte de planeación 2010-2019</w:t>
      </w:r>
    </w:p>
    <w:p>
      <w:pPr>
        <w:pStyle w:val="BodyText"/>
        <w:rPr>
          <w:sz w:val="18"/>
        </w:rPr>
      </w:pPr>
    </w:p>
    <w:p>
      <w:pPr>
        <w:pStyle w:val="BodyText"/>
        <w:spacing w:line="44" w:lineRule="exact"/>
        <w:ind w:left="120"/>
        <w:rPr>
          <w:sz w:val="4"/>
        </w:rPr>
      </w:pPr>
      <w:r>
        <w:rPr>
          <w:position w:val="0"/>
          <w:sz w:val="4"/>
        </w:rPr>
        <w:pict>
          <v:group style="width:444.25pt;height:2.2pt;mso-position-horizontal-relative:char;mso-position-vertical-relative:line" coordorigin="0,0" coordsize="8885,44">
            <v:line style="position:absolute" from="22,22" to="1474,22" stroked="true" strokeweight="2.16pt" strokecolor="#000000"/>
            <v:line style="position:absolute" from="1474,22" to="1517,22" stroked="true" strokeweight="2.16pt" strokecolor="#000000"/>
            <v:line style="position:absolute" from="1517,22" to="2746,22" stroked="true" strokeweight="2.16pt" strokecolor="#000000"/>
            <v:line style="position:absolute" from="2747,22" to="2790,22" stroked="true" strokeweight="2.16pt" strokecolor="#000000"/>
            <v:line style="position:absolute" from="2790,22" to="4016,22" stroked="true" strokeweight="2.16pt" strokecolor="#000000"/>
            <v:line style="position:absolute" from="4016,22" to="4059,22" stroked="true" strokeweight="2.16pt" strokecolor="#000000"/>
            <v:line style="position:absolute" from="4059,22" to="5286,22" stroked="true" strokeweight="2.16pt" strokecolor="#000000"/>
            <v:line style="position:absolute" from="5286,22" to="5329,22" stroked="true" strokeweight="2.16pt" strokecolor="#000000"/>
            <v:line style="position:absolute" from="5329,22" to="8863,22" stroked="true" strokeweight="2.16pt" strokecolor="#000000"/>
          </v:group>
        </w:pict>
      </w:r>
      <w:r>
        <w:rPr>
          <w:position w:val="0"/>
          <w:sz w:val="4"/>
        </w:rPr>
      </w:r>
    </w:p>
    <w:p>
      <w:pPr>
        <w:spacing w:after="0" w:line="44" w:lineRule="exact"/>
        <w:rPr>
          <w:sz w:val="4"/>
        </w:rPr>
        <w:sectPr>
          <w:pgSz w:w="12240" w:h="15840"/>
          <w:pgMar w:header="0" w:footer="657" w:top="1360" w:bottom="840" w:left="1560" w:right="1560"/>
        </w:sectPr>
      </w:pPr>
    </w:p>
    <w:p>
      <w:pPr>
        <w:pStyle w:val="BodyText"/>
        <w:spacing w:before="8"/>
        <w:rPr>
          <w:sz w:val="20"/>
        </w:rPr>
      </w:pPr>
    </w:p>
    <w:p>
      <w:pPr>
        <w:pStyle w:val="Heading1"/>
        <w:spacing w:before="0"/>
        <w:ind w:left="360" w:right="-18"/>
        <w:jc w:val="left"/>
      </w:pPr>
      <w:r>
        <w:rPr/>
        <w:t>Indicador</w:t>
      </w:r>
    </w:p>
    <w:p>
      <w:pPr>
        <w:spacing w:line="275" w:lineRule="exact" w:before="0"/>
        <w:ind w:left="360" w:right="-16" w:firstLine="0"/>
        <w:jc w:val="left"/>
        <w:rPr>
          <w:b/>
          <w:sz w:val="24"/>
        </w:rPr>
      </w:pPr>
      <w:r>
        <w:rPr/>
        <w:br w:type="column"/>
      </w:r>
      <w:r>
        <w:rPr>
          <w:b/>
          <w:spacing w:val="-1"/>
          <w:sz w:val="24"/>
        </w:rPr>
        <w:t>(VAN)</w:t>
      </w:r>
    </w:p>
    <w:p>
      <w:pPr>
        <w:spacing w:line="275" w:lineRule="exact" w:before="0"/>
        <w:ind w:left="360" w:right="0" w:firstLine="0"/>
        <w:jc w:val="left"/>
        <w:rPr>
          <w:b/>
          <w:sz w:val="24"/>
        </w:rPr>
      </w:pPr>
      <w:r>
        <w:rPr/>
        <w:br w:type="column"/>
      </w:r>
      <w:r>
        <w:rPr>
          <w:b/>
          <w:w w:val="95"/>
          <w:sz w:val="24"/>
        </w:rPr>
        <w:t>(TRR)</w:t>
      </w:r>
    </w:p>
    <w:p>
      <w:pPr>
        <w:spacing w:line="275" w:lineRule="exact" w:before="0"/>
        <w:ind w:left="360" w:right="-19" w:firstLine="0"/>
        <w:jc w:val="left"/>
        <w:rPr>
          <w:b/>
          <w:sz w:val="24"/>
        </w:rPr>
      </w:pPr>
      <w:r>
        <w:rPr/>
        <w:br w:type="column"/>
      </w:r>
      <w:r>
        <w:rPr>
          <w:b/>
          <w:sz w:val="24"/>
        </w:rPr>
        <w:t>(C/B)</w:t>
      </w:r>
    </w:p>
    <w:p>
      <w:pPr>
        <w:pStyle w:val="BodyText"/>
        <w:spacing w:before="8"/>
        <w:rPr>
          <w:b/>
          <w:sz w:val="20"/>
        </w:rPr>
      </w:pPr>
      <w:r>
        <w:rPr/>
        <w:br w:type="column"/>
      </w:r>
      <w:r>
        <w:rPr>
          <w:b/>
          <w:sz w:val="20"/>
        </w:rPr>
      </w:r>
    </w:p>
    <w:p>
      <w:pPr>
        <w:spacing w:before="0"/>
        <w:ind w:left="360" w:right="0" w:firstLine="0"/>
        <w:jc w:val="left"/>
        <w:rPr>
          <w:b/>
          <w:sz w:val="24"/>
        </w:rPr>
      </w:pPr>
      <w:r>
        <w:rPr>
          <w:b/>
          <w:sz w:val="24"/>
        </w:rPr>
        <w:t>Probabilidades</w:t>
      </w:r>
    </w:p>
    <w:p>
      <w:pPr>
        <w:spacing w:after="0"/>
        <w:jc w:val="left"/>
        <w:rPr>
          <w:sz w:val="24"/>
        </w:rPr>
        <w:sectPr>
          <w:type w:val="continuous"/>
          <w:pgSz w:w="12240" w:h="15840"/>
          <w:pgMar w:top="1360" w:bottom="280" w:left="1560" w:right="1560"/>
          <w:cols w:num="5" w:equalWidth="0">
            <w:col w:w="1376" w:space="342"/>
            <w:col w:w="1039" w:space="244"/>
            <w:col w:w="1027" w:space="349"/>
            <w:col w:w="921" w:space="760"/>
            <w:col w:w="3062"/>
          </w:cols>
        </w:sectPr>
      </w:pP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8"/>
        <w:gridCol w:w="1573"/>
        <w:gridCol w:w="1209"/>
        <w:gridCol w:w="1312"/>
        <w:gridCol w:w="3279"/>
      </w:tblGrid>
      <w:tr>
        <w:trPr>
          <w:trHeight w:val="467" w:hRule="exact"/>
        </w:trPr>
        <w:tc>
          <w:tcPr>
            <w:tcW w:w="1468" w:type="dxa"/>
            <w:tcBorders>
              <w:bottom w:val="single" w:sz="17" w:space="0" w:color="000000"/>
            </w:tcBorders>
          </w:tcPr>
          <w:p>
            <w:pPr/>
          </w:p>
        </w:tc>
        <w:tc>
          <w:tcPr>
            <w:tcW w:w="1573" w:type="dxa"/>
            <w:tcBorders>
              <w:bottom w:val="single" w:sz="17" w:space="0" w:color="000000"/>
            </w:tcBorders>
          </w:tcPr>
          <w:p>
            <w:pPr>
              <w:pStyle w:val="TableParagraph"/>
              <w:spacing w:line="238" w:lineRule="exact"/>
              <w:ind w:right="423"/>
              <w:rPr>
                <w:b/>
                <w:sz w:val="24"/>
              </w:rPr>
            </w:pPr>
            <w:r>
              <w:rPr>
                <w:b/>
                <w:sz w:val="24"/>
              </w:rPr>
              <w:t>(mil $)</w:t>
            </w:r>
          </w:p>
        </w:tc>
        <w:tc>
          <w:tcPr>
            <w:tcW w:w="1209" w:type="dxa"/>
            <w:tcBorders>
              <w:bottom w:val="single" w:sz="17" w:space="0" w:color="000000"/>
            </w:tcBorders>
          </w:tcPr>
          <w:p>
            <w:pPr>
              <w:pStyle w:val="TableParagraph"/>
              <w:spacing w:line="238" w:lineRule="exact"/>
              <w:ind w:right="361"/>
              <w:rPr>
                <w:b/>
                <w:sz w:val="24"/>
              </w:rPr>
            </w:pPr>
            <w:r>
              <w:rPr>
                <w:b/>
                <w:sz w:val="24"/>
              </w:rPr>
              <w:t>(%)</w:t>
            </w:r>
          </w:p>
        </w:tc>
        <w:tc>
          <w:tcPr>
            <w:tcW w:w="1312" w:type="dxa"/>
            <w:tcBorders>
              <w:bottom w:val="single" w:sz="17" w:space="0" w:color="000000"/>
            </w:tcBorders>
          </w:tcPr>
          <w:p>
            <w:pPr>
              <w:pStyle w:val="TableParagraph"/>
              <w:spacing w:line="238" w:lineRule="exact"/>
              <w:ind w:right="405"/>
              <w:rPr>
                <w:b/>
                <w:sz w:val="24"/>
              </w:rPr>
            </w:pPr>
            <w:r>
              <w:rPr>
                <w:b/>
                <w:sz w:val="24"/>
              </w:rPr>
              <w:t>(%)</w:t>
            </w:r>
          </w:p>
        </w:tc>
        <w:tc>
          <w:tcPr>
            <w:tcW w:w="3279" w:type="dxa"/>
            <w:tcBorders>
              <w:bottom w:val="single" w:sz="17" w:space="0" w:color="000000"/>
            </w:tcBorders>
          </w:tcPr>
          <w:p>
            <w:pPr/>
          </w:p>
        </w:tc>
      </w:tr>
      <w:tr>
        <w:trPr>
          <w:trHeight w:val="883" w:hRule="exact"/>
        </w:trPr>
        <w:tc>
          <w:tcPr>
            <w:tcW w:w="1468" w:type="dxa"/>
            <w:tcBorders>
              <w:top w:val="single" w:sz="17" w:space="0" w:color="000000"/>
            </w:tcBorders>
          </w:tcPr>
          <w:p>
            <w:pPr>
              <w:pStyle w:val="TableParagraph"/>
              <w:spacing w:line="270" w:lineRule="exact"/>
              <w:ind w:left="108"/>
              <w:jc w:val="left"/>
              <w:rPr>
                <w:b/>
                <w:sz w:val="24"/>
              </w:rPr>
            </w:pPr>
            <w:r>
              <w:rPr>
                <w:b/>
                <w:sz w:val="24"/>
              </w:rPr>
              <w:t>Modelo 1</w:t>
            </w:r>
          </w:p>
          <w:p>
            <w:pPr>
              <w:pStyle w:val="TableParagraph"/>
              <w:spacing w:before="194"/>
              <w:ind w:left="108"/>
              <w:jc w:val="left"/>
              <w:rPr>
                <w:sz w:val="24"/>
              </w:rPr>
            </w:pPr>
            <w:r>
              <w:rPr>
                <w:sz w:val="24"/>
              </w:rPr>
              <w:t>Media</w:t>
            </w:r>
          </w:p>
        </w:tc>
        <w:tc>
          <w:tcPr>
            <w:tcW w:w="1573" w:type="dxa"/>
            <w:tcBorders>
              <w:top w:val="single" w:sz="17" w:space="0" w:color="000000"/>
            </w:tcBorders>
          </w:tcPr>
          <w:p>
            <w:pPr>
              <w:pStyle w:val="TableParagraph"/>
              <w:jc w:val="left"/>
              <w:rPr>
                <w:b/>
                <w:sz w:val="24"/>
              </w:rPr>
            </w:pPr>
          </w:p>
          <w:p>
            <w:pPr>
              <w:pStyle w:val="TableParagraph"/>
              <w:spacing w:before="188"/>
              <w:ind w:right="423"/>
              <w:rPr>
                <w:sz w:val="24"/>
              </w:rPr>
            </w:pPr>
            <w:r>
              <w:rPr>
                <w:sz w:val="24"/>
              </w:rPr>
              <w:t>172.00</w:t>
            </w:r>
          </w:p>
        </w:tc>
        <w:tc>
          <w:tcPr>
            <w:tcW w:w="1209" w:type="dxa"/>
            <w:tcBorders>
              <w:top w:val="single" w:sz="17" w:space="0" w:color="000000"/>
            </w:tcBorders>
          </w:tcPr>
          <w:p>
            <w:pPr>
              <w:pStyle w:val="TableParagraph"/>
              <w:jc w:val="left"/>
              <w:rPr>
                <w:b/>
                <w:sz w:val="24"/>
              </w:rPr>
            </w:pPr>
          </w:p>
          <w:p>
            <w:pPr>
              <w:pStyle w:val="TableParagraph"/>
              <w:spacing w:before="188"/>
              <w:ind w:right="361"/>
              <w:rPr>
                <w:sz w:val="24"/>
              </w:rPr>
            </w:pPr>
            <w:r>
              <w:rPr>
                <w:sz w:val="24"/>
              </w:rPr>
              <w:t>8.4</w:t>
            </w:r>
          </w:p>
        </w:tc>
        <w:tc>
          <w:tcPr>
            <w:tcW w:w="1312" w:type="dxa"/>
            <w:tcBorders>
              <w:top w:val="single" w:sz="17" w:space="0" w:color="000000"/>
            </w:tcBorders>
          </w:tcPr>
          <w:p>
            <w:pPr>
              <w:pStyle w:val="TableParagraph"/>
              <w:jc w:val="left"/>
              <w:rPr>
                <w:b/>
                <w:sz w:val="24"/>
              </w:rPr>
            </w:pPr>
          </w:p>
          <w:p>
            <w:pPr>
              <w:pStyle w:val="TableParagraph"/>
              <w:spacing w:before="188"/>
              <w:ind w:right="406"/>
              <w:rPr>
                <w:sz w:val="24"/>
              </w:rPr>
            </w:pPr>
            <w:r>
              <w:rPr>
                <w:sz w:val="24"/>
              </w:rPr>
              <w:t>85.0</w:t>
            </w:r>
          </w:p>
        </w:tc>
        <w:tc>
          <w:tcPr>
            <w:tcW w:w="3279" w:type="dxa"/>
            <w:tcBorders>
              <w:top w:val="single" w:sz="17" w:space="0" w:color="000000"/>
            </w:tcBorders>
          </w:tcPr>
          <w:p>
            <w:pPr>
              <w:pStyle w:val="TableParagraph"/>
              <w:jc w:val="left"/>
              <w:rPr>
                <w:b/>
                <w:sz w:val="24"/>
              </w:rPr>
            </w:pPr>
          </w:p>
          <w:p>
            <w:pPr>
              <w:pStyle w:val="TableParagraph"/>
              <w:spacing w:before="188"/>
              <w:ind w:left="407"/>
              <w:jc w:val="left"/>
              <w:rPr>
                <w:sz w:val="24"/>
              </w:rPr>
            </w:pPr>
            <w:r>
              <w:rPr>
                <w:sz w:val="24"/>
              </w:rPr>
              <w:t>P(TRR&gt;0) 98.0%</w:t>
            </w:r>
          </w:p>
        </w:tc>
      </w:tr>
      <w:tr>
        <w:trPr>
          <w:trHeight w:val="476" w:hRule="exact"/>
        </w:trPr>
        <w:tc>
          <w:tcPr>
            <w:tcW w:w="1468" w:type="dxa"/>
          </w:tcPr>
          <w:p>
            <w:pPr>
              <w:pStyle w:val="TableParagraph"/>
              <w:spacing w:before="80"/>
              <w:ind w:left="108"/>
              <w:jc w:val="left"/>
              <w:rPr>
                <w:sz w:val="24"/>
              </w:rPr>
            </w:pPr>
            <w:r>
              <w:rPr>
                <w:sz w:val="24"/>
              </w:rPr>
              <w:t>DE</w:t>
            </w:r>
          </w:p>
        </w:tc>
        <w:tc>
          <w:tcPr>
            <w:tcW w:w="1573" w:type="dxa"/>
          </w:tcPr>
          <w:p>
            <w:pPr>
              <w:pStyle w:val="TableParagraph"/>
              <w:spacing w:before="80"/>
              <w:ind w:right="423"/>
              <w:rPr>
                <w:sz w:val="24"/>
              </w:rPr>
            </w:pPr>
            <w:r>
              <w:rPr>
                <w:sz w:val="24"/>
              </w:rPr>
              <w:t>218.00</w:t>
            </w:r>
          </w:p>
        </w:tc>
        <w:tc>
          <w:tcPr>
            <w:tcW w:w="1209" w:type="dxa"/>
          </w:tcPr>
          <w:p>
            <w:pPr>
              <w:pStyle w:val="TableParagraph"/>
              <w:spacing w:before="80"/>
              <w:ind w:right="361"/>
              <w:rPr>
                <w:sz w:val="24"/>
              </w:rPr>
            </w:pPr>
            <w:r>
              <w:rPr>
                <w:sz w:val="24"/>
              </w:rPr>
              <w:t>2.7</w:t>
            </w:r>
          </w:p>
        </w:tc>
        <w:tc>
          <w:tcPr>
            <w:tcW w:w="1312" w:type="dxa"/>
          </w:tcPr>
          <w:p>
            <w:pPr>
              <w:pStyle w:val="TableParagraph"/>
              <w:spacing w:before="80"/>
              <w:ind w:right="406"/>
              <w:rPr>
                <w:sz w:val="24"/>
              </w:rPr>
            </w:pPr>
            <w:r>
              <w:rPr>
                <w:sz w:val="24"/>
              </w:rPr>
              <w:t>29.0</w:t>
            </w:r>
          </w:p>
        </w:tc>
        <w:tc>
          <w:tcPr>
            <w:tcW w:w="3279" w:type="dxa"/>
          </w:tcPr>
          <w:p>
            <w:pPr>
              <w:pStyle w:val="TableParagraph"/>
              <w:spacing w:before="80"/>
              <w:ind w:left="407"/>
              <w:jc w:val="left"/>
              <w:rPr>
                <w:sz w:val="24"/>
              </w:rPr>
            </w:pPr>
            <w:r>
              <w:rPr>
                <w:sz w:val="24"/>
              </w:rPr>
              <w:t>P(VAN&lt;0) 0%</w:t>
            </w:r>
          </w:p>
        </w:tc>
      </w:tr>
      <w:tr>
        <w:trPr>
          <w:trHeight w:val="475" w:hRule="exact"/>
        </w:trPr>
        <w:tc>
          <w:tcPr>
            <w:tcW w:w="1468" w:type="dxa"/>
          </w:tcPr>
          <w:p>
            <w:pPr>
              <w:pStyle w:val="TableParagraph"/>
              <w:spacing w:before="79"/>
              <w:ind w:left="108"/>
              <w:jc w:val="left"/>
              <w:rPr>
                <w:sz w:val="24"/>
              </w:rPr>
            </w:pPr>
            <w:r>
              <w:rPr>
                <w:sz w:val="24"/>
              </w:rPr>
              <w:t>CV</w:t>
            </w:r>
          </w:p>
        </w:tc>
        <w:tc>
          <w:tcPr>
            <w:tcW w:w="1573" w:type="dxa"/>
          </w:tcPr>
          <w:p>
            <w:pPr>
              <w:pStyle w:val="TableParagraph"/>
              <w:spacing w:before="79"/>
              <w:ind w:right="422"/>
              <w:rPr>
                <w:sz w:val="24"/>
              </w:rPr>
            </w:pPr>
            <w:r>
              <w:rPr>
                <w:sz w:val="24"/>
              </w:rPr>
              <w:t>1.00</w:t>
            </w:r>
          </w:p>
        </w:tc>
        <w:tc>
          <w:tcPr>
            <w:tcW w:w="1209" w:type="dxa"/>
          </w:tcPr>
          <w:p>
            <w:pPr>
              <w:pStyle w:val="TableParagraph"/>
              <w:spacing w:before="79"/>
              <w:ind w:right="361"/>
              <w:rPr>
                <w:sz w:val="24"/>
              </w:rPr>
            </w:pPr>
            <w:r>
              <w:rPr>
                <w:sz w:val="24"/>
              </w:rPr>
              <w:t>31.4</w:t>
            </w:r>
          </w:p>
        </w:tc>
        <w:tc>
          <w:tcPr>
            <w:tcW w:w="1312" w:type="dxa"/>
          </w:tcPr>
          <w:p>
            <w:pPr>
              <w:pStyle w:val="TableParagraph"/>
              <w:spacing w:before="79"/>
              <w:ind w:right="406"/>
              <w:rPr>
                <w:sz w:val="24"/>
              </w:rPr>
            </w:pPr>
            <w:r>
              <w:rPr>
                <w:sz w:val="24"/>
              </w:rPr>
              <w:t>33.0</w:t>
            </w:r>
          </w:p>
        </w:tc>
        <w:tc>
          <w:tcPr>
            <w:tcW w:w="3279" w:type="dxa"/>
          </w:tcPr>
          <w:p>
            <w:pPr>
              <w:pStyle w:val="TableParagraph"/>
              <w:spacing w:before="79"/>
              <w:ind w:left="407"/>
              <w:jc w:val="left"/>
              <w:rPr>
                <w:sz w:val="24"/>
              </w:rPr>
            </w:pPr>
            <w:r>
              <w:rPr>
                <w:sz w:val="24"/>
              </w:rPr>
              <w:t>P(Éxito del VAN) 81.3%</w:t>
            </w:r>
          </w:p>
        </w:tc>
      </w:tr>
      <w:tr>
        <w:trPr>
          <w:trHeight w:val="477" w:hRule="exact"/>
        </w:trPr>
        <w:tc>
          <w:tcPr>
            <w:tcW w:w="1468" w:type="dxa"/>
          </w:tcPr>
          <w:p>
            <w:pPr>
              <w:pStyle w:val="TableParagraph"/>
              <w:spacing w:before="79"/>
              <w:ind w:left="108"/>
              <w:jc w:val="left"/>
              <w:rPr>
                <w:sz w:val="24"/>
              </w:rPr>
            </w:pPr>
            <w:r>
              <w:rPr>
                <w:sz w:val="24"/>
              </w:rPr>
              <w:t>Min</w:t>
            </w:r>
          </w:p>
        </w:tc>
        <w:tc>
          <w:tcPr>
            <w:tcW w:w="1573" w:type="dxa"/>
          </w:tcPr>
          <w:p>
            <w:pPr>
              <w:pStyle w:val="TableParagraph"/>
              <w:spacing w:before="79"/>
              <w:ind w:right="423"/>
              <w:rPr>
                <w:sz w:val="24"/>
              </w:rPr>
            </w:pPr>
            <w:r>
              <w:rPr>
                <w:sz w:val="24"/>
              </w:rPr>
              <w:t>-700.00</w:t>
            </w:r>
          </w:p>
        </w:tc>
        <w:tc>
          <w:tcPr>
            <w:tcW w:w="1209" w:type="dxa"/>
          </w:tcPr>
          <w:p>
            <w:pPr>
              <w:pStyle w:val="TableParagraph"/>
              <w:spacing w:before="79"/>
              <w:ind w:right="361"/>
              <w:rPr>
                <w:sz w:val="24"/>
              </w:rPr>
            </w:pPr>
            <w:r>
              <w:rPr>
                <w:sz w:val="24"/>
              </w:rPr>
              <w:t>-3.5</w:t>
            </w:r>
          </w:p>
        </w:tc>
        <w:tc>
          <w:tcPr>
            <w:tcW w:w="1312" w:type="dxa"/>
          </w:tcPr>
          <w:p>
            <w:pPr>
              <w:pStyle w:val="TableParagraph"/>
              <w:spacing w:before="79"/>
              <w:ind w:right="406"/>
              <w:rPr>
                <w:sz w:val="24"/>
              </w:rPr>
            </w:pPr>
            <w:r>
              <w:rPr>
                <w:sz w:val="24"/>
              </w:rPr>
              <w:t>55.0</w:t>
            </w:r>
          </w:p>
        </w:tc>
        <w:tc>
          <w:tcPr>
            <w:tcW w:w="3279" w:type="dxa"/>
          </w:tcPr>
          <w:p>
            <w:pPr>
              <w:pStyle w:val="TableParagraph"/>
              <w:spacing w:before="79"/>
              <w:ind w:left="407"/>
              <w:jc w:val="left"/>
              <w:rPr>
                <w:sz w:val="24"/>
              </w:rPr>
            </w:pPr>
            <w:r>
              <w:rPr>
                <w:sz w:val="24"/>
              </w:rPr>
              <w:t>P(TRA&lt;0) 20.0%</w:t>
            </w:r>
          </w:p>
        </w:tc>
      </w:tr>
      <w:tr>
        <w:trPr>
          <w:trHeight w:val="590" w:hRule="exact"/>
        </w:trPr>
        <w:tc>
          <w:tcPr>
            <w:tcW w:w="1468" w:type="dxa"/>
            <w:tcBorders>
              <w:bottom w:val="single" w:sz="17" w:space="0" w:color="000000"/>
            </w:tcBorders>
          </w:tcPr>
          <w:p>
            <w:pPr>
              <w:pStyle w:val="TableParagraph"/>
              <w:spacing w:before="80"/>
              <w:ind w:left="108"/>
              <w:jc w:val="left"/>
              <w:rPr>
                <w:sz w:val="24"/>
              </w:rPr>
            </w:pPr>
            <w:r>
              <w:rPr>
                <w:sz w:val="24"/>
              </w:rPr>
              <w:t>Max</w:t>
            </w:r>
          </w:p>
        </w:tc>
        <w:tc>
          <w:tcPr>
            <w:tcW w:w="1573" w:type="dxa"/>
            <w:tcBorders>
              <w:bottom w:val="single" w:sz="17" w:space="0" w:color="000000"/>
            </w:tcBorders>
          </w:tcPr>
          <w:p>
            <w:pPr>
              <w:pStyle w:val="TableParagraph"/>
              <w:spacing w:before="80"/>
              <w:ind w:right="423"/>
              <w:rPr>
                <w:sz w:val="24"/>
              </w:rPr>
            </w:pPr>
            <w:r>
              <w:rPr>
                <w:sz w:val="24"/>
              </w:rPr>
              <w:t>735.00</w:t>
            </w:r>
          </w:p>
        </w:tc>
        <w:tc>
          <w:tcPr>
            <w:tcW w:w="1209" w:type="dxa"/>
            <w:tcBorders>
              <w:bottom w:val="single" w:sz="17" w:space="0" w:color="000000"/>
            </w:tcBorders>
          </w:tcPr>
          <w:p>
            <w:pPr>
              <w:pStyle w:val="TableParagraph"/>
              <w:spacing w:before="80"/>
              <w:ind w:right="361"/>
              <w:rPr>
                <w:sz w:val="24"/>
              </w:rPr>
            </w:pPr>
            <w:r>
              <w:rPr>
                <w:sz w:val="24"/>
              </w:rPr>
              <w:t>13.5</w:t>
            </w:r>
          </w:p>
        </w:tc>
        <w:tc>
          <w:tcPr>
            <w:tcW w:w="1312" w:type="dxa"/>
            <w:tcBorders>
              <w:bottom w:val="single" w:sz="17" w:space="0" w:color="000000"/>
            </w:tcBorders>
          </w:tcPr>
          <w:p>
            <w:pPr>
              <w:pStyle w:val="TableParagraph"/>
              <w:spacing w:before="80"/>
              <w:ind w:right="406"/>
              <w:rPr>
                <w:sz w:val="24"/>
              </w:rPr>
            </w:pPr>
            <w:r>
              <w:rPr>
                <w:sz w:val="24"/>
              </w:rPr>
              <w:t>454.0</w:t>
            </w:r>
          </w:p>
        </w:tc>
        <w:tc>
          <w:tcPr>
            <w:tcW w:w="3279" w:type="dxa"/>
            <w:tcBorders>
              <w:bottom w:val="single" w:sz="17" w:space="0" w:color="000000"/>
            </w:tcBorders>
          </w:tcPr>
          <w:p>
            <w:pPr/>
          </w:p>
        </w:tc>
      </w:tr>
      <w:tr>
        <w:trPr>
          <w:trHeight w:val="882" w:hRule="exact"/>
        </w:trPr>
        <w:tc>
          <w:tcPr>
            <w:tcW w:w="1468" w:type="dxa"/>
            <w:tcBorders>
              <w:top w:val="single" w:sz="17" w:space="0" w:color="000000"/>
            </w:tcBorders>
          </w:tcPr>
          <w:p>
            <w:pPr>
              <w:pStyle w:val="TableParagraph"/>
              <w:spacing w:line="270" w:lineRule="exact"/>
              <w:ind w:left="108"/>
              <w:jc w:val="left"/>
              <w:rPr>
                <w:b/>
                <w:sz w:val="24"/>
              </w:rPr>
            </w:pPr>
            <w:r>
              <w:rPr>
                <w:b/>
                <w:sz w:val="24"/>
              </w:rPr>
              <w:t>Modelo 2</w:t>
            </w:r>
          </w:p>
          <w:p>
            <w:pPr>
              <w:pStyle w:val="TableParagraph"/>
              <w:spacing w:before="194"/>
              <w:ind w:left="108"/>
              <w:jc w:val="left"/>
              <w:rPr>
                <w:sz w:val="24"/>
              </w:rPr>
            </w:pPr>
            <w:r>
              <w:rPr>
                <w:sz w:val="24"/>
              </w:rPr>
              <w:t>Media</w:t>
            </w:r>
          </w:p>
        </w:tc>
        <w:tc>
          <w:tcPr>
            <w:tcW w:w="1573" w:type="dxa"/>
            <w:tcBorders>
              <w:top w:val="single" w:sz="17" w:space="0" w:color="000000"/>
            </w:tcBorders>
          </w:tcPr>
          <w:p>
            <w:pPr>
              <w:pStyle w:val="TableParagraph"/>
              <w:jc w:val="left"/>
              <w:rPr>
                <w:b/>
                <w:sz w:val="24"/>
              </w:rPr>
            </w:pPr>
          </w:p>
          <w:p>
            <w:pPr>
              <w:pStyle w:val="TableParagraph"/>
              <w:spacing w:before="188"/>
              <w:ind w:right="423"/>
              <w:rPr>
                <w:sz w:val="24"/>
              </w:rPr>
            </w:pPr>
            <w:r>
              <w:rPr>
                <w:sz w:val="24"/>
              </w:rPr>
              <w:t>309.00</w:t>
            </w:r>
          </w:p>
        </w:tc>
        <w:tc>
          <w:tcPr>
            <w:tcW w:w="1209" w:type="dxa"/>
            <w:tcBorders>
              <w:top w:val="single" w:sz="17" w:space="0" w:color="000000"/>
            </w:tcBorders>
          </w:tcPr>
          <w:p>
            <w:pPr>
              <w:pStyle w:val="TableParagraph"/>
              <w:jc w:val="left"/>
              <w:rPr>
                <w:b/>
                <w:sz w:val="24"/>
              </w:rPr>
            </w:pPr>
          </w:p>
          <w:p>
            <w:pPr>
              <w:pStyle w:val="TableParagraph"/>
              <w:spacing w:before="188"/>
              <w:ind w:right="361"/>
              <w:rPr>
                <w:sz w:val="24"/>
              </w:rPr>
            </w:pPr>
            <w:r>
              <w:rPr>
                <w:sz w:val="24"/>
              </w:rPr>
              <w:t>8.3</w:t>
            </w:r>
          </w:p>
        </w:tc>
        <w:tc>
          <w:tcPr>
            <w:tcW w:w="1312" w:type="dxa"/>
            <w:tcBorders>
              <w:top w:val="single" w:sz="17" w:space="0" w:color="000000"/>
            </w:tcBorders>
          </w:tcPr>
          <w:p>
            <w:pPr>
              <w:pStyle w:val="TableParagraph"/>
              <w:jc w:val="left"/>
              <w:rPr>
                <w:b/>
                <w:sz w:val="24"/>
              </w:rPr>
            </w:pPr>
          </w:p>
          <w:p>
            <w:pPr>
              <w:pStyle w:val="TableParagraph"/>
              <w:spacing w:before="188"/>
              <w:ind w:right="406"/>
              <w:rPr>
                <w:sz w:val="24"/>
              </w:rPr>
            </w:pPr>
            <w:r>
              <w:rPr>
                <w:sz w:val="24"/>
              </w:rPr>
              <w:t>77.0</w:t>
            </w:r>
          </w:p>
        </w:tc>
        <w:tc>
          <w:tcPr>
            <w:tcW w:w="3279" w:type="dxa"/>
            <w:tcBorders>
              <w:top w:val="single" w:sz="17" w:space="0" w:color="000000"/>
            </w:tcBorders>
          </w:tcPr>
          <w:p>
            <w:pPr>
              <w:pStyle w:val="TableParagraph"/>
              <w:jc w:val="left"/>
              <w:rPr>
                <w:b/>
                <w:sz w:val="24"/>
              </w:rPr>
            </w:pPr>
          </w:p>
          <w:p>
            <w:pPr>
              <w:pStyle w:val="TableParagraph"/>
              <w:spacing w:before="188"/>
              <w:ind w:left="407"/>
              <w:jc w:val="left"/>
              <w:rPr>
                <w:sz w:val="24"/>
              </w:rPr>
            </w:pPr>
            <w:r>
              <w:rPr>
                <w:sz w:val="24"/>
              </w:rPr>
              <w:t>P(TRR&gt;0) 99.0%</w:t>
            </w:r>
          </w:p>
        </w:tc>
      </w:tr>
      <w:tr>
        <w:trPr>
          <w:trHeight w:val="476" w:hRule="exact"/>
        </w:trPr>
        <w:tc>
          <w:tcPr>
            <w:tcW w:w="1468" w:type="dxa"/>
          </w:tcPr>
          <w:p>
            <w:pPr>
              <w:pStyle w:val="TableParagraph"/>
              <w:spacing w:before="79"/>
              <w:ind w:left="108"/>
              <w:jc w:val="left"/>
              <w:rPr>
                <w:sz w:val="24"/>
              </w:rPr>
            </w:pPr>
            <w:r>
              <w:rPr>
                <w:sz w:val="24"/>
              </w:rPr>
              <w:t>DE</w:t>
            </w:r>
          </w:p>
        </w:tc>
        <w:tc>
          <w:tcPr>
            <w:tcW w:w="1573" w:type="dxa"/>
          </w:tcPr>
          <w:p>
            <w:pPr>
              <w:pStyle w:val="TableParagraph"/>
              <w:spacing w:before="79"/>
              <w:ind w:right="423"/>
              <w:rPr>
                <w:sz w:val="24"/>
              </w:rPr>
            </w:pPr>
            <w:r>
              <w:rPr>
                <w:sz w:val="24"/>
              </w:rPr>
              <w:t>209.00</w:t>
            </w:r>
          </w:p>
        </w:tc>
        <w:tc>
          <w:tcPr>
            <w:tcW w:w="1209" w:type="dxa"/>
          </w:tcPr>
          <w:p>
            <w:pPr>
              <w:pStyle w:val="TableParagraph"/>
              <w:spacing w:before="79"/>
              <w:ind w:right="361"/>
              <w:rPr>
                <w:sz w:val="24"/>
              </w:rPr>
            </w:pPr>
            <w:r>
              <w:rPr>
                <w:sz w:val="24"/>
              </w:rPr>
              <w:t>2.4</w:t>
            </w:r>
          </w:p>
        </w:tc>
        <w:tc>
          <w:tcPr>
            <w:tcW w:w="1312" w:type="dxa"/>
          </w:tcPr>
          <w:p>
            <w:pPr>
              <w:pStyle w:val="TableParagraph"/>
              <w:spacing w:before="79"/>
              <w:ind w:right="406"/>
              <w:rPr>
                <w:sz w:val="24"/>
              </w:rPr>
            </w:pPr>
            <w:r>
              <w:rPr>
                <w:sz w:val="24"/>
              </w:rPr>
              <w:t>16.0</w:t>
            </w:r>
          </w:p>
        </w:tc>
        <w:tc>
          <w:tcPr>
            <w:tcW w:w="3279" w:type="dxa"/>
          </w:tcPr>
          <w:p>
            <w:pPr>
              <w:pStyle w:val="TableParagraph"/>
              <w:spacing w:before="79"/>
              <w:ind w:left="407"/>
              <w:jc w:val="left"/>
              <w:rPr>
                <w:sz w:val="24"/>
              </w:rPr>
            </w:pPr>
            <w:r>
              <w:rPr>
                <w:sz w:val="24"/>
              </w:rPr>
              <w:t>P(VAN&lt;0) 0%</w:t>
            </w:r>
          </w:p>
        </w:tc>
      </w:tr>
      <w:tr>
        <w:trPr>
          <w:trHeight w:val="476" w:hRule="exact"/>
        </w:trPr>
        <w:tc>
          <w:tcPr>
            <w:tcW w:w="1468" w:type="dxa"/>
          </w:tcPr>
          <w:p>
            <w:pPr>
              <w:pStyle w:val="TableParagraph"/>
              <w:spacing w:before="80"/>
              <w:ind w:left="108"/>
              <w:jc w:val="left"/>
              <w:rPr>
                <w:sz w:val="24"/>
              </w:rPr>
            </w:pPr>
            <w:r>
              <w:rPr>
                <w:sz w:val="24"/>
              </w:rPr>
              <w:t>CV</w:t>
            </w:r>
          </w:p>
        </w:tc>
        <w:tc>
          <w:tcPr>
            <w:tcW w:w="1573" w:type="dxa"/>
          </w:tcPr>
          <w:p>
            <w:pPr>
              <w:pStyle w:val="TableParagraph"/>
              <w:spacing w:before="80"/>
              <w:ind w:right="422"/>
              <w:rPr>
                <w:sz w:val="24"/>
              </w:rPr>
            </w:pPr>
            <w:r>
              <w:rPr>
                <w:sz w:val="24"/>
              </w:rPr>
              <w:t>1.00</w:t>
            </w:r>
          </w:p>
        </w:tc>
        <w:tc>
          <w:tcPr>
            <w:tcW w:w="1209" w:type="dxa"/>
          </w:tcPr>
          <w:p>
            <w:pPr>
              <w:pStyle w:val="TableParagraph"/>
              <w:spacing w:before="80"/>
              <w:ind w:right="361"/>
              <w:rPr>
                <w:sz w:val="24"/>
              </w:rPr>
            </w:pPr>
            <w:r>
              <w:rPr>
                <w:sz w:val="24"/>
              </w:rPr>
              <w:t>28.6</w:t>
            </w:r>
          </w:p>
        </w:tc>
        <w:tc>
          <w:tcPr>
            <w:tcW w:w="1312" w:type="dxa"/>
          </w:tcPr>
          <w:p>
            <w:pPr>
              <w:pStyle w:val="TableParagraph"/>
              <w:spacing w:before="80"/>
              <w:ind w:right="406"/>
              <w:rPr>
                <w:sz w:val="24"/>
              </w:rPr>
            </w:pPr>
            <w:r>
              <w:rPr>
                <w:sz w:val="24"/>
              </w:rPr>
              <w:t>21.0</w:t>
            </w:r>
          </w:p>
        </w:tc>
        <w:tc>
          <w:tcPr>
            <w:tcW w:w="3279" w:type="dxa"/>
          </w:tcPr>
          <w:p>
            <w:pPr>
              <w:pStyle w:val="TableParagraph"/>
              <w:spacing w:before="80"/>
              <w:ind w:left="407"/>
              <w:jc w:val="left"/>
              <w:rPr>
                <w:sz w:val="24"/>
              </w:rPr>
            </w:pPr>
            <w:r>
              <w:rPr>
                <w:sz w:val="24"/>
              </w:rPr>
              <w:t>P(Éxito del VAN) 93.7%</w:t>
            </w:r>
          </w:p>
        </w:tc>
      </w:tr>
      <w:tr>
        <w:trPr>
          <w:trHeight w:val="475" w:hRule="exact"/>
        </w:trPr>
        <w:tc>
          <w:tcPr>
            <w:tcW w:w="1468" w:type="dxa"/>
          </w:tcPr>
          <w:p>
            <w:pPr>
              <w:pStyle w:val="TableParagraph"/>
              <w:spacing w:before="79"/>
              <w:ind w:left="108"/>
              <w:jc w:val="left"/>
              <w:rPr>
                <w:sz w:val="24"/>
              </w:rPr>
            </w:pPr>
            <w:r>
              <w:rPr>
                <w:sz w:val="24"/>
              </w:rPr>
              <w:t>Min</w:t>
            </w:r>
          </w:p>
        </w:tc>
        <w:tc>
          <w:tcPr>
            <w:tcW w:w="1573" w:type="dxa"/>
          </w:tcPr>
          <w:p>
            <w:pPr>
              <w:pStyle w:val="TableParagraph"/>
              <w:spacing w:before="79"/>
              <w:ind w:right="423"/>
              <w:rPr>
                <w:sz w:val="24"/>
              </w:rPr>
            </w:pPr>
            <w:r>
              <w:rPr>
                <w:sz w:val="24"/>
              </w:rPr>
              <w:t>-513.00</w:t>
            </w:r>
          </w:p>
        </w:tc>
        <w:tc>
          <w:tcPr>
            <w:tcW w:w="1209" w:type="dxa"/>
          </w:tcPr>
          <w:p>
            <w:pPr>
              <w:pStyle w:val="TableParagraph"/>
              <w:spacing w:before="79"/>
              <w:ind w:right="361"/>
              <w:rPr>
                <w:sz w:val="24"/>
              </w:rPr>
            </w:pPr>
            <w:r>
              <w:rPr>
                <w:sz w:val="24"/>
              </w:rPr>
              <w:t>-2.9</w:t>
            </w:r>
          </w:p>
        </w:tc>
        <w:tc>
          <w:tcPr>
            <w:tcW w:w="1312" w:type="dxa"/>
          </w:tcPr>
          <w:p>
            <w:pPr>
              <w:pStyle w:val="TableParagraph"/>
              <w:spacing w:before="79"/>
              <w:ind w:right="406"/>
              <w:rPr>
                <w:sz w:val="24"/>
              </w:rPr>
            </w:pPr>
            <w:r>
              <w:rPr>
                <w:sz w:val="24"/>
              </w:rPr>
              <w:t>50.0</w:t>
            </w:r>
          </w:p>
        </w:tc>
        <w:tc>
          <w:tcPr>
            <w:tcW w:w="3279" w:type="dxa"/>
          </w:tcPr>
          <w:p>
            <w:pPr>
              <w:pStyle w:val="TableParagraph"/>
              <w:spacing w:before="79"/>
              <w:ind w:left="407"/>
              <w:jc w:val="left"/>
              <w:rPr>
                <w:sz w:val="24"/>
              </w:rPr>
            </w:pPr>
            <w:r>
              <w:rPr>
                <w:sz w:val="24"/>
              </w:rPr>
              <w:t>P(TRA&lt;0) 19.0%</w:t>
            </w:r>
          </w:p>
        </w:tc>
      </w:tr>
      <w:tr>
        <w:trPr>
          <w:trHeight w:val="458" w:hRule="exact"/>
        </w:trPr>
        <w:tc>
          <w:tcPr>
            <w:tcW w:w="1468" w:type="dxa"/>
          </w:tcPr>
          <w:p>
            <w:pPr>
              <w:pStyle w:val="TableParagraph"/>
              <w:spacing w:before="79"/>
              <w:ind w:left="108"/>
              <w:jc w:val="left"/>
              <w:rPr>
                <w:sz w:val="24"/>
              </w:rPr>
            </w:pPr>
            <w:r>
              <w:rPr>
                <w:sz w:val="24"/>
              </w:rPr>
              <w:t>Max</w:t>
            </w:r>
          </w:p>
        </w:tc>
        <w:tc>
          <w:tcPr>
            <w:tcW w:w="1573" w:type="dxa"/>
          </w:tcPr>
          <w:p>
            <w:pPr>
              <w:pStyle w:val="TableParagraph"/>
              <w:spacing w:before="79"/>
              <w:ind w:right="423"/>
              <w:rPr>
                <w:sz w:val="24"/>
              </w:rPr>
            </w:pPr>
            <w:r>
              <w:rPr>
                <w:sz w:val="24"/>
              </w:rPr>
              <w:t>862.00</w:t>
            </w:r>
          </w:p>
        </w:tc>
        <w:tc>
          <w:tcPr>
            <w:tcW w:w="1209" w:type="dxa"/>
          </w:tcPr>
          <w:p>
            <w:pPr>
              <w:pStyle w:val="TableParagraph"/>
              <w:spacing w:before="79"/>
              <w:ind w:right="361"/>
              <w:rPr>
                <w:sz w:val="24"/>
              </w:rPr>
            </w:pPr>
            <w:r>
              <w:rPr>
                <w:sz w:val="24"/>
              </w:rPr>
              <w:t>12.9</w:t>
            </w:r>
          </w:p>
        </w:tc>
        <w:tc>
          <w:tcPr>
            <w:tcW w:w="1312" w:type="dxa"/>
          </w:tcPr>
          <w:p>
            <w:pPr>
              <w:pStyle w:val="TableParagraph"/>
              <w:spacing w:before="79"/>
              <w:ind w:right="406"/>
              <w:rPr>
                <w:sz w:val="24"/>
              </w:rPr>
            </w:pPr>
            <w:r>
              <w:rPr>
                <w:sz w:val="24"/>
              </w:rPr>
              <w:t>233.0</w:t>
            </w:r>
          </w:p>
        </w:tc>
        <w:tc>
          <w:tcPr>
            <w:tcW w:w="3279" w:type="dxa"/>
          </w:tcPr>
          <w:p>
            <w:pPr/>
          </w:p>
        </w:tc>
      </w:tr>
    </w:tbl>
    <w:p>
      <w:pPr>
        <w:pStyle w:val="BodyText"/>
        <w:spacing w:before="1"/>
        <w:rPr>
          <w:b/>
          <w:sz w:val="9"/>
        </w:rPr>
      </w:pPr>
    </w:p>
    <w:p>
      <w:pPr>
        <w:pStyle w:val="BodyText"/>
        <w:spacing w:line="44" w:lineRule="exact"/>
        <w:ind w:left="105"/>
        <w:rPr>
          <w:sz w:val="4"/>
        </w:rPr>
      </w:pPr>
      <w:r>
        <w:rPr>
          <w:position w:val="0"/>
          <w:sz w:val="4"/>
        </w:rPr>
        <w:pict>
          <v:group style="width:444.95pt;height:2.2pt;mso-position-horizontal-relative:char;mso-position-vertical-relative:line" coordorigin="0,0" coordsize="8899,44">
            <v:line style="position:absolute" from="22,22" to="1488,22" stroked="true" strokeweight="2.16pt" strokecolor="#000000"/>
            <v:line style="position:absolute" from="1474,22" to="1517,22" stroked="true" strokeweight="2.16pt" strokecolor="#000000"/>
            <v:line style="position:absolute" from="1517,22" to="2761,22" stroked="true" strokeweight="2.16pt" strokecolor="#000000"/>
            <v:line style="position:absolute" from="2747,22" to="2790,22" stroked="true" strokeweight="2.16pt" strokecolor="#000000"/>
            <v:line style="position:absolute" from="2790,22" to="4031,22" stroked="true" strokeweight="2.16pt" strokecolor="#000000"/>
            <v:line style="position:absolute" from="4016,22" to="4059,22" stroked="true" strokeweight="2.16pt" strokecolor="#000000"/>
            <v:line style="position:absolute" from="4059,22" to="5301,22" stroked="true" strokeweight="2.16pt" strokecolor="#000000"/>
            <v:line style="position:absolute" from="5286,22" to="5329,22" stroked="true" strokeweight="2.16pt" strokecolor="#000000"/>
            <v:line style="position:absolute" from="5329,22" to="8877,22" stroked="true" strokeweight="2.16pt" strokecolor="#000000"/>
          </v:group>
        </w:pict>
      </w:r>
      <w:r>
        <w:rPr>
          <w:position w:val="0"/>
          <w:sz w:val="4"/>
        </w:rPr>
      </w:r>
    </w:p>
    <w:p>
      <w:pPr>
        <w:spacing w:line="225" w:lineRule="exact" w:before="0"/>
        <w:ind w:left="142" w:right="0" w:firstLine="0"/>
        <w:jc w:val="both"/>
        <w:rPr>
          <w:sz w:val="20"/>
        </w:rPr>
      </w:pPr>
      <w:r>
        <w:rPr>
          <w:sz w:val="20"/>
        </w:rPr>
        <w:t>Fuente: Elaboración propia.</w:t>
      </w:r>
    </w:p>
    <w:p>
      <w:pPr>
        <w:pStyle w:val="BodyText"/>
        <w:rPr>
          <w:sz w:val="20"/>
        </w:rPr>
      </w:pPr>
    </w:p>
    <w:p>
      <w:pPr>
        <w:pStyle w:val="BodyText"/>
        <w:rPr>
          <w:sz w:val="20"/>
        </w:rPr>
      </w:pPr>
    </w:p>
    <w:p>
      <w:pPr>
        <w:pStyle w:val="BodyText"/>
        <w:spacing w:before="8"/>
        <w:rPr>
          <w:sz w:val="18"/>
        </w:rPr>
      </w:pPr>
    </w:p>
    <w:p>
      <w:pPr>
        <w:pStyle w:val="BodyText"/>
        <w:spacing w:line="360" w:lineRule="auto" w:before="1"/>
        <w:ind w:left="142" w:right="140"/>
        <w:jc w:val="both"/>
      </w:pPr>
      <w:r>
        <w:rPr/>
        <w:t>La participación de la MOF en la URP8 no coincide con lo reportado por Lara-Covarrubias et al., 2003; Carranza-Trinidad et al., 2007; Gómez et al., 2007; Malcolm et al., 2012, los cuales consideran a esta importante como fuente de capital social. Sin embargo, en esta investigación se demostró que es más significativa como capital financiero.</w:t>
      </w:r>
    </w:p>
    <w:p>
      <w:pPr>
        <w:pStyle w:val="BodyText"/>
      </w:pPr>
    </w:p>
    <w:p>
      <w:pPr>
        <w:pStyle w:val="BodyText"/>
      </w:pPr>
    </w:p>
    <w:p>
      <w:pPr>
        <w:pStyle w:val="BodyText"/>
        <w:spacing w:before="4"/>
        <w:rPr>
          <w:sz w:val="23"/>
        </w:rPr>
      </w:pPr>
    </w:p>
    <w:p>
      <w:pPr>
        <w:pStyle w:val="BodyText"/>
        <w:spacing w:line="360" w:lineRule="auto"/>
        <w:ind w:left="142" w:right="140"/>
        <w:jc w:val="both"/>
      </w:pPr>
      <w:r>
        <w:rPr/>
        <w:t>Los resultados de este estudio confirman que la MOF contribuye significativamente al aumento</w:t>
      </w:r>
      <w:r>
        <w:rPr>
          <w:spacing w:val="-12"/>
        </w:rPr>
        <w:t> </w:t>
      </w:r>
      <w:r>
        <w:rPr/>
        <w:t>de</w:t>
      </w:r>
      <w:r>
        <w:rPr>
          <w:spacing w:val="-11"/>
        </w:rPr>
        <w:t> </w:t>
      </w:r>
      <w:r>
        <w:rPr/>
        <w:t>INE,</w:t>
      </w:r>
      <w:r>
        <w:rPr>
          <w:spacing w:val="-12"/>
        </w:rPr>
        <w:t> </w:t>
      </w:r>
      <w:r>
        <w:rPr/>
        <w:t>en</w:t>
      </w:r>
      <w:r>
        <w:rPr>
          <w:spacing w:val="-12"/>
        </w:rPr>
        <w:t> </w:t>
      </w:r>
      <w:r>
        <w:rPr/>
        <w:t>el</w:t>
      </w:r>
      <w:r>
        <w:rPr>
          <w:spacing w:val="-12"/>
        </w:rPr>
        <w:t> </w:t>
      </w:r>
      <w:r>
        <w:rPr/>
        <w:t>corto,</w:t>
      </w:r>
      <w:r>
        <w:rPr>
          <w:spacing w:val="-12"/>
        </w:rPr>
        <w:t> </w:t>
      </w:r>
      <w:r>
        <w:rPr/>
        <w:t>mediano</w:t>
      </w:r>
      <w:r>
        <w:rPr>
          <w:spacing w:val="-10"/>
        </w:rPr>
        <w:t> </w:t>
      </w:r>
      <w:r>
        <w:rPr/>
        <w:t>y</w:t>
      </w:r>
      <w:r>
        <w:rPr>
          <w:spacing w:val="-17"/>
        </w:rPr>
        <w:t> </w:t>
      </w:r>
      <w:r>
        <w:rPr/>
        <w:t>largo</w:t>
      </w:r>
      <w:r>
        <w:rPr>
          <w:spacing w:val="-12"/>
        </w:rPr>
        <w:t> </w:t>
      </w:r>
      <w:r>
        <w:rPr/>
        <w:t>plazo,</w:t>
      </w:r>
      <w:r>
        <w:rPr>
          <w:spacing w:val="-12"/>
        </w:rPr>
        <w:t> </w:t>
      </w:r>
      <w:r>
        <w:rPr/>
        <w:t>para</w:t>
      </w:r>
      <w:r>
        <w:rPr>
          <w:spacing w:val="-14"/>
        </w:rPr>
        <w:t> </w:t>
      </w:r>
      <w:r>
        <w:rPr/>
        <w:t>la</w:t>
      </w:r>
      <w:r>
        <w:rPr>
          <w:spacing w:val="-13"/>
        </w:rPr>
        <w:t> </w:t>
      </w:r>
      <w:r>
        <w:rPr/>
        <w:t>UPR8,</w:t>
      </w:r>
      <w:r>
        <w:rPr>
          <w:spacing w:val="-12"/>
        </w:rPr>
        <w:t> </w:t>
      </w:r>
      <w:r>
        <w:rPr/>
        <w:t>empero,</w:t>
      </w:r>
      <w:r>
        <w:rPr>
          <w:spacing w:val="-12"/>
        </w:rPr>
        <w:t> </w:t>
      </w:r>
      <w:r>
        <w:rPr/>
        <w:t>en</w:t>
      </w:r>
      <w:r>
        <w:rPr>
          <w:spacing w:val="-12"/>
        </w:rPr>
        <w:t> </w:t>
      </w:r>
      <w:r>
        <w:rPr/>
        <w:t>hatos</w:t>
      </w:r>
      <w:r>
        <w:rPr>
          <w:spacing w:val="-11"/>
        </w:rPr>
        <w:t> </w:t>
      </w:r>
      <w:r>
        <w:rPr/>
        <w:t>menores a cuatro vacas el INE fue negativo. Uddin et al., (2010) en un estudio realizado en tres diferentes sistemas lecheros de pequeña escala (Intensivo, extensivo y tradicional) en Bangladesh,</w:t>
      </w:r>
      <w:r>
        <w:rPr>
          <w:spacing w:val="26"/>
        </w:rPr>
        <w:t> </w:t>
      </w:r>
      <w:r>
        <w:rPr/>
        <w:t>mencionan</w:t>
      </w:r>
      <w:r>
        <w:rPr>
          <w:spacing w:val="27"/>
        </w:rPr>
        <w:t> </w:t>
      </w:r>
      <w:r>
        <w:rPr/>
        <w:t>que</w:t>
      </w:r>
      <w:r>
        <w:rPr>
          <w:spacing w:val="25"/>
        </w:rPr>
        <w:t> </w:t>
      </w:r>
      <w:r>
        <w:rPr/>
        <w:t>los</w:t>
      </w:r>
      <w:r>
        <w:rPr>
          <w:spacing w:val="28"/>
        </w:rPr>
        <w:t> </w:t>
      </w:r>
      <w:r>
        <w:rPr/>
        <w:t>INE</w:t>
      </w:r>
      <w:r>
        <w:rPr>
          <w:spacing w:val="25"/>
        </w:rPr>
        <w:t> </w:t>
      </w:r>
      <w:r>
        <w:rPr/>
        <w:t>disminuyen</w:t>
      </w:r>
      <w:r>
        <w:rPr>
          <w:spacing w:val="27"/>
        </w:rPr>
        <w:t> </w:t>
      </w:r>
      <w:r>
        <w:rPr/>
        <w:t>considerablemente</w:t>
      </w:r>
      <w:r>
        <w:rPr>
          <w:spacing w:val="26"/>
        </w:rPr>
        <w:t> </w:t>
      </w:r>
      <w:r>
        <w:rPr/>
        <w:t>cuando</w:t>
      </w:r>
      <w:r>
        <w:rPr>
          <w:spacing w:val="26"/>
        </w:rPr>
        <w:t> </w:t>
      </w:r>
      <w:r>
        <w:rPr/>
        <w:t>se</w:t>
      </w:r>
      <w:r>
        <w:rPr>
          <w:spacing w:val="25"/>
        </w:rPr>
        <w:t> </w:t>
      </w:r>
      <w:r>
        <w:rPr/>
        <w:t>incluye</w:t>
      </w:r>
      <w:r>
        <w:rPr>
          <w:spacing w:val="26"/>
        </w:rPr>
        <w:t> </w:t>
      </w:r>
      <w:r>
        <w:rPr/>
        <w:t>el</w:t>
      </w:r>
    </w:p>
    <w:p>
      <w:pPr>
        <w:spacing w:after="0" w:line="360" w:lineRule="auto"/>
        <w:jc w:val="both"/>
        <w:sectPr>
          <w:type w:val="continuous"/>
          <w:pgSz w:w="12240" w:h="15840"/>
          <w:pgMar w:top="1360" w:bottom="280" w:left="1560" w:right="1560"/>
        </w:sectPr>
      </w:pPr>
    </w:p>
    <w:p>
      <w:pPr>
        <w:pStyle w:val="BodyText"/>
        <w:spacing w:line="362" w:lineRule="auto" w:before="50"/>
        <w:ind w:left="102" w:right="122"/>
        <w:jc w:val="both"/>
      </w:pPr>
      <w:r>
        <w:rPr/>
        <w:t>costo</w:t>
      </w:r>
      <w:r>
        <w:rPr>
          <w:spacing w:val="-9"/>
        </w:rPr>
        <w:t> </w:t>
      </w:r>
      <w:r>
        <w:rPr/>
        <w:t>de</w:t>
      </w:r>
      <w:r>
        <w:rPr>
          <w:spacing w:val="-11"/>
        </w:rPr>
        <w:t> </w:t>
      </w:r>
      <w:r>
        <w:rPr/>
        <w:t>oportunidad</w:t>
      </w:r>
      <w:r>
        <w:rPr>
          <w:spacing w:val="-10"/>
        </w:rPr>
        <w:t> </w:t>
      </w:r>
      <w:r>
        <w:rPr/>
        <w:t>de</w:t>
      </w:r>
      <w:r>
        <w:rPr>
          <w:spacing w:val="-11"/>
        </w:rPr>
        <w:t> </w:t>
      </w:r>
      <w:r>
        <w:rPr/>
        <w:t>la</w:t>
      </w:r>
      <w:r>
        <w:rPr>
          <w:spacing w:val="-11"/>
        </w:rPr>
        <w:t> </w:t>
      </w:r>
      <w:r>
        <w:rPr/>
        <w:t>mano</w:t>
      </w:r>
      <w:r>
        <w:rPr>
          <w:spacing w:val="-8"/>
        </w:rPr>
        <w:t> </w:t>
      </w:r>
      <w:r>
        <w:rPr/>
        <w:t>de</w:t>
      </w:r>
      <w:r>
        <w:rPr>
          <w:spacing w:val="-11"/>
        </w:rPr>
        <w:t> </w:t>
      </w:r>
      <w:r>
        <w:rPr/>
        <w:t>obra</w:t>
      </w:r>
      <w:r>
        <w:rPr>
          <w:spacing w:val="-10"/>
        </w:rPr>
        <w:t> </w:t>
      </w:r>
      <w:r>
        <w:rPr/>
        <w:t>para</w:t>
      </w:r>
      <w:r>
        <w:rPr>
          <w:spacing w:val="-11"/>
        </w:rPr>
        <w:t> </w:t>
      </w:r>
      <w:r>
        <w:rPr/>
        <w:t>hatos</w:t>
      </w:r>
      <w:r>
        <w:rPr>
          <w:spacing w:val="-10"/>
        </w:rPr>
        <w:t> </w:t>
      </w:r>
      <w:r>
        <w:rPr/>
        <w:t>con</w:t>
      </w:r>
      <w:r>
        <w:rPr>
          <w:spacing w:val="-8"/>
        </w:rPr>
        <w:t> </w:t>
      </w:r>
      <w:r>
        <w:rPr/>
        <w:t>cuatro,</w:t>
      </w:r>
      <w:r>
        <w:rPr>
          <w:spacing w:val="-8"/>
        </w:rPr>
        <w:t> </w:t>
      </w:r>
      <w:r>
        <w:rPr/>
        <w:t>14</w:t>
      </w:r>
      <w:r>
        <w:rPr>
          <w:spacing w:val="-5"/>
        </w:rPr>
        <w:t> </w:t>
      </w:r>
      <w:r>
        <w:rPr/>
        <w:t>y</w:t>
      </w:r>
      <w:r>
        <w:rPr>
          <w:spacing w:val="-12"/>
        </w:rPr>
        <w:t> </w:t>
      </w:r>
      <w:r>
        <w:rPr/>
        <w:t>22</w:t>
      </w:r>
      <w:r>
        <w:rPr>
          <w:spacing w:val="-10"/>
        </w:rPr>
        <w:t> </w:t>
      </w:r>
      <w:r>
        <w:rPr/>
        <w:t>vacas</w:t>
      </w:r>
      <w:r>
        <w:rPr>
          <w:spacing w:val="-7"/>
        </w:rPr>
        <w:t> </w:t>
      </w:r>
      <w:r>
        <w:rPr/>
        <w:t>y</w:t>
      </w:r>
      <w:r>
        <w:rPr>
          <w:spacing w:val="-12"/>
        </w:rPr>
        <w:t> </w:t>
      </w:r>
      <w:r>
        <w:rPr/>
        <w:t>son</w:t>
      </w:r>
      <w:r>
        <w:rPr>
          <w:spacing w:val="-10"/>
        </w:rPr>
        <w:t> </w:t>
      </w:r>
      <w:r>
        <w:rPr/>
        <w:t>negativos con hatos menores a cuatro</w:t>
      </w:r>
      <w:r>
        <w:rPr>
          <w:spacing w:val="-9"/>
        </w:rPr>
        <w:t> </w:t>
      </w:r>
      <w:r>
        <w:rPr/>
        <w:t>vacas.</w:t>
      </w:r>
    </w:p>
    <w:p>
      <w:pPr>
        <w:pStyle w:val="BodyText"/>
      </w:pPr>
    </w:p>
    <w:p>
      <w:pPr>
        <w:pStyle w:val="BodyText"/>
      </w:pPr>
    </w:p>
    <w:p>
      <w:pPr>
        <w:pStyle w:val="BodyText"/>
        <w:rPr>
          <w:sz w:val="23"/>
        </w:rPr>
      </w:pPr>
    </w:p>
    <w:p>
      <w:pPr>
        <w:pStyle w:val="BodyText"/>
        <w:spacing w:line="360" w:lineRule="auto" w:before="1"/>
        <w:ind w:left="102" w:right="120"/>
        <w:jc w:val="both"/>
      </w:pPr>
      <w:r>
        <w:rPr/>
        <w:t>Staal et al., (2008) en un estudio realizado en el sur de Asia y Este de África, señalaron la importancia del costo de oportunidad de la MOF tanto en la competitividad como en la viabilidad de sistemas lecheros de pequeña escala ya que este insumo genera un mecanismo de sustitución de capital económico por MOF.</w:t>
      </w:r>
    </w:p>
    <w:p>
      <w:pPr>
        <w:pStyle w:val="BodyText"/>
      </w:pPr>
    </w:p>
    <w:p>
      <w:pPr>
        <w:pStyle w:val="BodyText"/>
      </w:pPr>
    </w:p>
    <w:p>
      <w:pPr>
        <w:pStyle w:val="BodyText"/>
        <w:spacing w:before="4"/>
        <w:rPr>
          <w:sz w:val="23"/>
        </w:rPr>
      </w:pPr>
    </w:p>
    <w:p>
      <w:pPr>
        <w:pStyle w:val="BodyText"/>
        <w:spacing w:line="360" w:lineRule="auto"/>
        <w:ind w:left="102" w:right="119"/>
        <w:jc w:val="both"/>
      </w:pPr>
      <w:r>
        <w:rPr/>
        <w:t>El</w:t>
      </w:r>
      <w:r>
        <w:rPr>
          <w:spacing w:val="-13"/>
        </w:rPr>
        <w:t> </w:t>
      </w:r>
      <w:r>
        <w:rPr/>
        <w:t>costo</w:t>
      </w:r>
      <w:r>
        <w:rPr>
          <w:spacing w:val="-13"/>
        </w:rPr>
        <w:t> </w:t>
      </w:r>
      <w:r>
        <w:rPr/>
        <w:t>económico</w:t>
      </w:r>
      <w:r>
        <w:rPr>
          <w:spacing w:val="-11"/>
        </w:rPr>
        <w:t> </w:t>
      </w:r>
      <w:r>
        <w:rPr/>
        <w:t>de</w:t>
      </w:r>
      <w:r>
        <w:rPr>
          <w:spacing w:val="-14"/>
        </w:rPr>
        <w:t> </w:t>
      </w:r>
      <w:r>
        <w:rPr/>
        <w:t>la</w:t>
      </w:r>
      <w:r>
        <w:rPr>
          <w:spacing w:val="-9"/>
        </w:rPr>
        <w:t> </w:t>
      </w:r>
      <w:r>
        <w:rPr/>
        <w:t>MOF</w:t>
      </w:r>
      <w:r>
        <w:rPr>
          <w:spacing w:val="-15"/>
        </w:rPr>
        <w:t> </w:t>
      </w:r>
      <w:r>
        <w:rPr/>
        <w:t>en</w:t>
      </w:r>
      <w:r>
        <w:rPr>
          <w:spacing w:val="-11"/>
        </w:rPr>
        <w:t> </w:t>
      </w:r>
      <w:r>
        <w:rPr/>
        <w:t>la</w:t>
      </w:r>
      <w:r>
        <w:rPr>
          <w:spacing w:val="-14"/>
        </w:rPr>
        <w:t> </w:t>
      </w:r>
      <w:r>
        <w:rPr/>
        <w:t>viabilidad</w:t>
      </w:r>
      <w:r>
        <w:rPr>
          <w:spacing w:val="-11"/>
        </w:rPr>
        <w:t> </w:t>
      </w:r>
      <w:r>
        <w:rPr/>
        <w:t>económica</w:t>
      </w:r>
      <w:r>
        <w:rPr>
          <w:spacing w:val="-14"/>
        </w:rPr>
        <w:t> </w:t>
      </w:r>
      <w:r>
        <w:rPr/>
        <w:t>durante</w:t>
      </w:r>
      <w:r>
        <w:rPr>
          <w:spacing w:val="-14"/>
        </w:rPr>
        <w:t> </w:t>
      </w:r>
      <w:r>
        <w:rPr/>
        <w:t>el</w:t>
      </w:r>
      <w:r>
        <w:rPr>
          <w:spacing w:val="-13"/>
        </w:rPr>
        <w:t> </w:t>
      </w:r>
      <w:r>
        <w:rPr/>
        <w:t>horizonte</w:t>
      </w:r>
      <w:r>
        <w:rPr>
          <w:spacing w:val="-14"/>
        </w:rPr>
        <w:t> </w:t>
      </w:r>
      <w:r>
        <w:rPr/>
        <w:t>de</w:t>
      </w:r>
      <w:r>
        <w:rPr>
          <w:spacing w:val="-14"/>
        </w:rPr>
        <w:t> </w:t>
      </w:r>
      <w:r>
        <w:rPr/>
        <w:t>planeación 2010-2019,</w:t>
      </w:r>
      <w:r>
        <w:rPr>
          <w:spacing w:val="-13"/>
        </w:rPr>
        <w:t> </w:t>
      </w:r>
      <w:r>
        <w:rPr/>
        <w:t>no</w:t>
      </w:r>
      <w:r>
        <w:rPr>
          <w:spacing w:val="-13"/>
        </w:rPr>
        <w:t> </w:t>
      </w:r>
      <w:r>
        <w:rPr/>
        <w:t>pone</w:t>
      </w:r>
      <w:r>
        <w:rPr>
          <w:spacing w:val="-14"/>
        </w:rPr>
        <w:t> </w:t>
      </w:r>
      <w:r>
        <w:rPr/>
        <w:t>en</w:t>
      </w:r>
      <w:r>
        <w:rPr>
          <w:spacing w:val="-11"/>
        </w:rPr>
        <w:t> </w:t>
      </w:r>
      <w:r>
        <w:rPr/>
        <w:t>riesgo</w:t>
      </w:r>
      <w:r>
        <w:rPr>
          <w:spacing w:val="-13"/>
        </w:rPr>
        <w:t> </w:t>
      </w:r>
      <w:r>
        <w:rPr/>
        <w:t>la</w:t>
      </w:r>
      <w:r>
        <w:rPr>
          <w:spacing w:val="-14"/>
        </w:rPr>
        <w:t> </w:t>
      </w:r>
      <w:r>
        <w:rPr/>
        <w:t>permanencia</w:t>
      </w:r>
      <w:r>
        <w:rPr>
          <w:spacing w:val="-14"/>
        </w:rPr>
        <w:t> </w:t>
      </w:r>
      <w:r>
        <w:rPr/>
        <w:t>de</w:t>
      </w:r>
      <w:r>
        <w:rPr>
          <w:spacing w:val="-14"/>
        </w:rPr>
        <w:t> </w:t>
      </w:r>
      <w:r>
        <w:rPr/>
        <w:t>la</w:t>
      </w:r>
      <w:r>
        <w:rPr>
          <w:spacing w:val="-12"/>
        </w:rPr>
        <w:t> </w:t>
      </w:r>
      <w:r>
        <w:rPr/>
        <w:t>URP8,</w:t>
      </w:r>
      <w:r>
        <w:rPr>
          <w:spacing w:val="-13"/>
        </w:rPr>
        <w:t> </w:t>
      </w:r>
      <w:r>
        <w:rPr/>
        <w:t>toda</w:t>
      </w:r>
      <w:r>
        <w:rPr>
          <w:spacing w:val="-14"/>
        </w:rPr>
        <w:t> </w:t>
      </w:r>
      <w:r>
        <w:rPr/>
        <w:t>vez,</w:t>
      </w:r>
      <w:r>
        <w:rPr>
          <w:spacing w:val="-13"/>
        </w:rPr>
        <w:t> </w:t>
      </w:r>
      <w:r>
        <w:rPr/>
        <w:t>que</w:t>
      </w:r>
      <w:r>
        <w:rPr>
          <w:spacing w:val="-14"/>
        </w:rPr>
        <w:t> </w:t>
      </w:r>
      <w:r>
        <w:rPr/>
        <w:t>los</w:t>
      </w:r>
      <w:r>
        <w:rPr>
          <w:spacing w:val="-10"/>
        </w:rPr>
        <w:t> </w:t>
      </w:r>
      <w:r>
        <w:rPr/>
        <w:t>INE</w:t>
      </w:r>
      <w:r>
        <w:rPr>
          <w:spacing w:val="-14"/>
        </w:rPr>
        <w:t> </w:t>
      </w:r>
      <w:r>
        <w:rPr/>
        <w:t>en</w:t>
      </w:r>
      <w:r>
        <w:rPr>
          <w:spacing w:val="-13"/>
        </w:rPr>
        <w:t> </w:t>
      </w:r>
      <w:r>
        <w:rPr/>
        <w:t>el</w:t>
      </w:r>
      <w:r>
        <w:rPr>
          <w:spacing w:val="-13"/>
        </w:rPr>
        <w:t> </w:t>
      </w:r>
      <w:r>
        <w:rPr/>
        <w:t>modelo 1, son suficientes para la manutención del núcleo familiar y las RFE pueden cubrir los principales gastos en el sistema de producción, tales como, la compra de insumos para la siembra de forrajes y granos para la alimentación del ganado, los cuales conforman entre</w:t>
      </w:r>
      <w:r>
        <w:rPr>
          <w:spacing w:val="58"/>
        </w:rPr>
        <w:t> </w:t>
      </w:r>
      <w:r>
        <w:rPr/>
        <w:t>el</w:t>
      </w:r>
    </w:p>
    <w:p>
      <w:pPr>
        <w:pStyle w:val="BodyText"/>
        <w:spacing w:before="4"/>
        <w:ind w:left="102"/>
        <w:jc w:val="both"/>
      </w:pPr>
      <w:r>
        <w:rPr/>
        <w:t>70.0 y 80.0% de los costos de producción, y la reinversión en activos.</w:t>
      </w:r>
    </w:p>
    <w:p>
      <w:pPr>
        <w:pStyle w:val="BodyText"/>
      </w:pPr>
    </w:p>
    <w:p>
      <w:pPr>
        <w:pStyle w:val="BodyText"/>
      </w:pPr>
    </w:p>
    <w:p>
      <w:pPr>
        <w:pStyle w:val="BodyText"/>
        <w:spacing w:before="9"/>
        <w:rPr>
          <w:sz w:val="22"/>
        </w:rPr>
      </w:pPr>
    </w:p>
    <w:p>
      <w:pPr>
        <w:pStyle w:val="BodyText"/>
        <w:spacing w:line="360" w:lineRule="auto"/>
        <w:ind w:left="102" w:right="120"/>
        <w:jc w:val="both"/>
      </w:pPr>
      <w:r>
        <w:rPr/>
        <w:t>Gómez et al., (2007) en Perú y Ramírez y Foster (2003) en Chile, reportaron que la MOF es un factor económico importante </w:t>
      </w:r>
      <w:r>
        <w:rPr>
          <w:spacing w:val="-3"/>
        </w:rPr>
        <w:t>ya </w:t>
      </w:r>
      <w:r>
        <w:rPr/>
        <w:t>que aumenta la rentabilidad y mejora sus condiciones de liquidez, tal y como se demostró con el modelo 2.</w:t>
      </w:r>
    </w:p>
    <w:p>
      <w:pPr>
        <w:pStyle w:val="BodyText"/>
      </w:pPr>
    </w:p>
    <w:p>
      <w:pPr>
        <w:pStyle w:val="BodyText"/>
        <w:spacing w:before="2"/>
        <w:rPr>
          <w:sz w:val="35"/>
        </w:rPr>
      </w:pPr>
    </w:p>
    <w:p>
      <w:pPr>
        <w:pStyle w:val="BodyText"/>
        <w:spacing w:line="360" w:lineRule="auto"/>
        <w:ind w:left="102" w:right="119"/>
        <w:jc w:val="both"/>
      </w:pPr>
      <w:r>
        <w:rPr/>
        <w:t>No obstante, investigaciones realizadas en Uganda, Ndambi et al., (2008) y el sur de África, Morocco</w:t>
      </w:r>
      <w:r>
        <w:rPr>
          <w:spacing w:val="-9"/>
        </w:rPr>
        <w:t> </w:t>
      </w:r>
      <w:r>
        <w:rPr/>
        <w:t>y</w:t>
      </w:r>
      <w:r>
        <w:rPr>
          <w:spacing w:val="-18"/>
        </w:rPr>
        <w:t> </w:t>
      </w:r>
      <w:r>
        <w:rPr/>
        <w:t>Cameroon,</w:t>
      </w:r>
      <w:r>
        <w:rPr>
          <w:spacing w:val="-13"/>
        </w:rPr>
        <w:t> </w:t>
      </w:r>
      <w:r>
        <w:rPr/>
        <w:t>Ndambi</w:t>
      </w:r>
      <w:r>
        <w:rPr>
          <w:spacing w:val="-10"/>
        </w:rPr>
        <w:t> </w:t>
      </w:r>
      <w:r>
        <w:rPr/>
        <w:t>y</w:t>
      </w:r>
      <w:r>
        <w:rPr>
          <w:spacing w:val="-16"/>
        </w:rPr>
        <w:t> </w:t>
      </w:r>
      <w:r>
        <w:rPr/>
        <w:t>Hemme</w:t>
      </w:r>
      <w:r>
        <w:rPr>
          <w:spacing w:val="-14"/>
        </w:rPr>
        <w:t> </w:t>
      </w:r>
      <w:r>
        <w:rPr/>
        <w:t>(2009)</w:t>
      </w:r>
      <w:r>
        <w:rPr>
          <w:spacing w:val="-14"/>
        </w:rPr>
        <w:t> </w:t>
      </w:r>
      <w:r>
        <w:rPr/>
        <w:t>señalaron</w:t>
      </w:r>
      <w:r>
        <w:rPr>
          <w:spacing w:val="-13"/>
        </w:rPr>
        <w:t> </w:t>
      </w:r>
      <w:r>
        <w:rPr/>
        <w:t>que</w:t>
      </w:r>
      <w:r>
        <w:rPr>
          <w:spacing w:val="-14"/>
        </w:rPr>
        <w:t> </w:t>
      </w:r>
      <w:r>
        <w:rPr/>
        <w:t>el</w:t>
      </w:r>
      <w:r>
        <w:rPr>
          <w:spacing w:val="-11"/>
        </w:rPr>
        <w:t> </w:t>
      </w:r>
      <w:r>
        <w:rPr/>
        <w:t>aporte</w:t>
      </w:r>
      <w:r>
        <w:rPr>
          <w:spacing w:val="-12"/>
        </w:rPr>
        <w:t> </w:t>
      </w:r>
      <w:r>
        <w:rPr/>
        <w:t>de</w:t>
      </w:r>
      <w:r>
        <w:rPr>
          <w:spacing w:val="-12"/>
        </w:rPr>
        <w:t> </w:t>
      </w:r>
      <w:r>
        <w:rPr/>
        <w:t>la</w:t>
      </w:r>
      <w:r>
        <w:rPr>
          <w:spacing w:val="-14"/>
        </w:rPr>
        <w:t> </w:t>
      </w:r>
      <w:r>
        <w:rPr/>
        <w:t>MOF</w:t>
      </w:r>
      <w:r>
        <w:rPr>
          <w:spacing w:val="-13"/>
        </w:rPr>
        <w:t> </w:t>
      </w:r>
      <w:r>
        <w:rPr/>
        <w:t>al</w:t>
      </w:r>
      <w:r>
        <w:rPr>
          <w:spacing w:val="-13"/>
        </w:rPr>
        <w:t> </w:t>
      </w:r>
      <w:r>
        <w:rPr/>
        <w:t>capital económico</w:t>
      </w:r>
      <w:r>
        <w:rPr>
          <w:spacing w:val="-4"/>
        </w:rPr>
        <w:t> </w:t>
      </w:r>
      <w:r>
        <w:rPr/>
        <w:t>y</w:t>
      </w:r>
      <w:r>
        <w:rPr>
          <w:spacing w:val="-13"/>
        </w:rPr>
        <w:t> </w:t>
      </w:r>
      <w:r>
        <w:rPr/>
        <w:t>social</w:t>
      </w:r>
      <w:r>
        <w:rPr>
          <w:spacing w:val="-9"/>
        </w:rPr>
        <w:t> </w:t>
      </w:r>
      <w:r>
        <w:rPr/>
        <w:t>de</w:t>
      </w:r>
      <w:r>
        <w:rPr>
          <w:spacing w:val="-10"/>
        </w:rPr>
        <w:t> </w:t>
      </w:r>
      <w:r>
        <w:rPr/>
        <w:t>los</w:t>
      </w:r>
      <w:r>
        <w:rPr>
          <w:spacing w:val="-6"/>
        </w:rPr>
        <w:t> </w:t>
      </w:r>
      <w:r>
        <w:rPr/>
        <w:t>sistemas</w:t>
      </w:r>
      <w:r>
        <w:rPr>
          <w:spacing w:val="-8"/>
        </w:rPr>
        <w:t> </w:t>
      </w:r>
      <w:r>
        <w:rPr/>
        <w:t>lecheros</w:t>
      </w:r>
      <w:r>
        <w:rPr>
          <w:spacing w:val="-9"/>
        </w:rPr>
        <w:t> </w:t>
      </w:r>
      <w:r>
        <w:rPr/>
        <w:t>de</w:t>
      </w:r>
      <w:r>
        <w:rPr>
          <w:spacing w:val="-7"/>
        </w:rPr>
        <w:t> </w:t>
      </w:r>
      <w:r>
        <w:rPr/>
        <w:t>pequeña</w:t>
      </w:r>
      <w:r>
        <w:rPr>
          <w:spacing w:val="-10"/>
        </w:rPr>
        <w:t> </w:t>
      </w:r>
      <w:r>
        <w:rPr/>
        <w:t>escala</w:t>
      </w:r>
      <w:r>
        <w:rPr>
          <w:spacing w:val="-7"/>
        </w:rPr>
        <w:t> </w:t>
      </w:r>
      <w:r>
        <w:rPr/>
        <w:t>no</w:t>
      </w:r>
      <w:r>
        <w:rPr>
          <w:spacing w:val="-9"/>
        </w:rPr>
        <w:t> </w:t>
      </w:r>
      <w:r>
        <w:rPr/>
        <w:t>solo</w:t>
      </w:r>
      <w:r>
        <w:rPr>
          <w:spacing w:val="-8"/>
        </w:rPr>
        <w:t> </w:t>
      </w:r>
      <w:r>
        <w:rPr/>
        <w:t>se</w:t>
      </w:r>
      <w:r>
        <w:rPr>
          <w:spacing w:val="-7"/>
        </w:rPr>
        <w:t> </w:t>
      </w:r>
      <w:r>
        <w:rPr/>
        <w:t>refleja</w:t>
      </w:r>
      <w:r>
        <w:rPr>
          <w:spacing w:val="-10"/>
        </w:rPr>
        <w:t> </w:t>
      </w:r>
      <w:r>
        <w:rPr/>
        <w:t>en</w:t>
      </w:r>
      <w:r>
        <w:rPr>
          <w:spacing w:val="-9"/>
        </w:rPr>
        <w:t> </w:t>
      </w:r>
      <w:r>
        <w:rPr/>
        <w:t>la</w:t>
      </w:r>
      <w:r>
        <w:rPr>
          <w:spacing w:val="-7"/>
        </w:rPr>
        <w:t> </w:t>
      </w:r>
      <w:r>
        <w:rPr/>
        <w:t>mejora de indicadores de rentabilidad y creación de empleos, sino también en su estabilidad económica y financiera, al ser la MOF, un mecanismo que aporta su labor a los procesos de producción sin percibir un ingreso constante lo que permite crear una frontera de posibilidades para apalancar al sistema en situaciones</w:t>
      </w:r>
      <w:r>
        <w:rPr>
          <w:spacing w:val="-11"/>
        </w:rPr>
        <w:t> </w:t>
      </w:r>
      <w:r>
        <w:rPr/>
        <w:t>críticas.</w:t>
      </w:r>
    </w:p>
    <w:p>
      <w:pPr>
        <w:spacing w:after="0" w:line="360" w:lineRule="auto"/>
        <w:jc w:val="both"/>
        <w:sectPr>
          <w:pgSz w:w="12240" w:h="15840"/>
          <w:pgMar w:header="0" w:footer="657" w:top="1360" w:bottom="840" w:left="1600" w:right="1580"/>
        </w:sectPr>
      </w:pPr>
    </w:p>
    <w:p>
      <w:pPr>
        <w:pStyle w:val="BodyText"/>
        <w:spacing w:line="360" w:lineRule="auto" w:before="50"/>
        <w:ind w:left="102" w:right="115"/>
        <w:jc w:val="both"/>
      </w:pPr>
      <w:r>
        <w:rPr/>
        <w:t>El</w:t>
      </w:r>
      <w:r>
        <w:rPr>
          <w:spacing w:val="-16"/>
        </w:rPr>
        <w:t> </w:t>
      </w:r>
      <w:r>
        <w:rPr/>
        <w:t>modelo</w:t>
      </w:r>
      <w:r>
        <w:rPr>
          <w:spacing w:val="-16"/>
        </w:rPr>
        <w:t> </w:t>
      </w:r>
      <w:r>
        <w:rPr/>
        <w:t>financiero</w:t>
      </w:r>
      <w:r>
        <w:rPr>
          <w:spacing w:val="-16"/>
        </w:rPr>
        <w:t> </w:t>
      </w:r>
      <w:r>
        <w:rPr/>
        <w:t>demostró</w:t>
      </w:r>
      <w:r>
        <w:rPr>
          <w:spacing w:val="-17"/>
        </w:rPr>
        <w:t> </w:t>
      </w:r>
      <w:r>
        <w:rPr/>
        <w:t>una</w:t>
      </w:r>
      <w:r>
        <w:rPr>
          <w:spacing w:val="-17"/>
        </w:rPr>
        <w:t> </w:t>
      </w:r>
      <w:r>
        <w:rPr/>
        <w:t>baja</w:t>
      </w:r>
      <w:r>
        <w:rPr>
          <w:spacing w:val="-16"/>
        </w:rPr>
        <w:t> </w:t>
      </w:r>
      <w:r>
        <w:rPr/>
        <w:t>probabilidad</w:t>
      </w:r>
      <w:r>
        <w:rPr>
          <w:spacing w:val="-16"/>
        </w:rPr>
        <w:t> </w:t>
      </w:r>
      <w:r>
        <w:rPr/>
        <w:t>de</w:t>
      </w:r>
      <w:r>
        <w:rPr>
          <w:spacing w:val="-17"/>
        </w:rPr>
        <w:t> </w:t>
      </w:r>
      <w:r>
        <w:rPr/>
        <w:t>descapitalización</w:t>
      </w:r>
      <w:r>
        <w:rPr>
          <w:spacing w:val="-15"/>
        </w:rPr>
        <w:t> </w:t>
      </w:r>
      <w:r>
        <w:rPr/>
        <w:t>en</w:t>
      </w:r>
      <w:r>
        <w:rPr>
          <w:spacing w:val="-16"/>
        </w:rPr>
        <w:t> </w:t>
      </w:r>
      <w:r>
        <w:rPr/>
        <w:t>los</w:t>
      </w:r>
      <w:r>
        <w:rPr>
          <w:spacing w:val="-15"/>
        </w:rPr>
        <w:t> </w:t>
      </w:r>
      <w:r>
        <w:rPr/>
        <w:t>dos</w:t>
      </w:r>
      <w:r>
        <w:rPr>
          <w:spacing w:val="-16"/>
        </w:rPr>
        <w:t> </w:t>
      </w:r>
      <w:r>
        <w:rPr/>
        <w:t>modelos analizados (P&lt;20.0%) durante el horizonte de planeación 2010-2019, asegurando el flujo constante</w:t>
      </w:r>
      <w:r>
        <w:rPr>
          <w:spacing w:val="-9"/>
        </w:rPr>
        <w:t> </w:t>
      </w:r>
      <w:r>
        <w:rPr/>
        <w:t>de</w:t>
      </w:r>
      <w:r>
        <w:rPr>
          <w:spacing w:val="-7"/>
        </w:rPr>
        <w:t> </w:t>
      </w:r>
      <w:r>
        <w:rPr/>
        <w:t>efectivo</w:t>
      </w:r>
      <w:r>
        <w:rPr>
          <w:spacing w:val="-9"/>
        </w:rPr>
        <w:t> </w:t>
      </w:r>
      <w:r>
        <w:rPr/>
        <w:t>para</w:t>
      </w:r>
      <w:r>
        <w:rPr>
          <w:spacing w:val="-10"/>
        </w:rPr>
        <w:t> </w:t>
      </w:r>
      <w:r>
        <w:rPr/>
        <w:t>la</w:t>
      </w:r>
      <w:r>
        <w:rPr>
          <w:spacing w:val="-9"/>
        </w:rPr>
        <w:t> </w:t>
      </w:r>
      <w:r>
        <w:rPr/>
        <w:t>compra</w:t>
      </w:r>
      <w:r>
        <w:rPr>
          <w:spacing w:val="-6"/>
        </w:rPr>
        <w:t> </w:t>
      </w:r>
      <w:r>
        <w:rPr/>
        <w:t>y</w:t>
      </w:r>
      <w:r>
        <w:rPr>
          <w:spacing w:val="-13"/>
        </w:rPr>
        <w:t> </w:t>
      </w:r>
      <w:r>
        <w:rPr/>
        <w:t>manutención</w:t>
      </w:r>
      <w:r>
        <w:rPr>
          <w:spacing w:val="-9"/>
        </w:rPr>
        <w:t> </w:t>
      </w:r>
      <w:r>
        <w:rPr/>
        <w:t>de</w:t>
      </w:r>
      <w:r>
        <w:rPr>
          <w:spacing w:val="-10"/>
        </w:rPr>
        <w:t> </w:t>
      </w:r>
      <w:r>
        <w:rPr/>
        <w:t>su</w:t>
      </w:r>
      <w:r>
        <w:rPr>
          <w:spacing w:val="-8"/>
        </w:rPr>
        <w:t> </w:t>
      </w:r>
      <w:r>
        <w:rPr/>
        <w:t>principal</w:t>
      </w:r>
      <w:r>
        <w:rPr>
          <w:spacing w:val="-9"/>
        </w:rPr>
        <w:t> </w:t>
      </w:r>
      <w:r>
        <w:rPr/>
        <w:t>activo</w:t>
      </w:r>
      <w:r>
        <w:rPr>
          <w:spacing w:val="-9"/>
        </w:rPr>
        <w:t> </w:t>
      </w:r>
      <w:r>
        <w:rPr/>
        <w:t>(vacas)</w:t>
      </w:r>
      <w:r>
        <w:rPr>
          <w:spacing w:val="-7"/>
        </w:rPr>
        <w:t> </w:t>
      </w:r>
      <w:r>
        <w:rPr/>
        <w:t>tal</w:t>
      </w:r>
      <w:r>
        <w:rPr>
          <w:spacing w:val="-4"/>
        </w:rPr>
        <w:t> </w:t>
      </w:r>
      <w:r>
        <w:rPr/>
        <w:t>y</w:t>
      </w:r>
      <w:r>
        <w:rPr>
          <w:spacing w:val="-11"/>
        </w:rPr>
        <w:t> </w:t>
      </w:r>
      <w:r>
        <w:rPr/>
        <w:t>como demuestra Posadas et al.,</w:t>
      </w:r>
      <w:r>
        <w:rPr>
          <w:spacing w:val="-4"/>
        </w:rPr>
        <w:t> </w:t>
      </w:r>
      <w:r>
        <w:rPr/>
        <w:t>(2013).</w:t>
      </w:r>
    </w:p>
    <w:p>
      <w:pPr>
        <w:pStyle w:val="BodyText"/>
      </w:pPr>
    </w:p>
    <w:p>
      <w:pPr>
        <w:pStyle w:val="BodyText"/>
      </w:pPr>
    </w:p>
    <w:p>
      <w:pPr>
        <w:pStyle w:val="BodyText"/>
        <w:spacing w:before="8"/>
        <w:rPr>
          <w:sz w:val="23"/>
        </w:rPr>
      </w:pPr>
    </w:p>
    <w:p>
      <w:pPr>
        <w:pStyle w:val="Heading1"/>
        <w:spacing w:before="0"/>
      </w:pPr>
      <w:r>
        <w:rPr/>
        <w:t>CONCLUSIONES</w:t>
      </w:r>
    </w:p>
    <w:p>
      <w:pPr>
        <w:pStyle w:val="BodyText"/>
        <w:rPr>
          <w:b/>
        </w:rPr>
      </w:pPr>
    </w:p>
    <w:p>
      <w:pPr>
        <w:pStyle w:val="BodyText"/>
        <w:rPr>
          <w:b/>
        </w:rPr>
      </w:pPr>
    </w:p>
    <w:p>
      <w:pPr>
        <w:pStyle w:val="BodyText"/>
        <w:spacing w:before="3"/>
        <w:rPr>
          <w:b/>
          <w:sz w:val="34"/>
        </w:rPr>
      </w:pPr>
    </w:p>
    <w:p>
      <w:pPr>
        <w:pStyle w:val="BodyText"/>
        <w:spacing w:line="360" w:lineRule="auto"/>
        <w:ind w:left="102" w:right="119"/>
        <w:jc w:val="both"/>
      </w:pPr>
      <w:r>
        <w:rPr/>
        <w:t>El sistema de producción en lechería de pequeña escala es viable económica y financieramente</w:t>
      </w:r>
      <w:r>
        <w:rPr>
          <w:spacing w:val="-2"/>
        </w:rPr>
        <w:t> </w:t>
      </w:r>
      <w:r>
        <w:rPr/>
        <w:t>y</w:t>
      </w:r>
      <w:r>
        <w:rPr>
          <w:spacing w:val="-9"/>
        </w:rPr>
        <w:t> </w:t>
      </w:r>
      <w:r>
        <w:rPr/>
        <w:t>es</w:t>
      </w:r>
      <w:r>
        <w:rPr>
          <w:spacing w:val="-6"/>
        </w:rPr>
        <w:t> </w:t>
      </w:r>
      <w:r>
        <w:rPr/>
        <w:t>mejor</w:t>
      </w:r>
      <w:r>
        <w:rPr>
          <w:spacing w:val="-6"/>
        </w:rPr>
        <w:t> </w:t>
      </w:r>
      <w:r>
        <w:rPr/>
        <w:t>cuando</w:t>
      </w:r>
      <w:r>
        <w:rPr>
          <w:spacing w:val="-6"/>
        </w:rPr>
        <w:t> </w:t>
      </w:r>
      <w:r>
        <w:rPr/>
        <w:t>no</w:t>
      </w:r>
      <w:r>
        <w:rPr>
          <w:spacing w:val="-4"/>
        </w:rPr>
        <w:t> </w:t>
      </w:r>
      <w:r>
        <w:rPr/>
        <w:t>se</w:t>
      </w:r>
      <w:r>
        <w:rPr>
          <w:spacing w:val="-7"/>
        </w:rPr>
        <w:t> </w:t>
      </w:r>
      <w:r>
        <w:rPr/>
        <w:t>contabiliza</w:t>
      </w:r>
      <w:r>
        <w:rPr>
          <w:spacing w:val="-7"/>
        </w:rPr>
        <w:t> </w:t>
      </w:r>
      <w:r>
        <w:rPr/>
        <w:t>el</w:t>
      </w:r>
      <w:r>
        <w:rPr>
          <w:spacing w:val="-6"/>
        </w:rPr>
        <w:t> </w:t>
      </w:r>
      <w:r>
        <w:rPr/>
        <w:t>costo</w:t>
      </w:r>
      <w:r>
        <w:rPr>
          <w:spacing w:val="-6"/>
        </w:rPr>
        <w:t> </w:t>
      </w:r>
      <w:r>
        <w:rPr/>
        <w:t>de</w:t>
      </w:r>
      <w:r>
        <w:rPr>
          <w:spacing w:val="-7"/>
        </w:rPr>
        <w:t> </w:t>
      </w:r>
      <w:r>
        <w:rPr/>
        <w:t>la</w:t>
      </w:r>
      <w:r>
        <w:rPr>
          <w:spacing w:val="-7"/>
        </w:rPr>
        <w:t> </w:t>
      </w:r>
      <w:r>
        <w:rPr/>
        <w:t>mano</w:t>
      </w:r>
      <w:r>
        <w:rPr>
          <w:spacing w:val="-5"/>
        </w:rPr>
        <w:t> </w:t>
      </w:r>
      <w:r>
        <w:rPr/>
        <w:t>de</w:t>
      </w:r>
      <w:r>
        <w:rPr>
          <w:spacing w:val="-5"/>
        </w:rPr>
        <w:t> </w:t>
      </w:r>
      <w:r>
        <w:rPr/>
        <w:t>obra</w:t>
      </w:r>
      <w:r>
        <w:rPr>
          <w:spacing w:val="-8"/>
        </w:rPr>
        <w:t> </w:t>
      </w:r>
      <w:r>
        <w:rPr/>
        <w:t>familiar.</w:t>
      </w:r>
      <w:r>
        <w:rPr>
          <w:spacing w:val="-5"/>
        </w:rPr>
        <w:t> </w:t>
      </w:r>
      <w:r>
        <w:rPr/>
        <w:t>La mano de obra familiar no tiene efecto significativo en el modelo 1. Para llevar el modelo 1</w:t>
      </w:r>
      <w:r>
        <w:rPr>
          <w:spacing w:val="-27"/>
        </w:rPr>
        <w:t> </w:t>
      </w:r>
      <w:r>
        <w:rPr/>
        <w:t>a una viabilidad financiera de 93.7%, la mano de obra familiar tienen que producir un valor económico de $60,000.00</w:t>
      </w:r>
      <w:r>
        <w:rPr>
          <w:spacing w:val="-5"/>
        </w:rPr>
        <w:t> </w:t>
      </w:r>
      <w:r>
        <w:rPr/>
        <w:t>pesos.</w:t>
      </w:r>
    </w:p>
    <w:p>
      <w:pPr>
        <w:pStyle w:val="BodyText"/>
      </w:pPr>
    </w:p>
    <w:p>
      <w:pPr>
        <w:pStyle w:val="BodyText"/>
      </w:pPr>
    </w:p>
    <w:p>
      <w:pPr>
        <w:pStyle w:val="BodyText"/>
        <w:spacing w:before="8"/>
        <w:rPr>
          <w:sz w:val="23"/>
        </w:rPr>
      </w:pPr>
    </w:p>
    <w:p>
      <w:pPr>
        <w:pStyle w:val="Heading1"/>
        <w:spacing w:before="0"/>
      </w:pPr>
      <w:r>
        <w:rPr/>
        <w:t>LITERATURA CITADA</w:t>
      </w:r>
    </w:p>
    <w:p>
      <w:pPr>
        <w:pStyle w:val="BodyText"/>
        <w:rPr>
          <w:b/>
        </w:rPr>
      </w:pPr>
    </w:p>
    <w:p>
      <w:pPr>
        <w:pStyle w:val="BodyText"/>
        <w:rPr>
          <w:b/>
        </w:rPr>
      </w:pPr>
    </w:p>
    <w:p>
      <w:pPr>
        <w:pStyle w:val="BodyText"/>
        <w:spacing w:line="360" w:lineRule="auto" w:before="195"/>
        <w:ind w:left="810" w:right="115" w:hanging="708"/>
        <w:jc w:val="both"/>
      </w:pPr>
      <w:r>
        <w:rPr/>
        <w:t>Barham, E. H. B., Robinson, J. R. C., Richardson, J. W., y Rister, M. E. 2011. Mitigating cotton</w:t>
      </w:r>
      <w:r>
        <w:rPr>
          <w:spacing w:val="-14"/>
        </w:rPr>
        <w:t> </w:t>
      </w:r>
      <w:r>
        <w:rPr/>
        <w:t>revenue</w:t>
      </w:r>
      <w:r>
        <w:rPr>
          <w:spacing w:val="-15"/>
        </w:rPr>
        <w:t> </w:t>
      </w:r>
      <w:r>
        <w:rPr/>
        <w:t>risk</w:t>
      </w:r>
      <w:r>
        <w:rPr>
          <w:spacing w:val="-14"/>
        </w:rPr>
        <w:t> </w:t>
      </w:r>
      <w:r>
        <w:rPr/>
        <w:t>through</w:t>
      </w:r>
      <w:r>
        <w:rPr>
          <w:spacing w:val="-14"/>
        </w:rPr>
        <w:t> </w:t>
      </w:r>
      <w:r>
        <w:rPr/>
        <w:t>irrigation,</w:t>
      </w:r>
      <w:r>
        <w:rPr>
          <w:spacing w:val="-14"/>
        </w:rPr>
        <w:t> </w:t>
      </w:r>
      <w:r>
        <w:rPr/>
        <w:t>insurance,</w:t>
      </w:r>
      <w:r>
        <w:rPr>
          <w:spacing w:val="-14"/>
        </w:rPr>
        <w:t> </w:t>
      </w:r>
      <w:r>
        <w:rPr/>
        <w:t>and</w:t>
      </w:r>
      <w:r>
        <w:rPr>
          <w:spacing w:val="-14"/>
        </w:rPr>
        <w:t> </w:t>
      </w:r>
      <w:r>
        <w:rPr/>
        <w:t>hedging.</w:t>
      </w:r>
      <w:r>
        <w:rPr>
          <w:spacing w:val="-14"/>
        </w:rPr>
        <w:t> </w:t>
      </w:r>
      <w:r>
        <w:rPr/>
        <w:t>Journal</w:t>
      </w:r>
      <w:r>
        <w:rPr>
          <w:spacing w:val="-14"/>
        </w:rPr>
        <w:t> </w:t>
      </w:r>
      <w:r>
        <w:rPr/>
        <w:t>of</w:t>
      </w:r>
      <w:r>
        <w:rPr>
          <w:spacing w:val="-15"/>
        </w:rPr>
        <w:t> </w:t>
      </w:r>
      <w:r>
        <w:rPr/>
        <w:t>Agricultural and Applied Economics 43,</w:t>
      </w:r>
      <w:r>
        <w:rPr>
          <w:spacing w:val="-3"/>
        </w:rPr>
        <w:t> </w:t>
      </w:r>
      <w:r>
        <w:rPr/>
        <w:t>539-540.</w:t>
      </w:r>
    </w:p>
    <w:p>
      <w:pPr>
        <w:pStyle w:val="BodyText"/>
        <w:spacing w:line="360" w:lineRule="auto" w:before="4"/>
        <w:ind w:left="810" w:right="116" w:hanging="708"/>
        <w:jc w:val="both"/>
      </w:pPr>
      <w:r>
        <w:rPr/>
        <w:t>Carranza-Trinidad, R.G., Macedo-Barragán, R., Cámara-Córdoba, J., Sosa-Ramírez, J., Meraz-Jiménez, A.J., Valdivia-Flores, A.G., 2007. Competitividad en la cadena productiva</w:t>
      </w:r>
      <w:r>
        <w:rPr>
          <w:spacing w:val="-10"/>
        </w:rPr>
        <w:t> </w:t>
      </w:r>
      <w:r>
        <w:rPr/>
        <w:t>de</w:t>
      </w:r>
      <w:r>
        <w:rPr>
          <w:spacing w:val="-10"/>
        </w:rPr>
        <w:t> </w:t>
      </w:r>
      <w:r>
        <w:rPr/>
        <w:t>leche</w:t>
      </w:r>
      <w:r>
        <w:rPr>
          <w:spacing w:val="-10"/>
        </w:rPr>
        <w:t> </w:t>
      </w:r>
      <w:r>
        <w:rPr/>
        <w:t>del</w:t>
      </w:r>
      <w:r>
        <w:rPr>
          <w:spacing w:val="-8"/>
        </w:rPr>
        <w:t> </w:t>
      </w:r>
      <w:r>
        <w:rPr/>
        <w:t>estado</w:t>
      </w:r>
      <w:r>
        <w:rPr>
          <w:spacing w:val="-9"/>
        </w:rPr>
        <w:t> </w:t>
      </w:r>
      <w:r>
        <w:rPr/>
        <w:t>de</w:t>
      </w:r>
      <w:r>
        <w:rPr>
          <w:spacing w:val="-7"/>
        </w:rPr>
        <w:t> </w:t>
      </w:r>
      <w:r>
        <w:rPr/>
        <w:t>Aguascalientes,</w:t>
      </w:r>
      <w:r>
        <w:rPr>
          <w:spacing w:val="-6"/>
        </w:rPr>
        <w:t> </w:t>
      </w:r>
      <w:r>
        <w:rPr/>
        <w:t>México.</w:t>
      </w:r>
      <w:r>
        <w:rPr>
          <w:spacing w:val="-6"/>
        </w:rPr>
        <w:t> </w:t>
      </w:r>
      <w:r>
        <w:rPr/>
        <w:t>Agrociencia,</w:t>
      </w:r>
      <w:r>
        <w:rPr>
          <w:spacing w:val="-9"/>
        </w:rPr>
        <w:t> </w:t>
      </w:r>
      <w:r>
        <w:rPr/>
        <w:t>41,</w:t>
      </w:r>
      <w:r>
        <w:rPr>
          <w:spacing w:val="-7"/>
        </w:rPr>
        <w:t> </w:t>
      </w:r>
      <w:r>
        <w:rPr/>
        <w:t>701-709.</w:t>
      </w:r>
    </w:p>
    <w:p>
      <w:pPr>
        <w:pStyle w:val="BodyText"/>
        <w:spacing w:line="360" w:lineRule="auto" w:before="6"/>
        <w:ind w:left="810" w:right="122" w:hanging="708"/>
        <w:jc w:val="both"/>
      </w:pPr>
      <w:r>
        <w:rPr/>
        <w:t>Gill, C.R., Richardson, J.W., Outlaw, J.L., y Anderson D.P. 2003. An analysis of ethanol production in Texas using three ethanol facility sizes and their relative optimal subsidy levels. Documento presentado en: Southern Agricultural Economics Association 35th Annual Meeting, Mobile, Alabama, 1-5 de febrero 2003.</w:t>
      </w:r>
    </w:p>
    <w:p>
      <w:pPr>
        <w:pStyle w:val="BodyText"/>
        <w:spacing w:line="360" w:lineRule="auto" w:before="6"/>
        <w:ind w:left="810" w:right="123" w:hanging="708"/>
        <w:jc w:val="both"/>
      </w:pPr>
      <w:r>
        <w:rPr/>
        <w:t>Gómez, C., Fernández, M., Salazar, I., Saldaña, I., Heredia I. 2007. Improvement of small dairy producers in the central coast of Peru. Tropical Animal Health and Production, 39, 611–618.</w:t>
      </w:r>
    </w:p>
    <w:p>
      <w:pPr>
        <w:spacing w:after="0" w:line="360" w:lineRule="auto"/>
        <w:jc w:val="both"/>
        <w:sectPr>
          <w:pgSz w:w="12240" w:h="15840"/>
          <w:pgMar w:header="0" w:footer="657" w:top="1360" w:bottom="840" w:left="1600" w:right="1580"/>
        </w:sectPr>
      </w:pPr>
    </w:p>
    <w:p>
      <w:pPr>
        <w:pStyle w:val="BodyText"/>
        <w:spacing w:line="362" w:lineRule="auto" w:before="50"/>
        <w:ind w:left="810" w:right="120" w:hanging="708"/>
        <w:jc w:val="both"/>
      </w:pPr>
      <w:r>
        <w:rPr/>
        <w:t>Goodwin, B.K., y Mahul, O. 2004. Risk modeling concepts relating to the design and rating of agricultural insurance contracts. Document of the World Bank. pp. 1-38.</w:t>
      </w:r>
    </w:p>
    <w:p>
      <w:pPr>
        <w:pStyle w:val="BodyText"/>
        <w:spacing w:line="360" w:lineRule="auto" w:before="1"/>
        <w:ind w:left="810" w:right="117" w:hanging="708"/>
        <w:jc w:val="both"/>
      </w:pPr>
      <w:r>
        <w:rPr/>
        <w:t>Halter,</w:t>
      </w:r>
      <w:r>
        <w:rPr>
          <w:spacing w:val="-14"/>
        </w:rPr>
        <w:t> </w:t>
      </w:r>
      <w:r>
        <w:rPr/>
        <w:t>A.N.,</w:t>
      </w:r>
      <w:r>
        <w:rPr>
          <w:spacing w:val="-10"/>
        </w:rPr>
        <w:t> </w:t>
      </w:r>
      <w:r>
        <w:rPr/>
        <w:t>y</w:t>
      </w:r>
      <w:r>
        <w:rPr>
          <w:spacing w:val="-18"/>
        </w:rPr>
        <w:t> </w:t>
      </w:r>
      <w:r>
        <w:rPr/>
        <w:t>G.W.</w:t>
      </w:r>
      <w:r>
        <w:rPr>
          <w:spacing w:val="-13"/>
        </w:rPr>
        <w:t> </w:t>
      </w:r>
      <w:r>
        <w:rPr/>
        <w:t>Dean.</w:t>
      </w:r>
      <w:r>
        <w:rPr>
          <w:spacing w:val="-13"/>
        </w:rPr>
        <w:t> </w:t>
      </w:r>
      <w:r>
        <w:rPr/>
        <w:t>1965.</w:t>
      </w:r>
      <w:r>
        <w:rPr>
          <w:spacing w:val="-13"/>
        </w:rPr>
        <w:t> </w:t>
      </w:r>
      <w:r>
        <w:rPr/>
        <w:t>Use</w:t>
      </w:r>
      <w:r>
        <w:rPr>
          <w:spacing w:val="-15"/>
        </w:rPr>
        <w:t> </w:t>
      </w:r>
      <w:r>
        <w:rPr/>
        <w:t>of</w:t>
      </w:r>
      <w:r>
        <w:rPr>
          <w:spacing w:val="-14"/>
        </w:rPr>
        <w:t> </w:t>
      </w:r>
      <w:r>
        <w:rPr/>
        <w:t>simulation</w:t>
      </w:r>
      <w:r>
        <w:rPr>
          <w:spacing w:val="-13"/>
        </w:rPr>
        <w:t> </w:t>
      </w:r>
      <w:r>
        <w:rPr/>
        <w:t>in</w:t>
      </w:r>
      <w:r>
        <w:rPr>
          <w:spacing w:val="-13"/>
        </w:rPr>
        <w:t> </w:t>
      </w:r>
      <w:r>
        <w:rPr/>
        <w:t>evaluating</w:t>
      </w:r>
      <w:r>
        <w:rPr>
          <w:spacing w:val="-15"/>
        </w:rPr>
        <w:t> </w:t>
      </w:r>
      <w:r>
        <w:rPr/>
        <w:t>management</w:t>
      </w:r>
      <w:r>
        <w:rPr>
          <w:spacing w:val="-13"/>
        </w:rPr>
        <w:t> </w:t>
      </w:r>
      <w:r>
        <w:rPr/>
        <w:t>policies</w:t>
      </w:r>
      <w:r>
        <w:rPr>
          <w:spacing w:val="-14"/>
        </w:rPr>
        <w:t> </w:t>
      </w:r>
      <w:r>
        <w:rPr/>
        <w:t>under uncertainty: application to a large scale ranch. American Journal Agricultural Economics. 47,</w:t>
      </w:r>
      <w:r>
        <w:rPr>
          <w:spacing w:val="-4"/>
        </w:rPr>
        <w:t> </w:t>
      </w:r>
      <w:r>
        <w:rPr/>
        <w:t>557-573.</w:t>
      </w:r>
    </w:p>
    <w:p>
      <w:pPr>
        <w:pStyle w:val="BodyText"/>
        <w:spacing w:line="360" w:lineRule="auto" w:before="6"/>
        <w:ind w:left="810" w:right="115" w:hanging="708"/>
        <w:jc w:val="both"/>
      </w:pPr>
      <w:r>
        <w:rPr/>
        <w:t>Hardaker, J.B., Richardson J.W., Lien, G., y Schumann, K.D. 2004. ‘Stochastic efficiency analysis with risk aversion bounds: A simplified approach.’’ The Australian Journal of Agricultural and Resource Economics 48, 253–70.</w:t>
      </w:r>
    </w:p>
    <w:p>
      <w:pPr>
        <w:pStyle w:val="BodyText"/>
        <w:spacing w:line="360" w:lineRule="auto" w:before="4"/>
        <w:ind w:left="810" w:right="121" w:hanging="708"/>
        <w:jc w:val="both"/>
      </w:pPr>
      <w:r>
        <w:rPr/>
        <w:t>Harwood, J.L., Heifner, R., Perry, J., Coble, K., y Somwaru, A. 1999. ‘‘Managing risk in farming: Concepts, research and analysis.’’ Agricultural Economic Reporte No.</w:t>
      </w:r>
      <w:r>
        <w:rPr>
          <w:spacing w:val="-21"/>
        </w:rPr>
        <w:t> </w:t>
      </w:r>
      <w:r>
        <w:rPr/>
        <w:t>774. Washington, DC: U.S. Department of Agriculture/Economic Research</w:t>
      </w:r>
      <w:r>
        <w:rPr>
          <w:spacing w:val="-16"/>
        </w:rPr>
        <w:t> </w:t>
      </w:r>
      <w:r>
        <w:rPr/>
        <w:t>Service.</w:t>
      </w:r>
    </w:p>
    <w:p>
      <w:pPr>
        <w:pStyle w:val="BodyText"/>
        <w:spacing w:line="360" w:lineRule="auto" w:before="6"/>
        <w:ind w:left="810" w:right="120" w:hanging="708"/>
        <w:jc w:val="both"/>
      </w:pPr>
      <w:r>
        <w:rPr/>
        <w:t>Instituto Nacional de Estadística, Geografía e Informática (INEGI). 2003. Anuario Estadístico del Estado de México. Aguascalientes, Ags. México.</w:t>
      </w:r>
    </w:p>
    <w:p>
      <w:pPr>
        <w:pStyle w:val="BodyText"/>
        <w:spacing w:line="360" w:lineRule="auto" w:before="6"/>
        <w:ind w:left="810" w:right="117" w:hanging="708"/>
        <w:jc w:val="both"/>
      </w:pPr>
      <w:r>
        <w:rPr/>
        <w:t>Lara-Covarrubias, D., Mora-Flores, J.S., Martínez-Damián, M.A., García-Delgado, G., Omaña-Silvestre, J.M., Gallegos-Sánchez, J., 2003. Competitividad y ventajas comparativas</w:t>
      </w:r>
      <w:r>
        <w:rPr>
          <w:spacing w:val="-4"/>
        </w:rPr>
        <w:t> </w:t>
      </w:r>
      <w:r>
        <w:rPr/>
        <w:t>de</w:t>
      </w:r>
      <w:r>
        <w:rPr>
          <w:spacing w:val="-5"/>
        </w:rPr>
        <w:t> </w:t>
      </w:r>
      <w:r>
        <w:rPr/>
        <w:t>los</w:t>
      </w:r>
      <w:r>
        <w:rPr>
          <w:spacing w:val="-3"/>
        </w:rPr>
        <w:t> </w:t>
      </w:r>
      <w:r>
        <w:rPr/>
        <w:t>sistemas</w:t>
      </w:r>
      <w:r>
        <w:rPr>
          <w:spacing w:val="-4"/>
        </w:rPr>
        <w:t> </w:t>
      </w:r>
      <w:r>
        <w:rPr/>
        <w:t>de</w:t>
      </w:r>
      <w:r>
        <w:rPr>
          <w:spacing w:val="-5"/>
        </w:rPr>
        <w:t> </w:t>
      </w:r>
      <w:r>
        <w:rPr/>
        <w:t>producción</w:t>
      </w:r>
      <w:r>
        <w:rPr>
          <w:spacing w:val="-3"/>
        </w:rPr>
        <w:t> </w:t>
      </w:r>
      <w:r>
        <w:rPr/>
        <w:t>de</w:t>
      </w:r>
      <w:r>
        <w:rPr>
          <w:spacing w:val="-5"/>
        </w:rPr>
        <w:t> </w:t>
      </w:r>
      <w:r>
        <w:rPr/>
        <w:t>leche</w:t>
      </w:r>
      <w:r>
        <w:rPr>
          <w:spacing w:val="-5"/>
        </w:rPr>
        <w:t> </w:t>
      </w:r>
      <w:r>
        <w:rPr/>
        <w:t>en</w:t>
      </w:r>
      <w:r>
        <w:rPr>
          <w:spacing w:val="-4"/>
        </w:rPr>
        <w:t> </w:t>
      </w:r>
      <w:r>
        <w:rPr/>
        <w:t>el</w:t>
      </w:r>
      <w:r>
        <w:rPr>
          <w:spacing w:val="-3"/>
        </w:rPr>
        <w:t> </w:t>
      </w:r>
      <w:r>
        <w:rPr/>
        <w:t>estado</w:t>
      </w:r>
      <w:r>
        <w:rPr>
          <w:spacing w:val="-4"/>
        </w:rPr>
        <w:t> </w:t>
      </w:r>
      <w:r>
        <w:rPr/>
        <w:t>de</w:t>
      </w:r>
      <w:r>
        <w:rPr>
          <w:spacing w:val="-5"/>
        </w:rPr>
        <w:t> </w:t>
      </w:r>
      <w:r>
        <w:rPr/>
        <w:t>Jalisco,</w:t>
      </w:r>
      <w:r>
        <w:rPr>
          <w:spacing w:val="-4"/>
        </w:rPr>
        <w:t> </w:t>
      </w:r>
      <w:r>
        <w:rPr/>
        <w:t>México. Agrociencia, 37,</w:t>
      </w:r>
      <w:r>
        <w:rPr>
          <w:spacing w:val="-6"/>
        </w:rPr>
        <w:t> </w:t>
      </w:r>
      <w:r>
        <w:rPr/>
        <w:t>85-94.</w:t>
      </w:r>
    </w:p>
    <w:p>
      <w:pPr>
        <w:pStyle w:val="BodyText"/>
        <w:spacing w:line="360" w:lineRule="auto" w:before="6"/>
        <w:ind w:left="810" w:right="118" w:hanging="708"/>
        <w:jc w:val="both"/>
      </w:pPr>
      <w:r>
        <w:rPr/>
        <w:t>Lemiux,</w:t>
      </w:r>
      <w:r>
        <w:rPr>
          <w:spacing w:val="-13"/>
        </w:rPr>
        <w:t> </w:t>
      </w:r>
      <w:r>
        <w:rPr/>
        <w:t>C.M.,</w:t>
      </w:r>
      <w:r>
        <w:rPr>
          <w:spacing w:val="-13"/>
        </w:rPr>
        <w:t> </w:t>
      </w:r>
      <w:r>
        <w:rPr/>
        <w:t>Richardson,</w:t>
      </w:r>
      <w:r>
        <w:rPr>
          <w:spacing w:val="-14"/>
        </w:rPr>
        <w:t> </w:t>
      </w:r>
      <w:r>
        <w:rPr/>
        <w:t>J.W.,</w:t>
      </w:r>
      <w:r>
        <w:rPr>
          <w:spacing w:val="-13"/>
        </w:rPr>
        <w:t> </w:t>
      </w:r>
      <w:r>
        <w:rPr/>
        <w:t>Nixon,</w:t>
      </w:r>
      <w:r>
        <w:rPr>
          <w:spacing w:val="-16"/>
        </w:rPr>
        <w:t> </w:t>
      </w:r>
      <w:r>
        <w:rPr/>
        <w:t>C.J.</w:t>
      </w:r>
      <w:r>
        <w:rPr>
          <w:spacing w:val="-13"/>
        </w:rPr>
        <w:t> </w:t>
      </w:r>
      <w:r>
        <w:rPr/>
        <w:t>1982.</w:t>
      </w:r>
      <w:r>
        <w:rPr>
          <w:spacing w:val="-13"/>
        </w:rPr>
        <w:t> </w:t>
      </w:r>
      <w:r>
        <w:rPr/>
        <w:t>Federal</w:t>
      </w:r>
      <w:r>
        <w:rPr>
          <w:spacing w:val="-13"/>
        </w:rPr>
        <w:t> </w:t>
      </w:r>
      <w:r>
        <w:rPr/>
        <w:t>crop</w:t>
      </w:r>
      <w:r>
        <w:rPr>
          <w:spacing w:val="-14"/>
        </w:rPr>
        <w:t> </w:t>
      </w:r>
      <w:r>
        <w:rPr/>
        <w:t>insurance</w:t>
      </w:r>
      <w:r>
        <w:rPr>
          <w:spacing w:val="-14"/>
        </w:rPr>
        <w:t> </w:t>
      </w:r>
      <w:r>
        <w:rPr/>
        <w:t>vs.</w:t>
      </w:r>
      <w:r>
        <w:rPr>
          <w:spacing w:val="-13"/>
        </w:rPr>
        <w:t> </w:t>
      </w:r>
      <w:r>
        <w:rPr/>
        <w:t>ASCS</w:t>
      </w:r>
      <w:r>
        <w:rPr>
          <w:spacing w:val="-13"/>
        </w:rPr>
        <w:t> </w:t>
      </w:r>
      <w:r>
        <w:rPr/>
        <w:t>disaster assistance for Texas high plains cotton producers: An application of whole-farm simulation. Western Journal of Agricultural Economics.</w:t>
      </w:r>
      <w:r>
        <w:rPr>
          <w:spacing w:val="-7"/>
        </w:rPr>
        <w:t> </w:t>
      </w:r>
      <w:r>
        <w:rPr/>
        <w:t>141-154</w:t>
      </w:r>
    </w:p>
    <w:p>
      <w:pPr>
        <w:pStyle w:val="BodyText"/>
        <w:spacing w:before="4"/>
        <w:ind w:left="102"/>
      </w:pPr>
      <w:r>
        <w:rPr/>
        <w:t>Lien,  G.  2003.  Assisting  whole-farm  decision-making  through  stochastic      budgeting.</w:t>
      </w:r>
    </w:p>
    <w:p>
      <w:pPr>
        <w:pStyle w:val="BodyText"/>
        <w:spacing w:before="139"/>
        <w:ind w:left="810"/>
      </w:pPr>
      <w:r>
        <w:rPr/>
        <w:t>Agricultural Systems. 76. 399-413.</w:t>
      </w:r>
    </w:p>
    <w:p>
      <w:pPr>
        <w:pStyle w:val="BodyText"/>
        <w:spacing w:line="360" w:lineRule="auto" w:before="137"/>
        <w:ind w:left="810" w:right="119" w:hanging="708"/>
        <w:jc w:val="both"/>
      </w:pPr>
      <w:r>
        <w:rPr/>
        <w:t>Malcolm,</w:t>
      </w:r>
      <w:r>
        <w:rPr>
          <w:spacing w:val="-9"/>
        </w:rPr>
        <w:t> </w:t>
      </w:r>
      <w:r>
        <w:rPr/>
        <w:t>B.,</w:t>
      </w:r>
      <w:r>
        <w:rPr>
          <w:spacing w:val="-12"/>
        </w:rPr>
        <w:t> </w:t>
      </w:r>
      <w:r>
        <w:rPr/>
        <w:t>Ho,</w:t>
      </w:r>
      <w:r>
        <w:rPr>
          <w:spacing w:val="-10"/>
        </w:rPr>
        <w:t> </w:t>
      </w:r>
      <w:r>
        <w:rPr/>
        <w:t>C.K.M.,</w:t>
      </w:r>
      <w:r>
        <w:rPr>
          <w:spacing w:val="-12"/>
        </w:rPr>
        <w:t> </w:t>
      </w:r>
      <w:r>
        <w:rPr/>
        <w:t>Armstrong,</w:t>
      </w:r>
      <w:r>
        <w:rPr>
          <w:spacing w:val="-10"/>
        </w:rPr>
        <w:t> </w:t>
      </w:r>
      <w:r>
        <w:rPr/>
        <w:t>D.P.,</w:t>
      </w:r>
      <w:r>
        <w:rPr>
          <w:spacing w:val="-12"/>
        </w:rPr>
        <w:t> </w:t>
      </w:r>
      <w:r>
        <w:rPr/>
        <w:t>Doyle,</w:t>
      </w:r>
      <w:r>
        <w:rPr>
          <w:spacing w:val="-8"/>
        </w:rPr>
        <w:t> </w:t>
      </w:r>
      <w:r>
        <w:rPr/>
        <w:t>P.T.,</w:t>
      </w:r>
      <w:r>
        <w:rPr>
          <w:spacing w:val="-12"/>
        </w:rPr>
        <w:t> </w:t>
      </w:r>
      <w:r>
        <w:rPr/>
        <w:t>Tarrant,</w:t>
      </w:r>
      <w:r>
        <w:rPr>
          <w:spacing w:val="-9"/>
        </w:rPr>
        <w:t> </w:t>
      </w:r>
      <w:r>
        <w:rPr/>
        <w:t>K.A.,</w:t>
      </w:r>
      <w:r>
        <w:rPr>
          <w:spacing w:val="-10"/>
        </w:rPr>
        <w:t> </w:t>
      </w:r>
      <w:r>
        <w:rPr/>
        <w:t>Heard,</w:t>
      </w:r>
      <w:r>
        <w:rPr>
          <w:spacing w:val="-12"/>
        </w:rPr>
        <w:t> </w:t>
      </w:r>
      <w:r>
        <w:rPr/>
        <w:t>J.W.,</w:t>
      </w:r>
      <w:r>
        <w:rPr>
          <w:spacing w:val="-12"/>
        </w:rPr>
        <w:t> </w:t>
      </w:r>
      <w:r>
        <w:rPr/>
        <w:t>Leddin, C.M.,</w:t>
      </w:r>
      <w:r>
        <w:rPr>
          <w:spacing w:val="-7"/>
        </w:rPr>
        <w:t> </w:t>
      </w:r>
      <w:r>
        <w:rPr/>
        <w:t>y</w:t>
      </w:r>
      <w:r>
        <w:rPr>
          <w:spacing w:val="-15"/>
        </w:rPr>
        <w:t> </w:t>
      </w:r>
      <w:r>
        <w:rPr/>
        <w:t>Wales,</w:t>
      </w:r>
      <w:r>
        <w:rPr>
          <w:spacing w:val="-10"/>
        </w:rPr>
        <w:t> </w:t>
      </w:r>
      <w:r>
        <w:rPr/>
        <w:t>W.J.</w:t>
      </w:r>
      <w:r>
        <w:rPr>
          <w:spacing w:val="-10"/>
        </w:rPr>
        <w:t> </w:t>
      </w:r>
      <w:r>
        <w:rPr/>
        <w:t>2012.</w:t>
      </w:r>
      <w:r>
        <w:rPr>
          <w:spacing w:val="-10"/>
        </w:rPr>
        <w:t> </w:t>
      </w:r>
      <w:r>
        <w:rPr/>
        <w:t>Dairy</w:t>
      </w:r>
      <w:r>
        <w:rPr>
          <w:spacing w:val="-15"/>
        </w:rPr>
        <w:t> </w:t>
      </w:r>
      <w:r>
        <w:rPr/>
        <w:t>directions:</w:t>
      </w:r>
      <w:r>
        <w:rPr>
          <w:spacing w:val="-10"/>
        </w:rPr>
        <w:t> </w:t>
      </w:r>
      <w:r>
        <w:rPr/>
        <w:t>A</w:t>
      </w:r>
      <w:r>
        <w:rPr>
          <w:spacing w:val="-11"/>
        </w:rPr>
        <w:t> </w:t>
      </w:r>
      <w:r>
        <w:rPr/>
        <w:t>decade</w:t>
      </w:r>
      <w:r>
        <w:rPr>
          <w:spacing w:val="-11"/>
        </w:rPr>
        <w:t> </w:t>
      </w:r>
      <w:r>
        <w:rPr/>
        <w:t>of</w:t>
      </w:r>
      <w:r>
        <w:rPr>
          <w:spacing w:val="-8"/>
        </w:rPr>
        <w:t> </w:t>
      </w:r>
      <w:r>
        <w:rPr/>
        <w:t>whole</w:t>
      </w:r>
      <w:r>
        <w:rPr>
          <w:spacing w:val="-11"/>
        </w:rPr>
        <w:t> </w:t>
      </w:r>
      <w:r>
        <w:rPr/>
        <w:t>farm</w:t>
      </w:r>
      <w:r>
        <w:rPr>
          <w:spacing w:val="-10"/>
        </w:rPr>
        <w:t> </w:t>
      </w:r>
      <w:r>
        <w:rPr/>
        <w:t>analysis</w:t>
      </w:r>
      <w:r>
        <w:rPr>
          <w:spacing w:val="-10"/>
        </w:rPr>
        <w:t> </w:t>
      </w:r>
      <w:r>
        <w:rPr/>
        <w:t>of</w:t>
      </w:r>
      <w:r>
        <w:rPr>
          <w:spacing w:val="-11"/>
        </w:rPr>
        <w:t> </w:t>
      </w:r>
      <w:r>
        <w:rPr/>
        <w:t>dairy systems. Australasian Agribusiness Review. 20,</w:t>
      </w:r>
      <w:r>
        <w:rPr>
          <w:spacing w:val="-5"/>
        </w:rPr>
        <w:t> </w:t>
      </w:r>
      <w:r>
        <w:rPr/>
        <w:t>38-58.</w:t>
      </w:r>
    </w:p>
    <w:p>
      <w:pPr>
        <w:pStyle w:val="BodyText"/>
        <w:spacing w:line="360" w:lineRule="auto" w:before="206"/>
        <w:ind w:left="810" w:right="117" w:hanging="708"/>
        <w:jc w:val="both"/>
      </w:pPr>
      <w:r>
        <w:rPr/>
        <w:t>Ndambi, O.A., Garcia, O., Balikowa, D., Kiconco, D., Hemme, T. y Latacz-Lohmann, U. 2008. Milk production systems in Central Uganda: a farm economic analysis. Tropical Animal Health and Production. 40, 269-279.</w:t>
      </w:r>
    </w:p>
    <w:p>
      <w:pPr>
        <w:pStyle w:val="BodyText"/>
        <w:spacing w:line="360" w:lineRule="auto" w:before="4"/>
        <w:ind w:left="810" w:right="120" w:hanging="708"/>
        <w:jc w:val="both"/>
      </w:pPr>
      <w:r>
        <w:rPr/>
        <w:t>Ndambi, O.A., y Hemme, T. 2009. An Economic Comparison of typical dairy farming systems in South Africa, Morocco, Uganda and Cameroon. Tropical Animal Health and Production. 41, 979-994.</w:t>
      </w:r>
    </w:p>
    <w:p>
      <w:pPr>
        <w:spacing w:after="0" w:line="360" w:lineRule="auto"/>
        <w:jc w:val="both"/>
        <w:sectPr>
          <w:pgSz w:w="12240" w:h="15840"/>
          <w:pgMar w:header="0" w:footer="657" w:top="1360" w:bottom="840" w:left="1600" w:right="1580"/>
        </w:sectPr>
      </w:pPr>
    </w:p>
    <w:p>
      <w:pPr>
        <w:pStyle w:val="BodyText"/>
        <w:spacing w:line="360" w:lineRule="auto" w:before="50"/>
        <w:ind w:left="810" w:right="120" w:hanging="708"/>
        <w:jc w:val="both"/>
      </w:pPr>
      <w:r>
        <w:rPr/>
        <w:t>Ochoa, R.F., Anderson, D.P., Outlaw, J.L., Richardson J.W., Knutson R.D., Schwart, R.B., Miller,</w:t>
      </w:r>
      <w:r>
        <w:rPr>
          <w:spacing w:val="-9"/>
        </w:rPr>
        <w:t> </w:t>
      </w:r>
      <w:r>
        <w:rPr/>
        <w:t>J.W.</w:t>
      </w:r>
      <w:r>
        <w:rPr>
          <w:spacing w:val="-9"/>
        </w:rPr>
        <w:t> </w:t>
      </w:r>
      <w:r>
        <w:rPr/>
        <w:t>1998.</w:t>
      </w:r>
      <w:r>
        <w:rPr>
          <w:spacing w:val="-7"/>
        </w:rPr>
        <w:t> </w:t>
      </w:r>
      <w:r>
        <w:rPr/>
        <w:t>Granjas</w:t>
      </w:r>
      <w:r>
        <w:rPr>
          <w:spacing w:val="-8"/>
        </w:rPr>
        <w:t> </w:t>
      </w:r>
      <w:r>
        <w:rPr/>
        <w:t>lecheras</w:t>
      </w:r>
      <w:r>
        <w:rPr>
          <w:spacing w:val="-7"/>
        </w:rPr>
        <w:t> </w:t>
      </w:r>
      <w:r>
        <w:rPr/>
        <w:t>representativas</w:t>
      </w:r>
      <w:r>
        <w:rPr>
          <w:spacing w:val="-7"/>
        </w:rPr>
        <w:t> </w:t>
      </w:r>
      <w:r>
        <w:rPr/>
        <w:t>en</w:t>
      </w:r>
      <w:r>
        <w:rPr>
          <w:spacing w:val="-9"/>
        </w:rPr>
        <w:t> </w:t>
      </w:r>
      <w:r>
        <w:rPr/>
        <w:t>México.</w:t>
      </w:r>
      <w:r>
        <w:rPr>
          <w:spacing w:val="-9"/>
        </w:rPr>
        <w:t> </w:t>
      </w:r>
      <w:r>
        <w:rPr/>
        <w:t>Panorama</w:t>
      </w:r>
      <w:r>
        <w:rPr>
          <w:spacing w:val="-7"/>
        </w:rPr>
        <w:t> </w:t>
      </w:r>
      <w:r>
        <w:rPr/>
        <w:t>económico 1998. Working Paper AFPC 98-10. November 1998. Department of Agricultural Economics. Texas Agricultural Experiment Station. Texas Agricultural Extension Service. Texas A&amp;M University. pp.</w:t>
      </w:r>
      <w:r>
        <w:rPr>
          <w:spacing w:val="-9"/>
        </w:rPr>
        <w:t> </w:t>
      </w:r>
      <w:r>
        <w:rPr/>
        <w:t>1-50.</w:t>
      </w:r>
    </w:p>
    <w:p>
      <w:pPr>
        <w:pStyle w:val="BodyText"/>
        <w:spacing w:line="360" w:lineRule="auto" w:before="6"/>
        <w:ind w:left="810" w:right="123" w:hanging="708"/>
        <w:jc w:val="both"/>
      </w:pPr>
      <w:r>
        <w:rPr/>
        <w:t>Outlaw, J.L., Ribera, L.A., Richardson, J.W., Da Silva, J., Bryant, H., y Klose, E. 2007. Economics of sugar-based ethanol production and related policy Issues. Journal of Agricultural and Applied Economics. 39, 357-363.</w:t>
      </w:r>
    </w:p>
    <w:p>
      <w:pPr>
        <w:pStyle w:val="BodyText"/>
        <w:tabs>
          <w:tab w:pos="3562" w:val="left" w:leader="none"/>
          <w:tab w:pos="5365" w:val="left" w:leader="none"/>
          <w:tab w:pos="8605" w:val="left" w:leader="none"/>
        </w:tabs>
        <w:spacing w:line="360" w:lineRule="auto" w:before="4"/>
        <w:ind w:left="810" w:right="118" w:hanging="708"/>
        <w:jc w:val="both"/>
      </w:pPr>
      <w:r>
        <w:rPr/>
        <w:pict>
          <v:line style="position:absolute;mso-position-horizontal-relative:page;mso-position-vertical-relative:paragraph;z-index:-457840" from="120.5pt,116.613106pt" to="124.46pt,116.613106pt" stroked="true" strokeweight=".599980pt" strokecolor="#000000">
            <w10:wrap type="none"/>
          </v:line>
        </w:pict>
      </w:r>
      <w:r>
        <w:rPr/>
        <w:t>Posadas, D.R.R., Salinas, M.J.A., Callejas, J.N., Álvarez, F.G., Herrera, H.J., Arriaga, J.C.M., Martínez, C.F.E. 2013. Análisis de costos y estrategias productivas en la lechería</w:t>
      </w:r>
      <w:r>
        <w:rPr>
          <w:spacing w:val="-3"/>
        </w:rPr>
        <w:t> </w:t>
      </w:r>
      <w:r>
        <w:rPr/>
        <w:t>de</w:t>
      </w:r>
      <w:r>
        <w:rPr>
          <w:spacing w:val="-5"/>
        </w:rPr>
        <w:t> </w:t>
      </w:r>
      <w:r>
        <w:rPr/>
        <w:t>pequeña</w:t>
      </w:r>
      <w:r>
        <w:rPr>
          <w:spacing w:val="-2"/>
        </w:rPr>
        <w:t> </w:t>
      </w:r>
      <w:r>
        <w:rPr/>
        <w:t>escala</w:t>
      </w:r>
      <w:r>
        <w:rPr>
          <w:spacing w:val="-5"/>
        </w:rPr>
        <w:t> </w:t>
      </w:r>
      <w:r>
        <w:rPr/>
        <w:t>en</w:t>
      </w:r>
      <w:r>
        <w:rPr>
          <w:spacing w:val="-4"/>
        </w:rPr>
        <w:t> </w:t>
      </w:r>
      <w:r>
        <w:rPr/>
        <w:t>el</w:t>
      </w:r>
      <w:r>
        <w:rPr>
          <w:spacing w:val="-3"/>
        </w:rPr>
        <w:t> </w:t>
      </w:r>
      <w:r>
        <w:rPr/>
        <w:t>periodo</w:t>
      </w:r>
      <w:r>
        <w:rPr>
          <w:spacing w:val="-4"/>
        </w:rPr>
        <w:t> </w:t>
      </w:r>
      <w:r>
        <w:rPr/>
        <w:t>2000-2012.</w:t>
      </w:r>
      <w:r>
        <w:rPr>
          <w:spacing w:val="-4"/>
        </w:rPr>
        <w:t> </w:t>
      </w:r>
      <w:r>
        <w:rPr/>
        <w:t>Artículo</w:t>
      </w:r>
      <w:r>
        <w:rPr>
          <w:spacing w:val="-3"/>
        </w:rPr>
        <w:t> </w:t>
      </w:r>
      <w:r>
        <w:rPr/>
        <w:t>en</w:t>
      </w:r>
      <w:r>
        <w:rPr>
          <w:spacing w:val="-4"/>
        </w:rPr>
        <w:t> </w:t>
      </w:r>
      <w:r>
        <w:rPr/>
        <w:t>prensa</w:t>
      </w:r>
      <w:r>
        <w:rPr>
          <w:spacing w:val="-2"/>
        </w:rPr>
        <w:t> </w:t>
      </w:r>
      <w:r>
        <w:rPr/>
        <w:t>en</w:t>
      </w:r>
      <w:r>
        <w:rPr>
          <w:spacing w:val="-4"/>
        </w:rPr>
        <w:t> </w:t>
      </w:r>
      <w:r>
        <w:rPr/>
        <w:t>la</w:t>
      </w:r>
      <w:r>
        <w:rPr>
          <w:spacing w:val="-4"/>
        </w:rPr>
        <w:t> </w:t>
      </w:r>
      <w:r>
        <w:rPr/>
        <w:t>Revista Contaduría</w:t>
        <w:tab/>
        <w:t>y</w:t>
        <w:tab/>
        <w:t>Administración.</w:t>
        <w:tab/>
        <w:t>En: </w:t>
      </w:r>
      <w:hyperlink r:id="rId147">
        <w:r>
          <w:rPr>
            <w:u w:val="single"/>
          </w:rPr>
          <w:t>http://www.contaduriayadministracionunam.com.mx/userFiles/app/pp_11012013.pd</w:t>
        </w:r>
      </w:hyperlink>
      <w:r>
        <w:rPr>
          <w:u w:val="single"/>
        </w:rPr>
        <w:t> </w:t>
      </w:r>
      <w:hyperlink r:id="rId147">
        <w:r>
          <w:rPr/>
          <w:t>f,</w:t>
        </w:r>
      </w:hyperlink>
      <w:r>
        <w:rPr/>
        <w:t> consultada en mayo de</w:t>
      </w:r>
      <w:r>
        <w:rPr>
          <w:spacing w:val="-4"/>
        </w:rPr>
        <w:t> </w:t>
      </w:r>
      <w:r>
        <w:rPr/>
        <w:t>2103.</w:t>
      </w:r>
    </w:p>
    <w:p>
      <w:pPr>
        <w:pStyle w:val="BodyText"/>
        <w:spacing w:line="360" w:lineRule="auto" w:before="4"/>
        <w:ind w:left="810" w:right="122" w:hanging="708"/>
        <w:jc w:val="both"/>
      </w:pPr>
      <w:r>
        <w:rPr/>
        <w:t>Ramírez, V.E.P., y Foster, W. 2003. Análisis de la oferta de mano de obra familiar en la agricultura campesina de chile. Cuad. Econ, 40, 89-110.</w:t>
      </w:r>
    </w:p>
    <w:p>
      <w:pPr>
        <w:pStyle w:val="BodyText"/>
        <w:tabs>
          <w:tab w:pos="2590" w:val="left" w:leader="none"/>
          <w:tab w:pos="3758" w:val="left" w:leader="none"/>
          <w:tab w:pos="6113" w:val="left" w:leader="none"/>
          <w:tab w:pos="7200" w:val="left" w:leader="none"/>
          <w:tab w:pos="8604" w:val="left" w:leader="none"/>
        </w:tabs>
        <w:spacing w:line="360" w:lineRule="auto" w:before="4"/>
        <w:ind w:left="810" w:right="117" w:hanging="708"/>
        <w:jc w:val="both"/>
      </w:pPr>
      <w:r>
        <w:rPr/>
        <w:t>Red Mexicana de Investigación en Política Agropecuaria (AGROPROSPECTA). 2009. Unidades representativas de producción, panorama económico 2007-2017. Resumen Ejecutivo</w:t>
        <w:tab/>
        <w:t>RE</w:t>
        <w:tab/>
        <w:t>2009-01febrero</w:t>
        <w:tab/>
        <w:t>de</w:t>
        <w:tab/>
        <w:t>2009.</w:t>
        <w:tab/>
        <w:t>En: </w:t>
      </w:r>
      <w:hyperlink r:id="rId148">
        <w:r>
          <w:rPr>
            <w:u w:val="single"/>
          </w:rPr>
          <w:t>http://www.sagarpa.gob.mx/agronegocios/Documents/INFORME%20FINAL%20U</w:t>
        </w:r>
      </w:hyperlink>
      <w:r>
        <w:rPr>
          <w:u w:val="single"/>
        </w:rPr>
        <w:t> </w:t>
      </w:r>
      <w:r>
        <w:rPr>
          <w:u w:val="single"/>
        </w:rPr>
        <w:t>RP.pdf, </w:t>
      </w:r>
      <w:r>
        <w:rPr/>
        <w:t>consultada noviembre</w:t>
      </w:r>
      <w:r>
        <w:rPr>
          <w:spacing w:val="-7"/>
        </w:rPr>
        <w:t> </w:t>
      </w:r>
      <w:r>
        <w:rPr/>
        <w:t>2012.</w:t>
      </w:r>
    </w:p>
    <w:p>
      <w:pPr>
        <w:pStyle w:val="BodyText"/>
        <w:spacing w:line="360" w:lineRule="auto" w:before="6"/>
        <w:ind w:left="810" w:right="123" w:hanging="708"/>
        <w:jc w:val="both"/>
      </w:pPr>
      <w:r>
        <w:rPr/>
        <w:t>Reicher,</w:t>
      </w:r>
      <w:r>
        <w:rPr>
          <w:spacing w:val="-15"/>
        </w:rPr>
        <w:t> </w:t>
      </w:r>
      <w:r>
        <w:rPr/>
        <w:t>R.K.,</w:t>
      </w:r>
      <w:r>
        <w:rPr>
          <w:spacing w:val="-15"/>
        </w:rPr>
        <w:t> </w:t>
      </w:r>
      <w:r>
        <w:rPr/>
        <w:t>Conner</w:t>
      </w:r>
      <w:r>
        <w:rPr>
          <w:spacing w:val="-15"/>
        </w:rPr>
        <w:t> </w:t>
      </w:r>
      <w:r>
        <w:rPr/>
        <w:t>J.R.,</w:t>
      </w:r>
      <w:r>
        <w:rPr>
          <w:spacing w:val="-12"/>
        </w:rPr>
        <w:t> </w:t>
      </w:r>
      <w:r>
        <w:rPr/>
        <w:t>y</w:t>
      </w:r>
      <w:r>
        <w:rPr>
          <w:spacing w:val="-17"/>
        </w:rPr>
        <w:t> </w:t>
      </w:r>
      <w:r>
        <w:rPr/>
        <w:t>Heitschmidt,</w:t>
      </w:r>
      <w:r>
        <w:rPr>
          <w:spacing w:val="-14"/>
        </w:rPr>
        <w:t> </w:t>
      </w:r>
      <w:r>
        <w:rPr/>
        <w:t>R.K.</w:t>
      </w:r>
      <w:r>
        <w:rPr>
          <w:spacing w:val="-15"/>
        </w:rPr>
        <w:t> </w:t>
      </w:r>
      <w:r>
        <w:rPr/>
        <w:t>1989.</w:t>
      </w:r>
      <w:r>
        <w:rPr>
          <w:spacing w:val="-14"/>
        </w:rPr>
        <w:t> </w:t>
      </w:r>
      <w:r>
        <w:rPr/>
        <w:t>Economic</w:t>
      </w:r>
      <w:r>
        <w:rPr>
          <w:spacing w:val="-15"/>
        </w:rPr>
        <w:t> </w:t>
      </w:r>
      <w:r>
        <w:rPr/>
        <w:t>consequences</w:t>
      </w:r>
      <w:r>
        <w:rPr>
          <w:spacing w:val="-14"/>
        </w:rPr>
        <w:t> </w:t>
      </w:r>
      <w:r>
        <w:rPr/>
        <w:t>of</w:t>
      </w:r>
      <w:r>
        <w:rPr>
          <w:spacing w:val="-15"/>
        </w:rPr>
        <w:t> </w:t>
      </w:r>
      <w:r>
        <w:rPr/>
        <w:t>alternative stocking rate adjustment tactics: a simulation approach. Journal of range management.</w:t>
      </w:r>
      <w:r>
        <w:rPr>
          <w:spacing w:val="-4"/>
        </w:rPr>
        <w:t> </w:t>
      </w:r>
      <w:r>
        <w:rPr/>
        <w:t>42,165-171.</w:t>
      </w:r>
    </w:p>
    <w:p>
      <w:pPr>
        <w:pStyle w:val="BodyText"/>
        <w:spacing w:line="360" w:lineRule="auto" w:before="4"/>
        <w:ind w:left="810" w:right="122" w:hanging="708"/>
        <w:jc w:val="both"/>
      </w:pPr>
      <w:r>
        <w:rPr/>
        <w:t>Richardson,</w:t>
      </w:r>
      <w:r>
        <w:rPr>
          <w:spacing w:val="-12"/>
        </w:rPr>
        <w:t> </w:t>
      </w:r>
      <w:r>
        <w:rPr/>
        <w:t>J.W.</w:t>
      </w:r>
      <w:r>
        <w:rPr>
          <w:spacing w:val="-11"/>
        </w:rPr>
        <w:t> </w:t>
      </w:r>
      <w:r>
        <w:rPr/>
        <w:t>2006.</w:t>
      </w:r>
      <w:r>
        <w:rPr>
          <w:spacing w:val="-11"/>
        </w:rPr>
        <w:t> </w:t>
      </w:r>
      <w:r>
        <w:rPr/>
        <w:t>Simulation</w:t>
      </w:r>
      <w:r>
        <w:rPr>
          <w:spacing w:val="-10"/>
        </w:rPr>
        <w:t> </w:t>
      </w:r>
      <w:r>
        <w:rPr/>
        <w:t>for</w:t>
      </w:r>
      <w:r>
        <w:rPr>
          <w:spacing w:val="-13"/>
        </w:rPr>
        <w:t> </w:t>
      </w:r>
      <w:r>
        <w:rPr/>
        <w:t>applied</w:t>
      </w:r>
      <w:r>
        <w:rPr>
          <w:spacing w:val="-9"/>
        </w:rPr>
        <w:t> </w:t>
      </w:r>
      <w:r>
        <w:rPr/>
        <w:t>risk</w:t>
      </w:r>
      <w:r>
        <w:rPr>
          <w:spacing w:val="-11"/>
        </w:rPr>
        <w:t> </w:t>
      </w:r>
      <w:r>
        <w:rPr/>
        <w:t>management.</w:t>
      </w:r>
      <w:r>
        <w:rPr>
          <w:spacing w:val="-11"/>
        </w:rPr>
        <w:t> </w:t>
      </w:r>
      <w:r>
        <w:rPr/>
        <w:t>Department</w:t>
      </w:r>
      <w:r>
        <w:rPr>
          <w:spacing w:val="-11"/>
        </w:rPr>
        <w:t> </w:t>
      </w:r>
      <w:r>
        <w:rPr/>
        <w:t>of</w:t>
      </w:r>
      <w:r>
        <w:rPr>
          <w:spacing w:val="-12"/>
        </w:rPr>
        <w:t> </w:t>
      </w:r>
      <w:r>
        <w:rPr/>
        <w:t>Agricultural Economics, Agricultural and Food Policy Center, Texas A&amp;M University, College Station,</w:t>
      </w:r>
      <w:r>
        <w:rPr>
          <w:spacing w:val="-3"/>
        </w:rPr>
        <w:t> </w:t>
      </w:r>
      <w:r>
        <w:rPr/>
        <w:t>Texas.</w:t>
      </w:r>
    </w:p>
    <w:p>
      <w:pPr>
        <w:pStyle w:val="BodyText"/>
        <w:spacing w:line="360" w:lineRule="auto" w:before="6"/>
        <w:ind w:left="810" w:right="121" w:hanging="708"/>
        <w:jc w:val="both"/>
      </w:pPr>
      <w:r>
        <w:rPr/>
        <w:t>Richardson, J.W., Herbst, B.K., Outlaw, J.L., y Gill, R.C. II. 2007a. Including risk in economic feasibility analysis: The case of ethanol production in Texas. Journal of Agribusiness. 25, 115-132.</w:t>
      </w:r>
    </w:p>
    <w:p>
      <w:pPr>
        <w:spacing w:after="0" w:line="360" w:lineRule="auto"/>
        <w:jc w:val="both"/>
        <w:sectPr>
          <w:pgSz w:w="12240" w:h="15840"/>
          <w:pgMar w:header="0" w:footer="657" w:top="1360" w:bottom="840" w:left="1600" w:right="1580"/>
        </w:sectPr>
      </w:pPr>
    </w:p>
    <w:p>
      <w:pPr>
        <w:pStyle w:val="BodyText"/>
        <w:spacing w:line="360" w:lineRule="auto" w:before="50"/>
        <w:ind w:left="810" w:right="119" w:hanging="708"/>
        <w:jc w:val="both"/>
      </w:pPr>
      <w:r>
        <w:rPr/>
        <w:t>Richardson,</w:t>
      </w:r>
      <w:r>
        <w:rPr>
          <w:spacing w:val="-9"/>
        </w:rPr>
        <w:t> </w:t>
      </w:r>
      <w:r>
        <w:rPr/>
        <w:t>J.W.,</w:t>
      </w:r>
      <w:r>
        <w:rPr>
          <w:spacing w:val="-9"/>
        </w:rPr>
        <w:t> </w:t>
      </w:r>
      <w:r>
        <w:rPr/>
        <w:t>Klose,</w:t>
      </w:r>
      <w:r>
        <w:rPr>
          <w:spacing w:val="-9"/>
        </w:rPr>
        <w:t> </w:t>
      </w:r>
      <w:r>
        <w:rPr/>
        <w:t>S.L.,</w:t>
      </w:r>
      <w:r>
        <w:rPr>
          <w:spacing w:val="-4"/>
        </w:rPr>
        <w:t> </w:t>
      </w:r>
      <w:r>
        <w:rPr/>
        <w:t>y</w:t>
      </w:r>
      <w:r>
        <w:rPr>
          <w:spacing w:val="-13"/>
        </w:rPr>
        <w:t> </w:t>
      </w:r>
      <w:r>
        <w:rPr/>
        <w:t>Gray,</w:t>
      </w:r>
      <w:r>
        <w:rPr>
          <w:spacing w:val="-6"/>
        </w:rPr>
        <w:t> </w:t>
      </w:r>
      <w:r>
        <w:rPr/>
        <w:t>A.W.</w:t>
      </w:r>
      <w:r>
        <w:rPr>
          <w:spacing w:val="-9"/>
        </w:rPr>
        <w:t> </w:t>
      </w:r>
      <w:r>
        <w:rPr/>
        <w:t>2000.</w:t>
      </w:r>
      <w:r>
        <w:rPr>
          <w:spacing w:val="-9"/>
        </w:rPr>
        <w:t> </w:t>
      </w:r>
      <w:r>
        <w:rPr/>
        <w:t>“An</w:t>
      </w:r>
      <w:r>
        <w:rPr>
          <w:spacing w:val="-9"/>
        </w:rPr>
        <w:t> </w:t>
      </w:r>
      <w:r>
        <w:rPr/>
        <w:t>applied</w:t>
      </w:r>
      <w:r>
        <w:rPr>
          <w:spacing w:val="-9"/>
        </w:rPr>
        <w:t> </w:t>
      </w:r>
      <w:r>
        <w:rPr/>
        <w:t>procedure</w:t>
      </w:r>
      <w:r>
        <w:rPr>
          <w:spacing w:val="-8"/>
        </w:rPr>
        <w:t> </w:t>
      </w:r>
      <w:r>
        <w:rPr/>
        <w:t>for</w:t>
      </w:r>
      <w:r>
        <w:rPr>
          <w:spacing w:val="-9"/>
        </w:rPr>
        <w:t> </w:t>
      </w:r>
      <w:r>
        <w:rPr/>
        <w:t>estimating</w:t>
      </w:r>
      <w:r>
        <w:rPr>
          <w:spacing w:val="-8"/>
        </w:rPr>
        <w:t> </w:t>
      </w:r>
      <w:r>
        <w:rPr/>
        <w:t>and simulating multivariate empirical (MVE) probability distributions in farm-level risk assessment</w:t>
      </w:r>
      <w:r>
        <w:rPr>
          <w:spacing w:val="-6"/>
        </w:rPr>
        <w:t> </w:t>
      </w:r>
      <w:r>
        <w:rPr/>
        <w:t>and</w:t>
      </w:r>
      <w:r>
        <w:rPr>
          <w:spacing w:val="-6"/>
        </w:rPr>
        <w:t> </w:t>
      </w:r>
      <w:r>
        <w:rPr/>
        <w:t>policy</w:t>
      </w:r>
      <w:r>
        <w:rPr>
          <w:spacing w:val="-11"/>
        </w:rPr>
        <w:t> </w:t>
      </w:r>
      <w:r>
        <w:rPr/>
        <w:t>analysis.”</w:t>
      </w:r>
      <w:r>
        <w:rPr>
          <w:spacing w:val="-7"/>
        </w:rPr>
        <w:t> </w:t>
      </w:r>
      <w:r>
        <w:rPr/>
        <w:t>Journal</w:t>
      </w:r>
      <w:r>
        <w:rPr>
          <w:spacing w:val="-6"/>
        </w:rPr>
        <w:t> </w:t>
      </w:r>
      <w:r>
        <w:rPr/>
        <w:t>of</w:t>
      </w:r>
      <w:r>
        <w:rPr>
          <w:spacing w:val="-7"/>
        </w:rPr>
        <w:t> </w:t>
      </w:r>
      <w:r>
        <w:rPr/>
        <w:t>Agricultural</w:t>
      </w:r>
      <w:r>
        <w:rPr>
          <w:spacing w:val="-6"/>
        </w:rPr>
        <w:t> </w:t>
      </w:r>
      <w:r>
        <w:rPr/>
        <w:t>and</w:t>
      </w:r>
      <w:r>
        <w:rPr>
          <w:spacing w:val="-6"/>
        </w:rPr>
        <w:t> </w:t>
      </w:r>
      <w:r>
        <w:rPr/>
        <w:t>Applied</w:t>
      </w:r>
      <w:r>
        <w:rPr>
          <w:spacing w:val="-7"/>
        </w:rPr>
        <w:t> </w:t>
      </w:r>
      <w:r>
        <w:rPr/>
        <w:t>Economics.</w:t>
      </w:r>
      <w:r>
        <w:rPr>
          <w:spacing w:val="-6"/>
        </w:rPr>
        <w:t> </w:t>
      </w:r>
      <w:r>
        <w:rPr/>
        <w:t>32, 299-315.</w:t>
      </w:r>
    </w:p>
    <w:p>
      <w:pPr>
        <w:pStyle w:val="BodyText"/>
        <w:spacing w:line="360" w:lineRule="auto" w:before="205"/>
        <w:ind w:left="810" w:right="120" w:hanging="708"/>
        <w:jc w:val="both"/>
      </w:pPr>
      <w:r>
        <w:rPr/>
        <w:t>Richardson, J.W., Lemmer, W.J., y Outlaw, J.L. 2007b. Bio-ethanol production from wheat in</w:t>
      </w:r>
      <w:r>
        <w:rPr>
          <w:spacing w:val="-15"/>
        </w:rPr>
        <w:t> </w:t>
      </w:r>
      <w:r>
        <w:rPr/>
        <w:t>the</w:t>
      </w:r>
      <w:r>
        <w:rPr>
          <w:spacing w:val="-16"/>
        </w:rPr>
        <w:t> </w:t>
      </w:r>
      <w:r>
        <w:rPr/>
        <w:t>winter</w:t>
      </w:r>
      <w:r>
        <w:rPr>
          <w:spacing w:val="-17"/>
        </w:rPr>
        <w:t> </w:t>
      </w:r>
      <w:r>
        <w:rPr/>
        <w:t>rainfall</w:t>
      </w:r>
      <w:r>
        <w:rPr>
          <w:spacing w:val="-15"/>
        </w:rPr>
        <w:t> </w:t>
      </w:r>
      <w:r>
        <w:rPr/>
        <w:t>region</w:t>
      </w:r>
      <w:r>
        <w:rPr>
          <w:spacing w:val="-15"/>
        </w:rPr>
        <w:t> </w:t>
      </w:r>
      <w:r>
        <w:rPr/>
        <w:t>of</w:t>
      </w:r>
      <w:r>
        <w:rPr>
          <w:spacing w:val="-16"/>
        </w:rPr>
        <w:t> </w:t>
      </w:r>
      <w:r>
        <w:rPr/>
        <w:t>South</w:t>
      </w:r>
      <w:r>
        <w:rPr>
          <w:spacing w:val="-15"/>
        </w:rPr>
        <w:t> </w:t>
      </w:r>
      <w:r>
        <w:rPr/>
        <w:t>Africa:</w:t>
      </w:r>
      <w:r>
        <w:rPr>
          <w:spacing w:val="-15"/>
        </w:rPr>
        <w:t> </w:t>
      </w:r>
      <w:r>
        <w:rPr/>
        <w:t>A</w:t>
      </w:r>
      <w:r>
        <w:rPr>
          <w:spacing w:val="-16"/>
        </w:rPr>
        <w:t> </w:t>
      </w:r>
      <w:r>
        <w:rPr/>
        <w:t>quantitative</w:t>
      </w:r>
      <w:r>
        <w:rPr>
          <w:spacing w:val="-16"/>
        </w:rPr>
        <w:t> </w:t>
      </w:r>
      <w:r>
        <w:rPr/>
        <w:t>risk</w:t>
      </w:r>
      <w:r>
        <w:rPr>
          <w:spacing w:val="-15"/>
        </w:rPr>
        <w:t> </w:t>
      </w:r>
      <w:r>
        <w:rPr/>
        <w:t>analysis.</w:t>
      </w:r>
      <w:r>
        <w:rPr>
          <w:spacing w:val="-13"/>
        </w:rPr>
        <w:t> </w:t>
      </w:r>
      <w:r>
        <w:rPr/>
        <w:t>International Food and Agribusiness Management Review. 10,</w:t>
      </w:r>
      <w:r>
        <w:rPr>
          <w:spacing w:val="-5"/>
        </w:rPr>
        <w:t> </w:t>
      </w:r>
      <w:r>
        <w:rPr/>
        <w:t>181-204.</w:t>
      </w:r>
    </w:p>
    <w:p>
      <w:pPr>
        <w:pStyle w:val="BodyText"/>
        <w:spacing w:line="360" w:lineRule="auto" w:before="4"/>
        <w:ind w:left="810" w:right="118" w:hanging="708"/>
        <w:jc w:val="both"/>
      </w:pPr>
      <w:r>
        <w:rPr/>
        <w:t>Richardson, J.W., Schumann, K., y Feldman, P. 2005. “Simetar: Simulation for Excel to Analyze Risk.” Department of Agricultural Economics, Texas A&amp;M University, College Station, Texas, January 2005.</w:t>
      </w:r>
    </w:p>
    <w:p>
      <w:pPr>
        <w:pStyle w:val="BodyText"/>
        <w:spacing w:line="360" w:lineRule="auto" w:before="6"/>
        <w:ind w:left="810" w:right="120" w:hanging="708"/>
        <w:jc w:val="both"/>
      </w:pPr>
      <w:r>
        <w:rPr/>
        <w:t>Richardson, J.W., y Mapp, Jr. H.P. 1976. “Use of probabilistic cash flows in analyzing investments under conditions of risk and uncertainty.” Southern Journal of Agricultural Economics. 8, 19-24.</w:t>
      </w:r>
    </w:p>
    <w:p>
      <w:pPr>
        <w:pStyle w:val="BodyText"/>
        <w:spacing w:line="360" w:lineRule="auto" w:before="4"/>
        <w:ind w:left="810" w:right="120" w:hanging="708"/>
        <w:jc w:val="both"/>
      </w:pPr>
      <w:r>
        <w:rPr/>
        <w:t>Richardson, J.W., y Nixon, C.J. 1982. Producer's pRFEerence for a cotton farmer owned reserve: An application of simulation and stochastic dominance. Southern Journal of Agricultural Economics. 14, 71-76.</w:t>
      </w:r>
    </w:p>
    <w:p>
      <w:pPr>
        <w:pStyle w:val="BodyText"/>
        <w:tabs>
          <w:tab w:pos="8605" w:val="left" w:leader="none"/>
        </w:tabs>
        <w:spacing w:line="360" w:lineRule="auto" w:before="6"/>
        <w:ind w:left="810" w:right="119" w:hanging="708"/>
        <w:jc w:val="both"/>
      </w:pPr>
      <w:r>
        <w:rPr/>
        <w:t>Sistema de Información Agroalimentaria y Pesquera (SIAP). 2012. Base de datos estadísticos.</w:t>
        <w:tab/>
        <w:t>En:</w:t>
      </w:r>
    </w:p>
    <w:p>
      <w:pPr>
        <w:pStyle w:val="BodyText"/>
        <w:spacing w:line="360" w:lineRule="auto" w:before="4"/>
        <w:ind w:left="810"/>
      </w:pPr>
      <w:hyperlink r:id="rId150">
        <w:r>
          <w:rPr>
            <w:u w:val="single"/>
          </w:rPr>
          <w:t>http://www.siap.gob.mx/index.php?option=com_wrapper&amp;view=wrapper&amp;Itemid=</w:t>
        </w:r>
      </w:hyperlink>
      <w:r>
        <w:rPr>
          <w:u w:val="single"/>
        </w:rPr>
        <w:t> </w:t>
      </w:r>
      <w:hyperlink r:id="rId150">
        <w:r>
          <w:rPr>
            <w:u w:val="single"/>
          </w:rPr>
          <w:t>372</w:t>
        </w:r>
      </w:hyperlink>
      <w:r>
        <w:rPr/>
        <w:t>, consultada en diciembre de 2012.</w:t>
      </w:r>
    </w:p>
    <w:p>
      <w:pPr>
        <w:pStyle w:val="BodyText"/>
        <w:spacing w:line="360" w:lineRule="auto" w:before="4"/>
        <w:ind w:left="810" w:right="118" w:hanging="708"/>
        <w:jc w:val="both"/>
      </w:pPr>
      <w:r>
        <w:rPr/>
        <w:t>Somda,</w:t>
      </w:r>
      <w:r>
        <w:rPr>
          <w:spacing w:val="-11"/>
        </w:rPr>
        <w:t> </w:t>
      </w:r>
      <w:r>
        <w:rPr/>
        <w:t>J.,</w:t>
      </w:r>
      <w:r>
        <w:rPr>
          <w:spacing w:val="-9"/>
        </w:rPr>
        <w:t> </w:t>
      </w:r>
      <w:r>
        <w:rPr/>
        <w:t>Kamuanga,</w:t>
      </w:r>
      <w:r>
        <w:rPr>
          <w:spacing w:val="-9"/>
        </w:rPr>
        <w:t> </w:t>
      </w:r>
      <w:r>
        <w:rPr/>
        <w:t>M.,</w:t>
      </w:r>
      <w:r>
        <w:rPr>
          <w:spacing w:val="-6"/>
        </w:rPr>
        <w:t> </w:t>
      </w:r>
      <w:r>
        <w:rPr/>
        <w:t>y</w:t>
      </w:r>
      <w:r>
        <w:rPr>
          <w:spacing w:val="-16"/>
        </w:rPr>
        <w:t> </w:t>
      </w:r>
      <w:r>
        <w:rPr/>
        <w:t>Tollens,</w:t>
      </w:r>
      <w:r>
        <w:rPr>
          <w:spacing w:val="-9"/>
        </w:rPr>
        <w:t> </w:t>
      </w:r>
      <w:r>
        <w:rPr/>
        <w:t>E.</w:t>
      </w:r>
      <w:r>
        <w:rPr>
          <w:spacing w:val="-9"/>
        </w:rPr>
        <w:t> </w:t>
      </w:r>
      <w:r>
        <w:rPr/>
        <w:t>2005.</w:t>
      </w:r>
      <w:r>
        <w:rPr>
          <w:spacing w:val="-7"/>
        </w:rPr>
        <w:t> </w:t>
      </w:r>
      <w:r>
        <w:rPr/>
        <w:t>Characteristics</w:t>
      </w:r>
      <w:r>
        <w:rPr>
          <w:spacing w:val="-8"/>
        </w:rPr>
        <w:t> </w:t>
      </w:r>
      <w:r>
        <w:rPr/>
        <w:t>and</w:t>
      </w:r>
      <w:r>
        <w:rPr>
          <w:spacing w:val="-9"/>
        </w:rPr>
        <w:t> </w:t>
      </w:r>
      <w:r>
        <w:rPr/>
        <w:t>economic</w:t>
      </w:r>
      <w:r>
        <w:rPr>
          <w:spacing w:val="-10"/>
        </w:rPr>
        <w:t> </w:t>
      </w:r>
      <w:r>
        <w:rPr/>
        <w:t>viability</w:t>
      </w:r>
      <w:r>
        <w:rPr>
          <w:spacing w:val="-16"/>
        </w:rPr>
        <w:t> </w:t>
      </w:r>
      <w:r>
        <w:rPr/>
        <w:t>of</w:t>
      </w:r>
      <w:r>
        <w:rPr>
          <w:spacing w:val="-9"/>
        </w:rPr>
        <w:t> </w:t>
      </w:r>
      <w:r>
        <w:rPr/>
        <w:t>milk production in the smallholder farming systems in The Gambia. Agric Syst Hol. 85, 42–58.</w:t>
      </w:r>
    </w:p>
    <w:p>
      <w:pPr>
        <w:pStyle w:val="BodyText"/>
        <w:tabs>
          <w:tab w:pos="3022" w:val="left" w:leader="none"/>
          <w:tab w:pos="4973" w:val="left" w:leader="none"/>
          <w:tab w:pos="6692" w:val="left" w:leader="none"/>
          <w:tab w:pos="8608" w:val="left" w:leader="none"/>
        </w:tabs>
        <w:spacing w:line="360" w:lineRule="auto" w:before="6"/>
        <w:ind w:left="810" w:right="115" w:hanging="708"/>
        <w:jc w:val="both"/>
      </w:pPr>
      <w:r>
        <w:rPr/>
        <w:t>Staal, S.J., Pratt, A.N. y Jabbar, M. 2008. Dairy development for the resource poor. Part-1: A</w:t>
      </w:r>
      <w:r>
        <w:rPr>
          <w:spacing w:val="-12"/>
        </w:rPr>
        <w:t> </w:t>
      </w:r>
      <w:r>
        <w:rPr/>
        <w:t>comparison</w:t>
      </w:r>
      <w:r>
        <w:rPr>
          <w:spacing w:val="-10"/>
        </w:rPr>
        <w:t> </w:t>
      </w:r>
      <w:r>
        <w:rPr/>
        <w:t>of</w:t>
      </w:r>
      <w:r>
        <w:rPr>
          <w:spacing w:val="-12"/>
        </w:rPr>
        <w:t> </w:t>
      </w:r>
      <w:r>
        <w:rPr/>
        <w:t>dairy</w:t>
      </w:r>
      <w:r>
        <w:rPr>
          <w:spacing w:val="-18"/>
        </w:rPr>
        <w:t> </w:t>
      </w:r>
      <w:r>
        <w:rPr/>
        <w:t>policies</w:t>
      </w:r>
      <w:r>
        <w:rPr>
          <w:spacing w:val="-11"/>
        </w:rPr>
        <w:t> </w:t>
      </w:r>
      <w:r>
        <w:rPr/>
        <w:t>and</w:t>
      </w:r>
      <w:r>
        <w:rPr>
          <w:spacing w:val="-11"/>
        </w:rPr>
        <w:t> </w:t>
      </w:r>
      <w:r>
        <w:rPr/>
        <w:t>development</w:t>
      </w:r>
      <w:r>
        <w:rPr>
          <w:spacing w:val="-11"/>
        </w:rPr>
        <w:t> </w:t>
      </w:r>
      <w:r>
        <w:rPr/>
        <w:t>in</w:t>
      </w:r>
      <w:r>
        <w:rPr>
          <w:spacing w:val="-11"/>
        </w:rPr>
        <w:t> </w:t>
      </w:r>
      <w:r>
        <w:rPr/>
        <w:t>south</w:t>
      </w:r>
      <w:r>
        <w:rPr>
          <w:spacing w:val="-11"/>
        </w:rPr>
        <w:t> </w:t>
      </w:r>
      <w:r>
        <w:rPr/>
        <w:t>Asia</w:t>
      </w:r>
      <w:r>
        <w:rPr>
          <w:spacing w:val="-12"/>
        </w:rPr>
        <w:t> </w:t>
      </w:r>
      <w:r>
        <w:rPr/>
        <w:t>and</w:t>
      </w:r>
      <w:r>
        <w:rPr>
          <w:spacing w:val="-11"/>
        </w:rPr>
        <w:t> </w:t>
      </w:r>
      <w:r>
        <w:rPr/>
        <w:t>east</w:t>
      </w:r>
      <w:r>
        <w:rPr>
          <w:spacing w:val="-10"/>
        </w:rPr>
        <w:t> </w:t>
      </w:r>
      <w:r>
        <w:rPr/>
        <w:t>Africa.</w:t>
      </w:r>
      <w:r>
        <w:rPr>
          <w:spacing w:val="-9"/>
        </w:rPr>
        <w:t> </w:t>
      </w:r>
      <w:r>
        <w:rPr/>
        <w:t>PPLPI working</w:t>
        <w:tab/>
        <w:t>paper</w:t>
        <w:tab/>
        <w:t>no.</w:t>
        <w:tab/>
        <w:t>44-1.</w:t>
        <w:tab/>
        <w:t>En: </w:t>
      </w:r>
      <w:hyperlink r:id="rId151">
        <w:r>
          <w:rPr>
            <w:u w:val="single"/>
          </w:rPr>
          <w:t>http://www.fao.org/ag/againfo/programmes/en/pplpi/docarc/wp44_1.pdf</w:t>
        </w:r>
        <w:r>
          <w:rPr/>
          <w:t>,</w:t>
        </w:r>
      </w:hyperlink>
      <w:r>
        <w:rPr/>
        <w:t> consultada en mayo de</w:t>
      </w:r>
      <w:r>
        <w:rPr>
          <w:spacing w:val="-4"/>
        </w:rPr>
        <w:t> </w:t>
      </w:r>
      <w:r>
        <w:rPr/>
        <w:t>2013.</w:t>
      </w:r>
    </w:p>
    <w:p>
      <w:pPr>
        <w:pStyle w:val="BodyText"/>
        <w:spacing w:line="360" w:lineRule="auto" w:before="4"/>
        <w:ind w:left="810" w:right="118" w:hanging="708"/>
        <w:jc w:val="both"/>
      </w:pPr>
      <w:r>
        <w:rPr/>
        <w:t>Uddin, M.M., Sultana, M.N., Ndambi, O.A., Hemme, T. and Peters, K. J. 2010. A farm economic analysis in different dairy production systems in Bangladesh. Livestock Research for Rural Development. Volume 22, Article # 122.</w:t>
      </w:r>
    </w:p>
    <w:p>
      <w:pPr>
        <w:spacing w:after="0" w:line="360" w:lineRule="auto"/>
        <w:jc w:val="both"/>
        <w:sectPr>
          <w:footerReference w:type="default" r:id="rId149"/>
          <w:pgSz w:w="12240" w:h="15840"/>
          <w:pgMar w:footer="657" w:header="0" w:top="1360" w:bottom="840" w:left="1600" w:right="1580"/>
          <w:pgNumType w:start="160"/>
        </w:sectPr>
      </w:pPr>
    </w:p>
    <w:p>
      <w:pPr>
        <w:pStyle w:val="BodyText"/>
        <w:spacing w:line="360" w:lineRule="auto" w:before="50"/>
        <w:ind w:left="810" w:right="119" w:hanging="708"/>
        <w:jc w:val="both"/>
      </w:pPr>
      <w:r>
        <w:rPr/>
        <w:t>Vargas-Leitón, B., y Cuvas-Abrego., M. 2009. Modelos estocásticos para estimación de valores económicos de rasgos productivos y funcionales en bovinos lecheros. Agrociencia. 43, 881-893</w:t>
      </w:r>
    </w:p>
    <w:p>
      <w:pPr>
        <w:pStyle w:val="BodyText"/>
        <w:spacing w:line="360" w:lineRule="auto" w:before="6"/>
        <w:ind w:left="810" w:right="117" w:hanging="708"/>
        <w:jc w:val="both"/>
      </w:pPr>
      <w:r>
        <w:rPr/>
        <w:t>Wauters, E., De Coch, L., De Wit, J., Lauwers </w:t>
      </w:r>
      <w:r>
        <w:rPr>
          <w:spacing w:val="-3"/>
        </w:rPr>
        <w:t>L. </w:t>
      </w:r>
      <w:r>
        <w:rPr/>
        <w:t>2011. The foregone risk premium: a communicative and practical method for the evaluation of risk-return profiles in agriculture. Documento preparado para su presentación en el congreso</w:t>
      </w:r>
      <w:r>
        <w:rPr>
          <w:spacing w:val="-30"/>
        </w:rPr>
        <w:t> </w:t>
      </w:r>
      <w:r>
        <w:rPr/>
        <w:t>internacional; Change and Uncertainty Challenges for Agriculture, Food and Natural Resources. Celebrado en ETH Zurich, Zurich, Switzerland del 30 de Agosto al 2 de septiembre del</w:t>
      </w:r>
      <w:r>
        <w:rPr>
          <w:spacing w:val="-1"/>
        </w:rPr>
        <w:t> </w:t>
      </w:r>
      <w:r>
        <w:rPr/>
        <w:t>2011.</w:t>
      </w:r>
    </w:p>
    <w:p>
      <w:pPr>
        <w:spacing w:after="0" w:line="360" w:lineRule="auto"/>
        <w:jc w:val="both"/>
        <w:sectPr>
          <w:pgSz w:w="12240" w:h="15840"/>
          <w:pgMar w:header="0" w:footer="657" w:top="1360" w:bottom="840" w:left="1600" w:right="1580"/>
        </w:sectPr>
      </w:pPr>
    </w:p>
    <w:p>
      <w:pPr>
        <w:pStyle w:val="Heading1"/>
        <w:spacing w:line="465" w:lineRule="auto"/>
        <w:ind w:left="461" w:right="446" w:hanging="360"/>
        <w:jc w:val="left"/>
      </w:pPr>
      <w:r>
        <w:rPr/>
        <w:t>5.5 Economic and financial viability of small-scale dairy systems in central Mexico: Economic scenario 2010-2018</w:t>
      </w:r>
    </w:p>
    <w:p>
      <w:pPr>
        <w:pStyle w:val="BodyText"/>
        <w:rPr>
          <w:b/>
        </w:rPr>
      </w:pPr>
    </w:p>
    <w:p>
      <w:pPr>
        <w:pStyle w:val="BodyText"/>
        <w:spacing w:before="4"/>
        <w:rPr>
          <w:b/>
          <w:sz w:val="21"/>
        </w:rPr>
      </w:pPr>
    </w:p>
    <w:p>
      <w:pPr>
        <w:pStyle w:val="BodyText"/>
        <w:spacing w:line="345" w:lineRule="auto"/>
        <w:ind w:left="102"/>
        <w:rPr>
          <w:sz w:val="16"/>
        </w:rPr>
      </w:pPr>
      <w:r>
        <w:rPr/>
        <w:t>Rodolfo Rogelio Posadas-Domínguez</w:t>
      </w:r>
      <w:r>
        <w:rPr>
          <w:position w:val="9"/>
          <w:sz w:val="16"/>
        </w:rPr>
        <w:t>1</w:t>
      </w:r>
      <w:r>
        <w:rPr/>
        <w:t>, Nicolás Callejas-Juárez</w:t>
      </w:r>
      <w:r>
        <w:rPr>
          <w:position w:val="9"/>
          <w:sz w:val="16"/>
        </w:rPr>
        <w:t>2</w:t>
      </w:r>
      <w:r>
        <w:rPr/>
        <w:t>, Carlos Manuel Arriaga- Jordán</w:t>
      </w:r>
      <w:r>
        <w:rPr>
          <w:position w:val="9"/>
          <w:sz w:val="16"/>
        </w:rPr>
        <w:t>1</w:t>
      </w:r>
      <w:r>
        <w:rPr/>
        <w:t>, Francisco Ernesto Martínez-Castañeda</w:t>
      </w:r>
      <w:r>
        <w:rPr>
          <w:position w:val="9"/>
          <w:sz w:val="16"/>
        </w:rPr>
        <w:t>1</w:t>
      </w:r>
    </w:p>
    <w:p>
      <w:pPr>
        <w:pStyle w:val="BodyText"/>
        <w:rPr>
          <w:sz w:val="26"/>
        </w:rPr>
      </w:pPr>
    </w:p>
    <w:p>
      <w:pPr>
        <w:pStyle w:val="BodyText"/>
        <w:spacing w:before="7"/>
        <w:rPr>
          <w:sz w:val="30"/>
        </w:rPr>
      </w:pPr>
    </w:p>
    <w:p>
      <w:pPr>
        <w:pStyle w:val="BodyText"/>
        <w:spacing w:line="362" w:lineRule="auto"/>
        <w:ind w:left="102" w:right="118"/>
      </w:pPr>
      <w:r>
        <w:rPr>
          <w:position w:val="9"/>
          <w:sz w:val="16"/>
        </w:rPr>
        <w:t>1</w:t>
      </w:r>
      <w:r>
        <w:rPr/>
        <w:t>Instituto de Ciencias Agropecuarias y Rurales (ICAR), Universidad Autónoma del Estado de México (UAEM). Instituto Literario 100. Centro. Toluca. 50000. MÉXICO.</w:t>
      </w:r>
    </w:p>
    <w:p>
      <w:pPr>
        <w:pStyle w:val="BodyText"/>
      </w:pPr>
    </w:p>
    <w:p>
      <w:pPr>
        <w:pStyle w:val="BodyText"/>
        <w:spacing w:before="8"/>
        <w:rPr>
          <w:sz w:val="31"/>
        </w:rPr>
      </w:pPr>
    </w:p>
    <w:p>
      <w:pPr>
        <w:pStyle w:val="BodyText"/>
        <w:spacing w:line="360" w:lineRule="auto"/>
        <w:ind w:left="102"/>
      </w:pPr>
      <w:r>
        <w:rPr>
          <w:position w:val="9"/>
          <w:sz w:val="16"/>
        </w:rPr>
        <w:t>2</w:t>
      </w:r>
      <w:r>
        <w:rPr/>
        <w:t>Facultad de Zootecnia y Ecología, Universidad Autónoma de Chihuahua. Periférico Francisco R. Almada km 1. Chihuahua, 31453. MÉXICO.</w:t>
      </w:r>
    </w:p>
    <w:p>
      <w:pPr>
        <w:pStyle w:val="BodyText"/>
      </w:pPr>
    </w:p>
    <w:p>
      <w:pPr>
        <w:pStyle w:val="BodyText"/>
        <w:spacing w:before="3"/>
        <w:rPr>
          <w:sz w:val="33"/>
        </w:rPr>
      </w:pPr>
    </w:p>
    <w:p>
      <w:pPr>
        <w:pStyle w:val="BodyText"/>
        <w:ind w:left="102"/>
      </w:pPr>
      <w:r>
        <w:rPr/>
        <w:t>Corresponding author:</w:t>
      </w:r>
    </w:p>
    <w:p>
      <w:pPr>
        <w:pStyle w:val="BodyText"/>
        <w:spacing w:before="6"/>
        <w:rPr>
          <w:sz w:val="22"/>
        </w:rPr>
      </w:pPr>
    </w:p>
    <w:p>
      <w:pPr>
        <w:pStyle w:val="BodyText"/>
        <w:ind w:left="102"/>
      </w:pPr>
      <w:r>
        <w:rPr/>
        <w:t>Dr. F.E. Martínez-Castañeda</w:t>
      </w:r>
    </w:p>
    <w:p>
      <w:pPr>
        <w:pStyle w:val="BodyText"/>
        <w:spacing w:before="4"/>
        <w:rPr>
          <w:sz w:val="22"/>
        </w:rPr>
      </w:pPr>
    </w:p>
    <w:p>
      <w:pPr>
        <w:pStyle w:val="BodyText"/>
        <w:spacing w:line="463" w:lineRule="auto"/>
        <w:ind w:left="102" w:right="3559"/>
      </w:pPr>
      <w:r>
        <w:rPr/>
        <w:t>Instituto de Ciencias Agropecuarias y Rurales (ICAR), Universidad Autónoma del Estado de México (UAEM), Instituto Literario # 100,</w:t>
      </w:r>
    </w:p>
    <w:p>
      <w:pPr>
        <w:pStyle w:val="BodyText"/>
        <w:spacing w:line="463" w:lineRule="auto" w:before="12"/>
        <w:ind w:left="102" w:right="6371"/>
      </w:pPr>
      <w:r>
        <w:rPr/>
        <w:t>C.P. 50000, Toluca, Estado de México,</w:t>
      </w:r>
      <w:r>
        <w:rPr>
          <w:spacing w:val="-7"/>
        </w:rPr>
        <w:t> </w:t>
      </w:r>
      <w:r>
        <w:rPr/>
        <w:t>México</w:t>
      </w:r>
    </w:p>
    <w:p>
      <w:pPr>
        <w:pStyle w:val="BodyText"/>
        <w:spacing w:before="12"/>
        <w:ind w:left="102"/>
      </w:pPr>
      <w:r>
        <w:rPr/>
        <w:t>Tel. and fax: +52 (722) 296 5552</w:t>
      </w:r>
    </w:p>
    <w:p>
      <w:pPr>
        <w:pStyle w:val="BodyText"/>
        <w:spacing w:before="4"/>
        <w:rPr>
          <w:sz w:val="22"/>
        </w:rPr>
      </w:pPr>
    </w:p>
    <w:p>
      <w:pPr>
        <w:pStyle w:val="BodyText"/>
        <w:ind w:left="102"/>
      </w:pPr>
      <w:r>
        <w:rPr/>
        <w:t>e-mail: </w:t>
      </w:r>
      <w:hyperlink r:id="rId105">
        <w:r>
          <w:rPr>
            <w:u w:val="single"/>
          </w:rPr>
          <w:t>femartinezc@uaemex.mx </w:t>
        </w:r>
      </w:hyperlink>
      <w:r>
        <w:rPr/>
        <w:t>and </w:t>
      </w:r>
      <w:hyperlink r:id="rId106">
        <w:r>
          <w:rPr>
            <w:u w:val="single"/>
          </w:rPr>
          <w:t>fernestom@yahoo.com.mx</w:t>
        </w:r>
      </w:hyperlink>
    </w:p>
    <w:p>
      <w:pPr>
        <w:pStyle w:val="BodyText"/>
        <w:rPr>
          <w:sz w:val="20"/>
        </w:rPr>
      </w:pPr>
    </w:p>
    <w:p>
      <w:pPr>
        <w:pStyle w:val="BodyText"/>
        <w:rPr>
          <w:sz w:val="20"/>
        </w:rPr>
      </w:pPr>
    </w:p>
    <w:p>
      <w:pPr>
        <w:pStyle w:val="BodyText"/>
        <w:spacing w:before="4"/>
        <w:rPr>
          <w:sz w:val="26"/>
        </w:rPr>
      </w:pPr>
    </w:p>
    <w:p>
      <w:pPr>
        <w:pStyle w:val="BodyText"/>
        <w:spacing w:before="70"/>
        <w:ind w:left="102"/>
      </w:pPr>
      <w:r>
        <w:rPr/>
        <w:t>El artículo será enviado a la Revista Livestock Science.</w:t>
      </w:r>
    </w:p>
    <w:p>
      <w:pPr>
        <w:spacing w:after="0"/>
        <w:sectPr>
          <w:pgSz w:w="12240" w:h="15840"/>
          <w:pgMar w:header="0" w:footer="657" w:top="1360" w:bottom="840" w:left="1600" w:right="1580"/>
        </w:sectPr>
      </w:pPr>
    </w:p>
    <w:p>
      <w:pPr>
        <w:pStyle w:val="Heading1"/>
        <w:spacing w:line="362" w:lineRule="auto"/>
        <w:ind w:right="119"/>
      </w:pPr>
      <w:r>
        <w:rPr/>
        <w:t>Economic and financial viability of small-scale dairy systems in central Mexico: Economic scenario 2010 – 2018</w:t>
      </w:r>
    </w:p>
    <w:p>
      <w:pPr>
        <w:pStyle w:val="BodyText"/>
        <w:rPr>
          <w:b/>
        </w:rPr>
      </w:pPr>
    </w:p>
    <w:p>
      <w:pPr>
        <w:pStyle w:val="BodyText"/>
        <w:spacing w:before="1"/>
        <w:rPr>
          <w:b/>
          <w:sz w:val="33"/>
        </w:rPr>
      </w:pPr>
    </w:p>
    <w:p>
      <w:pPr>
        <w:spacing w:before="0"/>
        <w:ind w:left="102" w:right="0" w:firstLine="0"/>
        <w:jc w:val="both"/>
        <w:rPr>
          <w:b/>
          <w:sz w:val="24"/>
        </w:rPr>
      </w:pPr>
      <w:r>
        <w:rPr>
          <w:b/>
          <w:sz w:val="24"/>
        </w:rPr>
        <w:t>Abstract</w:t>
      </w:r>
    </w:p>
    <w:p>
      <w:pPr>
        <w:pStyle w:val="BodyText"/>
        <w:rPr>
          <w:b/>
        </w:rPr>
      </w:pPr>
    </w:p>
    <w:p>
      <w:pPr>
        <w:pStyle w:val="BodyText"/>
        <w:rPr>
          <w:b/>
        </w:rPr>
      </w:pPr>
    </w:p>
    <w:p>
      <w:pPr>
        <w:pStyle w:val="BodyText"/>
        <w:spacing w:before="5"/>
        <w:rPr>
          <w:b/>
          <w:sz w:val="20"/>
        </w:rPr>
      </w:pPr>
    </w:p>
    <w:p>
      <w:pPr>
        <w:pStyle w:val="BodyText"/>
        <w:spacing w:line="360" w:lineRule="auto"/>
        <w:ind w:left="102" w:right="117"/>
        <w:jc w:val="both"/>
      </w:pPr>
      <w:r>
        <w:rPr/>
        <w:t>The effect on the economic and financial viability of diverse risk models in a representative small-scale dairy farm (RSSDF) in central Mexico was determined using Monte Carlo simulation, which allows to evaluate risk in livestock systems within planning horizons,</w:t>
      </w:r>
      <w:r>
        <w:rPr>
          <w:spacing w:val="-24"/>
        </w:rPr>
        <w:t> </w:t>
      </w:r>
      <w:r>
        <w:rPr/>
        <w:t>and to</w:t>
      </w:r>
      <w:r>
        <w:rPr>
          <w:spacing w:val="-3"/>
        </w:rPr>
        <w:t> </w:t>
      </w:r>
      <w:r>
        <w:rPr/>
        <w:t>identify</w:t>
      </w:r>
      <w:r>
        <w:rPr>
          <w:spacing w:val="-9"/>
        </w:rPr>
        <w:t> </w:t>
      </w:r>
      <w:r>
        <w:rPr/>
        <w:t>elements</w:t>
      </w:r>
      <w:r>
        <w:rPr>
          <w:spacing w:val="-3"/>
        </w:rPr>
        <w:t> </w:t>
      </w:r>
      <w:r>
        <w:rPr/>
        <w:t>for</w:t>
      </w:r>
      <w:r>
        <w:rPr>
          <w:spacing w:val="-5"/>
        </w:rPr>
        <w:t> </w:t>
      </w:r>
      <w:r>
        <w:rPr/>
        <w:t>intervention</w:t>
      </w:r>
      <w:r>
        <w:rPr>
          <w:spacing w:val="-4"/>
        </w:rPr>
        <w:t> </w:t>
      </w:r>
      <w:r>
        <w:rPr/>
        <w:t>strategies.</w:t>
      </w:r>
      <w:r>
        <w:rPr>
          <w:spacing w:val="-4"/>
        </w:rPr>
        <w:t> </w:t>
      </w:r>
      <w:r>
        <w:rPr/>
        <w:t>The</w:t>
      </w:r>
      <w:r>
        <w:rPr>
          <w:spacing w:val="-5"/>
        </w:rPr>
        <w:t> </w:t>
      </w:r>
      <w:r>
        <w:rPr/>
        <w:t>evaluated</w:t>
      </w:r>
      <w:r>
        <w:rPr>
          <w:spacing w:val="-4"/>
        </w:rPr>
        <w:t> </w:t>
      </w:r>
      <w:r>
        <w:rPr/>
        <w:t>risk</w:t>
      </w:r>
      <w:r>
        <w:rPr>
          <w:spacing w:val="-4"/>
        </w:rPr>
        <w:t> </w:t>
      </w:r>
      <w:r>
        <w:rPr/>
        <w:t>models</w:t>
      </w:r>
      <w:r>
        <w:rPr>
          <w:spacing w:val="-4"/>
        </w:rPr>
        <w:t> </w:t>
      </w:r>
      <w:r>
        <w:rPr/>
        <w:t>were:</w:t>
      </w:r>
      <w:r>
        <w:rPr>
          <w:spacing w:val="-3"/>
        </w:rPr>
        <w:t> </w:t>
      </w:r>
      <w:r>
        <w:rPr/>
        <w:t>1)</w:t>
      </w:r>
      <w:r>
        <w:rPr>
          <w:spacing w:val="-5"/>
        </w:rPr>
        <w:t> </w:t>
      </w:r>
      <w:r>
        <w:rPr/>
        <w:t>Hiring</w:t>
      </w:r>
      <w:r>
        <w:rPr>
          <w:spacing w:val="-6"/>
        </w:rPr>
        <w:t> </w:t>
      </w:r>
      <w:r>
        <w:rPr/>
        <w:t>of the total needs of labour for the production process; 2) Utilising only family labour for the production process; 3) Purchase of 100% of feed inputs; and 4) Withdrawal of subsidies to production. A panel technique was implemented with 22 small-scale farmers, plus 4 specialists in dairying, and the representative of the regional dairy farmers association. The panel designed an RSSDF with a herd of eight dairy cows, size that represents 130 farmers in</w:t>
      </w:r>
      <w:r>
        <w:rPr>
          <w:spacing w:val="-15"/>
        </w:rPr>
        <w:t> </w:t>
      </w:r>
      <w:r>
        <w:rPr/>
        <w:t>the</w:t>
      </w:r>
      <w:r>
        <w:rPr>
          <w:spacing w:val="-16"/>
        </w:rPr>
        <w:t> </w:t>
      </w:r>
      <w:r>
        <w:rPr/>
        <w:t>study</w:t>
      </w:r>
      <w:r>
        <w:rPr>
          <w:spacing w:val="-21"/>
        </w:rPr>
        <w:t> </w:t>
      </w:r>
      <w:r>
        <w:rPr/>
        <w:t>area,</w:t>
      </w:r>
      <w:r>
        <w:rPr>
          <w:spacing w:val="-16"/>
        </w:rPr>
        <w:t> </w:t>
      </w:r>
      <w:r>
        <w:rPr/>
        <w:t>with</w:t>
      </w:r>
      <w:r>
        <w:rPr>
          <w:spacing w:val="-15"/>
        </w:rPr>
        <w:t> </w:t>
      </w:r>
      <w:r>
        <w:rPr/>
        <w:t>similar</w:t>
      </w:r>
      <w:r>
        <w:rPr>
          <w:spacing w:val="-17"/>
        </w:rPr>
        <w:t> </w:t>
      </w:r>
      <w:r>
        <w:rPr/>
        <w:t>levels</w:t>
      </w:r>
      <w:r>
        <w:rPr>
          <w:spacing w:val="-15"/>
        </w:rPr>
        <w:t> </w:t>
      </w:r>
      <w:r>
        <w:rPr/>
        <w:t>of</w:t>
      </w:r>
      <w:r>
        <w:rPr>
          <w:spacing w:val="-17"/>
        </w:rPr>
        <w:t> </w:t>
      </w:r>
      <w:r>
        <w:rPr/>
        <w:t>technology,</w:t>
      </w:r>
      <w:r>
        <w:rPr>
          <w:spacing w:val="-14"/>
        </w:rPr>
        <w:t> </w:t>
      </w:r>
      <w:r>
        <w:rPr/>
        <w:t>scale</w:t>
      </w:r>
      <w:r>
        <w:rPr>
          <w:spacing w:val="-14"/>
        </w:rPr>
        <w:t> </w:t>
      </w:r>
      <w:r>
        <w:rPr/>
        <w:t>of</w:t>
      </w:r>
      <w:r>
        <w:rPr>
          <w:spacing w:val="-14"/>
        </w:rPr>
        <w:t> </w:t>
      </w:r>
      <w:r>
        <w:rPr/>
        <w:t>production,</w:t>
      </w:r>
      <w:r>
        <w:rPr>
          <w:spacing w:val="-13"/>
        </w:rPr>
        <w:t> </w:t>
      </w:r>
      <w:r>
        <w:rPr/>
        <w:t>geographical</w:t>
      </w:r>
      <w:r>
        <w:rPr>
          <w:spacing w:val="-13"/>
        </w:rPr>
        <w:t> </w:t>
      </w:r>
      <w:r>
        <w:rPr/>
        <w:t>location and market for their produce. Economic and financial projections of the micro and macroeconomic variables estimated by the Mexican Ministry of Agriculture (</w:t>
      </w:r>
      <w:r>
        <w:rPr>
          <w:i/>
        </w:rPr>
        <w:t>Secretaría de </w:t>
      </w:r>
      <w:r>
        <w:rPr>
          <w:i/>
        </w:rPr>
        <w:t>Agricultura, Ganadería, Desarrollo Rural, Pesca y Alimentación </w:t>
      </w:r>
      <w:r>
        <w:rPr/>
        <w:t>- SAGARPA) were included to generate the stochastic components of the models. The MexSim econometric model</w:t>
      </w:r>
      <w:r>
        <w:rPr>
          <w:spacing w:val="-4"/>
        </w:rPr>
        <w:t> </w:t>
      </w:r>
      <w:r>
        <w:rPr/>
        <w:t>was</w:t>
      </w:r>
      <w:r>
        <w:rPr>
          <w:spacing w:val="-4"/>
        </w:rPr>
        <w:t> </w:t>
      </w:r>
      <w:r>
        <w:rPr/>
        <w:t>used</w:t>
      </w:r>
      <w:r>
        <w:rPr>
          <w:spacing w:val="-4"/>
        </w:rPr>
        <w:t> </w:t>
      </w:r>
      <w:r>
        <w:rPr/>
        <w:t>to</w:t>
      </w:r>
      <w:r>
        <w:rPr>
          <w:spacing w:val="-3"/>
        </w:rPr>
        <w:t> </w:t>
      </w:r>
      <w:r>
        <w:rPr/>
        <w:t>quantify</w:t>
      </w:r>
      <w:r>
        <w:rPr>
          <w:spacing w:val="-9"/>
        </w:rPr>
        <w:t> </w:t>
      </w:r>
      <w:r>
        <w:rPr/>
        <w:t>risk</w:t>
      </w:r>
      <w:r>
        <w:rPr>
          <w:spacing w:val="-4"/>
        </w:rPr>
        <w:t> </w:t>
      </w:r>
      <w:r>
        <w:rPr/>
        <w:t>and</w:t>
      </w:r>
      <w:r>
        <w:rPr>
          <w:spacing w:val="-4"/>
        </w:rPr>
        <w:t> </w:t>
      </w:r>
      <w:r>
        <w:rPr/>
        <w:t>predict</w:t>
      </w:r>
      <w:r>
        <w:rPr>
          <w:spacing w:val="-4"/>
        </w:rPr>
        <w:t> </w:t>
      </w:r>
      <w:r>
        <w:rPr/>
        <w:t>the</w:t>
      </w:r>
      <w:r>
        <w:rPr>
          <w:spacing w:val="-4"/>
        </w:rPr>
        <w:t> </w:t>
      </w:r>
      <w:r>
        <w:rPr/>
        <w:t>economic</w:t>
      </w:r>
      <w:r>
        <w:rPr>
          <w:spacing w:val="-5"/>
        </w:rPr>
        <w:t> </w:t>
      </w:r>
      <w:r>
        <w:rPr/>
        <w:t>and</w:t>
      </w:r>
      <w:r>
        <w:rPr>
          <w:spacing w:val="-4"/>
        </w:rPr>
        <w:t> </w:t>
      </w:r>
      <w:r>
        <w:rPr/>
        <w:t>financial</w:t>
      </w:r>
      <w:r>
        <w:rPr>
          <w:spacing w:val="-4"/>
        </w:rPr>
        <w:t> </w:t>
      </w:r>
      <w:r>
        <w:rPr/>
        <w:t>impacts</w:t>
      </w:r>
      <w:r>
        <w:rPr>
          <w:spacing w:val="-3"/>
        </w:rPr>
        <w:t> </w:t>
      </w:r>
      <w:r>
        <w:rPr/>
        <w:t>of</w:t>
      </w:r>
      <w:r>
        <w:rPr>
          <w:spacing w:val="-5"/>
        </w:rPr>
        <w:t> </w:t>
      </w:r>
      <w:r>
        <w:rPr/>
        <w:t>the</w:t>
      </w:r>
      <w:r>
        <w:rPr>
          <w:spacing w:val="-4"/>
        </w:rPr>
        <w:t> </w:t>
      </w:r>
      <w:r>
        <w:rPr/>
        <w:t>tested models in a planning horizon 2010 – 2018. Results indicate the economic and financial viability for scenarios hiring all labour needs, only the utilisation of family labour, and the withdrawal of subsidies; and unviable when feed inputs are purchased. The probability of economic success, as the rate of return on assets, was 80% for Models 1, 2, and 4. On the contrary, Model 3 showed 40% probability of de-capitalisation, which worsens after 2014. The</w:t>
      </w:r>
      <w:r>
        <w:rPr>
          <w:spacing w:val="-9"/>
        </w:rPr>
        <w:t> </w:t>
      </w:r>
      <w:r>
        <w:rPr/>
        <w:t>probability</w:t>
      </w:r>
      <w:r>
        <w:rPr>
          <w:spacing w:val="-12"/>
        </w:rPr>
        <w:t> </w:t>
      </w:r>
      <w:r>
        <w:rPr/>
        <w:t>of</w:t>
      </w:r>
      <w:r>
        <w:rPr>
          <w:spacing w:val="-8"/>
        </w:rPr>
        <w:t> </w:t>
      </w:r>
      <w:r>
        <w:rPr/>
        <w:t>financial</w:t>
      </w:r>
      <w:r>
        <w:rPr>
          <w:spacing w:val="-8"/>
        </w:rPr>
        <w:t> </w:t>
      </w:r>
      <w:r>
        <w:rPr/>
        <w:t>success</w:t>
      </w:r>
      <w:r>
        <w:rPr>
          <w:spacing w:val="-7"/>
        </w:rPr>
        <w:t> </w:t>
      </w:r>
      <w:r>
        <w:rPr/>
        <w:t>measured</w:t>
      </w:r>
      <w:r>
        <w:rPr>
          <w:spacing w:val="-8"/>
        </w:rPr>
        <w:t> </w:t>
      </w:r>
      <w:r>
        <w:rPr/>
        <w:t>by</w:t>
      </w:r>
      <w:r>
        <w:rPr>
          <w:spacing w:val="-12"/>
        </w:rPr>
        <w:t> </w:t>
      </w:r>
      <w:r>
        <w:rPr/>
        <w:t>the</w:t>
      </w:r>
      <w:r>
        <w:rPr>
          <w:spacing w:val="-9"/>
        </w:rPr>
        <w:t> </w:t>
      </w:r>
      <w:r>
        <w:rPr/>
        <w:t>net</w:t>
      </w:r>
      <w:r>
        <w:rPr>
          <w:spacing w:val="-7"/>
        </w:rPr>
        <w:t> </w:t>
      </w:r>
      <w:r>
        <w:rPr/>
        <w:t>present</w:t>
      </w:r>
      <w:r>
        <w:rPr>
          <w:spacing w:val="-7"/>
        </w:rPr>
        <w:t> </w:t>
      </w:r>
      <w:r>
        <w:rPr/>
        <w:t>value</w:t>
      </w:r>
      <w:r>
        <w:rPr>
          <w:spacing w:val="-8"/>
        </w:rPr>
        <w:t> </w:t>
      </w:r>
      <w:r>
        <w:rPr/>
        <w:t>(NPV)</w:t>
      </w:r>
      <w:r>
        <w:rPr>
          <w:spacing w:val="-8"/>
        </w:rPr>
        <w:t> </w:t>
      </w:r>
      <w:r>
        <w:rPr/>
        <w:t>was</w:t>
      </w:r>
      <w:r>
        <w:rPr>
          <w:spacing w:val="-4"/>
        </w:rPr>
        <w:t> </w:t>
      </w:r>
      <w:r>
        <w:rPr/>
        <w:t>85,</w:t>
      </w:r>
      <w:r>
        <w:rPr>
          <w:spacing w:val="-8"/>
        </w:rPr>
        <w:t> </w:t>
      </w:r>
      <w:r>
        <w:rPr/>
        <w:t>93</w:t>
      </w:r>
      <w:r>
        <w:rPr>
          <w:spacing w:val="-8"/>
        </w:rPr>
        <w:t> </w:t>
      </w:r>
      <w:r>
        <w:rPr/>
        <w:t>and 81% for Models 1, 2, and 4 respectively. As from 2014, the financial un-sustainability of Model 3 worsens, and the NPV of that model turns negative. </w:t>
      </w:r>
      <w:r>
        <w:rPr>
          <w:spacing w:val="-3"/>
        </w:rPr>
        <w:t>It </w:t>
      </w:r>
      <w:r>
        <w:rPr/>
        <w:t>is concluded that the</w:t>
      </w:r>
      <w:r>
        <w:rPr>
          <w:spacing w:val="-38"/>
        </w:rPr>
        <w:t> </w:t>
      </w:r>
      <w:r>
        <w:rPr/>
        <w:t>RSSDF was economically and financially viable, and is better when the economic cost of family labour</w:t>
      </w:r>
      <w:r>
        <w:rPr>
          <w:spacing w:val="28"/>
        </w:rPr>
        <w:t> </w:t>
      </w:r>
      <w:r>
        <w:rPr/>
        <w:t>is</w:t>
      </w:r>
      <w:r>
        <w:rPr>
          <w:spacing w:val="30"/>
        </w:rPr>
        <w:t> </w:t>
      </w:r>
      <w:r>
        <w:rPr/>
        <w:t>not</w:t>
      </w:r>
      <w:r>
        <w:rPr>
          <w:spacing w:val="30"/>
        </w:rPr>
        <w:t> </w:t>
      </w:r>
      <w:r>
        <w:rPr/>
        <w:t>included,</w:t>
      </w:r>
      <w:r>
        <w:rPr>
          <w:spacing w:val="32"/>
        </w:rPr>
        <w:t> </w:t>
      </w:r>
      <w:r>
        <w:rPr/>
        <w:t>but</w:t>
      </w:r>
      <w:r>
        <w:rPr>
          <w:spacing w:val="30"/>
        </w:rPr>
        <w:t> </w:t>
      </w:r>
      <w:r>
        <w:rPr/>
        <w:t>hired</w:t>
      </w:r>
      <w:r>
        <w:rPr>
          <w:spacing w:val="29"/>
        </w:rPr>
        <w:t> </w:t>
      </w:r>
      <w:r>
        <w:rPr/>
        <w:t>labour</w:t>
      </w:r>
      <w:r>
        <w:rPr>
          <w:spacing w:val="30"/>
        </w:rPr>
        <w:t> </w:t>
      </w:r>
      <w:r>
        <w:rPr/>
        <w:t>did</w:t>
      </w:r>
      <w:r>
        <w:rPr>
          <w:spacing w:val="30"/>
        </w:rPr>
        <w:t> </w:t>
      </w:r>
      <w:r>
        <w:rPr/>
        <w:t>not</w:t>
      </w:r>
      <w:r>
        <w:rPr>
          <w:spacing w:val="32"/>
        </w:rPr>
        <w:t> </w:t>
      </w:r>
      <w:r>
        <w:rPr/>
        <w:t>have</w:t>
      </w:r>
      <w:r>
        <w:rPr>
          <w:spacing w:val="31"/>
        </w:rPr>
        <w:t> </w:t>
      </w:r>
      <w:r>
        <w:rPr/>
        <w:t>a</w:t>
      </w:r>
      <w:r>
        <w:rPr>
          <w:spacing w:val="29"/>
        </w:rPr>
        <w:t> </w:t>
      </w:r>
      <w:r>
        <w:rPr/>
        <w:t>significant</w:t>
      </w:r>
      <w:r>
        <w:rPr>
          <w:spacing w:val="30"/>
        </w:rPr>
        <w:t> </w:t>
      </w:r>
      <w:r>
        <w:rPr/>
        <w:t>negative</w:t>
      </w:r>
      <w:r>
        <w:rPr>
          <w:spacing w:val="35"/>
        </w:rPr>
        <w:t> </w:t>
      </w:r>
      <w:r>
        <w:rPr/>
        <w:t>effect</w:t>
      </w:r>
      <w:r>
        <w:rPr>
          <w:spacing w:val="30"/>
        </w:rPr>
        <w:t> </w:t>
      </w:r>
      <w:r>
        <w:rPr/>
        <w:t>on</w:t>
      </w:r>
      <w:r>
        <w:rPr>
          <w:spacing w:val="29"/>
        </w:rPr>
        <w:t> </w:t>
      </w:r>
      <w:r>
        <w:rPr/>
        <w:t>the</w:t>
      </w:r>
    </w:p>
    <w:p>
      <w:pPr>
        <w:spacing w:after="0" w:line="360" w:lineRule="auto"/>
        <w:jc w:val="both"/>
        <w:sectPr>
          <w:pgSz w:w="12240" w:h="15840"/>
          <w:pgMar w:header="0" w:footer="657" w:top="1360" w:bottom="840" w:left="1600" w:right="1580"/>
        </w:sectPr>
      </w:pPr>
    </w:p>
    <w:p>
      <w:pPr>
        <w:pStyle w:val="BodyText"/>
        <w:spacing w:line="360" w:lineRule="auto" w:before="50"/>
        <w:ind w:left="102" w:right="121"/>
        <w:jc w:val="both"/>
      </w:pPr>
      <w:r>
        <w:rPr/>
        <w:t>viability of Model 1. Purchase and reliance on purchased feed inputs have the highest negative impact on viability; not so the withdrawal of subsidies since they are not important for</w:t>
      </w:r>
      <w:r>
        <w:rPr>
          <w:spacing w:val="-17"/>
        </w:rPr>
        <w:t> </w:t>
      </w:r>
      <w:r>
        <w:rPr/>
        <w:t>total</w:t>
      </w:r>
      <w:r>
        <w:rPr>
          <w:spacing w:val="-15"/>
        </w:rPr>
        <w:t> </w:t>
      </w:r>
      <w:r>
        <w:rPr/>
        <w:t>incomes</w:t>
      </w:r>
      <w:r>
        <w:rPr>
          <w:spacing w:val="-16"/>
        </w:rPr>
        <w:t> </w:t>
      </w:r>
      <w:r>
        <w:rPr/>
        <w:t>in</w:t>
      </w:r>
      <w:r>
        <w:rPr>
          <w:spacing w:val="-15"/>
        </w:rPr>
        <w:t> </w:t>
      </w:r>
      <w:r>
        <w:rPr/>
        <w:t>percentage</w:t>
      </w:r>
      <w:r>
        <w:rPr>
          <w:spacing w:val="-17"/>
        </w:rPr>
        <w:t> </w:t>
      </w:r>
      <w:r>
        <w:rPr/>
        <w:t>or</w:t>
      </w:r>
      <w:r>
        <w:rPr>
          <w:spacing w:val="-17"/>
        </w:rPr>
        <w:t> </w:t>
      </w:r>
      <w:r>
        <w:rPr/>
        <w:t>in</w:t>
      </w:r>
      <w:r>
        <w:rPr>
          <w:spacing w:val="-15"/>
        </w:rPr>
        <w:t> </w:t>
      </w:r>
      <w:r>
        <w:rPr/>
        <w:t>value.</w:t>
      </w:r>
      <w:r>
        <w:rPr>
          <w:spacing w:val="-14"/>
        </w:rPr>
        <w:t> </w:t>
      </w:r>
      <w:r>
        <w:rPr/>
        <w:t>These</w:t>
      </w:r>
      <w:r>
        <w:rPr>
          <w:spacing w:val="-17"/>
        </w:rPr>
        <w:t> </w:t>
      </w:r>
      <w:r>
        <w:rPr/>
        <w:t>systems</w:t>
      </w:r>
      <w:r>
        <w:rPr>
          <w:spacing w:val="-13"/>
        </w:rPr>
        <w:t> </w:t>
      </w:r>
      <w:r>
        <w:rPr/>
        <w:t>generate</w:t>
      </w:r>
      <w:r>
        <w:rPr>
          <w:spacing w:val="-17"/>
        </w:rPr>
        <w:t> </w:t>
      </w:r>
      <w:r>
        <w:rPr/>
        <w:t>wealth,</w:t>
      </w:r>
      <w:r>
        <w:rPr>
          <w:spacing w:val="-16"/>
        </w:rPr>
        <w:t> </w:t>
      </w:r>
      <w:r>
        <w:rPr/>
        <w:t>which</w:t>
      </w:r>
      <w:r>
        <w:rPr>
          <w:spacing w:val="-16"/>
        </w:rPr>
        <w:t> </w:t>
      </w:r>
      <w:r>
        <w:rPr/>
        <w:t>bring</w:t>
      </w:r>
      <w:r>
        <w:rPr>
          <w:spacing w:val="-18"/>
        </w:rPr>
        <w:t> </w:t>
      </w:r>
      <w:r>
        <w:rPr/>
        <w:t>social benefits as local</w:t>
      </w:r>
      <w:r>
        <w:rPr>
          <w:spacing w:val="-5"/>
        </w:rPr>
        <w:t> </w:t>
      </w:r>
      <w:r>
        <w:rPr/>
        <w:t>employment.</w:t>
      </w:r>
    </w:p>
    <w:p>
      <w:pPr>
        <w:pStyle w:val="BodyText"/>
      </w:pPr>
    </w:p>
    <w:p>
      <w:pPr>
        <w:pStyle w:val="BodyText"/>
        <w:spacing w:before="3"/>
        <w:rPr>
          <w:sz w:val="33"/>
        </w:rPr>
      </w:pPr>
    </w:p>
    <w:p>
      <w:pPr>
        <w:pStyle w:val="BodyText"/>
        <w:spacing w:line="360" w:lineRule="auto"/>
        <w:ind w:left="102" w:right="119"/>
        <w:jc w:val="both"/>
      </w:pPr>
      <w:r>
        <w:rPr>
          <w:b/>
        </w:rPr>
        <w:t>Keywords: </w:t>
      </w:r>
      <w:r>
        <w:rPr/>
        <w:t>Prospective analysis, stochastic models, small-scale dairy farming, labour, subsidies, Monte Carlo simulation, Mexico.</w:t>
      </w:r>
    </w:p>
    <w:p>
      <w:pPr>
        <w:pStyle w:val="BodyText"/>
      </w:pPr>
    </w:p>
    <w:p>
      <w:pPr>
        <w:pStyle w:val="BodyText"/>
        <w:spacing w:before="9"/>
        <w:rPr>
          <w:sz w:val="33"/>
        </w:rPr>
      </w:pPr>
    </w:p>
    <w:p>
      <w:pPr>
        <w:pStyle w:val="Heading1"/>
        <w:numPr>
          <w:ilvl w:val="0"/>
          <w:numId w:val="24"/>
        </w:numPr>
        <w:tabs>
          <w:tab w:pos="343" w:val="left" w:leader="none"/>
        </w:tabs>
        <w:spacing w:line="240" w:lineRule="auto" w:before="0" w:after="0"/>
        <w:ind w:left="342" w:right="0" w:hanging="240"/>
        <w:jc w:val="both"/>
      </w:pPr>
      <w:r>
        <w:rPr/>
        <w:t>Introduction</w:t>
      </w:r>
    </w:p>
    <w:p>
      <w:pPr>
        <w:pStyle w:val="BodyText"/>
        <w:spacing w:before="1"/>
        <w:rPr>
          <w:b/>
          <w:sz w:val="22"/>
        </w:rPr>
      </w:pPr>
    </w:p>
    <w:p>
      <w:pPr>
        <w:pStyle w:val="BodyText"/>
        <w:spacing w:line="360" w:lineRule="auto"/>
        <w:ind w:left="102" w:right="113"/>
        <w:jc w:val="both"/>
      </w:pPr>
      <w:r>
        <w:rPr/>
        <w:t>The economic and financial viability of a dairy production system is influenced by macro and</w:t>
      </w:r>
      <w:r>
        <w:rPr>
          <w:spacing w:val="-8"/>
        </w:rPr>
        <w:t> </w:t>
      </w:r>
      <w:r>
        <w:rPr/>
        <w:t>microeconomic</w:t>
      </w:r>
      <w:r>
        <w:rPr>
          <w:spacing w:val="-6"/>
        </w:rPr>
        <w:t> </w:t>
      </w:r>
      <w:r>
        <w:rPr/>
        <w:t>factors.</w:t>
      </w:r>
      <w:r>
        <w:rPr>
          <w:spacing w:val="-8"/>
        </w:rPr>
        <w:t> </w:t>
      </w:r>
      <w:r>
        <w:rPr/>
        <w:t>Uncertainty</w:t>
      </w:r>
      <w:r>
        <w:rPr>
          <w:spacing w:val="-12"/>
        </w:rPr>
        <w:t> </w:t>
      </w:r>
      <w:r>
        <w:rPr/>
        <w:t>is</w:t>
      </w:r>
      <w:r>
        <w:rPr>
          <w:spacing w:val="-7"/>
        </w:rPr>
        <w:t> </w:t>
      </w:r>
      <w:r>
        <w:rPr/>
        <w:t>one</w:t>
      </w:r>
      <w:r>
        <w:rPr>
          <w:spacing w:val="-6"/>
        </w:rPr>
        <w:t> </w:t>
      </w:r>
      <w:r>
        <w:rPr/>
        <w:t>of</w:t>
      </w:r>
      <w:r>
        <w:rPr>
          <w:spacing w:val="-8"/>
        </w:rPr>
        <w:t> </w:t>
      </w:r>
      <w:r>
        <w:rPr/>
        <w:t>the</w:t>
      </w:r>
      <w:r>
        <w:rPr>
          <w:spacing w:val="-9"/>
        </w:rPr>
        <w:t> </w:t>
      </w:r>
      <w:r>
        <w:rPr/>
        <w:t>challenges</w:t>
      </w:r>
      <w:r>
        <w:rPr>
          <w:spacing w:val="-7"/>
        </w:rPr>
        <w:t> </w:t>
      </w:r>
      <w:r>
        <w:rPr/>
        <w:t>faced</w:t>
      </w:r>
      <w:r>
        <w:rPr>
          <w:spacing w:val="-8"/>
        </w:rPr>
        <w:t> </w:t>
      </w:r>
      <w:r>
        <w:rPr/>
        <w:t>by</w:t>
      </w:r>
      <w:r>
        <w:rPr>
          <w:spacing w:val="-12"/>
        </w:rPr>
        <w:t> </w:t>
      </w:r>
      <w:r>
        <w:rPr/>
        <w:t>long-term</w:t>
      </w:r>
      <w:r>
        <w:rPr>
          <w:spacing w:val="-8"/>
        </w:rPr>
        <w:t> </w:t>
      </w:r>
      <w:r>
        <w:rPr/>
        <w:t>viability projections. Odening et al. (2013) establish taking into account uncertainty as crucial to derive efficiency measures, since not considering it overestimates the mean value of inefficiency in the evaluated</w:t>
      </w:r>
      <w:r>
        <w:rPr>
          <w:spacing w:val="-12"/>
        </w:rPr>
        <w:t> </w:t>
      </w:r>
      <w:r>
        <w:rPr/>
        <w:t>systems.</w:t>
      </w:r>
    </w:p>
    <w:p>
      <w:pPr>
        <w:pStyle w:val="BodyText"/>
      </w:pPr>
    </w:p>
    <w:p>
      <w:pPr>
        <w:pStyle w:val="BodyText"/>
        <w:spacing w:before="4"/>
        <w:rPr>
          <w:sz w:val="33"/>
        </w:rPr>
      </w:pPr>
    </w:p>
    <w:p>
      <w:pPr>
        <w:pStyle w:val="BodyText"/>
        <w:spacing w:line="360" w:lineRule="auto"/>
        <w:ind w:left="102" w:right="115"/>
        <w:jc w:val="both"/>
      </w:pPr>
      <w:r>
        <w:rPr/>
        <w:t>Monte Carlo simulation models have been used with different objectives in the analysis of agricultural systems, like Lien (2003) who used them to determine the financial risk of investment in small-scale dairy farms. Richardson et al. (2007a; 2007b) determined the economic</w:t>
      </w:r>
      <w:r>
        <w:rPr>
          <w:spacing w:val="-12"/>
        </w:rPr>
        <w:t> </w:t>
      </w:r>
      <w:r>
        <w:rPr/>
        <w:t>viability</w:t>
      </w:r>
      <w:r>
        <w:rPr>
          <w:spacing w:val="-16"/>
        </w:rPr>
        <w:t> </w:t>
      </w:r>
      <w:r>
        <w:rPr/>
        <w:t>of</w:t>
      </w:r>
      <w:r>
        <w:rPr>
          <w:spacing w:val="-10"/>
        </w:rPr>
        <w:t> </w:t>
      </w:r>
      <w:r>
        <w:rPr/>
        <w:t>the</w:t>
      </w:r>
      <w:r>
        <w:rPr>
          <w:spacing w:val="-9"/>
        </w:rPr>
        <w:t> </w:t>
      </w:r>
      <w:r>
        <w:rPr/>
        <w:t>ethanol</w:t>
      </w:r>
      <w:r>
        <w:rPr>
          <w:spacing w:val="-11"/>
        </w:rPr>
        <w:t> </w:t>
      </w:r>
      <w:r>
        <w:rPr/>
        <w:t>industry,</w:t>
      </w:r>
      <w:r>
        <w:rPr>
          <w:spacing w:val="-9"/>
        </w:rPr>
        <w:t> </w:t>
      </w:r>
      <w:r>
        <w:rPr/>
        <w:t>Barham</w:t>
      </w:r>
      <w:r>
        <w:rPr>
          <w:spacing w:val="-8"/>
        </w:rPr>
        <w:t> </w:t>
      </w:r>
      <w:r>
        <w:rPr/>
        <w:t>et</w:t>
      </w:r>
      <w:r>
        <w:rPr>
          <w:spacing w:val="-11"/>
        </w:rPr>
        <w:t> </w:t>
      </w:r>
      <w:r>
        <w:rPr/>
        <w:t>al.</w:t>
      </w:r>
      <w:r>
        <w:rPr>
          <w:spacing w:val="-11"/>
        </w:rPr>
        <w:t> </w:t>
      </w:r>
      <w:r>
        <w:rPr/>
        <w:t>(2011)</w:t>
      </w:r>
      <w:r>
        <w:rPr>
          <w:spacing w:val="-12"/>
        </w:rPr>
        <w:t> </w:t>
      </w:r>
      <w:r>
        <w:rPr/>
        <w:t>in</w:t>
      </w:r>
      <w:r>
        <w:rPr>
          <w:spacing w:val="-11"/>
        </w:rPr>
        <w:t> </w:t>
      </w:r>
      <w:r>
        <w:rPr/>
        <w:t>the</w:t>
      </w:r>
      <w:r>
        <w:rPr>
          <w:spacing w:val="-12"/>
        </w:rPr>
        <w:t> </w:t>
      </w:r>
      <w:r>
        <w:rPr/>
        <w:t>implementation</w:t>
      </w:r>
      <w:r>
        <w:rPr>
          <w:spacing w:val="-11"/>
        </w:rPr>
        <w:t> </w:t>
      </w:r>
      <w:r>
        <w:rPr/>
        <w:t>of</w:t>
      </w:r>
      <w:r>
        <w:rPr>
          <w:spacing w:val="-12"/>
        </w:rPr>
        <w:t> </w:t>
      </w:r>
      <w:r>
        <w:rPr/>
        <w:t>risk rates in Agricultural insurance, and Williams et al. (2012) in the analysis of the economic viability of</w:t>
      </w:r>
      <w:r>
        <w:rPr>
          <w:spacing w:val="-6"/>
        </w:rPr>
        <w:t> </w:t>
      </w:r>
      <w:r>
        <w:rPr/>
        <w:t>crops.</w:t>
      </w:r>
    </w:p>
    <w:p>
      <w:pPr>
        <w:pStyle w:val="BodyText"/>
      </w:pPr>
    </w:p>
    <w:p>
      <w:pPr>
        <w:pStyle w:val="BodyText"/>
        <w:spacing w:before="4"/>
        <w:rPr>
          <w:sz w:val="33"/>
        </w:rPr>
      </w:pPr>
    </w:p>
    <w:p>
      <w:pPr>
        <w:pStyle w:val="BodyText"/>
        <w:spacing w:line="360" w:lineRule="auto"/>
        <w:ind w:left="102" w:right="119"/>
        <w:jc w:val="both"/>
      </w:pPr>
      <w:r>
        <w:rPr/>
        <w:t>Simulation is utilised to determine the effects of exogenous variables (macro and microeconomic) through probability distributions in decision-making within scenarios that imply risk and uncertainty (Richardson et al., 2007a). Reutlinger (1970) and Richardson (2007) demonstrated the efficacy of stochastic simulation to analyse decisions that imply risks.</w:t>
      </w:r>
    </w:p>
    <w:p>
      <w:pPr>
        <w:spacing w:after="0" w:line="360" w:lineRule="auto"/>
        <w:jc w:val="both"/>
        <w:sectPr>
          <w:pgSz w:w="12240" w:h="15840"/>
          <w:pgMar w:header="0" w:footer="657" w:top="1360" w:bottom="840" w:left="1600" w:right="1580"/>
        </w:sectPr>
      </w:pPr>
    </w:p>
    <w:p>
      <w:pPr>
        <w:pStyle w:val="BodyText"/>
        <w:spacing w:line="360" w:lineRule="auto" w:before="50"/>
        <w:ind w:left="102" w:right="119"/>
        <w:jc w:val="both"/>
      </w:pPr>
      <w:r>
        <w:rPr/>
        <w:t>Halter and Dean (1965) introduced simulation of agricultural systems to analyse price policies, but it was till 1982 when Richardson and Nixon utilised Monte Carlo simulation in prospective analysis to determine economic effects in farms under conditions of risk and uncertainty (Outlaw et al., 2007; Richardson et al. 2007a).</w:t>
      </w:r>
    </w:p>
    <w:p>
      <w:pPr>
        <w:pStyle w:val="BodyText"/>
      </w:pPr>
    </w:p>
    <w:p>
      <w:pPr>
        <w:pStyle w:val="BodyText"/>
        <w:spacing w:before="3"/>
        <w:rPr>
          <w:sz w:val="33"/>
        </w:rPr>
      </w:pPr>
    </w:p>
    <w:p>
      <w:pPr>
        <w:pStyle w:val="BodyText"/>
        <w:spacing w:line="360" w:lineRule="auto"/>
        <w:ind w:left="102" w:right="115"/>
        <w:jc w:val="both"/>
      </w:pPr>
      <w:r>
        <w:rPr/>
        <w:t>In</w:t>
      </w:r>
      <w:r>
        <w:rPr>
          <w:spacing w:val="-4"/>
        </w:rPr>
        <w:t> </w:t>
      </w:r>
      <w:r>
        <w:rPr/>
        <w:t>spite</w:t>
      </w:r>
      <w:r>
        <w:rPr>
          <w:spacing w:val="-7"/>
        </w:rPr>
        <w:t> </w:t>
      </w:r>
      <w:r>
        <w:rPr/>
        <w:t>of</w:t>
      </w:r>
      <w:r>
        <w:rPr>
          <w:spacing w:val="-5"/>
        </w:rPr>
        <w:t> </w:t>
      </w:r>
      <w:r>
        <w:rPr/>
        <w:t>the</w:t>
      </w:r>
      <w:r>
        <w:rPr>
          <w:spacing w:val="-7"/>
        </w:rPr>
        <w:t> </w:t>
      </w:r>
      <w:r>
        <w:rPr/>
        <w:t>importance</w:t>
      </w:r>
      <w:r>
        <w:rPr>
          <w:spacing w:val="-5"/>
        </w:rPr>
        <w:t> </w:t>
      </w:r>
      <w:r>
        <w:rPr/>
        <w:t>of</w:t>
      </w:r>
      <w:r>
        <w:rPr>
          <w:spacing w:val="-7"/>
        </w:rPr>
        <w:t> </w:t>
      </w:r>
      <w:r>
        <w:rPr/>
        <w:t>risk</w:t>
      </w:r>
      <w:r>
        <w:rPr>
          <w:spacing w:val="-4"/>
        </w:rPr>
        <w:t> </w:t>
      </w:r>
      <w:r>
        <w:rPr/>
        <w:t>in</w:t>
      </w:r>
      <w:r>
        <w:rPr>
          <w:spacing w:val="-6"/>
        </w:rPr>
        <w:t> </w:t>
      </w:r>
      <w:r>
        <w:rPr/>
        <w:t>the</w:t>
      </w:r>
      <w:r>
        <w:rPr>
          <w:spacing w:val="-4"/>
        </w:rPr>
        <w:t> </w:t>
      </w:r>
      <w:r>
        <w:rPr/>
        <w:t>analysis</w:t>
      </w:r>
      <w:r>
        <w:rPr>
          <w:spacing w:val="-6"/>
        </w:rPr>
        <w:t> </w:t>
      </w:r>
      <w:r>
        <w:rPr/>
        <w:t>of</w:t>
      </w:r>
      <w:r>
        <w:rPr>
          <w:spacing w:val="-2"/>
        </w:rPr>
        <w:t> </w:t>
      </w:r>
      <w:r>
        <w:rPr/>
        <w:t>agricultural</w:t>
      </w:r>
      <w:r>
        <w:rPr>
          <w:spacing w:val="-3"/>
        </w:rPr>
        <w:t> </w:t>
      </w:r>
      <w:r>
        <w:rPr/>
        <w:t>economic</w:t>
      </w:r>
      <w:r>
        <w:rPr>
          <w:spacing w:val="-5"/>
        </w:rPr>
        <w:t> </w:t>
      </w:r>
      <w:r>
        <w:rPr/>
        <w:t>viability</w:t>
      </w:r>
      <w:r>
        <w:rPr>
          <w:spacing w:val="-11"/>
        </w:rPr>
        <w:t> </w:t>
      </w:r>
      <w:r>
        <w:rPr/>
        <w:t>(Harwood et al., 1999; Richardson et al., 2005), the majority of studies on the economic viability in dairy</w:t>
      </w:r>
      <w:r>
        <w:rPr>
          <w:spacing w:val="-16"/>
        </w:rPr>
        <w:t> </w:t>
      </w:r>
      <w:r>
        <w:rPr/>
        <w:t>production</w:t>
      </w:r>
      <w:r>
        <w:rPr>
          <w:spacing w:val="-11"/>
        </w:rPr>
        <w:t> </w:t>
      </w:r>
      <w:r>
        <w:rPr/>
        <w:t>have</w:t>
      </w:r>
      <w:r>
        <w:rPr>
          <w:spacing w:val="-12"/>
        </w:rPr>
        <w:t> </w:t>
      </w:r>
      <w:r>
        <w:rPr/>
        <w:t>been</w:t>
      </w:r>
      <w:r>
        <w:rPr>
          <w:spacing w:val="-11"/>
        </w:rPr>
        <w:t> </w:t>
      </w:r>
      <w:r>
        <w:rPr/>
        <w:t>deterministic</w:t>
      </w:r>
      <w:r>
        <w:rPr>
          <w:spacing w:val="-12"/>
        </w:rPr>
        <w:t> </w:t>
      </w:r>
      <w:r>
        <w:rPr/>
        <w:t>(Somda</w:t>
      </w:r>
      <w:r>
        <w:rPr>
          <w:spacing w:val="-12"/>
        </w:rPr>
        <w:t> </w:t>
      </w:r>
      <w:r>
        <w:rPr/>
        <w:t>et</w:t>
      </w:r>
      <w:r>
        <w:rPr>
          <w:spacing w:val="-11"/>
        </w:rPr>
        <w:t> </w:t>
      </w:r>
      <w:r>
        <w:rPr/>
        <w:t>al.,</w:t>
      </w:r>
      <w:r>
        <w:rPr>
          <w:spacing w:val="-11"/>
        </w:rPr>
        <w:t> </w:t>
      </w:r>
      <w:r>
        <w:rPr/>
        <w:t>2005;</w:t>
      </w:r>
      <w:r>
        <w:rPr>
          <w:spacing w:val="-11"/>
        </w:rPr>
        <w:t> </w:t>
      </w:r>
      <w:r>
        <w:rPr/>
        <w:t>Carranza-Trinidad</w:t>
      </w:r>
      <w:r>
        <w:rPr>
          <w:spacing w:val="-11"/>
        </w:rPr>
        <w:t> </w:t>
      </w:r>
      <w:r>
        <w:rPr/>
        <w:t>et</w:t>
      </w:r>
      <w:r>
        <w:rPr>
          <w:spacing w:val="-11"/>
        </w:rPr>
        <w:t> </w:t>
      </w:r>
      <w:r>
        <w:rPr/>
        <w:t>al.,</w:t>
      </w:r>
      <w:r>
        <w:rPr>
          <w:spacing w:val="-11"/>
        </w:rPr>
        <w:t> </w:t>
      </w:r>
      <w:r>
        <w:rPr/>
        <w:t>2007; Gómez et al., 2007; Ndambi et al., 2008). </w:t>
      </w:r>
      <w:r>
        <w:rPr>
          <w:spacing w:val="-3"/>
        </w:rPr>
        <w:t>In </w:t>
      </w:r>
      <w:r>
        <w:rPr/>
        <w:t>deterministic models, the variability of input parameters shows an estimation point for the main variable, rather than the probability distributions that estimate the success or failure possibilities for a project (Hardaker et al., 2004), so that the resulting economic values are punctual invariable estimations for a base year  (Vargas-Leitón and Cuevas-Abrego,</w:t>
      </w:r>
      <w:r>
        <w:rPr>
          <w:spacing w:val="-12"/>
        </w:rPr>
        <w:t> </w:t>
      </w:r>
      <w:r>
        <w:rPr/>
        <w:t>2009).</w:t>
      </w:r>
    </w:p>
    <w:p>
      <w:pPr>
        <w:pStyle w:val="BodyText"/>
      </w:pPr>
    </w:p>
    <w:p>
      <w:pPr>
        <w:pStyle w:val="BodyText"/>
        <w:spacing w:before="3"/>
        <w:rPr>
          <w:sz w:val="33"/>
        </w:rPr>
      </w:pPr>
    </w:p>
    <w:p>
      <w:pPr>
        <w:pStyle w:val="BodyText"/>
        <w:spacing w:line="360" w:lineRule="auto"/>
        <w:ind w:left="102" w:right="119"/>
        <w:jc w:val="both"/>
      </w:pPr>
      <w:r>
        <w:rPr/>
        <w:t>Richardson (2007) defines Monte Carlo as a procedure that turns uncertainty of input and product prices in input variables for the model that generates (prospective) results in accumulated probability functions (APF) that allows to economically and financially evaluate a system in a given planning horizon.</w:t>
      </w:r>
    </w:p>
    <w:p>
      <w:pPr>
        <w:pStyle w:val="BodyText"/>
      </w:pPr>
    </w:p>
    <w:p>
      <w:pPr>
        <w:pStyle w:val="BodyText"/>
        <w:spacing w:before="3"/>
        <w:rPr>
          <w:sz w:val="33"/>
        </w:rPr>
      </w:pPr>
    </w:p>
    <w:p>
      <w:pPr>
        <w:pStyle w:val="BodyText"/>
        <w:spacing w:line="360" w:lineRule="auto"/>
        <w:ind w:left="102" w:right="116"/>
        <w:jc w:val="both"/>
      </w:pPr>
      <w:r>
        <w:rPr/>
        <w:t>In Mexico, Ochoa et al. (1998) utilised Monte Carlo simulation to determine the economic viability</w:t>
      </w:r>
      <w:r>
        <w:rPr>
          <w:spacing w:val="-10"/>
        </w:rPr>
        <w:t> </w:t>
      </w:r>
      <w:r>
        <w:rPr/>
        <w:t>of</w:t>
      </w:r>
      <w:r>
        <w:rPr>
          <w:spacing w:val="-4"/>
        </w:rPr>
        <w:t> </w:t>
      </w:r>
      <w:r>
        <w:rPr/>
        <w:t>large-scale</w:t>
      </w:r>
      <w:r>
        <w:rPr>
          <w:spacing w:val="-6"/>
        </w:rPr>
        <w:t> </w:t>
      </w:r>
      <w:r>
        <w:rPr/>
        <w:t>dairy</w:t>
      </w:r>
      <w:r>
        <w:rPr>
          <w:spacing w:val="-10"/>
        </w:rPr>
        <w:t> </w:t>
      </w:r>
      <w:r>
        <w:rPr/>
        <w:t>systems,</w:t>
      </w:r>
      <w:r>
        <w:rPr>
          <w:spacing w:val="-5"/>
        </w:rPr>
        <w:t> </w:t>
      </w:r>
      <w:r>
        <w:rPr/>
        <w:t>Sagarnaga</w:t>
      </w:r>
      <w:r>
        <w:rPr>
          <w:spacing w:val="-4"/>
        </w:rPr>
        <w:t> </w:t>
      </w:r>
      <w:r>
        <w:rPr/>
        <w:t>et</w:t>
      </w:r>
      <w:r>
        <w:rPr>
          <w:spacing w:val="-3"/>
        </w:rPr>
        <w:t> </w:t>
      </w:r>
      <w:r>
        <w:rPr/>
        <w:t>al.</w:t>
      </w:r>
      <w:r>
        <w:rPr>
          <w:spacing w:val="-5"/>
        </w:rPr>
        <w:t> </w:t>
      </w:r>
      <w:r>
        <w:rPr/>
        <w:t>(1999)</w:t>
      </w:r>
      <w:r>
        <w:rPr>
          <w:spacing w:val="-6"/>
        </w:rPr>
        <w:t> </w:t>
      </w:r>
      <w:r>
        <w:rPr/>
        <w:t>in</w:t>
      </w:r>
      <w:r>
        <w:rPr>
          <w:spacing w:val="-5"/>
        </w:rPr>
        <w:t> </w:t>
      </w:r>
      <w:r>
        <w:rPr/>
        <w:t>the</w:t>
      </w:r>
      <w:r>
        <w:rPr>
          <w:spacing w:val="-6"/>
        </w:rPr>
        <w:t> </w:t>
      </w:r>
      <w:r>
        <w:rPr/>
        <w:t>pig</w:t>
      </w:r>
      <w:r>
        <w:rPr>
          <w:spacing w:val="-8"/>
        </w:rPr>
        <w:t> </w:t>
      </w:r>
      <w:r>
        <w:rPr/>
        <w:t>industry</w:t>
      </w:r>
      <w:r>
        <w:rPr>
          <w:spacing w:val="-8"/>
        </w:rPr>
        <w:t> </w:t>
      </w:r>
      <w:r>
        <w:rPr/>
        <w:t>and</w:t>
      </w:r>
      <w:r>
        <w:rPr>
          <w:spacing w:val="-3"/>
        </w:rPr>
        <w:t> </w:t>
      </w:r>
      <w:r>
        <w:rPr/>
        <w:t>Zavala- Pineda et al. (2012) projected the economic viability of small, medium and large scale pig production.</w:t>
      </w:r>
    </w:p>
    <w:p>
      <w:pPr>
        <w:pStyle w:val="BodyText"/>
      </w:pPr>
    </w:p>
    <w:p>
      <w:pPr>
        <w:pStyle w:val="BodyText"/>
        <w:spacing w:before="4"/>
        <w:rPr>
          <w:sz w:val="33"/>
        </w:rPr>
      </w:pPr>
    </w:p>
    <w:p>
      <w:pPr>
        <w:pStyle w:val="BodyText"/>
        <w:spacing w:line="360" w:lineRule="auto"/>
        <w:ind w:left="102" w:right="121"/>
        <w:jc w:val="both"/>
      </w:pPr>
      <w:r>
        <w:rPr/>
        <w:t>The objective of this work was to determine the economic and financial viability of a Representative</w:t>
      </w:r>
      <w:r>
        <w:rPr>
          <w:spacing w:val="-17"/>
        </w:rPr>
        <w:t> </w:t>
      </w:r>
      <w:r>
        <w:rPr/>
        <w:t>Small-Scale</w:t>
      </w:r>
      <w:r>
        <w:rPr>
          <w:spacing w:val="-17"/>
        </w:rPr>
        <w:t> </w:t>
      </w:r>
      <w:r>
        <w:rPr/>
        <w:t>Dairy</w:t>
      </w:r>
      <w:r>
        <w:rPr>
          <w:spacing w:val="-21"/>
        </w:rPr>
        <w:t> </w:t>
      </w:r>
      <w:r>
        <w:rPr/>
        <w:t>Farm</w:t>
      </w:r>
      <w:r>
        <w:rPr>
          <w:spacing w:val="-17"/>
        </w:rPr>
        <w:t> </w:t>
      </w:r>
      <w:r>
        <w:rPr/>
        <w:t>(RSSDF)</w:t>
      </w:r>
      <w:r>
        <w:rPr>
          <w:spacing w:val="-15"/>
        </w:rPr>
        <w:t> </w:t>
      </w:r>
      <w:r>
        <w:rPr/>
        <w:t>with</w:t>
      </w:r>
      <w:r>
        <w:rPr>
          <w:spacing w:val="-16"/>
        </w:rPr>
        <w:t> </w:t>
      </w:r>
      <w:r>
        <w:rPr/>
        <w:t>a</w:t>
      </w:r>
      <w:r>
        <w:rPr>
          <w:spacing w:val="-18"/>
        </w:rPr>
        <w:t> </w:t>
      </w:r>
      <w:r>
        <w:rPr/>
        <w:t>herd</w:t>
      </w:r>
      <w:r>
        <w:rPr>
          <w:spacing w:val="-18"/>
        </w:rPr>
        <w:t> </w:t>
      </w:r>
      <w:r>
        <w:rPr/>
        <w:t>of</w:t>
      </w:r>
      <w:r>
        <w:rPr>
          <w:spacing w:val="-18"/>
        </w:rPr>
        <w:t> </w:t>
      </w:r>
      <w:r>
        <w:rPr/>
        <w:t>eight</w:t>
      </w:r>
      <w:r>
        <w:rPr>
          <w:spacing w:val="-16"/>
        </w:rPr>
        <w:t> </w:t>
      </w:r>
      <w:r>
        <w:rPr/>
        <w:t>milking</w:t>
      </w:r>
      <w:r>
        <w:rPr>
          <w:spacing w:val="-19"/>
        </w:rPr>
        <w:t> </w:t>
      </w:r>
      <w:r>
        <w:rPr/>
        <w:t>cows</w:t>
      </w:r>
      <w:r>
        <w:rPr>
          <w:spacing w:val="-17"/>
        </w:rPr>
        <w:t> </w:t>
      </w:r>
      <w:r>
        <w:rPr/>
        <w:t>in</w:t>
      </w:r>
      <w:r>
        <w:rPr>
          <w:spacing w:val="-16"/>
        </w:rPr>
        <w:t> </w:t>
      </w:r>
      <w:r>
        <w:rPr/>
        <w:t>central Mexico, through Monte Carlo</w:t>
      </w:r>
      <w:r>
        <w:rPr>
          <w:spacing w:val="-5"/>
        </w:rPr>
        <w:t> </w:t>
      </w:r>
      <w:r>
        <w:rPr/>
        <w:t>simulation.</w:t>
      </w:r>
    </w:p>
    <w:p>
      <w:pPr>
        <w:spacing w:after="0" w:line="360" w:lineRule="auto"/>
        <w:jc w:val="both"/>
        <w:sectPr>
          <w:pgSz w:w="12240" w:h="15840"/>
          <w:pgMar w:header="0" w:footer="657" w:top="1360" w:bottom="840" w:left="1600" w:right="1580"/>
        </w:sectPr>
      </w:pPr>
    </w:p>
    <w:p>
      <w:pPr>
        <w:pStyle w:val="BodyText"/>
        <w:spacing w:line="360" w:lineRule="auto" w:before="50"/>
        <w:ind w:left="102" w:right="121"/>
        <w:jc w:val="both"/>
      </w:pPr>
      <w:r>
        <w:rPr/>
        <w:t>Four risk models were assessed: 1) Hiring of the total needs of labour for the production process; 2) Utilising only family labour for the production process; 3) Purchase of 100% of inputs for feeding the herd; and 4) Withdrawal of all subsidies to production.</w:t>
      </w:r>
    </w:p>
    <w:p>
      <w:pPr>
        <w:pStyle w:val="BodyText"/>
      </w:pPr>
    </w:p>
    <w:p>
      <w:pPr>
        <w:pStyle w:val="BodyText"/>
        <w:spacing w:before="8"/>
        <w:rPr>
          <w:sz w:val="33"/>
        </w:rPr>
      </w:pPr>
    </w:p>
    <w:p>
      <w:pPr>
        <w:pStyle w:val="Heading1"/>
        <w:numPr>
          <w:ilvl w:val="0"/>
          <w:numId w:val="24"/>
        </w:numPr>
        <w:tabs>
          <w:tab w:pos="343" w:val="left" w:leader="none"/>
        </w:tabs>
        <w:spacing w:line="240" w:lineRule="auto" w:before="0" w:after="0"/>
        <w:ind w:left="342" w:right="0" w:hanging="240"/>
        <w:jc w:val="both"/>
      </w:pPr>
      <w:r>
        <w:rPr/>
        <w:t>Materials and</w:t>
      </w:r>
      <w:r>
        <w:rPr>
          <w:spacing w:val="-6"/>
        </w:rPr>
        <w:t> </w:t>
      </w:r>
      <w:r>
        <w:rPr/>
        <w:t>methods</w:t>
      </w:r>
    </w:p>
    <w:p>
      <w:pPr>
        <w:pStyle w:val="BodyText"/>
        <w:rPr>
          <w:b/>
        </w:rPr>
      </w:pPr>
    </w:p>
    <w:p>
      <w:pPr>
        <w:pStyle w:val="BodyText"/>
        <w:rPr>
          <w:b/>
        </w:rPr>
      </w:pPr>
    </w:p>
    <w:p>
      <w:pPr>
        <w:pStyle w:val="BodyText"/>
        <w:spacing w:before="5"/>
        <w:rPr>
          <w:b/>
          <w:sz w:val="20"/>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Study</w:t>
      </w:r>
      <w:r>
        <w:rPr>
          <w:i/>
          <w:spacing w:val="-3"/>
          <w:sz w:val="24"/>
        </w:rPr>
        <w:t> </w:t>
      </w:r>
      <w:r>
        <w:rPr>
          <w:i/>
          <w:sz w:val="24"/>
        </w:rPr>
        <w:t>area</w:t>
      </w:r>
    </w:p>
    <w:p>
      <w:pPr>
        <w:pStyle w:val="BodyText"/>
        <w:rPr>
          <w:i/>
        </w:rPr>
      </w:pPr>
    </w:p>
    <w:p>
      <w:pPr>
        <w:pStyle w:val="BodyText"/>
        <w:rPr>
          <w:i/>
        </w:rPr>
      </w:pPr>
    </w:p>
    <w:p>
      <w:pPr>
        <w:pStyle w:val="BodyText"/>
        <w:spacing w:before="10"/>
        <w:rPr>
          <w:i/>
          <w:sz w:val="20"/>
        </w:rPr>
      </w:pPr>
    </w:p>
    <w:p>
      <w:pPr>
        <w:pStyle w:val="BodyText"/>
        <w:spacing w:line="360" w:lineRule="auto"/>
        <w:ind w:left="102" w:right="118"/>
        <w:jc w:val="both"/>
      </w:pPr>
      <w:r>
        <w:rPr/>
        <w:t>The study area was the Texcoco Rural Development District in the State of Mexico, located at 19° 30' 43 "N y 98° 52' 54" W, at an altitude of 2,250 m, semi-dry temperate climate, a mean annual temperature of 15.9 °C, and a mean rainfall of 686 mm/year (INEGI, 2013).</w:t>
      </w:r>
    </w:p>
    <w:p>
      <w:pPr>
        <w:pStyle w:val="BodyText"/>
      </w:pPr>
    </w:p>
    <w:p>
      <w:pPr>
        <w:pStyle w:val="BodyText"/>
        <w:spacing w:before="3"/>
        <w:rPr>
          <w:sz w:val="33"/>
        </w:rPr>
      </w:pPr>
    </w:p>
    <w:p>
      <w:pPr>
        <w:pStyle w:val="BodyText"/>
        <w:spacing w:line="360" w:lineRule="auto"/>
        <w:ind w:left="102" w:right="119"/>
        <w:jc w:val="both"/>
      </w:pPr>
      <w:r>
        <w:rPr/>
        <w:t>Small-scale dairy systems in the area represent around 85% of farms, and contribute 70% (82,916 metric tons) of the yearly milk production of the district (SIAP, 2013), which may cover the recommended annual intake of 132 litres per person for 628 thousand people (CANILEC, 2013).</w:t>
      </w:r>
    </w:p>
    <w:p>
      <w:pPr>
        <w:pStyle w:val="BodyText"/>
      </w:pPr>
    </w:p>
    <w:p>
      <w:pPr>
        <w:pStyle w:val="BodyText"/>
        <w:spacing w:before="3"/>
        <w:rPr>
          <w:sz w:val="33"/>
        </w:rPr>
      </w:pPr>
    </w:p>
    <w:p>
      <w:pPr>
        <w:pStyle w:val="BodyText"/>
        <w:spacing w:line="360" w:lineRule="auto"/>
        <w:ind w:left="102" w:right="116"/>
        <w:jc w:val="both"/>
      </w:pPr>
      <w:r>
        <w:rPr/>
        <w:t>Herds of 4 to 9 milking cows represent over 50% of farms in the study area, with a mean farm size of 4.0 ha, contributing over 9% to the value of animal produce in the area. Small- scale dairy systems rely on alfalfa (</w:t>
      </w:r>
      <w:r>
        <w:rPr>
          <w:i/>
        </w:rPr>
        <w:t>Medicago sativa</w:t>
      </w:r>
      <w:r>
        <w:rPr/>
        <w:t>), maize (</w:t>
      </w:r>
      <w:r>
        <w:rPr>
          <w:i/>
        </w:rPr>
        <w:t>Zea mays</w:t>
      </w:r>
      <w:r>
        <w:rPr/>
        <w:t>), and oat forage (</w:t>
      </w:r>
      <w:r>
        <w:rPr>
          <w:i/>
        </w:rPr>
        <w:t>Avena sativa</w:t>
      </w:r>
      <w:r>
        <w:rPr/>
        <w:t>), which represent over 90% of feed inputs. Diets are complemented with commercial concentrates and by-products from the food industry (like bread). The main breed is Holstein in 95% of animals (Posadas-Domínguez et al., 2013a).</w:t>
      </w:r>
    </w:p>
    <w:p>
      <w:pPr>
        <w:pStyle w:val="BodyText"/>
      </w:pPr>
    </w:p>
    <w:p>
      <w:pPr>
        <w:pStyle w:val="BodyText"/>
        <w:spacing w:before="3"/>
        <w:rPr>
          <w:sz w:val="33"/>
        </w:rPr>
      </w:pPr>
    </w:p>
    <w:p>
      <w:pPr>
        <w:pStyle w:val="BodyText"/>
        <w:spacing w:line="360" w:lineRule="auto"/>
        <w:ind w:left="102" w:right="119"/>
        <w:jc w:val="both"/>
      </w:pPr>
      <w:r>
        <w:rPr/>
        <w:t>Monetary values transformed into US dollars, at the exchange rate provided by the Bank of Mexico on 22 October 2013, were obtained to analyse the economic and financial viability of the four proposed models.</w:t>
      </w:r>
    </w:p>
    <w:p>
      <w:pPr>
        <w:spacing w:after="0" w:line="360" w:lineRule="auto"/>
        <w:jc w:val="both"/>
        <w:sectPr>
          <w:pgSz w:w="12240" w:h="15840"/>
          <w:pgMar w:header="0" w:footer="657" w:top="1360" w:bottom="840" w:left="1600" w:right="1580"/>
        </w:sectPr>
      </w:pPr>
    </w:p>
    <w:p>
      <w:pPr>
        <w:pStyle w:val="ListParagraph"/>
        <w:numPr>
          <w:ilvl w:val="1"/>
          <w:numId w:val="24"/>
        </w:numPr>
        <w:tabs>
          <w:tab w:pos="522" w:val="left" w:leader="none"/>
        </w:tabs>
        <w:spacing w:line="240" w:lineRule="auto" w:before="50" w:after="0"/>
        <w:ind w:left="522" w:right="0" w:hanging="420"/>
        <w:jc w:val="both"/>
        <w:rPr>
          <w:i/>
          <w:sz w:val="24"/>
        </w:rPr>
      </w:pPr>
      <w:r>
        <w:rPr>
          <w:i/>
          <w:sz w:val="24"/>
        </w:rPr>
        <w:t>Government transferences (support</w:t>
      </w:r>
      <w:r>
        <w:rPr>
          <w:i/>
          <w:spacing w:val="-10"/>
          <w:sz w:val="24"/>
        </w:rPr>
        <w:t> </w:t>
      </w:r>
      <w:r>
        <w:rPr>
          <w:i/>
          <w:sz w:val="24"/>
        </w:rPr>
        <w:t>schemes)</w:t>
      </w:r>
    </w:p>
    <w:p>
      <w:pPr>
        <w:pStyle w:val="BodyText"/>
        <w:rPr>
          <w:i/>
        </w:rPr>
      </w:pPr>
    </w:p>
    <w:p>
      <w:pPr>
        <w:pStyle w:val="BodyText"/>
        <w:rPr>
          <w:i/>
        </w:rPr>
      </w:pPr>
    </w:p>
    <w:p>
      <w:pPr>
        <w:pStyle w:val="BodyText"/>
        <w:spacing w:before="10"/>
        <w:rPr>
          <w:i/>
          <w:sz w:val="20"/>
        </w:rPr>
      </w:pPr>
    </w:p>
    <w:p>
      <w:pPr>
        <w:pStyle w:val="BodyText"/>
        <w:spacing w:line="360" w:lineRule="auto"/>
        <w:ind w:left="102" w:right="98"/>
        <w:jc w:val="both"/>
      </w:pPr>
      <w:r>
        <w:rPr/>
        <w:t>Four government support schemes to farmers were identified: 1) Programme for the direct support of agricultural production (</w:t>
      </w:r>
      <w:r>
        <w:rPr>
          <w:i/>
        </w:rPr>
        <w:t>PROCAMPO) </w:t>
      </w:r>
      <w:r>
        <w:rPr/>
        <w:t>with a yearly subsidy of US$ 92.40/ha; 2) Programme of incentives to livestock production (</w:t>
      </w:r>
      <w:r>
        <w:rPr>
          <w:i/>
        </w:rPr>
        <w:t>PROGAN</w:t>
      </w:r>
      <w:r>
        <w:rPr/>
        <w:t>) with US$ 33.10 per adult</w:t>
      </w:r>
      <w:r>
        <w:rPr>
          <w:spacing w:val="-35"/>
        </w:rPr>
        <w:t> </w:t>
      </w:r>
      <w:r>
        <w:rPr/>
        <w:t>cow;</w:t>
      </w:r>
    </w:p>
    <w:p>
      <w:pPr>
        <w:pStyle w:val="BodyText"/>
        <w:spacing w:line="360" w:lineRule="auto" w:before="6"/>
        <w:ind w:left="102" w:right="100"/>
        <w:jc w:val="both"/>
      </w:pPr>
      <w:r>
        <w:rPr/>
        <w:t>3) Programme for productive assets with a 50% subsidy on the purchase of agricultural assets;</w:t>
      </w:r>
      <w:r>
        <w:rPr>
          <w:spacing w:val="-13"/>
        </w:rPr>
        <w:t> </w:t>
      </w:r>
      <w:r>
        <w:rPr/>
        <w:t>and</w:t>
      </w:r>
      <w:r>
        <w:rPr>
          <w:spacing w:val="-13"/>
        </w:rPr>
        <w:t> </w:t>
      </w:r>
      <w:r>
        <w:rPr/>
        <w:t>4)</w:t>
      </w:r>
      <w:r>
        <w:rPr>
          <w:spacing w:val="-14"/>
        </w:rPr>
        <w:t> </w:t>
      </w:r>
      <w:r>
        <w:rPr/>
        <w:t>Agricultural</w:t>
      </w:r>
      <w:r>
        <w:rPr>
          <w:spacing w:val="-13"/>
        </w:rPr>
        <w:t> </w:t>
      </w:r>
      <w:r>
        <w:rPr/>
        <w:t>diesel</w:t>
      </w:r>
      <w:r>
        <w:rPr>
          <w:spacing w:val="-13"/>
        </w:rPr>
        <w:t> </w:t>
      </w:r>
      <w:r>
        <w:rPr/>
        <w:t>fuel,</w:t>
      </w:r>
      <w:r>
        <w:rPr>
          <w:spacing w:val="-11"/>
        </w:rPr>
        <w:t> </w:t>
      </w:r>
      <w:r>
        <w:rPr/>
        <w:t>with</w:t>
      </w:r>
      <w:r>
        <w:rPr>
          <w:spacing w:val="-13"/>
        </w:rPr>
        <w:t> </w:t>
      </w:r>
      <w:r>
        <w:rPr/>
        <w:t>a</w:t>
      </w:r>
      <w:r>
        <w:rPr>
          <w:spacing w:val="-12"/>
        </w:rPr>
        <w:t> </w:t>
      </w:r>
      <w:r>
        <w:rPr/>
        <w:t>direct</w:t>
      </w:r>
      <w:r>
        <w:rPr>
          <w:spacing w:val="-8"/>
        </w:rPr>
        <w:t> </w:t>
      </w:r>
      <w:r>
        <w:rPr/>
        <w:t>support</w:t>
      </w:r>
      <w:r>
        <w:rPr>
          <w:spacing w:val="-13"/>
        </w:rPr>
        <w:t> </w:t>
      </w:r>
      <w:r>
        <w:rPr/>
        <w:t>of</w:t>
      </w:r>
      <w:r>
        <w:rPr>
          <w:spacing w:val="-14"/>
        </w:rPr>
        <w:t> </w:t>
      </w:r>
      <w:r>
        <w:rPr/>
        <w:t>US$</w:t>
      </w:r>
      <w:r>
        <w:rPr>
          <w:spacing w:val="-13"/>
        </w:rPr>
        <w:t> </w:t>
      </w:r>
      <w:r>
        <w:rPr/>
        <w:t>41.60/ha</w:t>
      </w:r>
      <w:r>
        <w:rPr>
          <w:spacing w:val="-9"/>
        </w:rPr>
        <w:t> </w:t>
      </w:r>
      <w:r>
        <w:rPr/>
        <w:t>with</w:t>
      </w:r>
      <w:r>
        <w:rPr>
          <w:spacing w:val="-13"/>
        </w:rPr>
        <w:t> </w:t>
      </w:r>
      <w:r>
        <w:rPr/>
        <w:t>a</w:t>
      </w:r>
      <w:r>
        <w:rPr>
          <w:spacing w:val="-14"/>
        </w:rPr>
        <w:t> </w:t>
      </w:r>
      <w:r>
        <w:rPr/>
        <w:t>maximum of 5.0</w:t>
      </w:r>
      <w:r>
        <w:rPr>
          <w:spacing w:val="-4"/>
        </w:rPr>
        <w:t> </w:t>
      </w:r>
      <w:r>
        <w:rPr/>
        <w:t>ha/farmer.</w:t>
      </w:r>
    </w:p>
    <w:p>
      <w:pPr>
        <w:pStyle w:val="BodyText"/>
      </w:pPr>
    </w:p>
    <w:p>
      <w:pPr>
        <w:pStyle w:val="BodyText"/>
        <w:spacing w:before="4"/>
        <w:rPr>
          <w:sz w:val="33"/>
        </w:rPr>
      </w:pPr>
    </w:p>
    <w:p>
      <w:pPr>
        <w:pStyle w:val="ListParagraph"/>
        <w:numPr>
          <w:ilvl w:val="1"/>
          <w:numId w:val="24"/>
        </w:numPr>
        <w:tabs>
          <w:tab w:pos="522" w:val="left" w:leader="none"/>
        </w:tabs>
        <w:spacing w:line="240" w:lineRule="auto" w:before="0" w:after="0"/>
        <w:ind w:left="522" w:right="0" w:hanging="420"/>
        <w:jc w:val="both"/>
        <w:rPr>
          <w:i/>
          <w:sz w:val="24"/>
        </w:rPr>
      </w:pPr>
      <w:r>
        <w:rPr>
          <w:i/>
          <w:sz w:val="24"/>
        </w:rPr>
        <w:t>Panel</w:t>
      </w:r>
      <w:r>
        <w:rPr>
          <w:i/>
          <w:spacing w:val="-4"/>
          <w:sz w:val="24"/>
        </w:rPr>
        <w:t> </w:t>
      </w:r>
      <w:r>
        <w:rPr>
          <w:i/>
          <w:sz w:val="24"/>
        </w:rPr>
        <w:t>technique</w:t>
      </w:r>
    </w:p>
    <w:p>
      <w:pPr>
        <w:pStyle w:val="BodyText"/>
        <w:rPr>
          <w:i/>
        </w:rPr>
      </w:pPr>
    </w:p>
    <w:p>
      <w:pPr>
        <w:pStyle w:val="BodyText"/>
        <w:rPr>
          <w:i/>
        </w:rPr>
      </w:pPr>
    </w:p>
    <w:p>
      <w:pPr>
        <w:pStyle w:val="BodyText"/>
        <w:spacing w:before="10"/>
        <w:rPr>
          <w:i/>
          <w:sz w:val="20"/>
        </w:rPr>
      </w:pPr>
    </w:p>
    <w:p>
      <w:pPr>
        <w:pStyle w:val="BodyText"/>
        <w:spacing w:line="360" w:lineRule="auto"/>
        <w:ind w:left="102" w:right="98"/>
        <w:jc w:val="both"/>
      </w:pPr>
      <w:r>
        <w:rPr/>
        <w:t>The panel technique forms a group of representative farmers from a region that characterise a production system. In several sessions, participating farmers provide data related to the economics and finances of the farm. In each panel, an interactive and iterative interview is carried out utilising a process of consensus building (Miller and Salkind, 2002). In this process,</w:t>
      </w:r>
      <w:r>
        <w:rPr>
          <w:spacing w:val="-11"/>
        </w:rPr>
        <w:t> </w:t>
      </w:r>
      <w:r>
        <w:rPr/>
        <w:t>farmers</w:t>
      </w:r>
      <w:r>
        <w:rPr>
          <w:spacing w:val="-12"/>
        </w:rPr>
        <w:t> </w:t>
      </w:r>
      <w:r>
        <w:rPr/>
        <w:t>must</w:t>
      </w:r>
      <w:r>
        <w:rPr>
          <w:spacing w:val="-10"/>
        </w:rPr>
        <w:t> </w:t>
      </w:r>
      <w:r>
        <w:rPr/>
        <w:t>discuss</w:t>
      </w:r>
      <w:r>
        <w:rPr>
          <w:spacing w:val="-11"/>
        </w:rPr>
        <w:t> </w:t>
      </w:r>
      <w:r>
        <w:rPr/>
        <w:t>and</w:t>
      </w:r>
      <w:r>
        <w:rPr>
          <w:spacing w:val="-11"/>
        </w:rPr>
        <w:t> </w:t>
      </w:r>
      <w:r>
        <w:rPr/>
        <w:t>agree</w:t>
      </w:r>
      <w:r>
        <w:rPr>
          <w:spacing w:val="-12"/>
        </w:rPr>
        <w:t> </w:t>
      </w:r>
      <w:r>
        <w:rPr/>
        <w:t>on</w:t>
      </w:r>
      <w:r>
        <w:rPr>
          <w:spacing w:val="-11"/>
        </w:rPr>
        <w:t> </w:t>
      </w:r>
      <w:r>
        <w:rPr/>
        <w:t>a</w:t>
      </w:r>
      <w:r>
        <w:rPr>
          <w:spacing w:val="-10"/>
        </w:rPr>
        <w:t> </w:t>
      </w:r>
      <w:r>
        <w:rPr/>
        <w:t>“type”</w:t>
      </w:r>
      <w:r>
        <w:rPr>
          <w:spacing w:val="-12"/>
        </w:rPr>
        <w:t> </w:t>
      </w:r>
      <w:r>
        <w:rPr/>
        <w:t>or</w:t>
      </w:r>
      <w:r>
        <w:rPr>
          <w:spacing w:val="-12"/>
        </w:rPr>
        <w:t> </w:t>
      </w:r>
      <w:r>
        <w:rPr/>
        <w:t>“model”</w:t>
      </w:r>
      <w:r>
        <w:rPr>
          <w:spacing w:val="-10"/>
        </w:rPr>
        <w:t> </w:t>
      </w:r>
      <w:r>
        <w:rPr/>
        <w:t>farm</w:t>
      </w:r>
      <w:r>
        <w:rPr>
          <w:spacing w:val="-11"/>
        </w:rPr>
        <w:t> </w:t>
      </w:r>
      <w:r>
        <w:rPr/>
        <w:t>that</w:t>
      </w:r>
      <w:r>
        <w:rPr>
          <w:spacing w:val="-11"/>
        </w:rPr>
        <w:t> </w:t>
      </w:r>
      <w:r>
        <w:rPr/>
        <w:t>represents</w:t>
      </w:r>
      <w:r>
        <w:rPr>
          <w:spacing w:val="-10"/>
        </w:rPr>
        <w:t> </w:t>
      </w:r>
      <w:r>
        <w:rPr/>
        <w:t>the</w:t>
      </w:r>
      <w:r>
        <w:rPr>
          <w:spacing w:val="-12"/>
        </w:rPr>
        <w:t> </w:t>
      </w:r>
      <w:r>
        <w:rPr/>
        <w:t>scale and operation system of their own farms (Zavala-Pineda et al.,</w:t>
      </w:r>
      <w:r>
        <w:rPr>
          <w:spacing w:val="-10"/>
        </w:rPr>
        <w:t> </w:t>
      </w:r>
      <w:r>
        <w:rPr/>
        <w:t>2012).</w:t>
      </w:r>
    </w:p>
    <w:p>
      <w:pPr>
        <w:pStyle w:val="BodyText"/>
      </w:pPr>
    </w:p>
    <w:p>
      <w:pPr>
        <w:pStyle w:val="BodyText"/>
        <w:spacing w:before="3"/>
        <w:rPr>
          <w:sz w:val="33"/>
        </w:rPr>
      </w:pPr>
    </w:p>
    <w:p>
      <w:pPr>
        <w:pStyle w:val="BodyText"/>
        <w:spacing w:line="360" w:lineRule="auto"/>
        <w:ind w:left="102" w:right="99"/>
        <w:jc w:val="both"/>
      </w:pPr>
      <w:r>
        <w:rPr/>
        <w:t>Panel</w:t>
      </w:r>
      <w:r>
        <w:rPr>
          <w:spacing w:val="-8"/>
        </w:rPr>
        <w:t> </w:t>
      </w:r>
      <w:r>
        <w:rPr/>
        <w:t>members</w:t>
      </w:r>
      <w:r>
        <w:rPr>
          <w:spacing w:val="-9"/>
        </w:rPr>
        <w:t> </w:t>
      </w:r>
      <w:r>
        <w:rPr/>
        <w:t>provide</w:t>
      </w:r>
      <w:r>
        <w:rPr>
          <w:spacing w:val="-10"/>
        </w:rPr>
        <w:t> </w:t>
      </w:r>
      <w:r>
        <w:rPr/>
        <w:t>information</w:t>
      </w:r>
      <w:r>
        <w:rPr>
          <w:spacing w:val="-8"/>
        </w:rPr>
        <w:t> </w:t>
      </w:r>
      <w:r>
        <w:rPr/>
        <w:t>on</w:t>
      </w:r>
      <w:r>
        <w:rPr>
          <w:spacing w:val="-9"/>
        </w:rPr>
        <w:t> </w:t>
      </w:r>
      <w:r>
        <w:rPr/>
        <w:t>the</w:t>
      </w:r>
      <w:r>
        <w:rPr>
          <w:spacing w:val="-9"/>
        </w:rPr>
        <w:t> </w:t>
      </w:r>
      <w:r>
        <w:rPr/>
        <w:t>technical</w:t>
      </w:r>
      <w:r>
        <w:rPr>
          <w:spacing w:val="-8"/>
        </w:rPr>
        <w:t> </w:t>
      </w:r>
      <w:r>
        <w:rPr/>
        <w:t>and</w:t>
      </w:r>
      <w:r>
        <w:rPr>
          <w:spacing w:val="-9"/>
        </w:rPr>
        <w:t> </w:t>
      </w:r>
      <w:r>
        <w:rPr/>
        <w:t>economic</w:t>
      </w:r>
      <w:r>
        <w:rPr>
          <w:spacing w:val="-10"/>
        </w:rPr>
        <w:t> </w:t>
      </w:r>
      <w:r>
        <w:rPr/>
        <w:t>variables,</w:t>
      </w:r>
      <w:r>
        <w:rPr>
          <w:spacing w:val="-8"/>
        </w:rPr>
        <w:t> </w:t>
      </w:r>
      <w:r>
        <w:rPr/>
        <w:t>productive</w:t>
      </w:r>
      <w:r>
        <w:rPr>
          <w:spacing w:val="-10"/>
        </w:rPr>
        <w:t> </w:t>
      </w:r>
      <w:r>
        <w:rPr/>
        <w:t>and commercial scale, production of inputs, feeding, costs of production, farm size, milking cows, historical yields of milk and inputs, government programmes and subsidy amounts, land</w:t>
      </w:r>
      <w:r>
        <w:rPr>
          <w:spacing w:val="-9"/>
        </w:rPr>
        <w:t> </w:t>
      </w:r>
      <w:r>
        <w:rPr/>
        <w:t>tenure,</w:t>
      </w:r>
      <w:r>
        <w:rPr>
          <w:spacing w:val="-9"/>
        </w:rPr>
        <w:t> </w:t>
      </w:r>
      <w:r>
        <w:rPr/>
        <w:t>rent</w:t>
      </w:r>
      <w:r>
        <w:rPr>
          <w:spacing w:val="-8"/>
        </w:rPr>
        <w:t> </w:t>
      </w:r>
      <w:r>
        <w:rPr/>
        <w:t>expenditures,</w:t>
      </w:r>
      <w:r>
        <w:rPr>
          <w:spacing w:val="-8"/>
        </w:rPr>
        <w:t> </w:t>
      </w:r>
      <w:r>
        <w:rPr/>
        <w:t>machinery</w:t>
      </w:r>
      <w:r>
        <w:rPr>
          <w:spacing w:val="-13"/>
        </w:rPr>
        <w:t> </w:t>
      </w:r>
      <w:r>
        <w:rPr/>
        <w:t>and</w:t>
      </w:r>
      <w:r>
        <w:rPr>
          <w:spacing w:val="-6"/>
        </w:rPr>
        <w:t> </w:t>
      </w:r>
      <w:r>
        <w:rPr/>
        <w:t>agricultural</w:t>
      </w:r>
      <w:r>
        <w:rPr>
          <w:spacing w:val="-8"/>
        </w:rPr>
        <w:t> </w:t>
      </w:r>
      <w:r>
        <w:rPr/>
        <w:t>implements.</w:t>
      </w:r>
      <w:r>
        <w:rPr>
          <w:spacing w:val="-8"/>
        </w:rPr>
        <w:t> </w:t>
      </w:r>
      <w:r>
        <w:rPr/>
        <w:t>These</w:t>
      </w:r>
      <w:r>
        <w:rPr>
          <w:spacing w:val="-9"/>
        </w:rPr>
        <w:t> </w:t>
      </w:r>
      <w:r>
        <w:rPr/>
        <w:t>data</w:t>
      </w:r>
      <w:r>
        <w:rPr>
          <w:spacing w:val="-9"/>
        </w:rPr>
        <w:t> </w:t>
      </w:r>
      <w:r>
        <w:rPr/>
        <w:t>were</w:t>
      </w:r>
      <w:r>
        <w:rPr>
          <w:spacing w:val="-10"/>
        </w:rPr>
        <w:t> </w:t>
      </w:r>
      <w:r>
        <w:rPr/>
        <w:t>used to develop a distribution of information in accordance to Lemiux et al. (1982). The utilised simulation</w:t>
      </w:r>
      <w:r>
        <w:rPr>
          <w:spacing w:val="-6"/>
        </w:rPr>
        <w:t> </w:t>
      </w:r>
      <w:r>
        <w:rPr/>
        <w:t>techniques</w:t>
      </w:r>
      <w:r>
        <w:rPr>
          <w:spacing w:val="-6"/>
        </w:rPr>
        <w:t> </w:t>
      </w:r>
      <w:r>
        <w:rPr/>
        <w:t>linked</w:t>
      </w:r>
      <w:r>
        <w:rPr>
          <w:spacing w:val="-6"/>
        </w:rPr>
        <w:t> </w:t>
      </w:r>
      <w:r>
        <w:rPr/>
        <w:t>to</w:t>
      </w:r>
      <w:r>
        <w:rPr>
          <w:spacing w:val="-6"/>
        </w:rPr>
        <w:t> </w:t>
      </w:r>
      <w:r>
        <w:rPr/>
        <w:t>the</w:t>
      </w:r>
      <w:r>
        <w:rPr>
          <w:spacing w:val="-7"/>
        </w:rPr>
        <w:t> </w:t>
      </w:r>
      <w:r>
        <w:rPr/>
        <w:t>representative</w:t>
      </w:r>
      <w:r>
        <w:rPr>
          <w:spacing w:val="-4"/>
        </w:rPr>
        <w:t> </w:t>
      </w:r>
      <w:r>
        <w:rPr/>
        <w:t>panel</w:t>
      </w:r>
      <w:r>
        <w:rPr>
          <w:spacing w:val="-6"/>
        </w:rPr>
        <w:t> </w:t>
      </w:r>
      <w:r>
        <w:rPr/>
        <w:t>have</w:t>
      </w:r>
      <w:r>
        <w:rPr>
          <w:spacing w:val="-7"/>
        </w:rPr>
        <w:t> </w:t>
      </w:r>
      <w:r>
        <w:rPr/>
        <w:t>been</w:t>
      </w:r>
      <w:r>
        <w:rPr>
          <w:spacing w:val="-6"/>
        </w:rPr>
        <w:t> </w:t>
      </w:r>
      <w:r>
        <w:rPr/>
        <w:t>successful</w:t>
      </w:r>
      <w:r>
        <w:rPr>
          <w:spacing w:val="-6"/>
        </w:rPr>
        <w:t> </w:t>
      </w:r>
      <w:r>
        <w:rPr/>
        <w:t>in</w:t>
      </w:r>
      <w:r>
        <w:rPr>
          <w:spacing w:val="-6"/>
        </w:rPr>
        <w:t> </w:t>
      </w:r>
      <w:r>
        <w:rPr/>
        <w:t>determining the economic and financial viability of agricultural systems (Sagarnaga et al.,</w:t>
      </w:r>
      <w:r>
        <w:rPr>
          <w:spacing w:val="-18"/>
        </w:rPr>
        <w:t> </w:t>
      </w:r>
      <w:r>
        <w:rPr/>
        <w:t>1999).</w:t>
      </w:r>
    </w:p>
    <w:p>
      <w:pPr>
        <w:pStyle w:val="BodyText"/>
      </w:pPr>
    </w:p>
    <w:p>
      <w:pPr>
        <w:pStyle w:val="BodyText"/>
        <w:spacing w:before="3"/>
        <w:rPr>
          <w:sz w:val="33"/>
        </w:rPr>
      </w:pPr>
    </w:p>
    <w:p>
      <w:pPr>
        <w:pStyle w:val="BodyText"/>
        <w:spacing w:line="360" w:lineRule="auto"/>
        <w:ind w:left="102" w:right="104"/>
        <w:jc w:val="both"/>
      </w:pPr>
      <w:r>
        <w:rPr/>
        <w:t>The RSSDF was formed with a herd of 8 milking cows that represented 130 farmers in the study area.  The  panel  was  conformed  by 22  farmers,  four  experts  (two  in</w:t>
      </w:r>
      <w:r>
        <w:rPr>
          <w:spacing w:val="53"/>
        </w:rPr>
        <w:t> </w:t>
      </w:r>
      <w:r>
        <w:rPr/>
        <w:t>agricultural</w:t>
      </w:r>
    </w:p>
    <w:p>
      <w:pPr>
        <w:spacing w:after="0" w:line="360" w:lineRule="auto"/>
        <w:jc w:val="both"/>
        <w:sectPr>
          <w:pgSz w:w="12240" w:h="15840"/>
          <w:pgMar w:header="0" w:footer="657" w:top="1360" w:bottom="840" w:left="1600" w:right="1600"/>
        </w:sectPr>
      </w:pPr>
    </w:p>
    <w:p>
      <w:pPr>
        <w:pStyle w:val="BodyText"/>
        <w:spacing w:line="362" w:lineRule="auto" w:before="50"/>
        <w:ind w:left="102" w:right="124"/>
        <w:jc w:val="both"/>
      </w:pPr>
      <w:r>
        <w:rPr/>
        <w:t>economics and two in animal science) and a representative from the local dairy farmers association.</w:t>
      </w:r>
    </w:p>
    <w:p>
      <w:pPr>
        <w:pStyle w:val="BodyText"/>
      </w:pPr>
    </w:p>
    <w:p>
      <w:pPr>
        <w:pStyle w:val="BodyText"/>
        <w:spacing w:before="1"/>
        <w:rPr>
          <w:sz w:val="33"/>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Risk</w:t>
      </w:r>
      <w:r>
        <w:rPr>
          <w:i/>
          <w:spacing w:val="-2"/>
          <w:sz w:val="24"/>
        </w:rPr>
        <w:t> </w:t>
      </w:r>
      <w:r>
        <w:rPr>
          <w:i/>
          <w:sz w:val="24"/>
        </w:rPr>
        <w:t>analysis</w:t>
      </w:r>
    </w:p>
    <w:p>
      <w:pPr>
        <w:pStyle w:val="BodyText"/>
        <w:rPr>
          <w:i/>
        </w:rPr>
      </w:pPr>
    </w:p>
    <w:p>
      <w:pPr>
        <w:pStyle w:val="BodyText"/>
        <w:rPr>
          <w:i/>
        </w:rPr>
      </w:pPr>
    </w:p>
    <w:p>
      <w:pPr>
        <w:pStyle w:val="BodyText"/>
        <w:spacing w:before="10"/>
        <w:rPr>
          <w:i/>
          <w:sz w:val="20"/>
        </w:rPr>
      </w:pPr>
    </w:p>
    <w:p>
      <w:pPr>
        <w:spacing w:line="360" w:lineRule="auto" w:before="0"/>
        <w:ind w:left="102" w:right="115" w:firstLine="0"/>
        <w:jc w:val="both"/>
        <w:rPr>
          <w:sz w:val="24"/>
        </w:rPr>
      </w:pPr>
      <w:r>
        <w:rPr>
          <w:sz w:val="24"/>
        </w:rPr>
        <w:t>The MexSim model for econometric simulation and risk analysis was used. The model was developed by the </w:t>
      </w:r>
      <w:r>
        <w:rPr>
          <w:i/>
          <w:sz w:val="24"/>
        </w:rPr>
        <w:t>Texas Extension and Education Foundation (TEEF), </w:t>
      </w:r>
      <w:r>
        <w:rPr>
          <w:sz w:val="24"/>
        </w:rPr>
        <w:t>of the </w:t>
      </w:r>
      <w:r>
        <w:rPr>
          <w:i/>
          <w:sz w:val="24"/>
        </w:rPr>
        <w:t>Agricultural </w:t>
      </w:r>
      <w:r>
        <w:rPr>
          <w:i/>
          <w:sz w:val="24"/>
        </w:rPr>
        <w:t>and</w:t>
      </w:r>
      <w:r>
        <w:rPr>
          <w:i/>
          <w:spacing w:val="-4"/>
          <w:sz w:val="24"/>
        </w:rPr>
        <w:t> </w:t>
      </w:r>
      <w:r>
        <w:rPr>
          <w:i/>
          <w:sz w:val="24"/>
        </w:rPr>
        <w:t>Food</w:t>
      </w:r>
      <w:r>
        <w:rPr>
          <w:i/>
          <w:spacing w:val="-4"/>
          <w:sz w:val="24"/>
        </w:rPr>
        <w:t> </w:t>
      </w:r>
      <w:r>
        <w:rPr>
          <w:i/>
          <w:sz w:val="24"/>
        </w:rPr>
        <w:t>Policy</w:t>
      </w:r>
      <w:r>
        <w:rPr>
          <w:i/>
          <w:spacing w:val="-5"/>
          <w:sz w:val="24"/>
        </w:rPr>
        <w:t> </w:t>
      </w:r>
      <w:r>
        <w:rPr>
          <w:i/>
          <w:sz w:val="24"/>
        </w:rPr>
        <w:t>Center</w:t>
      </w:r>
      <w:r>
        <w:rPr>
          <w:i/>
          <w:spacing w:val="-1"/>
          <w:sz w:val="24"/>
        </w:rPr>
        <w:t> </w:t>
      </w:r>
      <w:r>
        <w:rPr>
          <w:i/>
          <w:sz w:val="24"/>
        </w:rPr>
        <w:t>(AFPC)</w:t>
      </w:r>
      <w:r>
        <w:rPr>
          <w:i/>
          <w:spacing w:val="-6"/>
          <w:sz w:val="24"/>
        </w:rPr>
        <w:t> </w:t>
      </w:r>
      <w:r>
        <w:rPr>
          <w:sz w:val="24"/>
        </w:rPr>
        <w:t>of</w:t>
      </w:r>
      <w:r>
        <w:rPr>
          <w:spacing w:val="-4"/>
          <w:sz w:val="24"/>
        </w:rPr>
        <w:t> </w:t>
      </w:r>
      <w:r>
        <w:rPr>
          <w:i/>
          <w:sz w:val="24"/>
        </w:rPr>
        <w:t>Texas</w:t>
      </w:r>
      <w:r>
        <w:rPr>
          <w:i/>
          <w:spacing w:val="-4"/>
          <w:sz w:val="24"/>
        </w:rPr>
        <w:t> </w:t>
      </w:r>
      <w:r>
        <w:rPr>
          <w:i/>
          <w:sz w:val="24"/>
        </w:rPr>
        <w:t>A&amp;M</w:t>
      </w:r>
      <w:r>
        <w:rPr>
          <w:i/>
          <w:spacing w:val="-2"/>
          <w:sz w:val="24"/>
        </w:rPr>
        <w:t> </w:t>
      </w:r>
      <w:r>
        <w:rPr>
          <w:i/>
          <w:sz w:val="24"/>
        </w:rPr>
        <w:t>University</w:t>
      </w:r>
      <w:r>
        <w:rPr>
          <w:i/>
          <w:spacing w:val="-3"/>
          <w:sz w:val="24"/>
        </w:rPr>
        <w:t> </w:t>
      </w:r>
      <w:r>
        <w:rPr>
          <w:sz w:val="24"/>
        </w:rPr>
        <w:t>(TAMU)</w:t>
      </w:r>
      <w:r>
        <w:rPr>
          <w:spacing w:val="-5"/>
          <w:sz w:val="24"/>
        </w:rPr>
        <w:t> </w:t>
      </w:r>
      <w:r>
        <w:rPr>
          <w:sz w:val="24"/>
        </w:rPr>
        <w:t>in</w:t>
      </w:r>
      <w:r>
        <w:rPr>
          <w:spacing w:val="-3"/>
          <w:sz w:val="24"/>
        </w:rPr>
        <w:t> </w:t>
      </w:r>
      <w:r>
        <w:rPr>
          <w:sz w:val="24"/>
        </w:rPr>
        <w:t>conjunction</w:t>
      </w:r>
      <w:r>
        <w:rPr>
          <w:spacing w:val="-4"/>
          <w:sz w:val="24"/>
        </w:rPr>
        <w:t> </w:t>
      </w:r>
      <w:r>
        <w:rPr>
          <w:sz w:val="24"/>
        </w:rPr>
        <w:t>with</w:t>
      </w:r>
      <w:r>
        <w:rPr>
          <w:spacing w:val="-3"/>
          <w:sz w:val="24"/>
        </w:rPr>
        <w:t> </w:t>
      </w:r>
      <w:r>
        <w:rPr>
          <w:sz w:val="24"/>
        </w:rPr>
        <w:t>the Mexican Ministry of Agriculture, Livestock, Rural Development, Fisheries, and Food (</w:t>
      </w:r>
      <w:r>
        <w:rPr>
          <w:i/>
          <w:sz w:val="24"/>
        </w:rPr>
        <w:t>Secretaría de Agricultura, Ganadería, Desarrollo Rural, Pesca y Alimentación </w:t>
      </w:r>
      <w:r>
        <w:rPr>
          <w:sz w:val="24"/>
        </w:rPr>
        <w:t>- SAGARPA) and the Mexican Network for Research in Agri-Food Policy (</w:t>
      </w:r>
      <w:r>
        <w:rPr>
          <w:i/>
          <w:sz w:val="24"/>
        </w:rPr>
        <w:t>Red Mexicana de </w:t>
      </w:r>
      <w:r>
        <w:rPr>
          <w:i/>
          <w:sz w:val="24"/>
        </w:rPr>
        <w:t>Investigación en Política Agroalimentaria) </w:t>
      </w:r>
      <w:r>
        <w:rPr>
          <w:sz w:val="24"/>
        </w:rPr>
        <w:t>(Agroprospecta, 2009)</w:t>
      </w:r>
      <w:r>
        <w:rPr>
          <w:i/>
          <w:sz w:val="24"/>
        </w:rPr>
        <w:t>. </w:t>
      </w:r>
      <w:r>
        <w:rPr>
          <w:sz w:val="24"/>
        </w:rPr>
        <w:t>The MexSim model projects the economic viability of the Mexican agricultural sector under conditions of risk and uncertainty; and its development evolved from the </w:t>
      </w:r>
      <w:r>
        <w:rPr>
          <w:i/>
          <w:sz w:val="24"/>
        </w:rPr>
        <w:t>FLIPSIM </w:t>
      </w:r>
      <w:r>
        <w:rPr>
          <w:sz w:val="24"/>
        </w:rPr>
        <w:t>model (The Farm Level Income</w:t>
      </w:r>
      <w:r>
        <w:rPr>
          <w:spacing w:val="-7"/>
          <w:sz w:val="24"/>
        </w:rPr>
        <w:t> </w:t>
      </w:r>
      <w:r>
        <w:rPr>
          <w:sz w:val="24"/>
        </w:rPr>
        <w:t>and</w:t>
      </w:r>
      <w:r>
        <w:rPr>
          <w:spacing w:val="-6"/>
          <w:sz w:val="24"/>
        </w:rPr>
        <w:t> </w:t>
      </w:r>
      <w:r>
        <w:rPr>
          <w:sz w:val="24"/>
        </w:rPr>
        <w:t>Policy</w:t>
      </w:r>
      <w:r>
        <w:rPr>
          <w:spacing w:val="-11"/>
          <w:sz w:val="24"/>
        </w:rPr>
        <w:t> </w:t>
      </w:r>
      <w:r>
        <w:rPr>
          <w:sz w:val="24"/>
        </w:rPr>
        <w:t>Simulation</w:t>
      </w:r>
      <w:r>
        <w:rPr>
          <w:spacing w:val="-6"/>
          <w:sz w:val="24"/>
        </w:rPr>
        <w:t> </w:t>
      </w:r>
      <w:r>
        <w:rPr>
          <w:sz w:val="24"/>
        </w:rPr>
        <w:t>Model),</w:t>
      </w:r>
      <w:r>
        <w:rPr>
          <w:spacing w:val="-7"/>
          <w:sz w:val="24"/>
        </w:rPr>
        <w:t> </w:t>
      </w:r>
      <w:r>
        <w:rPr>
          <w:sz w:val="24"/>
        </w:rPr>
        <w:t>which</w:t>
      </w:r>
      <w:r>
        <w:rPr>
          <w:spacing w:val="-6"/>
          <w:sz w:val="24"/>
        </w:rPr>
        <w:t> </w:t>
      </w:r>
      <w:r>
        <w:rPr>
          <w:sz w:val="24"/>
        </w:rPr>
        <w:t>has</w:t>
      </w:r>
      <w:r>
        <w:rPr>
          <w:spacing w:val="-4"/>
          <w:sz w:val="24"/>
        </w:rPr>
        <w:t> </w:t>
      </w:r>
      <w:r>
        <w:rPr>
          <w:sz w:val="24"/>
        </w:rPr>
        <w:t>been</w:t>
      </w:r>
      <w:r>
        <w:rPr>
          <w:spacing w:val="-6"/>
          <w:sz w:val="24"/>
        </w:rPr>
        <w:t> </w:t>
      </w:r>
      <w:r>
        <w:rPr>
          <w:sz w:val="24"/>
        </w:rPr>
        <w:t>validated</w:t>
      </w:r>
      <w:r>
        <w:rPr>
          <w:spacing w:val="-7"/>
          <w:sz w:val="24"/>
        </w:rPr>
        <w:t> </w:t>
      </w:r>
      <w:r>
        <w:rPr>
          <w:sz w:val="24"/>
        </w:rPr>
        <w:t>and</w:t>
      </w:r>
      <w:r>
        <w:rPr>
          <w:spacing w:val="-4"/>
          <w:sz w:val="24"/>
        </w:rPr>
        <w:t> </w:t>
      </w:r>
      <w:r>
        <w:rPr>
          <w:sz w:val="24"/>
        </w:rPr>
        <w:t>applied</w:t>
      </w:r>
      <w:r>
        <w:rPr>
          <w:spacing w:val="-6"/>
          <w:sz w:val="24"/>
        </w:rPr>
        <w:t> </w:t>
      </w:r>
      <w:r>
        <w:rPr>
          <w:sz w:val="24"/>
        </w:rPr>
        <w:t>in</w:t>
      </w:r>
      <w:r>
        <w:rPr>
          <w:spacing w:val="-6"/>
          <w:sz w:val="24"/>
        </w:rPr>
        <w:t> </w:t>
      </w:r>
      <w:r>
        <w:rPr>
          <w:sz w:val="24"/>
        </w:rPr>
        <w:t>research</w:t>
      </w:r>
      <w:r>
        <w:rPr>
          <w:spacing w:val="-6"/>
          <w:sz w:val="24"/>
        </w:rPr>
        <w:t> </w:t>
      </w:r>
      <w:r>
        <w:rPr>
          <w:sz w:val="24"/>
        </w:rPr>
        <w:t>and extension projects by economists in more than 25 US universities and by policy annalists in other 10 countries (Agroprospecta,</w:t>
      </w:r>
      <w:r>
        <w:rPr>
          <w:spacing w:val="-7"/>
          <w:sz w:val="24"/>
        </w:rPr>
        <w:t> </w:t>
      </w:r>
      <w:r>
        <w:rPr>
          <w:sz w:val="24"/>
        </w:rPr>
        <w:t>2009).</w:t>
      </w:r>
    </w:p>
    <w:p>
      <w:pPr>
        <w:pStyle w:val="BodyText"/>
      </w:pPr>
    </w:p>
    <w:p>
      <w:pPr>
        <w:pStyle w:val="BodyText"/>
        <w:spacing w:before="3"/>
        <w:rPr>
          <w:sz w:val="33"/>
        </w:rPr>
      </w:pPr>
    </w:p>
    <w:p>
      <w:pPr>
        <w:pStyle w:val="BodyText"/>
        <w:spacing w:line="357" w:lineRule="auto"/>
        <w:ind w:left="102" w:right="117"/>
        <w:jc w:val="both"/>
      </w:pPr>
      <w:r>
        <w:rPr/>
        <w:t>The MexSim model is programmed using Excel by utilizing accounting and financial identities and equations found in the Simetar</w:t>
      </w:r>
      <w:r>
        <w:rPr>
          <w:position w:val="9"/>
          <w:sz w:val="16"/>
        </w:rPr>
        <w:t>© </w:t>
      </w:r>
      <w:r>
        <w:rPr/>
        <w:t>econometric simulation model for risk analysis.</w:t>
      </w:r>
      <w:r>
        <w:rPr>
          <w:spacing w:val="-5"/>
        </w:rPr>
        <w:t> </w:t>
      </w:r>
      <w:r>
        <w:rPr/>
        <w:t>The</w:t>
      </w:r>
      <w:r>
        <w:rPr>
          <w:spacing w:val="-6"/>
        </w:rPr>
        <w:t> </w:t>
      </w:r>
      <w:r>
        <w:rPr/>
        <w:t>probability</w:t>
      </w:r>
      <w:r>
        <w:rPr>
          <w:spacing w:val="-7"/>
        </w:rPr>
        <w:t> </w:t>
      </w:r>
      <w:r>
        <w:rPr/>
        <w:t>distribution</w:t>
      </w:r>
      <w:r>
        <w:rPr>
          <w:spacing w:val="-5"/>
        </w:rPr>
        <w:t> </w:t>
      </w:r>
      <w:r>
        <w:rPr/>
        <w:t>parameters</w:t>
      </w:r>
      <w:r>
        <w:rPr>
          <w:spacing w:val="-5"/>
        </w:rPr>
        <w:t> </w:t>
      </w:r>
      <w:r>
        <w:rPr/>
        <w:t>were</w:t>
      </w:r>
      <w:r>
        <w:rPr>
          <w:spacing w:val="-7"/>
        </w:rPr>
        <w:t> </w:t>
      </w:r>
      <w:r>
        <w:rPr/>
        <w:t>estimated</w:t>
      </w:r>
      <w:r>
        <w:rPr>
          <w:spacing w:val="-5"/>
        </w:rPr>
        <w:t> </w:t>
      </w:r>
      <w:r>
        <w:rPr/>
        <w:t>utilising</w:t>
      </w:r>
      <w:r>
        <w:rPr>
          <w:spacing w:val="-7"/>
        </w:rPr>
        <w:t> </w:t>
      </w:r>
      <w:r>
        <w:rPr/>
        <w:t>a</w:t>
      </w:r>
      <w:r>
        <w:rPr>
          <w:spacing w:val="-3"/>
        </w:rPr>
        <w:t> </w:t>
      </w:r>
      <w:r>
        <w:rPr/>
        <w:t>Latin</w:t>
      </w:r>
      <w:r>
        <w:rPr>
          <w:spacing w:val="-5"/>
        </w:rPr>
        <w:t> </w:t>
      </w:r>
      <w:r>
        <w:rPr/>
        <w:t>hypercube, a sampling procedure for the simulation of pseudo-random numbers (Richardson et al., 2000). The model projected the economic and financial viability using historic information on technical and economic variables provided by the farmers of the base year 2010, as well as information on the trends for macroeconomic variables (inflation rate, exchange rate, and interest rates) and microeconomic variables (prices of inputs and products) estimated by SAGARPA (2011). The trends in regional variables were also estimated in order to reduce estimation error for the period 2010 - 2018 (Table</w:t>
      </w:r>
      <w:r>
        <w:rPr>
          <w:spacing w:val="-6"/>
        </w:rPr>
        <w:t> </w:t>
      </w:r>
      <w:r>
        <w:rPr/>
        <w:t>1).</w:t>
      </w:r>
    </w:p>
    <w:p>
      <w:pPr>
        <w:spacing w:after="0" w:line="357" w:lineRule="auto"/>
        <w:jc w:val="both"/>
        <w:sectPr>
          <w:pgSz w:w="12240" w:h="15840"/>
          <w:pgMar w:header="0" w:footer="657" w:top="1360" w:bottom="840" w:left="1600" w:right="1580"/>
        </w:sectPr>
      </w:pPr>
    </w:p>
    <w:p>
      <w:pPr>
        <w:pStyle w:val="BodyText"/>
        <w:spacing w:before="30"/>
        <w:ind w:left="102"/>
        <w:jc w:val="both"/>
      </w:pPr>
      <w:r>
        <w:rPr>
          <w:rFonts w:ascii="Symbol" w:hAnsi="Symbol"/>
        </w:rPr>
        <w:t></w:t>
      </w:r>
      <w:r>
        <w:rPr/>
        <w:t> Please insert Table 1 around here</w:t>
      </w:r>
    </w:p>
    <w:p>
      <w:pPr>
        <w:pStyle w:val="BodyText"/>
      </w:pPr>
    </w:p>
    <w:p>
      <w:pPr>
        <w:pStyle w:val="BodyText"/>
      </w:pPr>
    </w:p>
    <w:p>
      <w:pPr>
        <w:pStyle w:val="BodyText"/>
        <w:spacing w:before="10"/>
        <w:rPr>
          <w:sz w:val="21"/>
        </w:rPr>
      </w:pPr>
    </w:p>
    <w:p>
      <w:pPr>
        <w:pStyle w:val="BodyText"/>
        <w:spacing w:line="360" w:lineRule="auto"/>
        <w:ind w:left="102" w:right="116"/>
        <w:jc w:val="both"/>
      </w:pPr>
      <w:r>
        <w:rPr/>
        <w:t>The</w:t>
      </w:r>
      <w:r>
        <w:rPr>
          <w:spacing w:val="-11"/>
        </w:rPr>
        <w:t> </w:t>
      </w:r>
      <w:r>
        <w:rPr/>
        <w:t>economic</w:t>
      </w:r>
      <w:r>
        <w:rPr>
          <w:spacing w:val="-11"/>
        </w:rPr>
        <w:t> </w:t>
      </w:r>
      <w:r>
        <w:rPr/>
        <w:t>simulation</w:t>
      </w:r>
      <w:r>
        <w:rPr>
          <w:spacing w:val="-7"/>
        </w:rPr>
        <w:t> </w:t>
      </w:r>
      <w:r>
        <w:rPr/>
        <w:t>for</w:t>
      </w:r>
      <w:r>
        <w:rPr>
          <w:spacing w:val="-12"/>
        </w:rPr>
        <w:t> </w:t>
      </w:r>
      <w:r>
        <w:rPr/>
        <w:t>the</w:t>
      </w:r>
      <w:r>
        <w:rPr>
          <w:spacing w:val="-11"/>
        </w:rPr>
        <w:t> </w:t>
      </w:r>
      <w:r>
        <w:rPr/>
        <w:t>period</w:t>
      </w:r>
      <w:r>
        <w:rPr>
          <w:spacing w:val="-10"/>
        </w:rPr>
        <w:t> </w:t>
      </w:r>
      <w:r>
        <w:rPr/>
        <w:t>2010-2018</w:t>
      </w:r>
      <w:r>
        <w:rPr>
          <w:spacing w:val="-8"/>
        </w:rPr>
        <w:t> </w:t>
      </w:r>
      <w:r>
        <w:rPr/>
        <w:t>was</w:t>
      </w:r>
      <w:r>
        <w:rPr>
          <w:spacing w:val="-10"/>
        </w:rPr>
        <w:t> </w:t>
      </w:r>
      <w:r>
        <w:rPr/>
        <w:t>done</w:t>
      </w:r>
      <w:r>
        <w:rPr>
          <w:spacing w:val="-11"/>
        </w:rPr>
        <w:t> </w:t>
      </w:r>
      <w:r>
        <w:rPr/>
        <w:t>from</w:t>
      </w:r>
      <w:r>
        <w:rPr>
          <w:spacing w:val="-10"/>
        </w:rPr>
        <w:t> </w:t>
      </w:r>
      <w:r>
        <w:rPr/>
        <w:t>the</w:t>
      </w:r>
      <w:r>
        <w:rPr>
          <w:spacing w:val="-11"/>
        </w:rPr>
        <w:t> </w:t>
      </w:r>
      <w:r>
        <w:rPr/>
        <w:t>projections</w:t>
      </w:r>
      <w:r>
        <w:rPr>
          <w:spacing w:val="-10"/>
        </w:rPr>
        <w:t> </w:t>
      </w:r>
      <w:r>
        <w:rPr/>
        <w:t>of</w:t>
      </w:r>
      <w:r>
        <w:rPr>
          <w:spacing w:val="-11"/>
        </w:rPr>
        <w:t> </w:t>
      </w:r>
      <w:r>
        <w:rPr/>
        <w:t>the</w:t>
      </w:r>
      <w:r>
        <w:rPr>
          <w:spacing w:val="-11"/>
        </w:rPr>
        <w:t> </w:t>
      </w:r>
      <w:r>
        <w:rPr/>
        <w:t>base scenario (Table 1); the stochastic component el was obtained utilising a multivariate empirical distribution (Richardson et al., 2000), and the validation of the stochastic component considered 500 iterations adjusted to a standard normal</w:t>
      </w:r>
      <w:r>
        <w:rPr>
          <w:spacing w:val="-8"/>
        </w:rPr>
        <w:t> </w:t>
      </w:r>
      <w:r>
        <w:rPr/>
        <w:t>distribution.</w:t>
      </w:r>
    </w:p>
    <w:p>
      <w:pPr>
        <w:pStyle w:val="BodyText"/>
      </w:pPr>
    </w:p>
    <w:p>
      <w:pPr>
        <w:pStyle w:val="BodyText"/>
        <w:spacing w:before="4"/>
        <w:rPr>
          <w:sz w:val="33"/>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Definition of indicators of economic and financial</w:t>
      </w:r>
      <w:r>
        <w:rPr>
          <w:i/>
          <w:spacing w:val="-12"/>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spacing w:line="360" w:lineRule="auto"/>
        <w:ind w:left="102" w:right="117"/>
        <w:jc w:val="both"/>
      </w:pPr>
      <w:r>
        <w:rPr>
          <w:b/>
        </w:rPr>
        <w:t>Total Income: </w:t>
      </w:r>
      <w:r>
        <w:rPr/>
        <w:t>Is the mean income in cash from all possible sources, including: sales, transferences,</w:t>
      </w:r>
      <w:r>
        <w:rPr>
          <w:spacing w:val="-13"/>
        </w:rPr>
        <w:t> </w:t>
      </w:r>
      <w:r>
        <w:rPr/>
        <w:t>subsidies,</w:t>
      </w:r>
      <w:r>
        <w:rPr>
          <w:spacing w:val="-13"/>
        </w:rPr>
        <w:t> </w:t>
      </w:r>
      <w:r>
        <w:rPr/>
        <w:t>payments</w:t>
      </w:r>
      <w:r>
        <w:rPr>
          <w:spacing w:val="-12"/>
        </w:rPr>
        <w:t> </w:t>
      </w:r>
      <w:r>
        <w:rPr/>
        <w:t>from</w:t>
      </w:r>
      <w:r>
        <w:rPr>
          <w:spacing w:val="-13"/>
        </w:rPr>
        <w:t> </w:t>
      </w:r>
      <w:r>
        <w:rPr/>
        <w:t>agricultural</w:t>
      </w:r>
      <w:r>
        <w:rPr>
          <w:spacing w:val="-13"/>
        </w:rPr>
        <w:t> </w:t>
      </w:r>
      <w:r>
        <w:rPr/>
        <w:t>insurance,</w:t>
      </w:r>
      <w:r>
        <w:rPr>
          <w:spacing w:val="-13"/>
        </w:rPr>
        <w:t> </w:t>
      </w:r>
      <w:r>
        <w:rPr/>
        <w:t>and</w:t>
      </w:r>
      <w:r>
        <w:rPr>
          <w:spacing w:val="-13"/>
        </w:rPr>
        <w:t> </w:t>
      </w:r>
      <w:r>
        <w:rPr/>
        <w:t>other</w:t>
      </w:r>
      <w:r>
        <w:rPr>
          <w:spacing w:val="-12"/>
        </w:rPr>
        <w:t> </w:t>
      </w:r>
      <w:r>
        <w:rPr/>
        <w:t>agricultural</w:t>
      </w:r>
      <w:r>
        <w:rPr>
          <w:spacing w:val="-13"/>
        </w:rPr>
        <w:t> </w:t>
      </w:r>
      <w:r>
        <w:rPr/>
        <w:t>income for the period</w:t>
      </w:r>
      <w:r>
        <w:rPr>
          <w:spacing w:val="-1"/>
        </w:rPr>
        <w:t> </w:t>
      </w:r>
      <w:r>
        <w:rPr/>
        <w:t>2010-2018.</w:t>
      </w:r>
    </w:p>
    <w:p>
      <w:pPr>
        <w:pStyle w:val="BodyText"/>
      </w:pPr>
    </w:p>
    <w:p>
      <w:pPr>
        <w:pStyle w:val="BodyText"/>
        <w:spacing w:before="3"/>
        <w:rPr>
          <w:sz w:val="33"/>
        </w:rPr>
      </w:pPr>
    </w:p>
    <w:p>
      <w:pPr>
        <w:pStyle w:val="BodyText"/>
        <w:spacing w:line="360" w:lineRule="auto"/>
        <w:ind w:left="102" w:right="120"/>
        <w:jc w:val="both"/>
      </w:pPr>
      <w:r>
        <w:rPr>
          <w:b/>
        </w:rPr>
        <w:t>Total costs: </w:t>
      </w:r>
      <w:r>
        <w:rPr/>
        <w:t>Total expenditures devoted to the purchase of inputs for operating the farm. </w:t>
      </w:r>
      <w:r>
        <w:rPr>
          <w:spacing w:val="-3"/>
        </w:rPr>
        <w:t>It </w:t>
      </w:r>
      <w:r>
        <w:rPr/>
        <w:t>excludes depreciation, interest or capital payments, taxes and replacement of machinery</w:t>
      </w:r>
      <w:r>
        <w:rPr>
          <w:spacing w:val="-19"/>
        </w:rPr>
        <w:t> </w:t>
      </w:r>
      <w:r>
        <w:rPr/>
        <w:t>and equipment.</w:t>
      </w:r>
    </w:p>
    <w:p>
      <w:pPr>
        <w:pStyle w:val="BodyText"/>
      </w:pPr>
    </w:p>
    <w:p>
      <w:pPr>
        <w:pStyle w:val="BodyText"/>
        <w:spacing w:before="3"/>
        <w:rPr>
          <w:sz w:val="33"/>
        </w:rPr>
      </w:pPr>
    </w:p>
    <w:p>
      <w:pPr>
        <w:pStyle w:val="BodyText"/>
        <w:spacing w:line="360" w:lineRule="auto"/>
        <w:ind w:left="102" w:right="121"/>
        <w:jc w:val="both"/>
      </w:pPr>
      <w:r>
        <w:rPr>
          <w:b/>
        </w:rPr>
        <w:t>Net income in cash (NIC): </w:t>
      </w:r>
      <w:r>
        <w:rPr/>
        <w:t>Results from subtracting total expenditures in cash from total incomes in cash. NIC is used to cover family living costs, interest and capital payments, income tax and expenditures related to the replacement of machinery and equipment.</w:t>
      </w:r>
    </w:p>
    <w:p>
      <w:pPr>
        <w:pStyle w:val="BodyText"/>
      </w:pPr>
    </w:p>
    <w:p>
      <w:pPr>
        <w:pStyle w:val="BodyText"/>
        <w:spacing w:before="4"/>
        <w:rPr>
          <w:sz w:val="33"/>
        </w:rPr>
      </w:pPr>
    </w:p>
    <w:p>
      <w:pPr>
        <w:pStyle w:val="BodyText"/>
        <w:spacing w:line="360" w:lineRule="auto"/>
        <w:ind w:left="102" w:right="118"/>
        <w:jc w:val="both"/>
      </w:pPr>
      <w:r>
        <w:rPr>
          <w:b/>
        </w:rPr>
        <w:t>Reserves in cash (RIC). </w:t>
      </w:r>
      <w:r>
        <w:rPr/>
        <w:t>Is the mean balance in cash at the end of each year. It is obtained from: initial reserves in cash, plus net income in cash and gained interest over reserves in cash, minus capital payments (credits), taxes, family maintenance expenditures, and replacement costs of machinery (different from depreciation), for 2010-2018.</w:t>
      </w:r>
    </w:p>
    <w:p>
      <w:pPr>
        <w:spacing w:after="0" w:line="360" w:lineRule="auto"/>
        <w:jc w:val="both"/>
        <w:sectPr>
          <w:pgSz w:w="12240" w:h="15840"/>
          <w:pgMar w:header="0" w:footer="657" w:top="1380" w:bottom="840" w:left="1600" w:right="1580"/>
        </w:sectPr>
      </w:pPr>
    </w:p>
    <w:p>
      <w:pPr>
        <w:pStyle w:val="BodyText"/>
        <w:spacing w:line="362" w:lineRule="auto" w:before="50"/>
        <w:ind w:left="102" w:right="118"/>
        <w:jc w:val="both"/>
      </w:pPr>
      <w:r>
        <w:rPr>
          <w:b/>
        </w:rPr>
        <w:t>Net Present Value (NPV). </w:t>
      </w:r>
      <w:r>
        <w:rPr/>
        <w:t>The future value of the farm through the planning horizon in terms of the current value of the currency.</w:t>
      </w:r>
    </w:p>
    <w:p>
      <w:pPr>
        <w:pStyle w:val="BodyText"/>
      </w:pPr>
    </w:p>
    <w:p>
      <w:pPr>
        <w:pStyle w:val="BodyText"/>
        <w:spacing w:before="1"/>
        <w:rPr>
          <w:sz w:val="33"/>
        </w:rPr>
      </w:pPr>
    </w:p>
    <w:p>
      <w:pPr>
        <w:spacing w:line="360" w:lineRule="auto" w:before="0"/>
        <w:ind w:left="102" w:right="122" w:firstLine="0"/>
        <w:jc w:val="both"/>
        <w:rPr>
          <w:sz w:val="24"/>
        </w:rPr>
      </w:pPr>
      <w:r>
        <w:rPr>
          <w:b/>
          <w:sz w:val="24"/>
        </w:rPr>
        <w:t>Rate of return over assets (RRA). </w:t>
      </w:r>
      <w:r>
        <w:rPr>
          <w:sz w:val="24"/>
        </w:rPr>
        <w:t>The rate of return based on the total value of assets and reflects the economic efficiency of the farm.</w:t>
      </w:r>
    </w:p>
    <w:p>
      <w:pPr>
        <w:pStyle w:val="BodyText"/>
      </w:pPr>
    </w:p>
    <w:p>
      <w:pPr>
        <w:pStyle w:val="BodyText"/>
        <w:spacing w:before="3"/>
        <w:rPr>
          <w:sz w:val="33"/>
        </w:rPr>
      </w:pPr>
    </w:p>
    <w:p>
      <w:pPr>
        <w:spacing w:line="360" w:lineRule="auto" w:before="0"/>
        <w:ind w:left="102" w:right="117" w:firstLine="0"/>
        <w:jc w:val="both"/>
        <w:rPr>
          <w:sz w:val="24"/>
        </w:rPr>
      </w:pPr>
      <w:r>
        <w:rPr>
          <w:b/>
          <w:sz w:val="24"/>
        </w:rPr>
        <w:t>Cost</w:t>
      </w:r>
      <w:r>
        <w:rPr>
          <w:b/>
          <w:spacing w:val="-7"/>
          <w:sz w:val="24"/>
        </w:rPr>
        <w:t> </w:t>
      </w:r>
      <w:r>
        <w:rPr>
          <w:b/>
          <w:sz w:val="24"/>
        </w:rPr>
        <w:t>benefit</w:t>
      </w:r>
      <w:r>
        <w:rPr>
          <w:b/>
          <w:spacing w:val="-7"/>
          <w:sz w:val="24"/>
        </w:rPr>
        <w:t> </w:t>
      </w:r>
      <w:r>
        <w:rPr>
          <w:b/>
          <w:sz w:val="24"/>
        </w:rPr>
        <w:t>ratio</w:t>
      </w:r>
      <w:r>
        <w:rPr>
          <w:b/>
          <w:spacing w:val="-4"/>
          <w:sz w:val="24"/>
        </w:rPr>
        <w:t> </w:t>
      </w:r>
      <w:r>
        <w:rPr>
          <w:b/>
          <w:sz w:val="24"/>
        </w:rPr>
        <w:t>(C/B).</w:t>
      </w:r>
      <w:r>
        <w:rPr>
          <w:b/>
          <w:spacing w:val="-1"/>
          <w:sz w:val="24"/>
        </w:rPr>
        <w:t> </w:t>
      </w:r>
      <w:r>
        <w:rPr>
          <w:spacing w:val="-3"/>
          <w:sz w:val="24"/>
        </w:rPr>
        <w:t>It</w:t>
      </w:r>
      <w:r>
        <w:rPr>
          <w:spacing w:val="-4"/>
          <w:sz w:val="24"/>
        </w:rPr>
        <w:t> </w:t>
      </w:r>
      <w:r>
        <w:rPr>
          <w:sz w:val="24"/>
        </w:rPr>
        <w:t>is</w:t>
      </w:r>
      <w:r>
        <w:rPr>
          <w:spacing w:val="-6"/>
          <w:sz w:val="24"/>
        </w:rPr>
        <w:t> </w:t>
      </w:r>
      <w:r>
        <w:rPr>
          <w:sz w:val="24"/>
        </w:rPr>
        <w:t>the</w:t>
      </w:r>
      <w:r>
        <w:rPr>
          <w:spacing w:val="-4"/>
          <w:sz w:val="24"/>
        </w:rPr>
        <w:t> </w:t>
      </w:r>
      <w:r>
        <w:rPr>
          <w:sz w:val="24"/>
        </w:rPr>
        <w:t>ratio</w:t>
      </w:r>
      <w:r>
        <w:rPr>
          <w:spacing w:val="-6"/>
          <w:sz w:val="24"/>
        </w:rPr>
        <w:t> </w:t>
      </w:r>
      <w:r>
        <w:rPr>
          <w:sz w:val="24"/>
        </w:rPr>
        <w:t>between</w:t>
      </w:r>
      <w:r>
        <w:rPr>
          <w:spacing w:val="-4"/>
          <w:sz w:val="24"/>
        </w:rPr>
        <w:t> </w:t>
      </w:r>
      <w:r>
        <w:rPr>
          <w:sz w:val="24"/>
        </w:rPr>
        <w:t>total</w:t>
      </w:r>
      <w:r>
        <w:rPr>
          <w:spacing w:val="-6"/>
          <w:sz w:val="24"/>
        </w:rPr>
        <w:t> </w:t>
      </w:r>
      <w:r>
        <w:rPr>
          <w:sz w:val="24"/>
        </w:rPr>
        <w:t>costs</w:t>
      </w:r>
      <w:r>
        <w:rPr>
          <w:spacing w:val="-6"/>
          <w:sz w:val="24"/>
        </w:rPr>
        <w:t> </w:t>
      </w:r>
      <w:r>
        <w:rPr>
          <w:sz w:val="24"/>
        </w:rPr>
        <w:t>in</w:t>
      </w:r>
      <w:r>
        <w:rPr>
          <w:spacing w:val="-6"/>
          <w:sz w:val="24"/>
        </w:rPr>
        <w:t> </w:t>
      </w:r>
      <w:r>
        <w:rPr>
          <w:sz w:val="24"/>
        </w:rPr>
        <w:t>cash</w:t>
      </w:r>
      <w:r>
        <w:rPr>
          <w:spacing w:val="-6"/>
          <w:sz w:val="24"/>
        </w:rPr>
        <w:t> </w:t>
      </w:r>
      <w:r>
        <w:rPr>
          <w:sz w:val="24"/>
        </w:rPr>
        <w:t>in</w:t>
      </w:r>
      <w:r>
        <w:rPr>
          <w:spacing w:val="-3"/>
          <w:sz w:val="24"/>
        </w:rPr>
        <w:t> </w:t>
      </w:r>
      <w:r>
        <w:rPr>
          <w:sz w:val="24"/>
        </w:rPr>
        <w:t>relation</w:t>
      </w:r>
      <w:r>
        <w:rPr>
          <w:spacing w:val="-6"/>
          <w:sz w:val="24"/>
        </w:rPr>
        <w:t> </w:t>
      </w:r>
      <w:r>
        <w:rPr>
          <w:sz w:val="24"/>
        </w:rPr>
        <w:t>to</w:t>
      </w:r>
      <w:r>
        <w:rPr>
          <w:spacing w:val="-6"/>
          <w:sz w:val="24"/>
        </w:rPr>
        <w:t> </w:t>
      </w:r>
      <w:r>
        <w:rPr>
          <w:sz w:val="24"/>
        </w:rPr>
        <w:t>total</w:t>
      </w:r>
      <w:r>
        <w:rPr>
          <w:spacing w:val="-6"/>
          <w:sz w:val="24"/>
        </w:rPr>
        <w:t> </w:t>
      </w:r>
      <w:r>
        <w:rPr>
          <w:sz w:val="24"/>
        </w:rPr>
        <w:t>income in cash (from milk</w:t>
      </w:r>
      <w:r>
        <w:rPr>
          <w:spacing w:val="-6"/>
          <w:sz w:val="24"/>
        </w:rPr>
        <w:t> </w:t>
      </w:r>
      <w:r>
        <w:rPr>
          <w:sz w:val="24"/>
        </w:rPr>
        <w:t>sales).</w:t>
      </w:r>
    </w:p>
    <w:p>
      <w:pPr>
        <w:pStyle w:val="BodyText"/>
      </w:pPr>
    </w:p>
    <w:p>
      <w:pPr>
        <w:pStyle w:val="BodyText"/>
        <w:spacing w:before="4"/>
        <w:rPr>
          <w:sz w:val="33"/>
        </w:rPr>
      </w:pPr>
    </w:p>
    <w:p>
      <w:pPr>
        <w:pStyle w:val="ListParagraph"/>
        <w:numPr>
          <w:ilvl w:val="2"/>
          <w:numId w:val="24"/>
        </w:numPr>
        <w:tabs>
          <w:tab w:pos="703" w:val="left" w:leader="none"/>
        </w:tabs>
        <w:spacing w:line="240" w:lineRule="auto" w:before="0" w:after="0"/>
        <w:ind w:left="702" w:right="0" w:hanging="600"/>
        <w:jc w:val="both"/>
        <w:rPr>
          <w:i/>
          <w:sz w:val="24"/>
        </w:rPr>
      </w:pPr>
      <w:r>
        <w:rPr>
          <w:i/>
          <w:sz w:val="24"/>
        </w:rPr>
        <w:t>Economic</w:t>
      </w:r>
      <w:r>
        <w:rPr>
          <w:i/>
          <w:spacing w:val="-4"/>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spacing w:line="360" w:lineRule="auto"/>
        <w:ind w:left="102" w:right="118"/>
        <w:jc w:val="both"/>
      </w:pPr>
      <w:r>
        <w:rPr/>
        <w:t>The economic viability was defined as a measure of economic efficiency, liquidity and solvency of the RSSDF. The model establishes three scales: 1) Favourable, when the probabilities of negative net incomes in cash (NIC) and de-capitalisation are under 25%; 2) Cautionary</w:t>
      </w:r>
      <w:r>
        <w:rPr>
          <w:spacing w:val="-11"/>
        </w:rPr>
        <w:t> </w:t>
      </w:r>
      <w:r>
        <w:rPr/>
        <w:t>when</w:t>
      </w:r>
      <w:r>
        <w:rPr>
          <w:spacing w:val="-9"/>
        </w:rPr>
        <w:t> </w:t>
      </w:r>
      <w:r>
        <w:rPr/>
        <w:t>the</w:t>
      </w:r>
      <w:r>
        <w:rPr>
          <w:spacing w:val="-10"/>
        </w:rPr>
        <w:t> </w:t>
      </w:r>
      <w:r>
        <w:rPr/>
        <w:t>probabilities</w:t>
      </w:r>
      <w:r>
        <w:rPr>
          <w:spacing w:val="-9"/>
        </w:rPr>
        <w:t> </w:t>
      </w:r>
      <w:r>
        <w:rPr/>
        <w:t>of</w:t>
      </w:r>
      <w:r>
        <w:rPr>
          <w:spacing w:val="-9"/>
        </w:rPr>
        <w:t> </w:t>
      </w:r>
      <w:r>
        <w:rPr/>
        <w:t>negative</w:t>
      </w:r>
      <w:r>
        <w:rPr>
          <w:spacing w:val="-7"/>
        </w:rPr>
        <w:t> </w:t>
      </w:r>
      <w:r>
        <w:rPr/>
        <w:t>NIC</w:t>
      </w:r>
      <w:r>
        <w:rPr>
          <w:spacing w:val="-9"/>
        </w:rPr>
        <w:t> </w:t>
      </w:r>
      <w:r>
        <w:rPr/>
        <w:t>and</w:t>
      </w:r>
      <w:r>
        <w:rPr>
          <w:spacing w:val="-9"/>
        </w:rPr>
        <w:t> </w:t>
      </w:r>
      <w:r>
        <w:rPr/>
        <w:t>de-capitalisation</w:t>
      </w:r>
      <w:r>
        <w:rPr>
          <w:spacing w:val="-9"/>
        </w:rPr>
        <w:t> </w:t>
      </w:r>
      <w:r>
        <w:rPr/>
        <w:t>are</w:t>
      </w:r>
      <w:r>
        <w:rPr>
          <w:spacing w:val="-10"/>
        </w:rPr>
        <w:t> </w:t>
      </w:r>
      <w:r>
        <w:rPr/>
        <w:t>higher</w:t>
      </w:r>
      <w:r>
        <w:rPr>
          <w:spacing w:val="-9"/>
        </w:rPr>
        <w:t> </w:t>
      </w:r>
      <w:r>
        <w:rPr/>
        <w:t>than</w:t>
      </w:r>
      <w:r>
        <w:rPr>
          <w:spacing w:val="-9"/>
        </w:rPr>
        <w:t> </w:t>
      </w:r>
      <w:r>
        <w:rPr/>
        <w:t>25% but below 50%; and 3) Unfavourable, when the probabilities that negative NIC and de- capitalisation are over 50% (Agroprospecta, 2009; Zavala-Pineda et al., 2011). The equations used to estimate the economic viability of the four models analysed</w:t>
      </w:r>
      <w:r>
        <w:rPr>
          <w:spacing w:val="-16"/>
        </w:rPr>
        <w:t> </w:t>
      </w:r>
      <w:r>
        <w:rPr/>
        <w:t>were:</w:t>
      </w:r>
    </w:p>
    <w:p>
      <w:pPr>
        <w:pStyle w:val="BodyText"/>
      </w:pPr>
    </w:p>
    <w:p>
      <w:pPr>
        <w:pStyle w:val="BodyText"/>
      </w:pPr>
    </w:p>
    <w:p>
      <w:pPr>
        <w:tabs>
          <w:tab w:pos="8664" w:val="left" w:leader="none"/>
        </w:tabs>
        <w:spacing w:before="186"/>
        <w:ind w:left="102" w:right="0" w:firstLine="0"/>
        <w:jc w:val="both"/>
        <w:rPr>
          <w:sz w:val="24"/>
        </w:rPr>
      </w:pPr>
      <w:r>
        <w:rPr>
          <w:sz w:val="24"/>
        </w:rPr>
        <w:t>Total Income </w:t>
      </w:r>
      <w:r>
        <w:rPr>
          <w:i/>
          <w:sz w:val="24"/>
        </w:rPr>
        <w:t>TI = MI + TI</w:t>
      </w:r>
      <w:r>
        <w:rPr>
          <w:i/>
          <w:spacing w:val="-5"/>
          <w:sz w:val="24"/>
        </w:rPr>
        <w:t> </w:t>
      </w:r>
      <w:r>
        <w:rPr>
          <w:i/>
          <w:sz w:val="24"/>
        </w:rPr>
        <w:t>+</w:t>
      </w:r>
      <w:r>
        <w:rPr>
          <w:i/>
          <w:spacing w:val="-3"/>
          <w:sz w:val="24"/>
        </w:rPr>
        <w:t> </w:t>
      </w:r>
      <w:r>
        <w:rPr>
          <w:i/>
          <w:sz w:val="24"/>
        </w:rPr>
        <w:t>OI</w:t>
        <w:tab/>
      </w:r>
      <w:r>
        <w:rPr>
          <w:sz w:val="24"/>
        </w:rPr>
        <w:t>(1)</w:t>
      </w:r>
    </w:p>
    <w:p>
      <w:pPr>
        <w:pStyle w:val="BodyText"/>
        <w:spacing w:before="4"/>
        <w:rPr>
          <w:sz w:val="29"/>
        </w:rPr>
      </w:pPr>
    </w:p>
    <w:p>
      <w:pPr>
        <w:pStyle w:val="BodyText"/>
        <w:spacing w:before="1"/>
        <w:ind w:left="102"/>
        <w:jc w:val="both"/>
      </w:pPr>
      <w:r>
        <w:rPr/>
        <w:t>Where </w:t>
      </w:r>
      <w:r>
        <w:rPr>
          <w:i/>
        </w:rPr>
        <w:t>MI </w:t>
      </w:r>
      <w:r>
        <w:rPr/>
        <w:t>is market income, </w:t>
      </w:r>
      <w:r>
        <w:rPr>
          <w:i/>
        </w:rPr>
        <w:t>TI </w:t>
      </w:r>
      <w:r>
        <w:rPr/>
        <w:t>is income from transferences, and </w:t>
      </w:r>
      <w:r>
        <w:rPr>
          <w:i/>
        </w:rPr>
        <w:t>OI </w:t>
      </w:r>
      <w:r>
        <w:rPr/>
        <w:t>is other income.</w:t>
      </w:r>
    </w:p>
    <w:p>
      <w:pPr>
        <w:pStyle w:val="BodyText"/>
        <w:spacing w:before="3"/>
        <w:rPr>
          <w:sz w:val="20"/>
        </w:rPr>
      </w:pPr>
    </w:p>
    <w:p>
      <w:pPr>
        <w:spacing w:after="0"/>
        <w:rPr>
          <w:sz w:val="20"/>
        </w:rPr>
        <w:sectPr>
          <w:footerReference w:type="default" r:id="rId152"/>
          <w:pgSz w:w="12240" w:h="15840"/>
          <w:pgMar w:footer="657" w:header="0" w:top="1360" w:bottom="840" w:left="1600" w:right="1580"/>
          <w:pgNumType w:start="170"/>
        </w:sectPr>
      </w:pPr>
    </w:p>
    <w:p>
      <w:pPr>
        <w:pStyle w:val="BodyText"/>
        <w:spacing w:before="75"/>
        <w:ind w:left="102"/>
        <w:rPr>
          <w:rFonts w:ascii="Cambria Math" w:hAnsi="Cambria Math" w:eastAsia="Cambria Math"/>
          <w:sz w:val="17"/>
        </w:rPr>
      </w:pPr>
      <w:r>
        <w:rPr/>
        <w:pict>
          <v:shape style="position:absolute;margin-left:199.850006pt;margin-top:12.801235pt;width:14.45pt;height:8.550pt;mso-position-horizontal-relative:page;mso-position-vertical-relative:paragraph;z-index:-457816"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5"/>
                      <w:w w:val="53"/>
                      <w:sz w:val="17"/>
                    </w:rPr>
                    <w:t>�</w:t>
                  </w:r>
                  <w:r>
                    <w:rPr>
                      <w:rFonts w:ascii="Cambria Math" w:eastAsia="Cambria Math"/>
                      <w:w w:val="97"/>
                      <w:sz w:val="17"/>
                    </w:rPr>
                    <w:t>=</w:t>
                  </w:r>
                  <w:r>
                    <w:rPr>
                      <w:rFonts w:ascii="Cambria Math" w:eastAsia="Cambria Math"/>
                      <w:w w:val="104"/>
                      <w:sz w:val="17"/>
                    </w:rPr>
                    <w:t>1</w:t>
                  </w:r>
                </w:p>
              </w:txbxContent>
            </v:textbox>
            <w10:wrap type="none"/>
          </v:shape>
        </w:pict>
      </w:r>
      <w:r>
        <w:rPr/>
        <w:t>Variable costs </w:t>
      </w:r>
      <w:r>
        <w:rPr>
          <w:i/>
        </w:rPr>
        <w:t>V</w:t>
      </w:r>
      <w:r>
        <w:rPr>
          <w:rFonts w:ascii="Cambria Math" w:hAnsi="Cambria Math" w:eastAsia="Cambria Math"/>
        </w:rPr>
        <w:t>� = </w:t>
      </w:r>
      <w:r>
        <w:rPr>
          <w:rFonts w:ascii="Cambria Math" w:hAnsi="Cambria Math" w:eastAsia="Cambria Math"/>
          <w:position w:val="1"/>
        </w:rPr>
        <w:t>[∑</w:t>
      </w:r>
      <w:r>
        <w:rPr>
          <w:rFonts w:ascii="Cambria Math" w:hAnsi="Cambria Math" w:eastAsia="Cambria Math"/>
          <w:position w:val="10"/>
          <w:sz w:val="17"/>
        </w:rPr>
        <w:t>�</w:t>
      </w:r>
    </w:p>
    <w:p>
      <w:pPr>
        <w:spacing w:before="107"/>
        <w:ind w:left="-2" w:right="-11" w:firstLine="0"/>
        <w:jc w:val="left"/>
        <w:rPr>
          <w:rFonts w:ascii="Cambria Math" w:hAnsi="Cambria Math" w:eastAsia="Cambria Math"/>
          <w:sz w:val="17"/>
        </w:rPr>
      </w:pPr>
      <w:r>
        <w:rPr/>
        <w:br w:type="column"/>
      </w:r>
      <w:r>
        <w:rPr>
          <w:rFonts w:ascii="Cambria Math" w:hAnsi="Cambria Math" w:eastAsia="Cambria Math"/>
          <w:w w:val="75"/>
          <w:position w:val="5"/>
          <w:sz w:val="24"/>
        </w:rPr>
        <w:t>�</w:t>
      </w:r>
      <w:r>
        <w:rPr>
          <w:rFonts w:ascii="Cambria Math" w:hAnsi="Cambria Math" w:eastAsia="Cambria Math"/>
          <w:w w:val="75"/>
          <w:sz w:val="17"/>
        </w:rPr>
        <w:t>1�</w:t>
      </w:r>
      <w:r>
        <w:rPr>
          <w:rFonts w:ascii="Cambria Math" w:hAnsi="Cambria Math" w:eastAsia="Cambria Math"/>
          <w:w w:val="75"/>
          <w:position w:val="5"/>
          <w:sz w:val="24"/>
        </w:rPr>
        <w:t>, </w:t>
      </w:r>
      <w:r>
        <w:rPr>
          <w:rFonts w:ascii="Cambria Math" w:hAnsi="Cambria Math" w:eastAsia="Cambria Math"/>
          <w:spacing w:val="-6"/>
          <w:w w:val="75"/>
          <w:position w:val="5"/>
          <w:sz w:val="24"/>
        </w:rPr>
        <w:t>�</w:t>
      </w:r>
      <w:r>
        <w:rPr>
          <w:rFonts w:ascii="Cambria Math" w:hAnsi="Cambria Math" w:eastAsia="Cambria Math"/>
          <w:spacing w:val="-6"/>
          <w:w w:val="75"/>
          <w:sz w:val="17"/>
        </w:rPr>
        <w:t>2� </w:t>
      </w:r>
      <w:r>
        <w:rPr>
          <w:rFonts w:ascii="Cambria Math" w:hAnsi="Cambria Math" w:eastAsia="Cambria Math"/>
          <w:w w:val="75"/>
          <w:position w:val="5"/>
          <w:sz w:val="24"/>
        </w:rPr>
        <w:t>… . </w:t>
      </w:r>
      <w:r>
        <w:rPr>
          <w:rFonts w:ascii="Cambria Math" w:hAnsi="Cambria Math" w:eastAsia="Cambria Math"/>
          <w:spacing w:val="-6"/>
          <w:w w:val="75"/>
          <w:position w:val="5"/>
          <w:sz w:val="24"/>
        </w:rPr>
        <w:t>�</w:t>
      </w:r>
      <w:r>
        <w:rPr>
          <w:rFonts w:ascii="Cambria Math" w:hAnsi="Cambria Math" w:eastAsia="Cambria Math"/>
          <w:spacing w:val="-6"/>
          <w:w w:val="75"/>
          <w:sz w:val="17"/>
        </w:rPr>
        <w:t>�� </w:t>
      </w:r>
      <w:r>
        <w:rPr>
          <w:rFonts w:ascii="Cambria Math" w:hAnsi="Cambria Math" w:eastAsia="Cambria Math"/>
          <w:spacing w:val="-11"/>
          <w:w w:val="95"/>
          <w:position w:val="5"/>
          <w:sz w:val="24"/>
        </w:rPr>
        <w:t>�</w:t>
      </w:r>
      <w:r>
        <w:rPr>
          <w:rFonts w:ascii="Cambria Math" w:hAnsi="Cambria Math" w:eastAsia="Cambria Math"/>
          <w:spacing w:val="-11"/>
          <w:w w:val="95"/>
          <w:sz w:val="17"/>
        </w:rPr>
        <w:t>1�</w:t>
      </w:r>
    </w:p>
    <w:p>
      <w:pPr>
        <w:spacing w:before="109"/>
        <w:ind w:left="-26" w:right="-10" w:firstLine="0"/>
        <w:jc w:val="left"/>
        <w:rPr>
          <w:rFonts w:ascii="Cambria Math" w:eastAsia="Cambria Math"/>
          <w:sz w:val="17"/>
        </w:rPr>
      </w:pPr>
      <w:r>
        <w:rPr/>
        <w:br w:type="column"/>
      </w:r>
      <w:r>
        <w:rPr>
          <w:rFonts w:ascii="Cambria Math" w:eastAsia="Cambria Math"/>
          <w:sz w:val="24"/>
        </w:rPr>
        <w:t>, </w:t>
      </w:r>
      <w:r>
        <w:rPr>
          <w:rFonts w:ascii="Cambria Math" w:eastAsia="Cambria Math"/>
          <w:spacing w:val="-10"/>
          <w:sz w:val="24"/>
        </w:rPr>
        <w:t>�</w:t>
      </w:r>
      <w:r>
        <w:rPr>
          <w:rFonts w:ascii="Cambria Math" w:eastAsia="Cambria Math"/>
          <w:spacing w:val="-10"/>
          <w:position w:val="-4"/>
          <w:sz w:val="17"/>
        </w:rPr>
        <w:t>21</w:t>
      </w:r>
    </w:p>
    <w:p>
      <w:pPr>
        <w:spacing w:before="109"/>
        <w:ind w:left="10" w:right="0" w:firstLine="0"/>
        <w:jc w:val="left"/>
        <w:rPr>
          <w:rFonts w:ascii="Cambria Math" w:hAnsi="Cambria Math" w:eastAsia="Cambria Math"/>
          <w:sz w:val="17"/>
        </w:rPr>
      </w:pPr>
      <w:r>
        <w:rPr/>
        <w:br w:type="column"/>
      </w:r>
      <w:r>
        <w:rPr>
          <w:rFonts w:ascii="Cambria Math" w:hAnsi="Cambria Math" w:eastAsia="Cambria Math"/>
          <w:sz w:val="24"/>
        </w:rPr>
        <w:t>… . �</w:t>
      </w:r>
      <w:r>
        <w:rPr>
          <w:rFonts w:ascii="Cambria Math" w:hAnsi="Cambria Math" w:eastAsia="Cambria Math"/>
          <w:position w:val="-4"/>
          <w:sz w:val="17"/>
        </w:rPr>
        <w:t>��</w:t>
      </w:r>
    </w:p>
    <w:p>
      <w:pPr>
        <w:pStyle w:val="BodyText"/>
        <w:tabs>
          <w:tab w:pos="3308" w:val="left" w:leader="none"/>
        </w:tabs>
        <w:spacing w:before="99"/>
        <w:ind w:left="-23"/>
      </w:pPr>
      <w:r>
        <w:rPr/>
        <w:br w:type="column"/>
      </w:r>
      <w:r>
        <w:rPr>
          <w:rFonts w:ascii="Cambria Math"/>
          <w:position w:val="1"/>
        </w:rPr>
        <w:t>]</w:t>
        <w:tab/>
      </w:r>
      <w:r>
        <w:rPr/>
        <w:t>(2)</w:t>
      </w:r>
    </w:p>
    <w:p>
      <w:pPr>
        <w:spacing w:after="0"/>
        <w:sectPr>
          <w:type w:val="continuous"/>
          <w:pgSz w:w="12240" w:h="15840"/>
          <w:pgMar w:top="1360" w:bottom="280" w:left="1600" w:right="1580"/>
          <w:cols w:num="5" w:equalWidth="0">
            <w:col w:w="2686" w:space="40"/>
            <w:col w:w="1513" w:space="40"/>
            <w:col w:w="383" w:space="40"/>
            <w:col w:w="613" w:space="40"/>
            <w:col w:w="3705"/>
          </w:cols>
        </w:sectPr>
      </w:pPr>
    </w:p>
    <w:p>
      <w:pPr>
        <w:pStyle w:val="BodyText"/>
        <w:spacing w:before="10"/>
        <w:rPr>
          <w:sz w:val="13"/>
        </w:rPr>
      </w:pPr>
    </w:p>
    <w:p>
      <w:pPr>
        <w:pStyle w:val="BodyText"/>
        <w:spacing w:before="67"/>
        <w:ind w:left="102"/>
        <w:rPr>
          <w:rFonts w:ascii="Cambria Math" w:hAnsi="Cambria Math" w:eastAsia="Cambria Math"/>
          <w:sz w:val="17"/>
        </w:rPr>
      </w:pPr>
      <w:r>
        <w:rPr/>
        <w:t>Where</w:t>
      </w:r>
      <w:r>
        <w:rPr>
          <w:spacing w:val="-34"/>
        </w:rPr>
        <w:t> </w:t>
      </w:r>
      <w:r>
        <w:rPr>
          <w:rFonts w:ascii="Cambria Math" w:hAnsi="Cambria Math" w:eastAsia="Cambria Math"/>
          <w:spacing w:val="-7"/>
        </w:rPr>
        <w:t>�</w:t>
      </w:r>
      <w:r>
        <w:rPr>
          <w:rFonts w:ascii="Cambria Math" w:hAnsi="Cambria Math" w:eastAsia="Cambria Math"/>
          <w:spacing w:val="-7"/>
          <w:position w:val="-4"/>
          <w:sz w:val="17"/>
        </w:rPr>
        <w:t>1�</w:t>
      </w:r>
      <w:r>
        <w:rPr>
          <w:rFonts w:ascii="Cambria Math" w:hAnsi="Cambria Math" w:eastAsia="Cambria Math"/>
          <w:spacing w:val="-5"/>
          <w:position w:val="-4"/>
          <w:sz w:val="17"/>
        </w:rPr>
        <w:t> </w:t>
      </w:r>
      <w:r>
        <w:rPr>
          <w:rFonts w:ascii="Cambria Math" w:hAnsi="Cambria Math" w:eastAsia="Cambria Math"/>
          <w:spacing w:val="-6"/>
        </w:rPr>
        <w:t>�</w:t>
      </w:r>
      <w:r>
        <w:rPr>
          <w:rFonts w:ascii="Cambria Math" w:hAnsi="Cambria Math" w:eastAsia="Cambria Math"/>
          <w:spacing w:val="-6"/>
          <w:position w:val="-4"/>
          <w:sz w:val="17"/>
        </w:rPr>
        <w:t>2�</w:t>
      </w:r>
      <w:r>
        <w:rPr>
          <w:rFonts w:ascii="Cambria Math" w:hAnsi="Cambria Math" w:eastAsia="Cambria Math"/>
          <w:spacing w:val="-17"/>
          <w:position w:val="-4"/>
          <w:sz w:val="17"/>
        </w:rPr>
        <w:t> </w:t>
      </w:r>
      <w:r>
        <w:rPr>
          <w:rFonts w:ascii="Cambria Math" w:hAnsi="Cambria Math" w:eastAsia="Cambria Math"/>
        </w:rPr>
        <w:t>…</w:t>
      </w:r>
      <w:r>
        <w:rPr>
          <w:rFonts w:ascii="Cambria Math" w:hAnsi="Cambria Math" w:eastAsia="Cambria Math"/>
          <w:spacing w:val="-38"/>
        </w:rPr>
        <w:t> </w:t>
      </w:r>
      <w:r>
        <w:rPr>
          <w:rFonts w:ascii="Cambria Math" w:hAnsi="Cambria Math" w:eastAsia="Cambria Math"/>
        </w:rPr>
        <w:t>.</w:t>
      </w:r>
      <w:r>
        <w:rPr>
          <w:rFonts w:ascii="Cambria Math" w:hAnsi="Cambria Math" w:eastAsia="Cambria Math"/>
          <w:spacing w:val="-39"/>
        </w:rPr>
        <w:t> </w:t>
      </w:r>
      <w:r>
        <w:rPr>
          <w:rFonts w:ascii="Cambria Math" w:hAnsi="Cambria Math" w:eastAsia="Cambria Math"/>
          <w:spacing w:val="-6"/>
        </w:rPr>
        <w:t>�</w:t>
      </w:r>
      <w:r>
        <w:rPr>
          <w:rFonts w:ascii="Cambria Math" w:hAnsi="Cambria Math" w:eastAsia="Cambria Math"/>
          <w:spacing w:val="-6"/>
          <w:position w:val="-4"/>
          <w:sz w:val="17"/>
        </w:rPr>
        <w:t>��</w:t>
      </w:r>
      <w:r>
        <w:rPr>
          <w:rFonts w:ascii="Cambria Math" w:hAnsi="Cambria Math" w:eastAsia="Cambria Math"/>
          <w:spacing w:val="-4"/>
          <w:position w:val="-4"/>
          <w:sz w:val="17"/>
        </w:rPr>
        <w:t> </w:t>
      </w:r>
      <w:r>
        <w:rPr/>
        <w:t>is</w:t>
      </w:r>
      <w:r>
        <w:rPr>
          <w:spacing w:val="-34"/>
        </w:rPr>
        <w:t> </w:t>
      </w:r>
      <w:r>
        <w:rPr/>
        <w:t>the</w:t>
      </w:r>
      <w:r>
        <w:rPr>
          <w:spacing w:val="-33"/>
        </w:rPr>
        <w:t> </w:t>
      </w:r>
      <w:r>
        <w:rPr/>
        <w:t>variable</w:t>
      </w:r>
      <w:r>
        <w:rPr>
          <w:spacing w:val="-33"/>
        </w:rPr>
        <w:t> </w:t>
      </w:r>
      <w:r>
        <w:rPr/>
        <w:t>input</w:t>
      </w:r>
      <w:r>
        <w:rPr>
          <w:spacing w:val="-33"/>
        </w:rPr>
        <w:t> </w:t>
      </w:r>
      <w:r>
        <w:rPr/>
        <w:t>utilised</w:t>
      </w:r>
      <w:r>
        <w:rPr>
          <w:spacing w:val="-33"/>
        </w:rPr>
        <w:t> </w:t>
      </w:r>
      <w:r>
        <w:rPr/>
        <w:t>in</w:t>
      </w:r>
      <w:r>
        <w:rPr>
          <w:spacing w:val="-33"/>
        </w:rPr>
        <w:t> </w:t>
      </w:r>
      <w:r>
        <w:rPr/>
        <w:t>the</w:t>
      </w:r>
      <w:r>
        <w:rPr>
          <w:spacing w:val="-33"/>
        </w:rPr>
        <w:t> </w:t>
      </w:r>
      <w:r>
        <w:rPr/>
        <w:t>production</w:t>
      </w:r>
      <w:r>
        <w:rPr>
          <w:spacing w:val="-33"/>
        </w:rPr>
        <w:t> </w:t>
      </w:r>
      <w:r>
        <w:rPr/>
        <w:t>of</w:t>
      </w:r>
      <w:r>
        <w:rPr>
          <w:spacing w:val="-33"/>
        </w:rPr>
        <w:t> </w:t>
      </w:r>
      <w:r>
        <w:rPr/>
        <w:t>the</w:t>
      </w:r>
      <w:r>
        <w:rPr>
          <w:spacing w:val="-33"/>
        </w:rPr>
        <w:t> </w:t>
      </w:r>
      <w:r>
        <w:rPr/>
        <w:t>product</w:t>
      </w:r>
      <w:r>
        <w:rPr>
          <w:spacing w:val="-32"/>
        </w:rPr>
        <w:t> </w:t>
      </w:r>
      <w:r>
        <w:rPr>
          <w:rFonts w:ascii="Cambria Math" w:hAnsi="Cambria Math" w:eastAsia="Cambria Math"/>
          <w:spacing w:val="4"/>
        </w:rPr>
        <w:t>𝑖</w:t>
      </w:r>
      <w:r>
        <w:rPr>
          <w:spacing w:val="4"/>
        </w:rPr>
        <w:t>,</w:t>
      </w:r>
      <w:r>
        <w:rPr>
          <w:spacing w:val="-33"/>
        </w:rPr>
        <w:t> </w:t>
      </w:r>
      <w:r>
        <w:rPr/>
        <w:t>and </w:t>
      </w:r>
      <w:r>
        <w:rPr>
          <w:rFonts w:ascii="Cambria Math" w:hAnsi="Cambria Math" w:eastAsia="Cambria Math"/>
          <w:spacing w:val="-11"/>
        </w:rPr>
        <w:t>�</w:t>
      </w:r>
      <w:r>
        <w:rPr>
          <w:rFonts w:ascii="Cambria Math" w:hAnsi="Cambria Math" w:eastAsia="Cambria Math"/>
          <w:spacing w:val="-11"/>
          <w:position w:val="-4"/>
          <w:sz w:val="17"/>
        </w:rPr>
        <w:t>1�</w:t>
      </w:r>
    </w:p>
    <w:p>
      <w:pPr>
        <w:spacing w:before="106"/>
        <w:ind w:left="102" w:right="0" w:firstLine="0"/>
        <w:jc w:val="left"/>
        <w:rPr>
          <w:rFonts w:ascii="Cambria Math" w:hAnsi="Cambria Math" w:eastAsia="Cambria Math"/>
          <w:sz w:val="17"/>
        </w:rPr>
      </w:pPr>
      <w:r>
        <w:rPr/>
        <w:pict>
          <v:shape style="position:absolute;margin-left:291.290009pt;margin-top:43.51693pt;width:7.95pt;height:8.550pt;mso-position-horizontal-relative:page;mso-position-vertical-relative:paragraph;z-index:-457768"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53"/>
                      <w:sz w:val="17"/>
                    </w:rPr>
                    <w:t>�</w:t>
                  </w:r>
                </w:p>
              </w:txbxContent>
            </v:textbox>
            <w10:wrap type="none"/>
          </v:shape>
        </w:pic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 �</w:t>
      </w:r>
      <w:r>
        <w:rPr>
          <w:rFonts w:ascii="Cambria Math" w:hAnsi="Cambria Math" w:eastAsia="Cambria Math"/>
          <w:w w:val="95"/>
          <w:position w:val="-4"/>
          <w:sz w:val="17"/>
        </w:rPr>
        <w:t>21 </w:t>
      </w:r>
      <w:r>
        <w:rPr>
          <w:rFonts w:ascii="Cambria Math" w:hAnsi="Cambria Math" w:eastAsia="Cambria Math"/>
          <w:w w:val="95"/>
          <w:sz w:val="24"/>
        </w:rPr>
        <w:t>… . �</w:t>
      </w:r>
      <w:r>
        <w:rPr>
          <w:rFonts w:ascii="Cambria Math" w:hAnsi="Cambria Math" w:eastAsia="Cambria Math"/>
          <w:w w:val="95"/>
          <w:position w:val="-4"/>
          <w:sz w:val="17"/>
        </w:rPr>
        <w:t>�� </w:t>
      </w:r>
      <w:r>
        <w:rPr>
          <w:w w:val="95"/>
          <w:sz w:val="24"/>
        </w:rPr>
        <w:t>is the price for input </w:t>
      </w:r>
      <w:r>
        <w:rPr>
          <w:rFonts w:ascii="Cambria Math" w:hAnsi="Cambria Math" w:eastAsia="Cambria Math"/>
          <w:w w:val="95"/>
          <w:sz w:val="24"/>
        </w:rPr>
        <w:t>�</w:t>
      </w:r>
      <w:r>
        <w:rPr>
          <w:rFonts w:ascii="Cambria Math" w:hAnsi="Cambria Math" w:eastAsia="Cambria Math"/>
          <w:w w:val="95"/>
          <w:position w:val="-4"/>
          <w:sz w:val="17"/>
        </w:rPr>
        <w:t>1� </w:t>
      </w:r>
      <w:r>
        <w:rPr>
          <w:rFonts w:ascii="Cambria Math" w:hAnsi="Cambria Math" w:eastAsia="Cambria Math"/>
          <w:w w:val="95"/>
          <w:sz w:val="24"/>
        </w:rPr>
        <w:t>�</w:t>
      </w:r>
      <w:r>
        <w:rPr>
          <w:rFonts w:ascii="Cambria Math" w:hAnsi="Cambria Math" w:eastAsia="Cambria Math"/>
          <w:w w:val="95"/>
          <w:position w:val="-4"/>
          <w:sz w:val="17"/>
        </w:rPr>
        <w:t>2� </w:t>
      </w:r>
      <w:r>
        <w:rPr>
          <w:rFonts w:ascii="Cambria Math" w:hAnsi="Cambria Math" w:eastAsia="Cambria Math"/>
          <w:w w:val="95"/>
          <w:sz w:val="24"/>
        </w:rPr>
        <w:t>… . �</w:t>
      </w:r>
      <w:r>
        <w:rPr>
          <w:rFonts w:ascii="Cambria Math" w:hAnsi="Cambria Math" w:eastAsia="Cambria Math"/>
          <w:w w:val="95"/>
          <w:position w:val="-4"/>
          <w:sz w:val="17"/>
        </w:rPr>
        <w:t>��</w:t>
      </w:r>
    </w:p>
    <w:p>
      <w:pPr>
        <w:pStyle w:val="BodyText"/>
        <w:spacing w:before="8"/>
        <w:rPr>
          <w:rFonts w:ascii="Cambria Math"/>
          <w:sz w:val="12"/>
        </w:rPr>
      </w:pPr>
    </w:p>
    <w:p>
      <w:pPr>
        <w:spacing w:after="0"/>
        <w:rPr>
          <w:rFonts w:ascii="Cambria Math"/>
          <w:sz w:val="12"/>
        </w:rPr>
        <w:sectPr>
          <w:type w:val="continuous"/>
          <w:pgSz w:w="12240" w:h="15840"/>
          <w:pgMar w:top="1360" w:bottom="280" w:left="1600" w:right="1580"/>
        </w:sectPr>
      </w:pPr>
    </w:p>
    <w:p>
      <w:pPr>
        <w:pStyle w:val="BodyText"/>
        <w:spacing w:before="119"/>
        <w:ind w:left="102" w:right="20"/>
        <w:rPr>
          <w:rFonts w:ascii="Cambria Math" w:hAnsi="Cambria Math" w:eastAsia="Cambria Math"/>
          <w:sz w:val="17"/>
        </w:rPr>
      </w:pPr>
      <w:r>
        <w:rPr/>
        <w:pict>
          <v:shape style="position:absolute;margin-left:185.779999pt;margin-top:15.001241pt;width:14.45pt;height:8.550pt;mso-position-horizontal-relative:page;mso-position-vertical-relative:paragraph;z-index:-457792" type="#_x0000_t202" filled="false" stroked="false">
            <v:textbox inset="0,0,0,0">
              <w:txbxContent>
                <w:p>
                  <w:pPr>
                    <w:spacing w:line="170" w:lineRule="exact" w:before="0"/>
                    <w:ind w:left="0" w:right="-51" w:firstLine="0"/>
                    <w:jc w:val="left"/>
                    <w:rPr>
                      <w:rFonts w:ascii="Cambria Math" w:eastAsia="Cambria Math"/>
                      <w:sz w:val="17"/>
                    </w:rPr>
                  </w:pPr>
                  <w:r>
                    <w:rPr>
                      <w:rFonts w:ascii="Cambria Math" w:eastAsia="Cambria Math"/>
                      <w:spacing w:val="5"/>
                      <w:w w:val="53"/>
                      <w:sz w:val="17"/>
                    </w:rPr>
                    <w:t>�</w:t>
                  </w:r>
                  <w:r>
                    <w:rPr>
                      <w:rFonts w:ascii="Cambria Math" w:eastAsia="Cambria Math"/>
                      <w:spacing w:val="1"/>
                      <w:w w:val="97"/>
                      <w:sz w:val="17"/>
                    </w:rPr>
                    <w:t>=</w:t>
                  </w:r>
                  <w:r>
                    <w:rPr>
                      <w:rFonts w:ascii="Cambria Math" w:eastAsia="Cambria Math"/>
                      <w:w w:val="104"/>
                      <w:sz w:val="17"/>
                    </w:rPr>
                    <w:t>1</w:t>
                  </w:r>
                </w:p>
              </w:txbxContent>
            </v:textbox>
            <w10:wrap type="none"/>
          </v:shape>
        </w:pict>
      </w:r>
      <w:r>
        <w:rPr/>
        <w:t>Fixed costs </w:t>
      </w:r>
      <w:r>
        <w:rPr>
          <w:rFonts w:ascii="Cambria Math" w:hAnsi="Cambria Math" w:eastAsia="Cambria Math"/>
        </w:rPr>
        <w:t>�� = </w:t>
      </w:r>
      <w:r>
        <w:rPr>
          <w:rFonts w:ascii="Cambria Math" w:hAnsi="Cambria Math" w:eastAsia="Cambria Math"/>
          <w:position w:val="1"/>
        </w:rPr>
        <w:t>[∑</w:t>
      </w:r>
      <w:r>
        <w:rPr>
          <w:rFonts w:ascii="Cambria Math" w:hAnsi="Cambria Math" w:eastAsia="Cambria Math"/>
          <w:position w:val="10"/>
          <w:sz w:val="17"/>
        </w:rPr>
        <w:t>�</w:t>
      </w:r>
    </w:p>
    <w:p>
      <w:pPr>
        <w:spacing w:before="119"/>
        <w:ind w:left="-2" w:right="-1" w:firstLine="0"/>
        <w:jc w:val="left"/>
        <w:rPr>
          <w:rFonts w:ascii="Cambria Math" w:hAnsi="Cambria Math" w:eastAsia="Cambria Math"/>
          <w:sz w:val="24"/>
        </w:rPr>
      </w:pPr>
      <w:r>
        <w:rPr/>
        <w:br w:type="column"/>
      </w:r>
      <w:r>
        <w:rPr>
          <w:rFonts w:ascii="Cambria Math" w:hAnsi="Cambria Math" w:eastAsia="Cambria Math"/>
          <w:sz w:val="24"/>
        </w:rPr>
        <w:t>�</w:t>
      </w:r>
      <w:r>
        <w:rPr>
          <w:rFonts w:ascii="Cambria Math" w:hAnsi="Cambria Math" w:eastAsia="Cambria Math"/>
          <w:position w:val="-4"/>
          <w:sz w:val="17"/>
        </w:rPr>
        <w:t>1� </w:t>
      </w:r>
      <w:r>
        <w:rPr>
          <w:rFonts w:ascii="Cambria Math" w:hAnsi="Cambria Math" w:eastAsia="Cambria Math"/>
          <w:sz w:val="24"/>
        </w:rPr>
        <w:t>, �</w:t>
      </w:r>
      <w:r>
        <w:rPr>
          <w:rFonts w:ascii="Cambria Math" w:hAnsi="Cambria Math" w:eastAsia="Cambria Math"/>
          <w:position w:val="-4"/>
          <w:sz w:val="17"/>
        </w:rPr>
        <w:t>2� </w:t>
      </w:r>
      <w:r>
        <w:rPr>
          <w:rFonts w:ascii="Cambria Math" w:hAnsi="Cambria Math" w:eastAsia="Cambria Math"/>
          <w:sz w:val="24"/>
        </w:rPr>
        <w:t>… . �</w:t>
      </w:r>
      <w:r>
        <w:rPr>
          <w:rFonts w:ascii="Cambria Math" w:hAnsi="Cambria Math" w:eastAsia="Cambria Math"/>
          <w:position w:val="-4"/>
          <w:sz w:val="17"/>
        </w:rPr>
        <w:t>�� </w:t>
      </w:r>
      <w:r>
        <w:rPr>
          <w:rFonts w:ascii="Cambria Math" w:hAnsi="Cambria Math" w:eastAsia="Cambria Math"/>
          <w:position w:val="1"/>
          <w:sz w:val="24"/>
        </w:rPr>
        <w:t>] </w:t>
      </w:r>
      <w:r>
        <w:rPr>
          <w:rFonts w:ascii="Cambria Math" w:hAnsi="Cambria Math" w:eastAsia="Cambria Math"/>
          <w:w w:val="95"/>
          <w:sz w:val="24"/>
        </w:rPr>
        <w:t>[�</w:t>
      </w:r>
      <w:r>
        <w:rPr>
          <w:rFonts w:ascii="Cambria Math" w:hAnsi="Cambria Math" w:eastAsia="Cambria Math"/>
          <w:w w:val="95"/>
          <w:position w:val="10"/>
          <w:sz w:val="17"/>
        </w:rPr>
        <w:t>�� </w:t>
      </w:r>
      <w:r>
        <w:rPr>
          <w:rFonts w:ascii="Cambria Math" w:hAnsi="Cambria Math" w:eastAsia="Cambria Math"/>
          <w:w w:val="95"/>
          <w:sz w:val="24"/>
        </w:rPr>
        <w:t>=</w:t>
      </w:r>
    </w:p>
    <w:p>
      <w:pPr>
        <w:tabs>
          <w:tab w:pos="3892" w:val="left" w:leader="none"/>
        </w:tabs>
        <w:spacing w:line="308" w:lineRule="exact" w:before="77"/>
        <w:ind w:left="25" w:right="0" w:firstLine="0"/>
        <w:jc w:val="left"/>
        <w:rPr>
          <w:sz w:val="24"/>
        </w:rPr>
      </w:pPr>
      <w:r>
        <w:rPr/>
        <w:br w:type="column"/>
      </w:r>
      <w:r>
        <w:rPr>
          <w:spacing w:val="-43"/>
          <w:w w:val="100"/>
          <w:sz w:val="17"/>
          <w:u w:val="single"/>
        </w:rPr>
        <w:t> </w:t>
      </w:r>
      <w:r>
        <w:rPr>
          <w:rFonts w:ascii="Cambria Math" w:hAnsi="Cambria Math" w:eastAsia="Cambria Math"/>
          <w:spacing w:val="-30"/>
          <w:w w:val="105"/>
          <w:sz w:val="17"/>
          <w:u w:val="single"/>
        </w:rPr>
        <w:t>(𝑃</w:t>
      </w:r>
      <w:r>
        <w:rPr>
          <w:rFonts w:ascii="Cambria Math" w:hAnsi="Cambria Math" w:eastAsia="Cambria Math"/>
          <w:spacing w:val="-30"/>
          <w:w w:val="105"/>
          <w:position w:val="-3"/>
          <w:sz w:val="14"/>
          <w:u w:val="single"/>
        </w:rPr>
        <w:t>𝑖</w:t>
      </w:r>
      <w:r>
        <w:rPr>
          <w:rFonts w:ascii="Cambria Math" w:hAnsi="Cambria Math" w:eastAsia="Cambria Math"/>
          <w:spacing w:val="-30"/>
          <w:w w:val="105"/>
          <w:sz w:val="17"/>
          <w:u w:val="single"/>
        </w:rPr>
        <w:t>−��</w:t>
      </w:r>
      <w:r>
        <w:rPr>
          <w:rFonts w:ascii="Cambria Math" w:hAnsi="Cambria Math" w:eastAsia="Cambria Math"/>
          <w:spacing w:val="-30"/>
          <w:w w:val="105"/>
          <w:position w:val="-3"/>
          <w:sz w:val="14"/>
          <w:u w:val="single"/>
        </w:rPr>
        <w:t>𝑖</w:t>
      </w:r>
      <w:r>
        <w:rPr>
          <w:rFonts w:ascii="Cambria Math" w:hAnsi="Cambria Math" w:eastAsia="Cambria Math"/>
          <w:spacing w:val="-30"/>
          <w:w w:val="105"/>
          <w:sz w:val="17"/>
          <w:u w:val="single"/>
        </w:rPr>
        <w:t>)</w:t>
      </w:r>
      <w:r>
        <w:rPr>
          <w:rFonts w:ascii="Cambria Math" w:hAnsi="Cambria Math" w:eastAsia="Cambria Math"/>
          <w:spacing w:val="-30"/>
          <w:w w:val="105"/>
          <w:position w:val="-13"/>
          <w:sz w:val="24"/>
        </w:rPr>
        <w:t>]</w:t>
        <w:tab/>
      </w:r>
      <w:r>
        <w:rPr>
          <w:w w:val="105"/>
          <w:position w:val="-13"/>
          <w:sz w:val="24"/>
        </w:rPr>
        <w:t>(3)</w:t>
      </w:r>
    </w:p>
    <w:p>
      <w:pPr>
        <w:spacing w:line="186" w:lineRule="exact" w:before="0"/>
        <w:ind w:left="246" w:right="0" w:firstLine="0"/>
        <w:jc w:val="left"/>
        <w:rPr>
          <w:rFonts w:ascii="Cambria Math" w:eastAsia="Cambria Math"/>
          <w:sz w:val="14"/>
        </w:rPr>
      </w:pPr>
      <w:r>
        <w:rPr>
          <w:rFonts w:ascii="Cambria Math" w:eastAsia="Cambria Math"/>
          <w:w w:val="105"/>
          <w:sz w:val="17"/>
        </w:rPr>
        <w:t>��</w:t>
      </w:r>
      <w:r>
        <w:rPr>
          <w:rFonts w:ascii="Cambria Math" w:eastAsia="Cambria Math"/>
          <w:w w:val="105"/>
          <w:position w:val="-3"/>
          <w:sz w:val="14"/>
        </w:rPr>
        <w:t>𝑖</w:t>
      </w:r>
    </w:p>
    <w:p>
      <w:pPr>
        <w:spacing w:after="0" w:line="186" w:lineRule="exact"/>
        <w:jc w:val="left"/>
        <w:rPr>
          <w:rFonts w:ascii="Cambria Math" w:eastAsia="Cambria Math"/>
          <w:sz w:val="14"/>
        </w:rPr>
        <w:sectPr>
          <w:type w:val="continuous"/>
          <w:pgSz w:w="12240" w:h="15840"/>
          <w:pgMar w:top="1360" w:bottom="280" w:left="1600" w:right="1580"/>
          <w:cols w:num="3" w:equalWidth="0">
            <w:col w:w="2405" w:space="40"/>
            <w:col w:w="2240" w:space="40"/>
            <w:col w:w="4335"/>
          </w:cols>
        </w:sectPr>
      </w:pPr>
    </w:p>
    <w:p>
      <w:pPr>
        <w:pStyle w:val="BodyText"/>
        <w:spacing w:before="59"/>
        <w:ind w:left="102"/>
        <w:rPr>
          <w:rFonts w:ascii="Cambria Math" w:hAnsi="Cambria Math" w:eastAsia="Cambria Math"/>
          <w:sz w:val="17"/>
        </w:rPr>
      </w:pPr>
      <w:r>
        <w:rPr/>
        <w:pict>
          <v:shape style="position:absolute;margin-left:453.820007pt;margin-top:12.021259pt;width:7.95pt;height:8.550pt;mso-position-horizontal-relative:page;mso-position-vertical-relative:paragraph;z-index:-457744"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53"/>
                      <w:sz w:val="17"/>
                    </w:rPr>
                    <w:t>�</w:t>
                  </w:r>
                </w:p>
              </w:txbxContent>
            </v:textbox>
            <w10:wrap type="none"/>
          </v:shape>
        </w:pict>
      </w:r>
      <w:r>
        <w:rPr/>
        <w:t>Where</w:t>
      </w:r>
      <w:r>
        <w:rPr>
          <w:spacing w:val="-23"/>
        </w:rPr>
        <w:t> </w:t>
      </w:r>
      <w:r>
        <w:rPr>
          <w:rFonts w:ascii="Cambria Math" w:hAnsi="Cambria Math" w:eastAsia="Cambria Math"/>
          <w:spacing w:val="-3"/>
        </w:rPr>
        <w:t>�</w:t>
      </w:r>
      <w:r>
        <w:rPr>
          <w:rFonts w:ascii="Cambria Math" w:hAnsi="Cambria Math" w:eastAsia="Cambria Math"/>
          <w:spacing w:val="-3"/>
          <w:position w:val="-4"/>
          <w:sz w:val="17"/>
        </w:rPr>
        <w:t>1�</w:t>
      </w:r>
      <w:r>
        <w:rPr>
          <w:rFonts w:ascii="Cambria Math" w:hAnsi="Cambria Math" w:eastAsia="Cambria Math"/>
          <w:spacing w:val="11"/>
          <w:position w:val="-4"/>
          <w:sz w:val="17"/>
        </w:rPr>
        <w:t> </w:t>
      </w:r>
      <w:r>
        <w:rPr>
          <w:rFonts w:ascii="Cambria Math" w:hAnsi="Cambria Math" w:eastAsia="Cambria Math"/>
        </w:rPr>
        <w:t>�</w:t>
      </w:r>
      <w:r>
        <w:rPr>
          <w:rFonts w:ascii="Cambria Math" w:hAnsi="Cambria Math" w:eastAsia="Cambria Math"/>
          <w:position w:val="-4"/>
          <w:sz w:val="17"/>
        </w:rPr>
        <w:t>2�</w:t>
      </w:r>
      <w:r>
        <w:rPr>
          <w:rFonts w:ascii="Cambria Math" w:hAnsi="Cambria Math" w:eastAsia="Cambria Math"/>
          <w:spacing w:val="2"/>
          <w:position w:val="-4"/>
          <w:sz w:val="17"/>
        </w:rPr>
        <w:t> </w:t>
      </w:r>
      <w:r>
        <w:rPr>
          <w:rFonts w:ascii="Cambria Math" w:hAnsi="Cambria Math" w:eastAsia="Cambria Math"/>
        </w:rPr>
        <w:t>…</w:t>
      </w:r>
      <w:r>
        <w:rPr>
          <w:rFonts w:ascii="Cambria Math" w:hAnsi="Cambria Math" w:eastAsia="Cambria Math"/>
          <w:spacing w:val="-24"/>
        </w:rPr>
        <w:t> </w:t>
      </w:r>
      <w:r>
        <w:rPr>
          <w:rFonts w:ascii="Cambria Math" w:hAnsi="Cambria Math" w:eastAsia="Cambria Math"/>
        </w:rPr>
        <w:t>.</w:t>
      </w:r>
      <w:r>
        <w:rPr>
          <w:rFonts w:ascii="Cambria Math" w:hAnsi="Cambria Math" w:eastAsia="Cambria Math"/>
          <w:spacing w:val="-25"/>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13"/>
          <w:position w:val="-4"/>
          <w:sz w:val="17"/>
        </w:rPr>
        <w:t> </w:t>
      </w:r>
      <w:r>
        <w:rPr/>
        <w:t>is</w:t>
      </w:r>
      <w:r>
        <w:rPr>
          <w:spacing w:val="-21"/>
        </w:rPr>
        <w:t> </w:t>
      </w:r>
      <w:r>
        <w:rPr/>
        <w:t>the</w:t>
      </w:r>
      <w:r>
        <w:rPr>
          <w:spacing w:val="-22"/>
        </w:rPr>
        <w:t> </w:t>
      </w:r>
      <w:r>
        <w:rPr/>
        <w:t>utilised</w:t>
      </w:r>
      <w:r>
        <w:rPr>
          <w:spacing w:val="-22"/>
        </w:rPr>
        <w:t> </w:t>
      </w:r>
      <w:r>
        <w:rPr/>
        <w:t>asset</w:t>
      </w:r>
      <w:r>
        <w:rPr>
          <w:spacing w:val="-22"/>
        </w:rPr>
        <w:t> </w:t>
      </w:r>
      <w:r>
        <w:rPr/>
        <w:t>in</w:t>
      </w:r>
      <w:r>
        <w:rPr>
          <w:spacing w:val="-21"/>
        </w:rPr>
        <w:t> </w:t>
      </w:r>
      <w:r>
        <w:rPr/>
        <w:t>the</w:t>
      </w:r>
      <w:r>
        <w:rPr>
          <w:spacing w:val="-22"/>
        </w:rPr>
        <w:t> </w:t>
      </w:r>
      <w:r>
        <w:rPr/>
        <w:t>production</w:t>
      </w:r>
      <w:r>
        <w:rPr>
          <w:spacing w:val="-22"/>
        </w:rPr>
        <w:t> </w:t>
      </w:r>
      <w:r>
        <w:rPr/>
        <w:t>of</w:t>
      </w:r>
      <w:r>
        <w:rPr>
          <w:spacing w:val="-22"/>
        </w:rPr>
        <w:t> </w:t>
      </w:r>
      <w:r>
        <w:rPr/>
        <w:t>the</w:t>
      </w:r>
      <w:r>
        <w:rPr>
          <w:spacing w:val="-21"/>
        </w:rPr>
        <w:t> </w:t>
      </w:r>
      <w:r>
        <w:rPr/>
        <w:t>product </w:t>
      </w:r>
      <w:r>
        <w:rPr>
          <w:rFonts w:ascii="Cambria Math" w:hAnsi="Cambria Math" w:eastAsia="Cambria Math"/>
          <w:spacing w:val="-30"/>
          <w:w w:val="90"/>
        </w:rPr>
        <w:t>𝑖</w:t>
      </w:r>
      <w:r>
        <w:rPr>
          <w:spacing w:val="-30"/>
          <w:w w:val="90"/>
        </w:rPr>
        <w:t>,</w:t>
      </w:r>
      <w:r>
        <w:rPr>
          <w:spacing w:val="-7"/>
          <w:w w:val="90"/>
        </w:rPr>
        <w:t> </w:t>
      </w:r>
      <w:r>
        <w:rPr>
          <w:rFonts w:ascii="Cambria Math" w:hAnsi="Cambria Math" w:eastAsia="Cambria Math"/>
          <w:spacing w:val="-30"/>
          <w:w w:val="90"/>
        </w:rPr>
        <w:t>�</w:t>
      </w:r>
      <w:r>
        <w:rPr>
          <w:rFonts w:ascii="Cambria Math" w:hAnsi="Cambria Math" w:eastAsia="Cambria Math"/>
          <w:spacing w:val="-30"/>
          <w:w w:val="90"/>
          <w:position w:val="10"/>
          <w:sz w:val="17"/>
        </w:rPr>
        <w:t>��</w:t>
      </w:r>
    </w:p>
    <w:p>
      <w:pPr>
        <w:pStyle w:val="BodyText"/>
        <w:spacing w:before="96"/>
        <w:ind w:left="29"/>
      </w:pPr>
      <w:r>
        <w:rPr/>
        <w:br w:type="column"/>
      </w:r>
      <w:r>
        <w:rPr/>
        <w:t>is the annual</w:t>
      </w:r>
    </w:p>
    <w:p>
      <w:pPr>
        <w:spacing w:after="0"/>
        <w:sectPr>
          <w:pgSz w:w="12240" w:h="15840"/>
          <w:pgMar w:header="0" w:footer="657" w:top="1340" w:bottom="840" w:left="1600" w:right="1580"/>
          <w:cols w:num="2" w:equalWidth="0">
            <w:col w:w="7673" w:space="40"/>
            <w:col w:w="1347"/>
          </w:cols>
        </w:sectPr>
      </w:pPr>
    </w:p>
    <w:p>
      <w:pPr>
        <w:pStyle w:val="BodyText"/>
        <w:spacing w:line="331" w:lineRule="auto" w:before="109"/>
        <w:ind w:left="102"/>
      </w:pPr>
      <w:r>
        <w:rPr/>
        <w:t>cost for depreciation of asset </w:t>
      </w:r>
      <w:r>
        <w:rPr>
          <w:rFonts w:ascii="Cambria Math" w:eastAsia="Cambria Math"/>
        </w:rPr>
        <w:t>𝑖</w:t>
      </w:r>
      <w:r>
        <w:rPr/>
        <w:t>, </w:t>
      </w:r>
      <w:r>
        <w:rPr>
          <w:rFonts w:ascii="Cambria Math" w:eastAsia="Cambria Math"/>
        </w:rPr>
        <w:t>�</w:t>
      </w:r>
      <w:r>
        <w:rPr>
          <w:rFonts w:ascii="Cambria Math" w:eastAsia="Cambria Math"/>
          <w:position w:val="-4"/>
          <w:sz w:val="17"/>
        </w:rPr>
        <w:t>� </w:t>
      </w:r>
      <w:r>
        <w:rPr/>
        <w:t>is the historic value of the asset </w:t>
      </w:r>
      <w:r>
        <w:rPr>
          <w:rFonts w:ascii="Cambria Math" w:eastAsia="Cambria Math"/>
        </w:rPr>
        <w:t>𝑖</w:t>
      </w:r>
      <w:r>
        <w:rPr/>
        <w:t>, </w:t>
      </w:r>
      <w:r>
        <w:rPr>
          <w:rFonts w:ascii="Cambria Math" w:eastAsia="Cambria Math"/>
        </w:rPr>
        <w:t>��</w:t>
      </w:r>
      <w:r>
        <w:rPr>
          <w:rFonts w:ascii="Cambria Math" w:eastAsia="Cambria Math"/>
          <w:position w:val="-4"/>
          <w:sz w:val="17"/>
        </w:rPr>
        <w:t>� </w:t>
      </w:r>
      <w:r>
        <w:rPr/>
        <w:t>is the </w:t>
      </w:r>
      <w:r>
        <w:rPr>
          <w:w w:val="95"/>
        </w:rPr>
        <w:t>residual value of asset </w:t>
      </w:r>
      <w:r>
        <w:rPr>
          <w:rFonts w:ascii="Cambria Math" w:eastAsia="Cambria Math"/>
          <w:w w:val="95"/>
        </w:rPr>
        <w:t>𝑖</w:t>
      </w:r>
      <w:r>
        <w:rPr>
          <w:w w:val="95"/>
        </w:rPr>
        <w:t>, and </w:t>
      </w:r>
      <w:r>
        <w:rPr>
          <w:rFonts w:ascii="Cambria Math" w:eastAsia="Cambria Math"/>
          <w:w w:val="95"/>
        </w:rPr>
        <w:t>��</w:t>
      </w:r>
      <w:r>
        <w:rPr>
          <w:rFonts w:ascii="Cambria Math" w:eastAsia="Cambria Math"/>
          <w:w w:val="95"/>
          <w:position w:val="-4"/>
          <w:sz w:val="17"/>
        </w:rPr>
        <w:t>� </w:t>
      </w:r>
      <w:r>
        <w:rPr>
          <w:w w:val="95"/>
        </w:rPr>
        <w:t>is the useful life of asset </w:t>
      </w:r>
      <w:r>
        <w:rPr>
          <w:rFonts w:ascii="Cambria Math" w:eastAsia="Cambria Math"/>
          <w:w w:val="95"/>
        </w:rPr>
        <w:t>𝑖</w:t>
      </w:r>
      <w:r>
        <w:rPr>
          <w:w w:val="95"/>
        </w:rPr>
        <w:t>.</w:t>
      </w:r>
    </w:p>
    <w:p>
      <w:pPr>
        <w:pStyle w:val="BodyText"/>
        <w:rPr>
          <w:sz w:val="20"/>
        </w:rPr>
      </w:pPr>
    </w:p>
    <w:p>
      <w:pPr>
        <w:pStyle w:val="BodyText"/>
        <w:spacing w:before="10"/>
        <w:rPr>
          <w:sz w:val="28"/>
        </w:rPr>
      </w:pPr>
    </w:p>
    <w:p>
      <w:pPr>
        <w:spacing w:after="0"/>
        <w:rPr>
          <w:sz w:val="28"/>
        </w:rPr>
        <w:sectPr>
          <w:type w:val="continuous"/>
          <w:pgSz w:w="12240" w:h="15840"/>
          <w:pgMar w:top="1360" w:bottom="280" w:left="1600" w:right="1580"/>
        </w:sectPr>
      </w:pPr>
    </w:p>
    <w:p>
      <w:pPr>
        <w:pStyle w:val="BodyText"/>
        <w:spacing w:before="75"/>
        <w:ind w:left="102"/>
        <w:rPr>
          <w:rFonts w:ascii="Cambria Math" w:hAnsi="Cambria Math" w:eastAsia="Cambria Math"/>
          <w:sz w:val="17"/>
        </w:rPr>
      </w:pPr>
      <w:r>
        <w:rPr/>
        <w:pict>
          <v:shape style="position:absolute;margin-left:160.100006pt;margin-top:12.801237pt;width:14.15pt;height:8.550pt;mso-position-horizontal-relative:page;mso-position-vertical-relative:paragraph;z-index:-457720"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t>Totals </w:t>
      </w:r>
      <w:r>
        <w:rPr>
          <w:rFonts w:ascii="Cambria Math" w:hAnsi="Cambria Math" w:eastAsia="Cambria Math"/>
        </w:rPr>
        <w:t>�� = </w:t>
      </w:r>
      <w:r>
        <w:rPr>
          <w:rFonts w:ascii="Cambria Math" w:hAnsi="Cambria Math" w:eastAsia="Cambria Math"/>
          <w:position w:val="1"/>
        </w:rPr>
        <w:t>∑</w:t>
      </w:r>
      <w:r>
        <w:rPr>
          <w:rFonts w:ascii="Cambria Math" w:hAnsi="Cambria Math" w:eastAsia="Cambria Math"/>
          <w:position w:val="10"/>
          <w:sz w:val="17"/>
        </w:rPr>
        <w:t>��</w:t>
      </w:r>
    </w:p>
    <w:p>
      <w:pPr>
        <w:spacing w:before="75"/>
        <w:ind w:left="3" w:right="0" w:firstLine="0"/>
        <w:jc w:val="left"/>
        <w:rPr>
          <w:rFonts w:ascii="Cambria Math" w:hAnsi="Cambria Math" w:eastAsia="Cambria Math"/>
          <w:sz w:val="24"/>
        </w:rPr>
      </w:pPr>
      <w:r>
        <w:rPr/>
        <w:br w:type="column"/>
      </w:r>
      <w:r>
        <w:rPr>
          <w:rFonts w:ascii="Cambria Math" w:hAnsi="Cambria Math" w:eastAsia="Cambria Math"/>
          <w:sz w:val="24"/>
        </w:rPr>
        <w:t>�� + </w:t>
      </w:r>
      <w:r>
        <w:rPr>
          <w:rFonts w:ascii="Cambria Math" w:hAnsi="Cambria Math" w:eastAsia="Cambria Math"/>
          <w:position w:val="1"/>
          <w:sz w:val="24"/>
        </w:rPr>
        <w:t>∑</w:t>
      </w:r>
      <w:r>
        <w:rPr>
          <w:rFonts w:ascii="Cambria Math" w:hAnsi="Cambria Math" w:eastAsia="Cambria Math"/>
          <w:position w:val="10"/>
          <w:sz w:val="17"/>
        </w:rPr>
        <w:t>�� </w:t>
      </w:r>
      <w:r>
        <w:rPr>
          <w:rFonts w:ascii="Cambria Math" w:hAnsi="Cambria Math" w:eastAsia="Cambria Math"/>
          <w:sz w:val="24"/>
        </w:rPr>
        <w:t>��</w:t>
      </w:r>
    </w:p>
    <w:p>
      <w:pPr>
        <w:spacing w:before="113"/>
        <w:ind w:left="90" w:right="0" w:firstLine="0"/>
        <w:jc w:val="left"/>
        <w:rPr>
          <w:sz w:val="24"/>
        </w:rPr>
      </w:pPr>
      <w:r>
        <w:rPr/>
        <w:br w:type="column"/>
      </w:r>
      <w:r>
        <w:rPr>
          <w:sz w:val="24"/>
        </w:rPr>
        <w:t>(4)</w:t>
      </w:r>
    </w:p>
    <w:p>
      <w:pPr>
        <w:spacing w:after="0"/>
        <w:jc w:val="left"/>
        <w:rPr>
          <w:sz w:val="24"/>
        </w:rPr>
        <w:sectPr>
          <w:type w:val="continuous"/>
          <w:pgSz w:w="12240" w:h="15840"/>
          <w:pgMar w:top="1360" w:bottom="280" w:left="1600" w:right="1580"/>
          <w:cols w:num="3" w:equalWidth="0">
            <w:col w:w="1886" w:space="40"/>
            <w:col w:w="1381" w:space="40"/>
            <w:col w:w="5713"/>
          </w:cols>
        </w:sectPr>
      </w:pPr>
    </w:p>
    <w:p>
      <w:pPr>
        <w:pStyle w:val="BodyText"/>
        <w:spacing w:before="6"/>
        <w:rPr>
          <w:sz w:val="15"/>
        </w:rPr>
      </w:pPr>
    </w:p>
    <w:p>
      <w:pPr>
        <w:spacing w:after="0"/>
        <w:rPr>
          <w:sz w:val="15"/>
        </w:rPr>
        <w:sectPr>
          <w:type w:val="continuous"/>
          <w:pgSz w:w="12240" w:h="15840"/>
          <w:pgMar w:top="1360" w:bottom="280" w:left="1600" w:right="1580"/>
        </w:sectPr>
      </w:pPr>
    </w:p>
    <w:p>
      <w:pPr>
        <w:spacing w:before="75"/>
        <w:ind w:left="102" w:right="-15" w:firstLine="0"/>
        <w:jc w:val="left"/>
        <w:rPr>
          <w:rFonts w:ascii="Cambria Math" w:hAnsi="Cambria Math" w:eastAsia="Cambria Math"/>
          <w:sz w:val="17"/>
        </w:rPr>
      </w:pPr>
      <w:r>
        <w:rPr/>
        <w:pict>
          <v:shape style="position:absolute;margin-left:214.490005pt;margin-top:-15.638765pt;width:14.15pt;height:8.550pt;mso-position-horizontal-relative:page;mso-position-vertical-relative:paragraph;z-index:-457696"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pict>
          <v:shape style="position:absolute;margin-left:128.660004pt;margin-top:12.801235pt;width:14.15pt;height:8.550pt;mso-position-horizontal-relative:page;mso-position-vertical-relative:paragraph;z-index:-457672"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w w:val="95"/>
          <w:sz w:val="24"/>
        </w:rPr>
        <w:t>Where </w:t>
      </w:r>
      <w:r>
        <w:rPr>
          <w:rFonts w:ascii="Cambria Math" w:hAnsi="Cambria Math" w:eastAsia="Cambria Math"/>
          <w:w w:val="95"/>
          <w:position w:val="1"/>
          <w:sz w:val="24"/>
        </w:rPr>
        <w:t>∑</w:t>
      </w:r>
      <w:r>
        <w:rPr>
          <w:rFonts w:ascii="Cambria Math" w:hAnsi="Cambria Math" w:eastAsia="Cambria Math"/>
          <w:w w:val="95"/>
          <w:position w:val="10"/>
          <w:sz w:val="17"/>
        </w:rPr>
        <w:t>��</w:t>
      </w:r>
    </w:p>
    <w:p>
      <w:pPr>
        <w:pStyle w:val="BodyText"/>
        <w:spacing w:before="75"/>
        <w:ind w:left="5"/>
        <w:rPr>
          <w:rFonts w:ascii="Cambria Math" w:hAnsi="Cambria Math" w:eastAsia="Cambria Math"/>
          <w:sz w:val="17"/>
        </w:rPr>
      </w:pPr>
      <w:r>
        <w:rPr/>
        <w:br w:type="column"/>
      </w:r>
      <w:r>
        <w:rPr>
          <w:rFonts w:ascii="Cambria Math" w:hAnsi="Cambria Math" w:eastAsia="Cambria Math"/>
        </w:rPr>
        <w:t>��</w:t>
      </w:r>
      <w:r>
        <w:rPr/>
        <w:t>is the summation of total variable costs (VC), and </w:t>
      </w:r>
      <w:r>
        <w:rPr>
          <w:rFonts w:ascii="Cambria Math" w:hAnsi="Cambria Math" w:eastAsia="Cambria Math"/>
          <w:position w:val="1"/>
        </w:rPr>
        <w:t>∑</w:t>
      </w:r>
      <w:r>
        <w:rPr>
          <w:rFonts w:ascii="Cambria Math" w:hAnsi="Cambria Math" w:eastAsia="Cambria Math"/>
          <w:position w:val="10"/>
          <w:sz w:val="17"/>
        </w:rPr>
        <w:t>��</w:t>
      </w:r>
    </w:p>
    <w:p>
      <w:pPr>
        <w:pStyle w:val="BodyText"/>
        <w:spacing w:before="109"/>
        <w:ind w:left="3" w:right="3"/>
      </w:pPr>
      <w:r>
        <w:rPr/>
        <w:br w:type="column"/>
      </w:r>
      <w:r>
        <w:rPr>
          <w:rFonts w:ascii="Cambria Math" w:eastAsia="Cambria Math"/>
        </w:rPr>
        <w:t>�� </w:t>
      </w:r>
      <w:r>
        <w:rPr/>
        <w:t>is the summation</w:t>
      </w:r>
    </w:p>
    <w:p>
      <w:pPr>
        <w:spacing w:after="0"/>
        <w:sectPr>
          <w:type w:val="continuous"/>
          <w:pgSz w:w="12240" w:h="15840"/>
          <w:pgMar w:top="1360" w:bottom="280" w:left="1600" w:right="1580"/>
          <w:cols w:num="3" w:equalWidth="0">
            <w:col w:w="1257" w:space="40"/>
            <w:col w:w="5604" w:space="40"/>
            <w:col w:w="2119"/>
          </w:cols>
        </w:sectPr>
      </w:pPr>
    </w:p>
    <w:p>
      <w:pPr>
        <w:pStyle w:val="BodyText"/>
        <w:spacing w:before="145"/>
        <w:ind w:left="102"/>
      </w:pPr>
      <w:r>
        <w:rPr/>
        <w:pict>
          <v:shape style="position:absolute;margin-left:410.829987pt;margin-top:-6.692295pt;width:14.15pt;height:8.550pt;mso-position-horizontal-relative:page;mso-position-vertical-relative:paragraph;z-index:-457648"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t>of total fixed costs (FC) in the production process.</w:t>
      </w:r>
    </w:p>
    <w:p>
      <w:pPr>
        <w:pStyle w:val="BodyText"/>
        <w:spacing w:before="10"/>
        <w:rPr>
          <w:sz w:val="14"/>
        </w:rPr>
      </w:pPr>
    </w:p>
    <w:p>
      <w:pPr>
        <w:spacing w:after="0"/>
        <w:rPr>
          <w:sz w:val="14"/>
        </w:rPr>
        <w:sectPr>
          <w:type w:val="continuous"/>
          <w:pgSz w:w="12240" w:h="15840"/>
          <w:pgMar w:top="1360" w:bottom="280" w:left="1600" w:right="1580"/>
        </w:sectPr>
      </w:pPr>
    </w:p>
    <w:p>
      <w:pPr>
        <w:pStyle w:val="BodyText"/>
        <w:spacing w:before="75"/>
        <w:ind w:left="102"/>
        <w:rPr>
          <w:rFonts w:ascii="Cambria Math" w:hAnsi="Cambria Math" w:eastAsia="Cambria Math"/>
          <w:sz w:val="17"/>
        </w:rPr>
      </w:pPr>
      <w:r>
        <w:rPr/>
        <w:pict>
          <v:shape style="position:absolute;margin-left:208.009995pt;margin-top:12.80125pt;width:14.15pt;height:8.550pt;mso-position-horizontal-relative:page;mso-position-vertical-relative:paragraph;z-index:-457624"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t>Net income </w:t>
      </w:r>
      <w:r>
        <w:rPr>
          <w:rFonts w:ascii="Cambria Math" w:hAnsi="Cambria Math" w:eastAsia="Cambria Math"/>
        </w:rPr>
        <w:t>�� = �� − </w:t>
      </w:r>
      <w:r>
        <w:rPr>
          <w:rFonts w:ascii="Cambria Math" w:hAnsi="Cambria Math" w:eastAsia="Cambria Math"/>
          <w:position w:val="1"/>
        </w:rPr>
        <w:t>∑</w:t>
      </w:r>
      <w:r>
        <w:rPr>
          <w:rFonts w:ascii="Cambria Math" w:hAnsi="Cambria Math" w:eastAsia="Cambria Math"/>
          <w:position w:val="10"/>
          <w:sz w:val="17"/>
        </w:rPr>
        <w:t>��</w:t>
      </w:r>
    </w:p>
    <w:p>
      <w:pPr>
        <w:spacing w:before="75"/>
        <w:ind w:left="3" w:right="0" w:firstLine="0"/>
        <w:jc w:val="left"/>
        <w:rPr>
          <w:rFonts w:ascii="Cambria Math" w:hAnsi="Cambria Math" w:eastAsia="Cambria Math"/>
          <w:sz w:val="17"/>
        </w:rPr>
      </w:pPr>
      <w:r>
        <w:rPr/>
        <w:br w:type="column"/>
      </w:r>
      <w:r>
        <w:rPr>
          <w:rFonts w:ascii="Cambria Math" w:hAnsi="Cambria Math" w:eastAsia="Cambria Math"/>
          <w:sz w:val="24"/>
        </w:rPr>
        <w:t>�� − </w:t>
      </w:r>
      <w:r>
        <w:rPr>
          <w:rFonts w:ascii="Cambria Math" w:hAnsi="Cambria Math" w:eastAsia="Cambria Math"/>
          <w:position w:val="1"/>
          <w:sz w:val="24"/>
        </w:rPr>
        <w:t>∑</w:t>
      </w:r>
      <w:r>
        <w:rPr>
          <w:rFonts w:ascii="Cambria Math" w:hAnsi="Cambria Math" w:eastAsia="Cambria Math"/>
          <w:position w:val="10"/>
          <w:sz w:val="17"/>
        </w:rPr>
        <w:t>��</w:t>
      </w:r>
    </w:p>
    <w:p>
      <w:pPr>
        <w:spacing w:before="85"/>
        <w:ind w:left="3" w:right="0" w:firstLine="0"/>
        <w:jc w:val="left"/>
        <w:rPr>
          <w:rFonts w:ascii="Cambria Math" w:hAnsi="Cambria Math" w:eastAsia="Cambria Math"/>
          <w:sz w:val="17"/>
        </w:rPr>
      </w:pPr>
      <w:r>
        <w:rPr/>
        <w:br w:type="column"/>
      </w:r>
      <w:r>
        <w:rPr>
          <w:rFonts w:ascii="Cambria Math" w:hAnsi="Cambria Math" w:eastAsia="Cambria Math"/>
          <w:sz w:val="24"/>
        </w:rPr>
        <w:t>�� − </w:t>
      </w:r>
      <w:r>
        <w:rPr>
          <w:rFonts w:ascii="Cambria Math" w:hAnsi="Cambria Math" w:eastAsia="Cambria Math"/>
          <w:w w:val="90"/>
          <w:sz w:val="24"/>
        </w:rPr>
        <w:t>���� </w:t>
      </w:r>
      <w:r>
        <w:rPr>
          <w:rFonts w:ascii="Cambria Math" w:hAnsi="Cambria Math" w:eastAsia="Cambria Math"/>
          <w:w w:val="90"/>
          <w:position w:val="9"/>
          <w:sz w:val="17"/>
        </w:rPr>
        <w:t>�.�</w:t>
      </w:r>
    </w:p>
    <w:p>
      <w:pPr>
        <w:spacing w:before="113"/>
        <w:ind w:left="102" w:right="0" w:firstLine="0"/>
        <w:jc w:val="left"/>
        <w:rPr>
          <w:sz w:val="24"/>
        </w:rPr>
      </w:pPr>
      <w:r>
        <w:rPr/>
        <w:br w:type="column"/>
      </w:r>
      <w:r>
        <w:rPr>
          <w:sz w:val="24"/>
        </w:rPr>
        <w:t>(5)</w:t>
      </w:r>
    </w:p>
    <w:p>
      <w:pPr>
        <w:spacing w:after="0"/>
        <w:jc w:val="left"/>
        <w:rPr>
          <w:sz w:val="24"/>
        </w:rPr>
        <w:sectPr>
          <w:type w:val="continuous"/>
          <w:pgSz w:w="12240" w:h="15840"/>
          <w:pgMar w:top="1360" w:bottom="280" w:left="1600" w:right="1580"/>
          <w:cols w:num="4" w:equalWidth="0">
            <w:col w:w="2844" w:space="40"/>
            <w:col w:w="1048" w:space="40"/>
            <w:col w:w="1454" w:space="3138"/>
            <w:col w:w="496"/>
          </w:cols>
        </w:sectPr>
      </w:pPr>
    </w:p>
    <w:p>
      <w:pPr>
        <w:pStyle w:val="BodyText"/>
        <w:spacing w:before="6"/>
        <w:rPr>
          <w:sz w:val="15"/>
        </w:rPr>
      </w:pPr>
    </w:p>
    <w:p>
      <w:pPr>
        <w:spacing w:after="0"/>
        <w:rPr>
          <w:sz w:val="15"/>
        </w:rPr>
        <w:sectPr>
          <w:type w:val="continuous"/>
          <w:pgSz w:w="12240" w:h="15840"/>
          <w:pgMar w:top="1360" w:bottom="280" w:left="1600" w:right="1580"/>
        </w:sectPr>
      </w:pPr>
    </w:p>
    <w:p>
      <w:pPr>
        <w:pStyle w:val="BodyText"/>
        <w:spacing w:before="75"/>
        <w:ind w:left="102"/>
        <w:rPr>
          <w:rFonts w:ascii="Cambria Math" w:hAnsi="Cambria Math" w:eastAsia="Cambria Math"/>
        </w:rPr>
      </w:pPr>
      <w:r>
        <w:rPr/>
        <w:pict>
          <v:shape style="position:absolute;margin-left:262.369995pt;margin-top:-15.638753pt;width:14.15pt;height:8.550pt;mso-position-horizontal-relative:page;mso-position-vertical-relative:paragraph;z-index:-457600"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pict>
          <v:shape style="position:absolute;margin-left:234.289993pt;margin-top:12.801248pt;width:14.15pt;height:8.550pt;mso-position-horizontal-relative:page;mso-position-vertical-relative:paragraph;z-index:-457576"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txbxContent>
            </v:textbox>
            <w10:wrap type="none"/>
          </v:shape>
        </w:pict>
      </w:r>
      <w:r>
        <w:rPr/>
        <w:t>Where </w:t>
      </w:r>
      <w:r>
        <w:rPr>
          <w:i/>
        </w:rPr>
        <w:t>TI  </w:t>
      </w:r>
      <w:r>
        <w:rPr/>
        <w:t>is  Total  Income,  </w:t>
      </w:r>
      <w:r>
        <w:rPr>
          <w:rFonts w:ascii="Cambria Math" w:hAnsi="Cambria Math" w:eastAsia="Cambria Math"/>
          <w:position w:val="1"/>
        </w:rPr>
        <w:t>∑</w:t>
      </w:r>
      <w:r>
        <w:rPr>
          <w:rFonts w:ascii="Cambria Math" w:hAnsi="Cambria Math" w:eastAsia="Cambria Math"/>
          <w:position w:val="10"/>
          <w:sz w:val="17"/>
        </w:rPr>
        <w:t>�� </w:t>
      </w:r>
      <w:r>
        <w:rPr>
          <w:rFonts w:ascii="Cambria Math" w:hAnsi="Cambria Math" w:eastAsia="Cambria Math"/>
        </w:rPr>
        <w:t>��</w:t>
      </w:r>
    </w:p>
    <w:p>
      <w:pPr>
        <w:pStyle w:val="BodyText"/>
        <w:spacing w:before="113"/>
        <w:ind w:left="72"/>
      </w:pPr>
      <w:r>
        <w:rPr/>
        <w:br w:type="column"/>
      </w:r>
      <w:r>
        <w:rPr/>
        <w:t>is  the summation of total  variable costs  (VC),   and</w:t>
      </w:r>
    </w:p>
    <w:p>
      <w:pPr>
        <w:spacing w:after="0"/>
        <w:sectPr>
          <w:type w:val="continuous"/>
          <w:pgSz w:w="12240" w:h="15840"/>
          <w:pgMar w:top="1360" w:bottom="280" w:left="1600" w:right="1580"/>
          <w:cols w:num="2" w:equalWidth="0">
            <w:col w:w="3708" w:space="40"/>
            <w:col w:w="5312"/>
          </w:cols>
        </w:sectPr>
      </w:pPr>
    </w:p>
    <w:p>
      <w:pPr>
        <w:pStyle w:val="BodyText"/>
        <w:spacing w:before="10"/>
        <w:rPr>
          <w:sz w:val="14"/>
        </w:rPr>
      </w:pPr>
    </w:p>
    <w:p>
      <w:pPr>
        <w:spacing w:line="187" w:lineRule="auto" w:before="0"/>
        <w:ind w:left="272" w:right="-49" w:firstLine="0"/>
        <w:jc w:val="left"/>
        <w:rPr>
          <w:rFonts w:ascii="Cambria Math" w:eastAsia="Cambria Math"/>
          <w:sz w:val="17"/>
        </w:rPr>
      </w:pPr>
      <w:r>
        <w:rPr/>
        <w:pict>
          <v:shape style="position:absolute;margin-left:85.103996pt;margin-top:1.013838pt;width:8.550pt;height:12pt;mso-position-horizontal-relative:page;mso-position-vertical-relative:paragraph;z-index:6232" type="#_x0000_t202" filled="false" stroked="false">
            <v:textbox inset="0,0,0,0">
              <w:txbxContent>
                <w:p>
                  <w:pPr>
                    <w:pStyle w:val="BodyText"/>
                    <w:spacing w:line="240" w:lineRule="exact"/>
                    <w:rPr>
                      <w:rFonts w:ascii="Cambria Math" w:hAnsi="Cambria Math"/>
                    </w:rPr>
                  </w:pPr>
                  <w:r>
                    <w:rPr>
                      <w:rFonts w:ascii="Cambria Math" w:hAnsi="Cambria Math"/>
                      <w:w w:val="100"/>
                    </w:rPr>
                    <w:t>∑</w:t>
                  </w:r>
                </w:p>
              </w:txbxContent>
            </v:textbox>
            <w10:wrap type="none"/>
          </v:shape>
        </w:pict>
      </w:r>
      <w:r>
        <w:rPr>
          <w:rFonts w:ascii="Cambria Math" w:eastAsia="Cambria Math"/>
          <w:spacing w:val="-1"/>
          <w:w w:val="76"/>
          <w:sz w:val="17"/>
        </w:rPr>
        <w:t>�� </w:t>
      </w:r>
      <w:r>
        <w:rPr>
          <w:rFonts w:ascii="Cambria Math" w:eastAsia="Cambria Math"/>
          <w:spacing w:val="-1"/>
          <w:w w:val="104"/>
          <w:sz w:val="17"/>
        </w:rPr>
        <w:t>1</w:t>
      </w:r>
      <w:r>
        <w:rPr>
          <w:rFonts w:ascii="Cambria Math" w:eastAsia="Cambria Math"/>
          <w:w w:val="97"/>
          <w:sz w:val="17"/>
        </w:rPr>
        <w:t>=</w:t>
      </w:r>
      <w:r>
        <w:rPr>
          <w:rFonts w:ascii="Cambria Math" w:eastAsia="Cambria Math"/>
          <w:w w:val="53"/>
          <w:sz w:val="17"/>
        </w:rPr>
        <w:t>�</w:t>
      </w:r>
    </w:p>
    <w:p>
      <w:pPr>
        <w:pStyle w:val="BodyText"/>
        <w:spacing w:before="144"/>
        <w:ind w:left="3"/>
      </w:pPr>
      <w:r>
        <w:rPr/>
        <w:br w:type="column"/>
      </w:r>
      <w:r>
        <w:rPr>
          <w:rFonts w:ascii="Cambria Math" w:eastAsia="Cambria Math"/>
        </w:rPr>
        <w:t>�� </w:t>
      </w:r>
      <w:r>
        <w:rPr/>
        <w:t>is the summation of total fixed costs (FC), and </w:t>
      </w:r>
      <w:r>
        <w:rPr>
          <w:rFonts w:ascii="Cambria Math" w:eastAsia="Cambria Math"/>
        </w:rPr>
        <w:t>���� </w:t>
      </w:r>
      <w:r>
        <w:rPr>
          <w:rFonts w:ascii="Cambria Math" w:eastAsia="Cambria Math"/>
          <w:position w:val="9"/>
          <w:sz w:val="17"/>
        </w:rPr>
        <w:t>�.� </w:t>
      </w:r>
      <w:r>
        <w:rPr/>
        <w:t>is the opportunity cost of</w:t>
      </w:r>
    </w:p>
    <w:p>
      <w:pPr>
        <w:spacing w:after="0"/>
        <w:sectPr>
          <w:type w:val="continuous"/>
          <w:pgSz w:w="12240" w:h="15840"/>
          <w:pgMar w:top="1360" w:bottom="280" w:left="1600" w:right="1580"/>
          <w:cols w:num="2" w:equalWidth="0">
            <w:col w:w="556" w:space="40"/>
            <w:col w:w="8464"/>
          </w:cols>
        </w:sectPr>
      </w:pPr>
    </w:p>
    <w:p>
      <w:pPr>
        <w:pStyle w:val="BodyText"/>
        <w:spacing w:before="111"/>
        <w:ind w:left="102"/>
      </w:pPr>
      <w:r>
        <w:rPr/>
        <w:t>family labour throughout the planning horizon.</w:t>
      </w:r>
    </w:p>
    <w:p>
      <w:pPr>
        <w:pStyle w:val="BodyText"/>
        <w:spacing w:before="3"/>
        <w:rPr>
          <w:sz w:val="21"/>
        </w:rPr>
      </w:pPr>
    </w:p>
    <w:p>
      <w:pPr>
        <w:pStyle w:val="BodyText"/>
        <w:tabs>
          <w:tab w:pos="8664" w:val="left" w:leader="none"/>
        </w:tabs>
        <w:ind w:left="102"/>
      </w:pPr>
      <w:r>
        <w:rPr/>
        <w:t>Net</w:t>
      </w:r>
      <w:r>
        <w:rPr>
          <w:spacing w:val="-16"/>
        </w:rPr>
        <w:t> </w:t>
      </w:r>
      <w:r>
        <w:rPr/>
        <w:t>Nominal</w:t>
      </w:r>
      <w:r>
        <w:rPr>
          <w:spacing w:val="-16"/>
        </w:rPr>
        <w:t> </w:t>
      </w:r>
      <w:r>
        <w:rPr/>
        <w:t>Capital</w:t>
      </w:r>
      <w:r>
        <w:rPr>
          <w:spacing w:val="-16"/>
        </w:rPr>
        <w:t> </w:t>
      </w:r>
      <w:r>
        <w:rPr/>
        <w:t>NNC=</w:t>
      </w:r>
      <w:r>
        <w:rPr>
          <w:spacing w:val="-16"/>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24"/>
        </w:rPr>
        <w:t> </w:t>
      </w:r>
      <w:r>
        <w:rPr>
          <w:rFonts w:ascii="Cambria Math" w:hAnsi="Cambria Math" w:eastAsia="Cambria Math"/>
        </w:rPr>
        <w:t>��</w:t>
      </w:r>
      <w:r>
        <w:rPr>
          <w:rFonts w:ascii="Cambria Math" w:hAnsi="Cambria Math" w:eastAsia="Cambria Math"/>
          <w:spacing w:val="-7"/>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FM�</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1"/>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STP</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w:t>
        <w:tab/>
      </w:r>
      <w:r>
        <w:rPr/>
        <w:t>(6)</w:t>
      </w:r>
    </w:p>
    <w:p>
      <w:pPr>
        <w:pStyle w:val="BodyText"/>
        <w:spacing w:before="9"/>
        <w:rPr>
          <w:sz w:val="22"/>
        </w:rPr>
      </w:pPr>
    </w:p>
    <w:p>
      <w:pPr>
        <w:pStyle w:val="BodyText"/>
        <w:spacing w:line="360" w:lineRule="auto"/>
        <w:ind w:left="102"/>
      </w:pPr>
      <w:r>
        <w:rPr/>
        <w:t>Where RC is reserves in cash, VHI is the value of the herd inventory, FMA is fixed and mobile assets, L is land, STP is short-term passives, and LTP is long-term passives.</w:t>
      </w:r>
    </w:p>
    <w:p>
      <w:pPr>
        <w:pStyle w:val="BodyText"/>
        <w:spacing w:line="331" w:lineRule="auto" w:before="122"/>
        <w:ind w:left="102"/>
      </w:pPr>
      <w:r>
        <w:rPr/>
        <w:t>Where </w:t>
      </w:r>
      <w:r>
        <w:rPr>
          <w:rFonts w:ascii="Cambria Math" w:hAnsi="Cambria Math" w:eastAsia="Cambria Math"/>
        </w:rPr>
        <w:t>����</w:t>
      </w:r>
      <w:r>
        <w:rPr>
          <w:rFonts w:ascii="Cambria Math" w:hAnsi="Cambria Math" w:eastAsia="Cambria Math"/>
          <w:position w:val="-4"/>
          <w:sz w:val="17"/>
        </w:rPr>
        <w:t>�−1 </w:t>
      </w:r>
      <w:r>
        <w:rPr/>
        <w:t>is the National (Mexican) Index of Prices for Consumers for the previous year, and </w:t>
      </w:r>
      <w:r>
        <w:rPr>
          <w:rFonts w:ascii="Cambria Math" w:hAnsi="Cambria Math" w:eastAsia="Cambria Math"/>
        </w:rPr>
        <w:t>����</w:t>
      </w:r>
      <w:r>
        <w:rPr>
          <w:rFonts w:ascii="Cambria Math" w:hAnsi="Cambria Math" w:eastAsia="Cambria Math"/>
          <w:position w:val="-4"/>
          <w:sz w:val="17"/>
        </w:rPr>
        <w:t>�� </w:t>
      </w:r>
      <w:r>
        <w:rPr/>
        <w:t>is the National Index of Prices for Consumers for the base year.</w:t>
      </w:r>
    </w:p>
    <w:p>
      <w:pPr>
        <w:pStyle w:val="BodyText"/>
        <w:tabs>
          <w:tab w:pos="8647" w:val="left" w:leader="none"/>
        </w:tabs>
        <w:spacing w:before="113"/>
        <w:ind w:left="102"/>
      </w:pPr>
      <w:r>
        <w:rPr/>
        <w:t>Final Net Reserves in Cash NRC = INRC + TIC – VCC</w:t>
      </w:r>
      <w:r>
        <w:rPr>
          <w:spacing w:val="-7"/>
        </w:rPr>
        <w:t> </w:t>
      </w:r>
      <w:r>
        <w:rPr/>
        <w:t>-</w:t>
      </w:r>
      <w:r>
        <w:rPr>
          <w:spacing w:val="-2"/>
        </w:rPr>
        <w:t> </w:t>
      </w:r>
      <w:r>
        <w:rPr/>
        <w:t>FCC</w:t>
        <w:tab/>
        <w:t>(7)</w:t>
      </w:r>
    </w:p>
    <w:p>
      <w:pPr>
        <w:pStyle w:val="BodyText"/>
        <w:spacing w:before="3"/>
        <w:rPr>
          <w:sz w:val="22"/>
        </w:rPr>
      </w:pPr>
    </w:p>
    <w:p>
      <w:pPr>
        <w:pStyle w:val="BodyText"/>
        <w:spacing w:line="360" w:lineRule="auto" w:before="1"/>
        <w:ind w:left="102"/>
      </w:pPr>
      <w:r>
        <w:rPr/>
        <w:t>Where</w:t>
      </w:r>
      <w:r>
        <w:rPr>
          <w:spacing w:val="-9"/>
        </w:rPr>
        <w:t> </w:t>
      </w:r>
      <w:r>
        <w:rPr/>
        <w:t>INRC</w:t>
      </w:r>
      <w:r>
        <w:rPr>
          <w:spacing w:val="-9"/>
        </w:rPr>
        <w:t> </w:t>
      </w:r>
      <w:r>
        <w:rPr/>
        <w:t>is</w:t>
      </w:r>
      <w:r>
        <w:rPr>
          <w:spacing w:val="-9"/>
        </w:rPr>
        <w:t> </w:t>
      </w:r>
      <w:r>
        <w:rPr/>
        <w:t>initial</w:t>
      </w:r>
      <w:r>
        <w:rPr>
          <w:spacing w:val="-9"/>
        </w:rPr>
        <w:t> </w:t>
      </w:r>
      <w:r>
        <w:rPr/>
        <w:t>net</w:t>
      </w:r>
      <w:r>
        <w:rPr>
          <w:spacing w:val="-12"/>
        </w:rPr>
        <w:t> </w:t>
      </w:r>
      <w:r>
        <w:rPr/>
        <w:t>reserves</w:t>
      </w:r>
      <w:r>
        <w:rPr>
          <w:spacing w:val="-9"/>
        </w:rPr>
        <w:t> </w:t>
      </w:r>
      <w:r>
        <w:rPr/>
        <w:t>in</w:t>
      </w:r>
      <w:r>
        <w:rPr>
          <w:spacing w:val="-9"/>
        </w:rPr>
        <w:t> </w:t>
      </w:r>
      <w:r>
        <w:rPr/>
        <w:t>cash,</w:t>
      </w:r>
      <w:r>
        <w:rPr>
          <w:spacing w:val="-9"/>
        </w:rPr>
        <w:t> </w:t>
      </w:r>
      <w:r>
        <w:rPr/>
        <w:t>TIC</w:t>
      </w:r>
      <w:r>
        <w:rPr>
          <w:spacing w:val="-9"/>
        </w:rPr>
        <w:t> </w:t>
      </w:r>
      <w:r>
        <w:rPr/>
        <w:t>is</w:t>
      </w:r>
      <w:r>
        <w:rPr>
          <w:spacing w:val="-9"/>
        </w:rPr>
        <w:t> </w:t>
      </w:r>
      <w:r>
        <w:rPr/>
        <w:t>total</w:t>
      </w:r>
      <w:r>
        <w:rPr>
          <w:spacing w:val="-9"/>
        </w:rPr>
        <w:t> </w:t>
      </w:r>
      <w:r>
        <w:rPr/>
        <w:t>income</w:t>
      </w:r>
      <w:r>
        <w:rPr>
          <w:spacing w:val="-11"/>
        </w:rPr>
        <w:t> </w:t>
      </w:r>
      <w:r>
        <w:rPr/>
        <w:t>in</w:t>
      </w:r>
      <w:r>
        <w:rPr>
          <w:spacing w:val="-9"/>
        </w:rPr>
        <w:t> </w:t>
      </w:r>
      <w:r>
        <w:rPr/>
        <w:t>cash,</w:t>
      </w:r>
      <w:r>
        <w:rPr>
          <w:spacing w:val="-9"/>
        </w:rPr>
        <w:t> </w:t>
      </w:r>
      <w:r>
        <w:rPr/>
        <w:t>VCC</w:t>
      </w:r>
      <w:r>
        <w:rPr>
          <w:spacing w:val="-9"/>
        </w:rPr>
        <w:t> </w:t>
      </w:r>
      <w:r>
        <w:rPr/>
        <w:t>is</w:t>
      </w:r>
      <w:r>
        <w:rPr>
          <w:spacing w:val="-9"/>
        </w:rPr>
        <w:t> </w:t>
      </w:r>
      <w:r>
        <w:rPr/>
        <w:t>variable</w:t>
      </w:r>
      <w:r>
        <w:rPr>
          <w:spacing w:val="-10"/>
        </w:rPr>
        <w:t> </w:t>
      </w:r>
      <w:r>
        <w:rPr/>
        <w:t>costs in cash, and FCC is fixed costs in</w:t>
      </w:r>
      <w:r>
        <w:rPr>
          <w:spacing w:val="-9"/>
        </w:rPr>
        <w:t> </w:t>
      </w:r>
      <w:r>
        <w:rPr/>
        <w:t>cash.</w:t>
      </w:r>
    </w:p>
    <w:p>
      <w:pPr>
        <w:pStyle w:val="BodyText"/>
        <w:tabs>
          <w:tab w:pos="8623" w:val="left" w:leader="none"/>
        </w:tabs>
        <w:spacing w:before="124"/>
        <w:ind w:left="102"/>
      </w:pPr>
      <w:r>
        <w:rPr/>
        <w:t>Net Income in Cash NIC = TIC</w:t>
      </w:r>
      <w:r>
        <w:rPr>
          <w:spacing w:val="-3"/>
        </w:rPr>
        <w:t> </w:t>
      </w:r>
      <w:r>
        <w:rPr/>
        <w:t>–</w:t>
      </w:r>
      <w:r>
        <w:rPr>
          <w:spacing w:val="-2"/>
        </w:rPr>
        <w:t> </w:t>
      </w:r>
      <w:r>
        <w:rPr/>
        <w:t>TEC</w:t>
        <w:tab/>
        <w:t>(8)</w:t>
      </w:r>
    </w:p>
    <w:p>
      <w:pPr>
        <w:pStyle w:val="BodyText"/>
        <w:spacing w:before="6"/>
        <w:rPr>
          <w:sz w:val="22"/>
        </w:rPr>
      </w:pPr>
    </w:p>
    <w:p>
      <w:pPr>
        <w:pStyle w:val="BodyText"/>
        <w:ind w:left="102"/>
      </w:pPr>
      <w:r>
        <w:rPr/>
        <w:t>Where </w:t>
      </w:r>
      <w:r>
        <w:rPr>
          <w:i/>
        </w:rPr>
        <w:t>TIC </w:t>
      </w:r>
      <w:r>
        <w:rPr/>
        <w:t>is total inflows in cash, and </w:t>
      </w:r>
      <w:r>
        <w:rPr>
          <w:i/>
        </w:rPr>
        <w:t>TEC </w:t>
      </w:r>
      <w:r>
        <w:rPr/>
        <w:t>is total outflows (expenditures) in cash.</w:t>
      </w:r>
    </w:p>
    <w:p>
      <w:pPr>
        <w:pStyle w:val="BodyText"/>
        <w:spacing w:before="4"/>
        <w:rPr>
          <w:sz w:val="22"/>
        </w:rPr>
      </w:pPr>
    </w:p>
    <w:p>
      <w:pPr>
        <w:pStyle w:val="BodyText"/>
        <w:tabs>
          <w:tab w:pos="8481" w:val="left" w:leader="none"/>
        </w:tabs>
        <w:ind w:left="102"/>
      </w:pPr>
      <w:r>
        <w:rPr/>
        <w:t>TIC = MIC + TI + FIE</w:t>
      </w:r>
      <w:r>
        <w:rPr>
          <w:spacing w:val="-16"/>
        </w:rPr>
        <w:t> </w:t>
      </w:r>
      <w:r>
        <w:rPr/>
        <w:t>+</w:t>
      </w:r>
      <w:r>
        <w:rPr>
          <w:spacing w:val="-2"/>
        </w:rPr>
        <w:t> </w:t>
      </w:r>
      <w:r>
        <w:rPr/>
        <w:t>OIC</w:t>
        <w:tab/>
        <w:t>(8.1)</w:t>
      </w:r>
    </w:p>
    <w:p>
      <w:pPr>
        <w:pStyle w:val="BodyText"/>
        <w:spacing w:before="6"/>
        <w:rPr>
          <w:sz w:val="22"/>
        </w:rPr>
      </w:pPr>
    </w:p>
    <w:p>
      <w:pPr>
        <w:pStyle w:val="BodyText"/>
        <w:spacing w:line="360" w:lineRule="auto"/>
        <w:ind w:left="102"/>
      </w:pPr>
      <w:r>
        <w:rPr/>
        <w:t>Where </w:t>
      </w:r>
      <w:r>
        <w:rPr>
          <w:i/>
        </w:rPr>
        <w:t>MIC </w:t>
      </w:r>
      <w:r>
        <w:rPr/>
        <w:t>is market income in cash, </w:t>
      </w:r>
      <w:r>
        <w:rPr>
          <w:i/>
        </w:rPr>
        <w:t>TI </w:t>
      </w:r>
      <w:r>
        <w:rPr/>
        <w:t>is income from transferences, </w:t>
      </w:r>
      <w:r>
        <w:rPr>
          <w:i/>
        </w:rPr>
        <w:t>FIE </w:t>
      </w:r>
      <w:r>
        <w:rPr/>
        <w:t>is financial income in cash, </w:t>
      </w:r>
      <w:r>
        <w:rPr>
          <w:i/>
        </w:rPr>
        <w:t>OIC </w:t>
      </w:r>
      <w:r>
        <w:rPr/>
        <w:t>is other incomes in cash.</w:t>
      </w:r>
    </w:p>
    <w:p>
      <w:pPr>
        <w:spacing w:after="0" w:line="360" w:lineRule="auto"/>
        <w:sectPr>
          <w:type w:val="continuous"/>
          <w:pgSz w:w="12240" w:h="15840"/>
          <w:pgMar w:top="1360" w:bottom="280" w:left="1600" w:right="1580"/>
        </w:sectPr>
      </w:pPr>
    </w:p>
    <w:p>
      <w:pPr>
        <w:spacing w:before="50"/>
        <w:ind w:left="102" w:right="0" w:firstLine="0"/>
        <w:jc w:val="both"/>
        <w:rPr>
          <w:i/>
          <w:sz w:val="24"/>
        </w:rPr>
      </w:pPr>
      <w:r>
        <w:rPr>
          <w:i/>
          <w:sz w:val="24"/>
        </w:rPr>
        <w:t>2.5.2 Financial viability</w:t>
      </w:r>
    </w:p>
    <w:p>
      <w:pPr>
        <w:pStyle w:val="BodyText"/>
        <w:rPr>
          <w:i/>
        </w:rPr>
      </w:pPr>
    </w:p>
    <w:p>
      <w:pPr>
        <w:pStyle w:val="BodyText"/>
        <w:rPr>
          <w:i/>
        </w:rPr>
      </w:pPr>
    </w:p>
    <w:p>
      <w:pPr>
        <w:pStyle w:val="BodyText"/>
        <w:spacing w:before="10"/>
        <w:rPr>
          <w:i/>
          <w:sz w:val="20"/>
        </w:rPr>
      </w:pPr>
    </w:p>
    <w:p>
      <w:pPr>
        <w:pStyle w:val="BodyText"/>
        <w:spacing w:line="360" w:lineRule="auto"/>
        <w:ind w:left="102" w:right="119"/>
        <w:jc w:val="both"/>
      </w:pPr>
      <w:r>
        <w:rPr/>
        <w:t>A</w:t>
      </w:r>
      <w:r>
        <w:rPr>
          <w:spacing w:val="-4"/>
        </w:rPr>
        <w:t> </w:t>
      </w:r>
      <w:r>
        <w:rPr/>
        <w:t>positive</w:t>
      </w:r>
      <w:r>
        <w:rPr>
          <w:spacing w:val="-5"/>
        </w:rPr>
        <w:t> </w:t>
      </w:r>
      <w:r>
        <w:rPr/>
        <w:t>NPV</w:t>
      </w:r>
      <w:r>
        <w:rPr>
          <w:spacing w:val="-4"/>
        </w:rPr>
        <w:t> </w:t>
      </w:r>
      <w:r>
        <w:rPr/>
        <w:t>gives</w:t>
      </w:r>
      <w:r>
        <w:rPr>
          <w:spacing w:val="-4"/>
        </w:rPr>
        <w:t> </w:t>
      </w:r>
      <w:r>
        <w:rPr/>
        <w:t>financial</w:t>
      </w:r>
      <w:r>
        <w:rPr>
          <w:spacing w:val="-4"/>
        </w:rPr>
        <w:t> </w:t>
      </w:r>
      <w:r>
        <w:rPr/>
        <w:t>viability</w:t>
      </w:r>
      <w:r>
        <w:rPr>
          <w:spacing w:val="-11"/>
        </w:rPr>
        <w:t> </w:t>
      </w:r>
      <w:r>
        <w:rPr/>
        <w:t>in</w:t>
      </w:r>
      <w:r>
        <w:rPr>
          <w:spacing w:val="-3"/>
        </w:rPr>
        <w:t> </w:t>
      </w:r>
      <w:r>
        <w:rPr/>
        <w:t>the</w:t>
      </w:r>
      <w:r>
        <w:rPr>
          <w:spacing w:val="-4"/>
        </w:rPr>
        <w:t> </w:t>
      </w:r>
      <w:r>
        <w:rPr/>
        <w:t>analysis</w:t>
      </w:r>
      <w:r>
        <w:rPr>
          <w:spacing w:val="-3"/>
        </w:rPr>
        <w:t> </w:t>
      </w:r>
      <w:r>
        <w:rPr/>
        <w:t>of</w:t>
      </w:r>
      <w:r>
        <w:rPr>
          <w:spacing w:val="-5"/>
        </w:rPr>
        <w:t> </w:t>
      </w:r>
      <w:r>
        <w:rPr/>
        <w:t>a</w:t>
      </w:r>
      <w:r>
        <w:rPr>
          <w:spacing w:val="-5"/>
        </w:rPr>
        <w:t> </w:t>
      </w:r>
      <w:r>
        <w:rPr/>
        <w:t>system,</w:t>
      </w:r>
      <w:r>
        <w:rPr>
          <w:spacing w:val="-4"/>
        </w:rPr>
        <w:t> </w:t>
      </w:r>
      <w:r>
        <w:rPr/>
        <w:t>so</w:t>
      </w:r>
      <w:r>
        <w:rPr>
          <w:spacing w:val="-4"/>
        </w:rPr>
        <w:t> </w:t>
      </w:r>
      <w:r>
        <w:rPr/>
        <w:t>that</w:t>
      </w:r>
      <w:r>
        <w:rPr>
          <w:spacing w:val="-4"/>
        </w:rPr>
        <w:t> </w:t>
      </w:r>
      <w:r>
        <w:rPr/>
        <w:t>when</w:t>
      </w:r>
      <w:r>
        <w:rPr>
          <w:spacing w:val="-4"/>
        </w:rPr>
        <w:t> </w:t>
      </w:r>
      <w:r>
        <w:rPr/>
        <w:t>the</w:t>
      </w:r>
      <w:r>
        <w:rPr>
          <w:spacing w:val="-4"/>
        </w:rPr>
        <w:t> </w:t>
      </w:r>
      <w:r>
        <w:rPr/>
        <w:t>NPV</w:t>
      </w:r>
      <w:r>
        <w:rPr>
          <w:spacing w:val="-4"/>
        </w:rPr>
        <w:t> </w:t>
      </w:r>
      <w:r>
        <w:rPr/>
        <w:t>is higher than the discount rate, the assessed project is considered a financial success (Richardson et al., 2007b). </w:t>
      </w:r>
      <w:r>
        <w:rPr>
          <w:spacing w:val="-3"/>
        </w:rPr>
        <w:t>In </w:t>
      </w:r>
      <w:r>
        <w:rPr/>
        <w:t>the Monte Carlo simulation, a “1” is registered when the iterations for the RSSDF have a positive NPV, and “0” when the NPV is not positive. The probability of financial success is the sum of the times a “1” is registered divided by the number of</w:t>
      </w:r>
      <w:r>
        <w:rPr>
          <w:spacing w:val="-5"/>
        </w:rPr>
        <w:t> </w:t>
      </w:r>
      <w:r>
        <w:rPr/>
        <w:t>iterations.</w:t>
      </w:r>
    </w:p>
    <w:p>
      <w:pPr>
        <w:pStyle w:val="BodyText"/>
      </w:pPr>
    </w:p>
    <w:p>
      <w:pPr>
        <w:pStyle w:val="BodyText"/>
        <w:spacing w:before="4"/>
        <w:rPr>
          <w:sz w:val="33"/>
        </w:rPr>
      </w:pPr>
    </w:p>
    <w:p>
      <w:pPr>
        <w:pStyle w:val="BodyText"/>
        <w:spacing w:line="360" w:lineRule="auto"/>
        <w:ind w:left="102" w:right="116"/>
        <w:jc w:val="both"/>
      </w:pPr>
      <w:r>
        <w:rPr/>
        <w:t>The</w:t>
      </w:r>
      <w:r>
        <w:rPr>
          <w:spacing w:val="-10"/>
        </w:rPr>
        <w:t> </w:t>
      </w:r>
      <w:r>
        <w:rPr/>
        <w:t>RRA</w:t>
      </w:r>
      <w:r>
        <w:rPr>
          <w:spacing w:val="-9"/>
        </w:rPr>
        <w:t> </w:t>
      </w:r>
      <w:r>
        <w:rPr/>
        <w:t>was</w:t>
      </w:r>
      <w:r>
        <w:rPr>
          <w:spacing w:val="-8"/>
        </w:rPr>
        <w:t> </w:t>
      </w:r>
      <w:r>
        <w:rPr/>
        <w:t>utilised</w:t>
      </w:r>
      <w:r>
        <w:rPr>
          <w:spacing w:val="-9"/>
        </w:rPr>
        <w:t> </w:t>
      </w:r>
      <w:r>
        <w:rPr/>
        <w:t>to</w:t>
      </w:r>
      <w:r>
        <w:rPr>
          <w:spacing w:val="-6"/>
        </w:rPr>
        <w:t> </w:t>
      </w:r>
      <w:r>
        <w:rPr/>
        <w:t>determine</w:t>
      </w:r>
      <w:r>
        <w:rPr>
          <w:spacing w:val="-10"/>
        </w:rPr>
        <w:t> </w:t>
      </w:r>
      <w:r>
        <w:rPr/>
        <w:t>the</w:t>
      </w:r>
      <w:r>
        <w:rPr>
          <w:spacing w:val="-7"/>
        </w:rPr>
        <w:t> </w:t>
      </w:r>
      <w:r>
        <w:rPr/>
        <w:t>economic</w:t>
      </w:r>
      <w:r>
        <w:rPr>
          <w:spacing w:val="-7"/>
        </w:rPr>
        <w:t> </w:t>
      </w:r>
      <w:r>
        <w:rPr/>
        <w:t>capacity</w:t>
      </w:r>
      <w:r>
        <w:rPr>
          <w:spacing w:val="-13"/>
        </w:rPr>
        <w:t> </w:t>
      </w:r>
      <w:r>
        <w:rPr/>
        <w:t>of</w:t>
      </w:r>
      <w:r>
        <w:rPr>
          <w:spacing w:val="-7"/>
        </w:rPr>
        <w:t> </w:t>
      </w:r>
      <w:r>
        <w:rPr/>
        <w:t>the</w:t>
      </w:r>
      <w:r>
        <w:rPr>
          <w:spacing w:val="-9"/>
        </w:rPr>
        <w:t> </w:t>
      </w:r>
      <w:r>
        <w:rPr/>
        <w:t>assets</w:t>
      </w:r>
      <w:r>
        <w:rPr>
          <w:spacing w:val="-8"/>
        </w:rPr>
        <w:t> </w:t>
      </w:r>
      <w:r>
        <w:rPr/>
        <w:t>to</w:t>
      </w:r>
      <w:r>
        <w:rPr>
          <w:spacing w:val="-6"/>
        </w:rPr>
        <w:t> </w:t>
      </w:r>
      <w:r>
        <w:rPr/>
        <w:t>generate</w:t>
      </w:r>
      <w:r>
        <w:rPr>
          <w:spacing w:val="-7"/>
        </w:rPr>
        <w:t> </w:t>
      </w:r>
      <w:r>
        <w:rPr/>
        <w:t>a</w:t>
      </w:r>
      <w:r>
        <w:rPr>
          <w:spacing w:val="-10"/>
        </w:rPr>
        <w:t> </w:t>
      </w:r>
      <w:r>
        <w:rPr/>
        <w:t>positive return,</w:t>
      </w:r>
      <w:r>
        <w:rPr>
          <w:spacing w:val="-6"/>
        </w:rPr>
        <w:t> </w:t>
      </w:r>
      <w:r>
        <w:rPr/>
        <w:t>and</w:t>
      </w:r>
      <w:r>
        <w:rPr>
          <w:spacing w:val="-5"/>
        </w:rPr>
        <w:t> </w:t>
      </w:r>
      <w:r>
        <w:rPr/>
        <w:t>the</w:t>
      </w:r>
      <w:r>
        <w:rPr>
          <w:spacing w:val="-6"/>
        </w:rPr>
        <w:t> </w:t>
      </w:r>
      <w:r>
        <w:rPr/>
        <w:t>probability</w:t>
      </w:r>
      <w:r>
        <w:rPr>
          <w:spacing w:val="-8"/>
        </w:rPr>
        <w:t> </w:t>
      </w:r>
      <w:r>
        <w:rPr/>
        <w:t>of</w:t>
      </w:r>
      <w:r>
        <w:rPr>
          <w:spacing w:val="-6"/>
        </w:rPr>
        <w:t> </w:t>
      </w:r>
      <w:r>
        <w:rPr/>
        <w:t>de-capitalisation</w:t>
      </w:r>
      <w:r>
        <w:rPr>
          <w:spacing w:val="-5"/>
        </w:rPr>
        <w:t> </w:t>
      </w:r>
      <w:r>
        <w:rPr/>
        <w:t>during</w:t>
      </w:r>
      <w:r>
        <w:rPr>
          <w:spacing w:val="-7"/>
        </w:rPr>
        <w:t> </w:t>
      </w:r>
      <w:r>
        <w:rPr/>
        <w:t>the</w:t>
      </w:r>
      <w:r>
        <w:rPr>
          <w:spacing w:val="-6"/>
        </w:rPr>
        <w:t> </w:t>
      </w:r>
      <w:r>
        <w:rPr/>
        <w:t>planning</w:t>
      </w:r>
      <w:r>
        <w:rPr>
          <w:spacing w:val="-8"/>
        </w:rPr>
        <w:t> </w:t>
      </w:r>
      <w:r>
        <w:rPr/>
        <w:t>horizon</w:t>
      </w:r>
      <w:r>
        <w:rPr>
          <w:spacing w:val="-5"/>
        </w:rPr>
        <w:t> </w:t>
      </w:r>
      <w:r>
        <w:rPr/>
        <w:t>2010</w:t>
      </w:r>
      <w:r>
        <w:rPr>
          <w:spacing w:val="-3"/>
        </w:rPr>
        <w:t> </w:t>
      </w:r>
      <w:r>
        <w:rPr/>
        <w:t>–</w:t>
      </w:r>
      <w:r>
        <w:rPr>
          <w:spacing w:val="-5"/>
        </w:rPr>
        <w:t> </w:t>
      </w:r>
      <w:r>
        <w:rPr/>
        <w:t>2018.</w:t>
      </w:r>
      <w:r>
        <w:rPr>
          <w:spacing w:val="-5"/>
        </w:rPr>
        <w:t> </w:t>
      </w:r>
      <w:r>
        <w:rPr/>
        <w:t>The equations used to estimate the financial viability of the four analysed models</w:t>
      </w:r>
      <w:r>
        <w:rPr>
          <w:spacing w:val="-15"/>
        </w:rPr>
        <w:t> </w:t>
      </w:r>
      <w:r>
        <w:rPr/>
        <w:t>were:</w:t>
      </w:r>
    </w:p>
    <w:p>
      <w:pPr>
        <w:pStyle w:val="BodyText"/>
        <w:rPr>
          <w:sz w:val="20"/>
        </w:rPr>
      </w:pPr>
    </w:p>
    <w:p>
      <w:pPr>
        <w:pStyle w:val="BodyText"/>
        <w:spacing w:before="3"/>
        <w:rPr>
          <w:sz w:val="28"/>
        </w:rPr>
      </w:pPr>
    </w:p>
    <w:p>
      <w:pPr>
        <w:spacing w:after="0"/>
        <w:rPr>
          <w:sz w:val="28"/>
        </w:rPr>
        <w:sectPr>
          <w:pgSz w:w="12240" w:h="15840"/>
          <w:pgMar w:header="0" w:footer="657" w:top="1360" w:bottom="840" w:left="1600" w:right="1580"/>
        </w:sectPr>
      </w:pPr>
    </w:p>
    <w:p>
      <w:pPr>
        <w:spacing w:line="307" w:lineRule="exact" w:before="120"/>
        <w:ind w:left="102" w:right="0" w:firstLine="0"/>
        <w:jc w:val="left"/>
        <w:rPr>
          <w:rFonts w:ascii="Cambria Math" w:hAnsi="Cambria Math" w:eastAsia="Cambria Math"/>
          <w:sz w:val="17"/>
        </w:rPr>
      </w:pPr>
      <w:r>
        <w:rPr/>
        <w:pict>
          <v:line style="position:absolute;mso-position-horizontal-relative:page;mso-position-vertical-relative:paragraph;z-index:-457528" from="277.369995pt,18.156664pt" to="339.313995pt,18.156664pt" stroked="true" strokeweight=".84pt" strokecolor="#000000">
            <w10:wrap type="none"/>
          </v:line>
        </w:pict>
      </w:r>
      <w:r>
        <w:rPr/>
        <w:pict>
          <v:shape style="position:absolute;margin-left:286.970001pt;margin-top:5.015614pt;width:4.95pt;height:7pt;mso-position-horizontal-relative:page;mso-position-vertical-relative:paragraph;z-index:-457456" type="#_x0000_t202" filled="false" stroked="false">
            <v:textbox inset="0,0,0,0">
              <w:txbxContent>
                <w:p>
                  <w:pPr>
                    <w:spacing w:line="139" w:lineRule="exact" w:before="0"/>
                    <w:ind w:left="0" w:right="-93" w:firstLine="0"/>
                    <w:jc w:val="left"/>
                    <w:rPr>
                      <w:rFonts w:ascii="Cambria Math" w:eastAsia="Cambria Math"/>
                      <w:sz w:val="14"/>
                    </w:rPr>
                  </w:pPr>
                  <w:r>
                    <w:rPr>
                      <w:rFonts w:ascii="Cambria Math" w:eastAsia="Cambria Math"/>
                      <w:w w:val="122"/>
                      <w:sz w:val="14"/>
                    </w:rPr>
                    <w:t>𝑛</w:t>
                  </w:r>
                </w:p>
              </w:txbxContent>
            </v:textbox>
            <w10:wrap type="none"/>
          </v:shape>
        </w:pict>
      </w:r>
      <w:r>
        <w:rPr>
          <w:sz w:val="24"/>
        </w:rPr>
        <w:t>Net Present Value </w:t>
      </w:r>
      <w:r>
        <w:rPr>
          <w:rFonts w:ascii="Cambria Math" w:hAnsi="Cambria Math" w:eastAsia="Cambria Math"/>
          <w:sz w:val="24"/>
        </w:rPr>
        <w:t>��� = −����� + </w:t>
      </w:r>
      <w:r>
        <w:rPr>
          <w:rFonts w:ascii="Cambria Math" w:hAnsi="Cambria Math" w:eastAsia="Cambria Math"/>
          <w:position w:val="14"/>
          <w:sz w:val="17"/>
        </w:rPr>
        <w:t>(</w:t>
      </w:r>
      <w:r>
        <w:rPr>
          <w:rFonts w:ascii="Cambria Math" w:hAnsi="Cambria Math" w:eastAsia="Cambria Math"/>
          <w:position w:val="15"/>
          <w:sz w:val="17"/>
        </w:rPr>
        <w:t>∑</w:t>
      </w:r>
      <w:r>
        <w:rPr>
          <w:rFonts w:ascii="Cambria Math" w:hAnsi="Cambria Math" w:eastAsia="Cambria Math"/>
          <w:position w:val="9"/>
          <w:sz w:val="14"/>
        </w:rPr>
        <w:t>𝑖=1 </w:t>
      </w:r>
      <w:r>
        <w:rPr>
          <w:rFonts w:ascii="Cambria Math" w:hAnsi="Cambria Math" w:eastAsia="Cambria Math"/>
          <w:position w:val="14"/>
          <w:sz w:val="17"/>
        </w:rPr>
        <w:t>𝐹𝐼+∆�𝐼�)</w:t>
      </w:r>
    </w:p>
    <w:p>
      <w:pPr>
        <w:spacing w:line="163" w:lineRule="exact" w:before="0"/>
        <w:ind w:left="0" w:right="371" w:firstLine="0"/>
        <w:jc w:val="right"/>
        <w:rPr>
          <w:rFonts w:ascii="Cambria Math"/>
          <w:sz w:val="14"/>
        </w:rPr>
      </w:pPr>
      <w:r>
        <w:rPr>
          <w:rFonts w:ascii="Cambria Math"/>
          <w:w w:val="105"/>
          <w:sz w:val="17"/>
        </w:rPr>
        <w:t>0.10</w:t>
      </w:r>
      <w:r>
        <w:rPr>
          <w:rFonts w:ascii="Cambria Math"/>
          <w:w w:val="105"/>
          <w:position w:val="5"/>
          <w:sz w:val="14"/>
        </w:rPr>
        <w:t>10</w:t>
      </w:r>
    </w:p>
    <w:p>
      <w:pPr>
        <w:spacing w:before="207"/>
        <w:ind w:left="102" w:right="0" w:firstLine="0"/>
        <w:jc w:val="left"/>
        <w:rPr>
          <w:sz w:val="24"/>
        </w:rPr>
      </w:pPr>
      <w:r>
        <w:rPr/>
        <w:br w:type="column"/>
      </w:r>
      <w:r>
        <w:rPr>
          <w:sz w:val="24"/>
        </w:rPr>
        <w:t>(9)</w:t>
      </w:r>
    </w:p>
    <w:p>
      <w:pPr>
        <w:spacing w:after="0"/>
        <w:jc w:val="left"/>
        <w:rPr>
          <w:sz w:val="24"/>
        </w:rPr>
        <w:sectPr>
          <w:type w:val="continuous"/>
          <w:pgSz w:w="12240" w:h="15840"/>
          <w:pgMar w:top="1360" w:bottom="280" w:left="1600" w:right="1580"/>
          <w:cols w:num="2" w:equalWidth="0">
            <w:col w:w="5188" w:space="3375"/>
            <w:col w:w="497"/>
          </w:cols>
        </w:sectPr>
      </w:pPr>
    </w:p>
    <w:p>
      <w:pPr>
        <w:pStyle w:val="BodyText"/>
        <w:spacing w:before="5"/>
        <w:rPr>
          <w:sz w:val="13"/>
        </w:rPr>
      </w:pPr>
    </w:p>
    <w:p>
      <w:pPr>
        <w:pStyle w:val="BodyText"/>
        <w:spacing w:before="67"/>
        <w:ind w:left="102"/>
        <w:rPr>
          <w:rFonts w:ascii="Cambria Math" w:hAnsi="Cambria Math" w:eastAsia="Cambria Math"/>
        </w:rPr>
      </w:pPr>
      <w:r>
        <w:rPr/>
        <w:t>Where PVNRC is the present value of the net real capital, FI are family incomes, and </w:t>
      </w:r>
      <w:r>
        <w:rPr>
          <w:rFonts w:ascii="Cambria Math" w:hAnsi="Cambria Math" w:eastAsia="Cambria Math"/>
        </w:rPr>
        <w:t>∆���</w:t>
      </w:r>
    </w:p>
    <w:p>
      <w:pPr>
        <w:pStyle w:val="BodyText"/>
        <w:spacing w:before="142"/>
        <w:ind w:left="102"/>
      </w:pPr>
      <w:r>
        <w:rPr/>
        <w:t>is the change in percentage of net initial capital. The present value of the net real capital</w:t>
      </w:r>
    </w:p>
    <w:p>
      <w:pPr>
        <w:pStyle w:val="BodyText"/>
        <w:tabs>
          <w:tab w:pos="8486" w:val="left" w:leader="none"/>
        </w:tabs>
        <w:spacing w:before="114"/>
        <w:ind w:left="102"/>
      </w:pPr>
      <w:r>
        <w:rPr>
          <w:rFonts w:ascii="Cambria Math" w:eastAsia="Cambria Math"/>
        </w:rPr>
        <w:t>����� =  (1</w:t>
      </w:r>
      <w:r>
        <w:rPr>
          <w:rFonts w:ascii="Cambria Math" w:eastAsia="Cambria Math"/>
          <w:spacing w:val="-8"/>
        </w:rPr>
        <w:t> </w:t>
      </w:r>
      <w:r>
        <w:rPr>
          <w:rFonts w:ascii="Cambria Math" w:eastAsia="Cambria Math"/>
        </w:rPr>
        <w:t>+</w:t>
      </w:r>
      <w:r>
        <w:rPr>
          <w:rFonts w:ascii="Cambria Math" w:eastAsia="Cambria Math"/>
          <w:spacing w:val="-10"/>
        </w:rPr>
        <w:t> </w:t>
      </w:r>
      <w:r>
        <w:rPr>
          <w:rFonts w:ascii="Cambria Math" w:eastAsia="Cambria Math"/>
        </w:rPr>
        <w:t>0.10)</w:t>
      </w:r>
      <w:r>
        <w:rPr>
          <w:rFonts w:ascii="Cambria Math" w:eastAsia="Cambria Math"/>
          <w:position w:val="9"/>
          <w:sz w:val="17"/>
        </w:rPr>
        <w:t>�.�</w:t>
        <w:tab/>
      </w:r>
      <w:r>
        <w:rPr/>
        <w:t>(9.1)</w:t>
      </w:r>
    </w:p>
    <w:p>
      <w:pPr>
        <w:pStyle w:val="BodyText"/>
        <w:spacing w:before="7"/>
        <w:rPr>
          <w:sz w:val="13"/>
        </w:rPr>
      </w:pPr>
    </w:p>
    <w:p>
      <w:pPr>
        <w:spacing w:after="0"/>
        <w:rPr>
          <w:sz w:val="13"/>
        </w:rPr>
        <w:sectPr>
          <w:type w:val="continuous"/>
          <w:pgSz w:w="12240" w:h="15840"/>
          <w:pgMar w:top="1360" w:bottom="280" w:left="1600" w:right="1580"/>
        </w:sectPr>
      </w:pPr>
    </w:p>
    <w:p>
      <w:pPr>
        <w:pStyle w:val="BodyText"/>
        <w:spacing w:before="76"/>
        <w:ind w:left="102" w:right="-16"/>
        <w:rPr>
          <w:rFonts w:ascii="Cambria Math" w:hAnsi="Cambria Math" w:eastAsia="Cambria Math"/>
          <w:sz w:val="17"/>
        </w:rPr>
      </w:pPr>
      <w:r>
        <w:rPr/>
        <w:pict>
          <v:shape style="position:absolute;margin-left:201.410004pt;margin-top:12.851246pt;width:14.45pt;height:8.550pt;mso-position-horizontal-relative:page;mso-position-vertical-relative:paragraph;z-index:-457432" type="#_x0000_t202" filled="false" stroked="false">
            <v:textbox inset="0,0,0,0">
              <w:txbxContent>
                <w:p>
                  <w:pPr>
                    <w:spacing w:line="170" w:lineRule="exact" w:before="0"/>
                    <w:ind w:left="0" w:right="-50" w:firstLine="0"/>
                    <w:jc w:val="left"/>
                    <w:rPr>
                      <w:rFonts w:ascii="Cambria Math" w:eastAsia="Cambria Math"/>
                      <w:sz w:val="17"/>
                    </w:rPr>
                  </w:pPr>
                  <w:r>
                    <w:rPr>
                      <w:rFonts w:ascii="Cambria Math" w:eastAsia="Cambria Math"/>
                      <w:spacing w:val="5"/>
                      <w:w w:val="53"/>
                      <w:sz w:val="17"/>
                    </w:rPr>
                    <w:t>�</w:t>
                  </w:r>
                  <w:r>
                    <w:rPr>
                      <w:rFonts w:ascii="Cambria Math" w:eastAsia="Cambria Math"/>
                      <w:w w:val="97"/>
                      <w:sz w:val="17"/>
                    </w:rPr>
                    <w:t>=</w:t>
                  </w:r>
                  <w:r>
                    <w:rPr>
                      <w:rFonts w:ascii="Cambria Math" w:eastAsia="Cambria Math"/>
                      <w:w w:val="104"/>
                      <w:sz w:val="17"/>
                    </w:rPr>
                    <w:t>1</w:t>
                  </w:r>
                </w:p>
              </w:txbxContent>
            </v:textbox>
            <w10:wrap type="none"/>
          </v:shape>
        </w:pict>
      </w:r>
      <w:r>
        <w:rPr/>
        <w:t>Family</w:t>
      </w:r>
      <w:r>
        <w:rPr>
          <w:spacing w:val="-32"/>
        </w:rPr>
        <w:t> </w:t>
      </w:r>
      <w:r>
        <w:rPr/>
        <w:t>incomes</w:t>
      </w:r>
      <w:r>
        <w:rPr>
          <w:spacing w:val="-28"/>
        </w:rPr>
        <w:t> </w:t>
      </w:r>
      <w:r>
        <w:rPr>
          <w:rFonts w:ascii="Cambria Math" w:hAnsi="Cambria Math" w:eastAsia="Cambria Math"/>
        </w:rPr>
        <w:t>��</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9"/>
        </w:rPr>
        <w:t> </w:t>
      </w:r>
      <w:r>
        <w:rPr>
          <w:rFonts w:ascii="Cambria Math" w:hAnsi="Cambria Math" w:eastAsia="Cambria Math"/>
          <w:position w:val="1"/>
        </w:rPr>
        <w:t>∑</w:t>
      </w:r>
      <w:r>
        <w:rPr>
          <w:rFonts w:ascii="Cambria Math" w:hAnsi="Cambria Math" w:eastAsia="Cambria Math"/>
          <w:position w:val="10"/>
          <w:sz w:val="17"/>
        </w:rPr>
        <w:t>�</w:t>
      </w:r>
    </w:p>
    <w:p>
      <w:pPr>
        <w:pStyle w:val="BodyText"/>
        <w:spacing w:before="109"/>
        <w:ind w:left="-2" w:right="-297"/>
        <w:rPr>
          <w:rFonts w:ascii="Cambria Math" w:eastAsia="Cambria Math"/>
        </w:rPr>
      </w:pPr>
      <w:r>
        <w:rPr/>
        <w:br w:type="column"/>
      </w:r>
      <w:r>
        <w:rPr>
          <w:rFonts w:ascii="Cambria Math" w:eastAsia="Cambria Math"/>
          <w:w w:val="94"/>
        </w:rPr>
        <w:t>��</w:t>
      </w:r>
      <w:r>
        <w:rPr>
          <w:rFonts w:ascii="Cambria Math" w:eastAsia="Cambria Math"/>
          <w:w w:val="75"/>
        </w:rPr>
        <w:t>��</w:t>
      </w:r>
    </w:p>
    <w:p>
      <w:pPr>
        <w:pStyle w:val="BodyText"/>
        <w:spacing w:before="113"/>
        <w:ind w:left="102" w:right="-18"/>
      </w:pPr>
      <w:r>
        <w:rPr/>
        <w:br w:type="column"/>
      </w:r>
      <w:r>
        <w:rPr/>
        <w:t>(9.2)</w:t>
      </w:r>
    </w:p>
    <w:p>
      <w:pPr>
        <w:spacing w:after="0"/>
        <w:sectPr>
          <w:type w:val="continuous"/>
          <w:pgSz w:w="12240" w:h="15840"/>
          <w:pgMar w:top="1360" w:bottom="280" w:left="1600" w:right="1580"/>
          <w:cols w:num="3" w:equalWidth="0">
            <w:col w:w="2717" w:space="40"/>
            <w:col w:w="536" w:space="5090"/>
            <w:col w:w="677"/>
          </w:cols>
        </w:sectPr>
      </w:pPr>
    </w:p>
    <w:p>
      <w:pPr>
        <w:pStyle w:val="BodyText"/>
        <w:spacing w:before="9"/>
        <w:rPr>
          <w:sz w:val="16"/>
        </w:rPr>
      </w:pPr>
    </w:p>
    <w:p>
      <w:pPr>
        <w:spacing w:after="0"/>
        <w:rPr>
          <w:sz w:val="16"/>
        </w:rPr>
        <w:sectPr>
          <w:type w:val="continuous"/>
          <w:pgSz w:w="12240" w:h="15840"/>
          <w:pgMar w:top="1360" w:bottom="280" w:left="1600" w:right="1580"/>
        </w:sectPr>
      </w:pPr>
    </w:p>
    <w:p>
      <w:pPr>
        <w:pStyle w:val="BodyText"/>
        <w:spacing w:before="69"/>
        <w:ind w:right="746"/>
        <w:jc w:val="right"/>
      </w:pPr>
      <w:r>
        <w:rPr/>
        <w:t>Where PVFI is the present value of family incomes.</w:t>
      </w:r>
    </w:p>
    <w:p>
      <w:pPr>
        <w:pStyle w:val="BodyText"/>
        <w:spacing w:before="7"/>
        <w:rPr>
          <w:sz w:val="21"/>
        </w:rPr>
      </w:pPr>
    </w:p>
    <w:p>
      <w:pPr>
        <w:spacing w:line="312" w:lineRule="exact" w:before="0"/>
        <w:ind w:left="102" w:right="0" w:firstLine="0"/>
        <w:jc w:val="left"/>
        <w:rPr>
          <w:rFonts w:ascii="Cambria Math" w:hAnsi="Cambria Math" w:eastAsia="Cambria Math"/>
          <w:sz w:val="17"/>
        </w:rPr>
      </w:pPr>
      <w:r>
        <w:rPr/>
        <w:pict>
          <v:line style="position:absolute;mso-position-horizontal-relative:page;mso-position-vertical-relative:paragraph;z-index:-457504" from="286.130005pt,12.156648pt" to="372.074005pt,12.156648pt" stroked="true" strokeweight=".84003pt" strokecolor="#000000">
            <w10:wrap type="none"/>
          </v:line>
        </w:pict>
      </w:r>
      <w:r>
        <w:rPr>
          <w:sz w:val="24"/>
        </w:rPr>
        <w:t>Rate of Return over Assets </w:t>
      </w:r>
      <w:r>
        <w:rPr>
          <w:rFonts w:ascii="Cambria Math" w:hAnsi="Cambria Math" w:eastAsia="Cambria Math"/>
          <w:sz w:val="24"/>
        </w:rPr>
        <w:t>��� = �� + </w:t>
      </w:r>
      <w:r>
        <w:rPr>
          <w:rFonts w:ascii="Cambria Math" w:hAnsi="Cambria Math" w:eastAsia="Cambria Math"/>
          <w:position w:val="14"/>
          <w:sz w:val="17"/>
        </w:rPr>
        <w:t>(</w:t>
      </w:r>
      <w:r>
        <w:rPr>
          <w:rFonts w:ascii="Cambria Math" w:hAnsi="Cambria Math" w:eastAsia="Cambria Math"/>
          <w:position w:val="15"/>
          <w:sz w:val="17"/>
        </w:rPr>
        <w:t>∑ </w:t>
      </w:r>
      <w:r>
        <w:rPr>
          <w:rFonts w:ascii="Cambria Math" w:hAnsi="Cambria Math" w:eastAsia="Cambria Math"/>
          <w:position w:val="14"/>
          <w:sz w:val="17"/>
        </w:rPr>
        <w:t>𝐼���+𝐼���+𝐼���)</w:t>
      </w:r>
    </w:p>
    <w:p>
      <w:pPr>
        <w:spacing w:line="157" w:lineRule="exact" w:before="0"/>
        <w:ind w:left="0" w:right="672" w:firstLine="0"/>
        <w:jc w:val="right"/>
        <w:rPr>
          <w:rFonts w:ascii="Cambria Math" w:hAnsi="Cambria Math" w:eastAsia="Cambria Math"/>
          <w:sz w:val="17"/>
        </w:rPr>
      </w:pPr>
      <w:r>
        <w:rPr>
          <w:rFonts w:ascii="Cambria Math" w:hAnsi="Cambria Math" w:eastAsia="Cambria Math"/>
          <w:position w:val="1"/>
          <w:sz w:val="17"/>
        </w:rPr>
        <w:t>∑ </w:t>
      </w:r>
      <w:r>
        <w:rPr>
          <w:rFonts w:ascii="Cambria Math" w:hAnsi="Cambria Math" w:eastAsia="Cambria Math"/>
          <w:sz w:val="17"/>
        </w:rPr>
        <w:t>��</w:t>
      </w:r>
    </w:p>
    <w:p>
      <w:pPr>
        <w:pStyle w:val="BodyText"/>
        <w:rPr>
          <w:rFonts w:ascii="Cambria Math"/>
        </w:rPr>
      </w:pPr>
      <w:r>
        <w:rPr/>
        <w:br w:type="column"/>
      </w:r>
      <w:r>
        <w:rPr>
          <w:rFonts w:ascii="Cambria Math"/>
        </w:rPr>
      </w:r>
    </w:p>
    <w:p>
      <w:pPr>
        <w:pStyle w:val="BodyText"/>
        <w:spacing w:before="1"/>
        <w:rPr>
          <w:rFonts w:ascii="Cambria Math"/>
          <w:sz w:val="34"/>
        </w:rPr>
      </w:pPr>
    </w:p>
    <w:p>
      <w:pPr>
        <w:pStyle w:val="BodyText"/>
        <w:ind w:left="102"/>
      </w:pPr>
      <w:r>
        <w:rPr/>
        <w:t>(10)</w:t>
      </w:r>
    </w:p>
    <w:p>
      <w:pPr>
        <w:spacing w:after="0"/>
        <w:sectPr>
          <w:type w:val="continuous"/>
          <w:pgSz w:w="12240" w:h="15840"/>
          <w:pgMar w:top="1360" w:bottom="280" w:left="1600" w:right="1580"/>
          <w:cols w:num="2" w:equalWidth="0">
            <w:col w:w="5841" w:space="2602"/>
            <w:col w:w="617"/>
          </w:cols>
        </w:sectPr>
      </w:pPr>
    </w:p>
    <w:p>
      <w:pPr>
        <w:pStyle w:val="BodyText"/>
        <w:spacing w:before="11"/>
        <w:rPr>
          <w:sz w:val="15"/>
        </w:rPr>
      </w:pPr>
    </w:p>
    <w:p>
      <w:pPr>
        <w:pStyle w:val="BodyText"/>
        <w:spacing w:line="357" w:lineRule="auto" w:before="66"/>
        <w:ind w:left="102" w:right="115"/>
        <w:jc w:val="both"/>
      </w:pPr>
      <w:r>
        <w:rPr/>
        <w:t>Where </w:t>
      </w:r>
      <w:r>
        <w:rPr>
          <w:rFonts w:ascii="Cambria Math" w:hAnsi="Cambria Math" w:eastAsia="Cambria Math"/>
        </w:rPr>
        <w:t>�� </w:t>
      </w:r>
      <w:r>
        <w:rPr/>
        <w:t>is the net income of the RSSDF, </w:t>
      </w:r>
      <w:r>
        <w:rPr>
          <w:rFonts w:ascii="Cambria Math" w:hAnsi="Cambria Math" w:eastAsia="Cambria Math"/>
        </w:rPr>
        <w:t>���� </w:t>
      </w:r>
      <w:r>
        <w:rPr/>
        <w:t>is interest for short-term credits, </w:t>
      </w:r>
      <w:r>
        <w:rPr>
          <w:rFonts w:ascii="Cambria Math" w:hAnsi="Cambria Math" w:eastAsia="Cambria Math"/>
        </w:rPr>
        <w:t>���� </w:t>
      </w:r>
      <w:r>
        <w:rPr/>
        <w:t>is interest for medium term credits, </w:t>
      </w:r>
      <w:r>
        <w:rPr>
          <w:rFonts w:ascii="Cambria Math" w:hAnsi="Cambria Math" w:eastAsia="Cambria Math"/>
        </w:rPr>
        <w:t>���� </w:t>
      </w:r>
      <w:r>
        <w:rPr/>
        <w:t>is interest for long-term credits, </w:t>
      </w:r>
      <w:r>
        <w:rPr>
          <w:rFonts w:ascii="Cambria Math" w:hAnsi="Cambria Math" w:eastAsia="Cambria Math"/>
          <w:position w:val="1"/>
        </w:rPr>
        <w:t>∑ </w:t>
      </w:r>
      <w:r>
        <w:rPr>
          <w:rFonts w:ascii="Cambria Math" w:hAnsi="Cambria Math" w:eastAsia="Cambria Math"/>
        </w:rPr>
        <w:t>�� </w:t>
      </w:r>
      <w:r>
        <w:rPr/>
        <w:t>is the value of total assets.</w:t>
      </w:r>
    </w:p>
    <w:p>
      <w:pPr>
        <w:spacing w:after="0" w:line="357" w:lineRule="auto"/>
        <w:jc w:val="both"/>
        <w:sectPr>
          <w:type w:val="continuous"/>
          <w:pgSz w:w="12240" w:h="15840"/>
          <w:pgMar w:top="1360" w:bottom="280" w:left="1600" w:right="1580"/>
        </w:sectPr>
      </w:pPr>
    </w:p>
    <w:p>
      <w:pPr>
        <w:pStyle w:val="BodyText"/>
        <w:tabs>
          <w:tab w:pos="3157" w:val="left" w:leader="none"/>
        </w:tabs>
        <w:spacing w:line="297" w:lineRule="exact" w:before="111"/>
        <w:ind w:left="102"/>
        <w:rPr>
          <w:rFonts w:ascii="Cambria Math" w:eastAsia="Cambria Math"/>
          <w:sz w:val="17"/>
        </w:rPr>
      </w:pPr>
      <w:r>
        <w:rPr/>
        <w:pict>
          <v:line style="position:absolute;mso-position-horizontal-relative:page;mso-position-vertical-relative:paragraph;z-index:-457480" from="210.889999pt,17.206671pt" to="280.129999pt,17.206671pt" stroked="true" strokeweight=".83997pt" strokecolor="#000000">
            <w10:wrap type="none"/>
          </v:line>
        </w:pict>
      </w:r>
      <w:r>
        <w:rPr/>
        <w:t>Cost/Benefit Ratio</w:t>
      </w:r>
      <w:r>
        <w:rPr>
          <w:spacing w:val="-18"/>
        </w:rPr>
        <w:t> </w:t>
      </w:r>
      <w:r>
        <w:rPr>
          <w:rFonts w:ascii="Cambria Math" w:eastAsia="Cambria Math"/>
        </w:rPr>
        <w:t>��</w:t>
      </w:r>
      <w:r>
        <w:rPr>
          <w:rFonts w:ascii="Cambria Math" w:eastAsia="Cambria Math"/>
          <w:spacing w:val="14"/>
        </w:rPr>
        <w:t> </w:t>
      </w:r>
      <w:r>
        <w:rPr>
          <w:rFonts w:ascii="Cambria Math" w:eastAsia="Cambria Math"/>
        </w:rPr>
        <w:t>=</w:t>
        <w:tab/>
      </w:r>
      <w:r>
        <w:rPr>
          <w:rFonts w:ascii="Cambria Math" w:eastAsia="Cambria Math"/>
          <w:position w:val="14"/>
          <w:sz w:val="17"/>
        </w:rPr>
        <w:t>𝐼��</w:t>
      </w:r>
    </w:p>
    <w:p>
      <w:pPr>
        <w:spacing w:line="163" w:lineRule="exact" w:before="0"/>
        <w:ind w:left="2617" w:right="-477" w:firstLine="0"/>
        <w:jc w:val="left"/>
        <w:rPr>
          <w:rFonts w:ascii="Cambria Math" w:hAnsi="Cambria Math" w:eastAsia="Cambria Math"/>
          <w:sz w:val="17"/>
        </w:rPr>
      </w:pPr>
      <w:r>
        <w:rPr>
          <w:rFonts w:ascii="Cambria Math" w:hAnsi="Cambria Math" w:eastAsia="Cambria Math"/>
          <w:w w:val="100"/>
          <w:position w:val="1"/>
          <w:sz w:val="17"/>
        </w:rPr>
        <w:t>∑</w:t>
      </w:r>
      <w:r>
        <w:rPr>
          <w:rFonts w:ascii="Cambria Math" w:hAnsi="Cambria Math" w:eastAsia="Cambria Math"/>
          <w:spacing w:val="-10"/>
          <w:position w:val="1"/>
          <w:sz w:val="17"/>
        </w:rPr>
        <w:t> </w:t>
      </w:r>
      <w:r>
        <w:rPr>
          <w:rFonts w:ascii="Cambria Math" w:hAnsi="Cambria Math" w:eastAsia="Cambria Math"/>
          <w:w w:val="102"/>
          <w:sz w:val="17"/>
        </w:rPr>
        <w:t>𝑃�</w:t>
      </w:r>
      <w:r>
        <w:rPr>
          <w:rFonts w:ascii="Cambria Math" w:hAnsi="Cambria Math" w:eastAsia="Cambria Math"/>
          <w:spacing w:val="-2"/>
          <w:w w:val="102"/>
          <w:sz w:val="17"/>
        </w:rPr>
        <w:t>𝐹</w:t>
      </w:r>
      <w:r>
        <w:rPr>
          <w:rFonts w:ascii="Cambria Math" w:hAnsi="Cambria Math" w:eastAsia="Cambria Math"/>
          <w:spacing w:val="5"/>
          <w:w w:val="103"/>
          <w:sz w:val="17"/>
        </w:rPr>
        <w:t>𝐼</w:t>
      </w:r>
      <w:r>
        <w:rPr>
          <w:rFonts w:ascii="Cambria Math" w:hAnsi="Cambria Math" w:eastAsia="Cambria Math"/>
          <w:spacing w:val="9"/>
          <w:w w:val="122"/>
          <w:position w:val="5"/>
          <w:sz w:val="14"/>
        </w:rPr>
        <w:t>𝑛</w:t>
      </w:r>
      <w:r>
        <w:rPr>
          <w:rFonts w:ascii="Cambria Math" w:hAnsi="Cambria Math" w:eastAsia="Cambria Math"/>
          <w:w w:val="97"/>
          <w:sz w:val="17"/>
        </w:rPr>
        <w:t>+</w:t>
      </w:r>
      <w:r>
        <w:rPr>
          <w:rFonts w:ascii="Cambria Math" w:hAnsi="Cambria Math" w:eastAsia="Cambria Math"/>
          <w:spacing w:val="-1"/>
          <w:w w:val="112"/>
          <w:sz w:val="17"/>
        </w:rPr>
        <w:t>P</w:t>
      </w:r>
      <w:r>
        <w:rPr>
          <w:rFonts w:ascii="Cambria Math" w:hAnsi="Cambria Math" w:eastAsia="Cambria Math"/>
          <w:spacing w:val="-1"/>
          <w:w w:val="99"/>
          <w:sz w:val="17"/>
        </w:rPr>
        <w:t>�</w:t>
      </w:r>
      <w:r>
        <w:rPr>
          <w:rFonts w:ascii="Cambria Math" w:hAnsi="Cambria Math" w:eastAsia="Cambria Math"/>
          <w:w w:val="115"/>
          <w:sz w:val="17"/>
        </w:rPr>
        <w:t>�</w:t>
      </w:r>
      <w:r>
        <w:rPr>
          <w:rFonts w:ascii="Cambria Math" w:hAnsi="Cambria Math" w:eastAsia="Cambria Math"/>
          <w:w w:val="100"/>
          <w:sz w:val="17"/>
        </w:rPr>
        <w:t>�</w:t>
      </w:r>
      <w:r>
        <w:rPr>
          <w:rFonts w:ascii="Cambria Math" w:hAnsi="Cambria Math" w:eastAsia="Cambria Math"/>
          <w:w w:val="92"/>
          <w:sz w:val="17"/>
        </w:rPr>
        <w:t>�</w:t>
      </w:r>
    </w:p>
    <w:p>
      <w:pPr>
        <w:pStyle w:val="BodyText"/>
        <w:spacing w:before="189"/>
        <w:ind w:left="102"/>
      </w:pPr>
      <w:r>
        <w:rPr/>
        <w:br w:type="column"/>
      </w:r>
      <w:r>
        <w:rPr/>
        <w:t>(11)</w:t>
      </w:r>
    </w:p>
    <w:p>
      <w:pPr>
        <w:spacing w:after="0"/>
        <w:sectPr>
          <w:type w:val="continuous"/>
          <w:pgSz w:w="12240" w:h="15840"/>
          <w:pgMar w:top="1360" w:bottom="280" w:left="1600" w:right="1580"/>
          <w:cols w:num="2" w:equalWidth="0">
            <w:col w:w="3962" w:space="4480"/>
            <w:col w:w="618"/>
          </w:cols>
        </w:sectPr>
      </w:pPr>
    </w:p>
    <w:p>
      <w:pPr>
        <w:pStyle w:val="BodyText"/>
        <w:spacing w:before="1"/>
        <w:rPr>
          <w:sz w:val="13"/>
        </w:rPr>
      </w:pPr>
    </w:p>
    <w:p>
      <w:pPr>
        <w:pStyle w:val="BodyText"/>
        <w:spacing w:before="76"/>
        <w:ind w:left="102"/>
        <w:rPr>
          <w:rFonts w:ascii="Cambria Math" w:eastAsia="Cambria Math"/>
        </w:rPr>
      </w:pPr>
      <w:r>
        <w:rPr/>
        <w:t>Where INC is initial net capital, </w:t>
      </w:r>
      <w:r>
        <w:rPr>
          <w:rFonts w:ascii="Cambria Math" w:eastAsia="Cambria Math"/>
        </w:rPr>
        <w:t>����</w:t>
      </w:r>
      <w:r>
        <w:rPr>
          <w:rFonts w:ascii="Cambria Math" w:eastAsia="Cambria Math"/>
          <w:position w:val="9"/>
          <w:sz w:val="17"/>
        </w:rPr>
        <w:t>� </w:t>
      </w:r>
      <w:r>
        <w:rPr/>
        <w:t>is the present value of family incomes, and </w:t>
      </w:r>
      <w:r>
        <w:rPr>
          <w:rFonts w:ascii="Cambria Math" w:eastAsia="Cambria Math"/>
        </w:rPr>
        <w:t>�����</w:t>
      </w:r>
    </w:p>
    <w:p>
      <w:pPr>
        <w:pStyle w:val="BodyText"/>
        <w:spacing w:before="140"/>
        <w:ind w:left="102"/>
      </w:pPr>
      <w:r>
        <w:rPr/>
        <w:t>is the present value of net real capital.</w:t>
      </w:r>
    </w:p>
    <w:p>
      <w:pPr>
        <w:spacing w:after="0"/>
        <w:sectPr>
          <w:type w:val="continuous"/>
          <w:pgSz w:w="12240" w:h="15840"/>
          <w:pgMar w:top="1360" w:bottom="280" w:left="1600" w:right="1580"/>
        </w:sectPr>
      </w:pPr>
    </w:p>
    <w:p>
      <w:pPr>
        <w:pStyle w:val="ListParagraph"/>
        <w:numPr>
          <w:ilvl w:val="1"/>
          <w:numId w:val="25"/>
        </w:numPr>
        <w:tabs>
          <w:tab w:pos="523" w:val="left" w:leader="none"/>
        </w:tabs>
        <w:spacing w:line="240" w:lineRule="auto" w:before="50" w:after="0"/>
        <w:ind w:left="522" w:right="0" w:hanging="420"/>
        <w:jc w:val="both"/>
        <w:rPr>
          <w:i/>
          <w:sz w:val="24"/>
        </w:rPr>
      </w:pPr>
      <w:r>
        <w:rPr>
          <w:i/>
          <w:sz w:val="24"/>
        </w:rPr>
        <w:t>Model</w:t>
      </w:r>
      <w:r>
        <w:rPr>
          <w:i/>
          <w:spacing w:val="-3"/>
          <w:sz w:val="24"/>
        </w:rPr>
        <w:t> </w:t>
      </w:r>
      <w:r>
        <w:rPr>
          <w:i/>
          <w:sz w:val="24"/>
        </w:rPr>
        <w:t>assumptions</w:t>
      </w:r>
    </w:p>
    <w:p>
      <w:pPr>
        <w:pStyle w:val="BodyText"/>
        <w:rPr>
          <w:i/>
        </w:rPr>
      </w:pPr>
    </w:p>
    <w:p>
      <w:pPr>
        <w:pStyle w:val="BodyText"/>
        <w:rPr>
          <w:i/>
        </w:rPr>
      </w:pPr>
    </w:p>
    <w:p>
      <w:pPr>
        <w:pStyle w:val="BodyText"/>
        <w:spacing w:before="10"/>
        <w:rPr>
          <w:i/>
          <w:sz w:val="20"/>
        </w:rPr>
      </w:pPr>
    </w:p>
    <w:p>
      <w:pPr>
        <w:pStyle w:val="BodyText"/>
        <w:spacing w:line="360" w:lineRule="auto"/>
        <w:ind w:left="102" w:right="114"/>
        <w:jc w:val="both"/>
      </w:pPr>
      <w:r>
        <w:rPr/>
        <w:t>The</w:t>
      </w:r>
      <w:r>
        <w:rPr>
          <w:spacing w:val="-9"/>
        </w:rPr>
        <w:t> </w:t>
      </w:r>
      <w:r>
        <w:rPr/>
        <w:t>analysis</w:t>
      </w:r>
      <w:r>
        <w:rPr>
          <w:spacing w:val="-7"/>
        </w:rPr>
        <w:t> </w:t>
      </w:r>
      <w:r>
        <w:rPr/>
        <w:t>took</w:t>
      </w:r>
      <w:r>
        <w:rPr>
          <w:spacing w:val="-7"/>
        </w:rPr>
        <w:t> </w:t>
      </w:r>
      <w:r>
        <w:rPr/>
        <w:t>into</w:t>
      </w:r>
      <w:r>
        <w:rPr>
          <w:spacing w:val="-8"/>
        </w:rPr>
        <w:t> </w:t>
      </w:r>
      <w:r>
        <w:rPr/>
        <w:t>account</w:t>
      </w:r>
      <w:r>
        <w:rPr>
          <w:spacing w:val="-7"/>
        </w:rPr>
        <w:t> </w:t>
      </w:r>
      <w:r>
        <w:rPr/>
        <w:t>the</w:t>
      </w:r>
      <w:r>
        <w:rPr>
          <w:spacing w:val="-8"/>
        </w:rPr>
        <w:t> </w:t>
      </w:r>
      <w:r>
        <w:rPr/>
        <w:t>following</w:t>
      </w:r>
      <w:r>
        <w:rPr>
          <w:spacing w:val="-10"/>
        </w:rPr>
        <w:t> </w:t>
      </w:r>
      <w:r>
        <w:rPr/>
        <w:t>assumptions:</w:t>
      </w:r>
      <w:r>
        <w:rPr>
          <w:spacing w:val="-7"/>
        </w:rPr>
        <w:t> </w:t>
      </w:r>
      <w:r>
        <w:rPr/>
        <w:t>1)</w:t>
      </w:r>
      <w:r>
        <w:rPr>
          <w:spacing w:val="-8"/>
        </w:rPr>
        <w:t> </w:t>
      </w:r>
      <w:r>
        <w:rPr/>
        <w:t>the</w:t>
      </w:r>
      <w:r>
        <w:rPr>
          <w:spacing w:val="-8"/>
        </w:rPr>
        <w:t> </w:t>
      </w:r>
      <w:r>
        <w:rPr/>
        <w:t>scale</w:t>
      </w:r>
      <w:r>
        <w:rPr>
          <w:spacing w:val="-8"/>
        </w:rPr>
        <w:t> </w:t>
      </w:r>
      <w:r>
        <w:rPr/>
        <w:t>of</w:t>
      </w:r>
      <w:r>
        <w:rPr>
          <w:spacing w:val="-8"/>
        </w:rPr>
        <w:t> </w:t>
      </w:r>
      <w:r>
        <w:rPr/>
        <w:t>production;</w:t>
      </w:r>
      <w:r>
        <w:rPr>
          <w:spacing w:val="-7"/>
        </w:rPr>
        <w:t> </w:t>
      </w:r>
      <w:r>
        <w:rPr/>
        <w:t>2)</w:t>
      </w:r>
      <w:r>
        <w:rPr>
          <w:spacing w:val="-8"/>
        </w:rPr>
        <w:t> </w:t>
      </w:r>
      <w:r>
        <w:rPr/>
        <w:t>milk yields</w:t>
      </w:r>
      <w:r>
        <w:rPr>
          <w:spacing w:val="-3"/>
        </w:rPr>
        <w:t> </w:t>
      </w:r>
      <w:r>
        <w:rPr/>
        <w:t>per</w:t>
      </w:r>
      <w:r>
        <w:rPr>
          <w:spacing w:val="-1"/>
        </w:rPr>
        <w:t> </w:t>
      </w:r>
      <w:r>
        <w:rPr/>
        <w:t>cow;</w:t>
      </w:r>
      <w:r>
        <w:rPr>
          <w:spacing w:val="-4"/>
        </w:rPr>
        <w:t> </w:t>
      </w:r>
      <w:r>
        <w:rPr/>
        <w:t>3)</w:t>
      </w:r>
      <w:r>
        <w:rPr>
          <w:spacing w:val="-2"/>
        </w:rPr>
        <w:t> </w:t>
      </w:r>
      <w:r>
        <w:rPr/>
        <w:t>utilised</w:t>
      </w:r>
      <w:r>
        <w:rPr>
          <w:spacing w:val="-4"/>
        </w:rPr>
        <w:t> </w:t>
      </w:r>
      <w:r>
        <w:rPr/>
        <w:t>capacity</w:t>
      </w:r>
      <w:r>
        <w:rPr>
          <w:spacing w:val="-6"/>
        </w:rPr>
        <w:t> </w:t>
      </w:r>
      <w:r>
        <w:rPr/>
        <w:t>of</w:t>
      </w:r>
      <w:r>
        <w:rPr>
          <w:spacing w:val="-5"/>
        </w:rPr>
        <w:t> </w:t>
      </w:r>
      <w:r>
        <w:rPr/>
        <w:t>the</w:t>
      </w:r>
      <w:r>
        <w:rPr>
          <w:spacing w:val="-5"/>
        </w:rPr>
        <w:t> </w:t>
      </w:r>
      <w:r>
        <w:rPr/>
        <w:t>farm</w:t>
      </w:r>
      <w:r>
        <w:rPr>
          <w:spacing w:val="-1"/>
        </w:rPr>
        <w:t> </w:t>
      </w:r>
      <w:r>
        <w:rPr/>
        <w:t>infrastructure;</w:t>
      </w:r>
      <w:r>
        <w:rPr>
          <w:spacing w:val="-3"/>
        </w:rPr>
        <w:t> </w:t>
      </w:r>
      <w:r>
        <w:rPr/>
        <w:t>4)</w:t>
      </w:r>
      <w:r>
        <w:rPr>
          <w:spacing w:val="-5"/>
        </w:rPr>
        <w:t> </w:t>
      </w:r>
      <w:r>
        <w:rPr/>
        <w:t>the</w:t>
      </w:r>
      <w:r>
        <w:rPr>
          <w:spacing w:val="-5"/>
        </w:rPr>
        <w:t> </w:t>
      </w:r>
      <w:r>
        <w:rPr/>
        <w:t>rate</w:t>
      </w:r>
      <w:r>
        <w:rPr>
          <w:spacing w:val="-4"/>
        </w:rPr>
        <w:t> </w:t>
      </w:r>
      <w:r>
        <w:rPr/>
        <w:t>of subsidies;</w:t>
      </w:r>
      <w:r>
        <w:rPr>
          <w:spacing w:val="-4"/>
        </w:rPr>
        <w:t> </w:t>
      </w:r>
      <w:r>
        <w:rPr/>
        <w:t>and</w:t>
      </w:r>
      <w:r>
        <w:rPr>
          <w:spacing w:val="-4"/>
        </w:rPr>
        <w:t> </w:t>
      </w:r>
      <w:r>
        <w:rPr/>
        <w:t>5) the technical coefficients are held constant during the planning horizon 2010 - 2018; 6) the technological level was also held unaltered, which allowed observed changes to be ascribed to permutations in the economic conditions; 7) the number of farmers in the activity is held constant,</w:t>
      </w:r>
      <w:r>
        <w:rPr>
          <w:spacing w:val="-6"/>
        </w:rPr>
        <w:t> </w:t>
      </w:r>
      <w:r>
        <w:rPr/>
        <w:t>that</w:t>
      </w:r>
      <w:r>
        <w:rPr>
          <w:spacing w:val="-6"/>
        </w:rPr>
        <w:t> </w:t>
      </w:r>
      <w:r>
        <w:rPr/>
        <w:t>is</w:t>
      </w:r>
      <w:r>
        <w:rPr>
          <w:spacing w:val="-6"/>
        </w:rPr>
        <w:t> </w:t>
      </w:r>
      <w:r>
        <w:rPr/>
        <w:t>that</w:t>
      </w:r>
      <w:r>
        <w:rPr>
          <w:spacing w:val="-6"/>
        </w:rPr>
        <w:t> </w:t>
      </w:r>
      <w:r>
        <w:rPr/>
        <w:t>new</w:t>
      </w:r>
      <w:r>
        <w:rPr>
          <w:spacing w:val="-4"/>
        </w:rPr>
        <w:t> </w:t>
      </w:r>
      <w:r>
        <w:rPr/>
        <w:t>farmers</w:t>
      </w:r>
      <w:r>
        <w:rPr>
          <w:spacing w:val="-5"/>
        </w:rPr>
        <w:t> </w:t>
      </w:r>
      <w:r>
        <w:rPr/>
        <w:t>coming</w:t>
      </w:r>
      <w:r>
        <w:rPr>
          <w:spacing w:val="-9"/>
        </w:rPr>
        <w:t> </w:t>
      </w:r>
      <w:r>
        <w:rPr/>
        <w:t>into</w:t>
      </w:r>
      <w:r>
        <w:rPr>
          <w:spacing w:val="-6"/>
        </w:rPr>
        <w:t> </w:t>
      </w:r>
      <w:r>
        <w:rPr/>
        <w:t>dairy</w:t>
      </w:r>
      <w:r>
        <w:rPr>
          <w:spacing w:val="-9"/>
        </w:rPr>
        <w:t> </w:t>
      </w:r>
      <w:r>
        <w:rPr/>
        <w:t>production</w:t>
      </w:r>
      <w:r>
        <w:rPr>
          <w:spacing w:val="-6"/>
        </w:rPr>
        <w:t> </w:t>
      </w:r>
      <w:r>
        <w:rPr/>
        <w:t>or</w:t>
      </w:r>
      <w:r>
        <w:rPr>
          <w:spacing w:val="-5"/>
        </w:rPr>
        <w:t> </w:t>
      </w:r>
      <w:r>
        <w:rPr/>
        <w:t>farmers</w:t>
      </w:r>
      <w:r>
        <w:rPr>
          <w:spacing w:val="-4"/>
        </w:rPr>
        <w:t> </w:t>
      </w:r>
      <w:r>
        <w:rPr/>
        <w:t>withdrawing</w:t>
      </w:r>
      <w:r>
        <w:rPr>
          <w:spacing w:val="-9"/>
        </w:rPr>
        <w:t> </w:t>
      </w:r>
      <w:r>
        <w:rPr/>
        <w:t>from the activity does not alter results; 8) the discount rate was established at 10%; 9) in the outflows</w:t>
      </w:r>
      <w:r>
        <w:rPr>
          <w:spacing w:val="-4"/>
        </w:rPr>
        <w:t> </w:t>
      </w:r>
      <w:r>
        <w:rPr/>
        <w:t>a</w:t>
      </w:r>
      <w:r>
        <w:rPr>
          <w:spacing w:val="-5"/>
        </w:rPr>
        <w:t> </w:t>
      </w:r>
      <w:r>
        <w:rPr/>
        <w:t>salary</w:t>
      </w:r>
      <w:r>
        <w:rPr>
          <w:spacing w:val="-9"/>
        </w:rPr>
        <w:t> </w:t>
      </w:r>
      <w:r>
        <w:rPr/>
        <w:t>for</w:t>
      </w:r>
      <w:r>
        <w:rPr>
          <w:spacing w:val="-5"/>
        </w:rPr>
        <w:t> </w:t>
      </w:r>
      <w:r>
        <w:rPr/>
        <w:t>the</w:t>
      </w:r>
      <w:r>
        <w:rPr>
          <w:spacing w:val="-5"/>
        </w:rPr>
        <w:t> </w:t>
      </w:r>
      <w:r>
        <w:rPr/>
        <w:t>farmer</w:t>
      </w:r>
      <w:r>
        <w:rPr>
          <w:spacing w:val="-1"/>
        </w:rPr>
        <w:t> </w:t>
      </w:r>
      <w:r>
        <w:rPr/>
        <w:t>was</w:t>
      </w:r>
      <w:r>
        <w:rPr>
          <w:spacing w:val="-4"/>
        </w:rPr>
        <w:t> </w:t>
      </w:r>
      <w:r>
        <w:rPr/>
        <w:t>considered</w:t>
      </w:r>
      <w:r>
        <w:rPr>
          <w:spacing w:val="-4"/>
        </w:rPr>
        <w:t> </w:t>
      </w:r>
      <w:r>
        <w:rPr/>
        <w:t>as</w:t>
      </w:r>
      <w:r>
        <w:rPr>
          <w:spacing w:val="-1"/>
        </w:rPr>
        <w:t> </w:t>
      </w:r>
      <w:r>
        <w:rPr/>
        <w:t>the</w:t>
      </w:r>
      <w:r>
        <w:rPr>
          <w:spacing w:val="-4"/>
        </w:rPr>
        <w:t> </w:t>
      </w:r>
      <w:r>
        <w:rPr/>
        <w:t>running</w:t>
      </w:r>
      <w:r>
        <w:rPr>
          <w:spacing w:val="-6"/>
        </w:rPr>
        <w:t> </w:t>
      </w:r>
      <w:r>
        <w:rPr/>
        <w:t>salary</w:t>
      </w:r>
      <w:r>
        <w:rPr>
          <w:spacing w:val="-9"/>
        </w:rPr>
        <w:t> </w:t>
      </w:r>
      <w:r>
        <w:rPr/>
        <w:t>in</w:t>
      </w:r>
      <w:r>
        <w:rPr>
          <w:spacing w:val="-3"/>
        </w:rPr>
        <w:t> </w:t>
      </w:r>
      <w:r>
        <w:rPr/>
        <w:t>the</w:t>
      </w:r>
      <w:r>
        <w:rPr>
          <w:spacing w:val="-4"/>
        </w:rPr>
        <w:t> </w:t>
      </w:r>
      <w:r>
        <w:rPr/>
        <w:t>study</w:t>
      </w:r>
      <w:r>
        <w:rPr>
          <w:spacing w:val="-9"/>
        </w:rPr>
        <w:t> </w:t>
      </w:r>
      <w:r>
        <w:rPr/>
        <w:t>area</w:t>
      </w:r>
      <w:r>
        <w:rPr>
          <w:spacing w:val="-5"/>
        </w:rPr>
        <w:t> </w:t>
      </w:r>
      <w:r>
        <w:rPr/>
        <w:t>of</w:t>
      </w:r>
      <w:r>
        <w:rPr>
          <w:spacing w:val="-5"/>
        </w:rPr>
        <w:t> </w:t>
      </w:r>
      <w:r>
        <w:rPr/>
        <w:t>US</w:t>
      </w:r>
    </w:p>
    <w:p>
      <w:pPr>
        <w:pStyle w:val="BodyText"/>
        <w:spacing w:line="360" w:lineRule="auto" w:before="4"/>
        <w:ind w:left="102" w:right="126"/>
        <w:jc w:val="both"/>
      </w:pPr>
      <w:r>
        <w:rPr/>
        <w:t>$4.70 per day; 10) the opportunity cost for family labour and cash withdrawn done by the farmer as included in the simulation proves.</w:t>
      </w:r>
    </w:p>
    <w:p>
      <w:pPr>
        <w:pStyle w:val="BodyText"/>
      </w:pPr>
    </w:p>
    <w:p>
      <w:pPr>
        <w:pStyle w:val="BodyText"/>
        <w:spacing w:before="3"/>
        <w:rPr>
          <w:sz w:val="33"/>
        </w:rPr>
      </w:pPr>
    </w:p>
    <w:p>
      <w:pPr>
        <w:pStyle w:val="ListParagraph"/>
        <w:numPr>
          <w:ilvl w:val="1"/>
          <w:numId w:val="25"/>
        </w:numPr>
        <w:tabs>
          <w:tab w:pos="523" w:val="left" w:leader="none"/>
        </w:tabs>
        <w:spacing w:line="240" w:lineRule="auto" w:before="0" w:after="0"/>
        <w:ind w:left="522" w:right="0" w:hanging="420"/>
        <w:jc w:val="both"/>
        <w:rPr>
          <w:i/>
          <w:sz w:val="24"/>
        </w:rPr>
      </w:pPr>
      <w:r>
        <w:rPr>
          <w:i/>
          <w:sz w:val="24"/>
        </w:rPr>
        <w:t>Models</w:t>
      </w:r>
    </w:p>
    <w:p>
      <w:pPr>
        <w:pStyle w:val="BodyText"/>
        <w:rPr>
          <w:i/>
        </w:rPr>
      </w:pPr>
    </w:p>
    <w:p>
      <w:pPr>
        <w:pStyle w:val="BodyText"/>
        <w:rPr>
          <w:i/>
        </w:rPr>
      </w:pPr>
    </w:p>
    <w:p>
      <w:pPr>
        <w:pStyle w:val="BodyText"/>
        <w:spacing w:before="10"/>
        <w:rPr>
          <w:i/>
          <w:sz w:val="20"/>
        </w:rPr>
      </w:pPr>
    </w:p>
    <w:p>
      <w:pPr>
        <w:pStyle w:val="BodyText"/>
        <w:spacing w:line="360" w:lineRule="auto"/>
        <w:ind w:left="102" w:right="116"/>
        <w:jc w:val="both"/>
      </w:pPr>
      <w:r>
        <w:rPr>
          <w:b/>
        </w:rPr>
        <w:t>Model 1: </w:t>
      </w:r>
      <w:r>
        <w:rPr>
          <w:spacing w:val="-3"/>
        </w:rPr>
        <w:t>It </w:t>
      </w:r>
      <w:r>
        <w:rPr/>
        <w:t>considered hiring-in all needs of labour for dairy production including crop production and management. Labour is the second highest expenditure item in the cost of production</w:t>
      </w:r>
      <w:r>
        <w:rPr>
          <w:spacing w:val="-10"/>
        </w:rPr>
        <w:t> </w:t>
      </w:r>
      <w:r>
        <w:rPr/>
        <w:t>in</w:t>
      </w:r>
      <w:r>
        <w:rPr>
          <w:spacing w:val="-9"/>
        </w:rPr>
        <w:t> </w:t>
      </w:r>
      <w:r>
        <w:rPr/>
        <w:t>small-scale</w:t>
      </w:r>
      <w:r>
        <w:rPr>
          <w:spacing w:val="-10"/>
        </w:rPr>
        <w:t> </w:t>
      </w:r>
      <w:r>
        <w:rPr/>
        <w:t>dairy</w:t>
      </w:r>
      <w:r>
        <w:rPr>
          <w:spacing w:val="-14"/>
        </w:rPr>
        <w:t> </w:t>
      </w:r>
      <w:r>
        <w:rPr/>
        <w:t>systems</w:t>
      </w:r>
      <w:r>
        <w:rPr>
          <w:spacing w:val="-9"/>
        </w:rPr>
        <w:t> </w:t>
      </w:r>
      <w:r>
        <w:rPr/>
        <w:t>in</w:t>
      </w:r>
      <w:r>
        <w:rPr>
          <w:spacing w:val="-9"/>
        </w:rPr>
        <w:t> </w:t>
      </w:r>
      <w:r>
        <w:rPr/>
        <w:t>the</w:t>
      </w:r>
      <w:r>
        <w:rPr>
          <w:spacing w:val="-10"/>
        </w:rPr>
        <w:t> </w:t>
      </w:r>
      <w:r>
        <w:rPr/>
        <w:t>study</w:t>
      </w:r>
      <w:r>
        <w:rPr>
          <w:spacing w:val="-12"/>
        </w:rPr>
        <w:t> </w:t>
      </w:r>
      <w:r>
        <w:rPr/>
        <w:t>area</w:t>
      </w:r>
      <w:r>
        <w:rPr>
          <w:spacing w:val="-11"/>
        </w:rPr>
        <w:t> </w:t>
      </w:r>
      <w:r>
        <w:rPr/>
        <w:t>(Posadas-Domínguez</w:t>
      </w:r>
      <w:r>
        <w:rPr>
          <w:spacing w:val="-9"/>
        </w:rPr>
        <w:t> </w:t>
      </w:r>
      <w:r>
        <w:rPr/>
        <w:t>et</w:t>
      </w:r>
      <w:r>
        <w:rPr>
          <w:spacing w:val="-9"/>
        </w:rPr>
        <w:t> </w:t>
      </w:r>
      <w:r>
        <w:rPr/>
        <w:t>al.,</w:t>
      </w:r>
      <w:r>
        <w:rPr>
          <w:spacing w:val="-9"/>
        </w:rPr>
        <w:t> </w:t>
      </w:r>
      <w:r>
        <w:rPr/>
        <w:t>2013b).</w:t>
      </w:r>
    </w:p>
    <w:p>
      <w:pPr>
        <w:pStyle w:val="BodyText"/>
      </w:pPr>
    </w:p>
    <w:p>
      <w:pPr>
        <w:pStyle w:val="BodyText"/>
        <w:spacing w:before="3"/>
        <w:rPr>
          <w:sz w:val="33"/>
        </w:rPr>
      </w:pPr>
    </w:p>
    <w:p>
      <w:pPr>
        <w:pStyle w:val="BodyText"/>
        <w:spacing w:line="360" w:lineRule="auto"/>
        <w:ind w:left="102" w:right="118"/>
        <w:jc w:val="both"/>
      </w:pPr>
      <w:r>
        <w:rPr>
          <w:b/>
        </w:rPr>
        <w:t>Model 2: </w:t>
      </w:r>
      <w:r>
        <w:rPr>
          <w:spacing w:val="-3"/>
        </w:rPr>
        <w:t>It </w:t>
      </w:r>
      <w:r>
        <w:rPr/>
        <w:t>considered all labour needs to be met with family labour without ascribing any economic cost (opportunity cost) to their contribution to the farm. Family labour plays a fundamental role in small-scale dairy farms with herds between 4 and 9 milking cows,</w:t>
      </w:r>
      <w:r>
        <w:rPr>
          <w:spacing w:val="-15"/>
        </w:rPr>
        <w:t> </w:t>
      </w:r>
      <w:r>
        <w:rPr/>
        <w:t>since together</w:t>
      </w:r>
      <w:r>
        <w:rPr>
          <w:spacing w:val="-8"/>
        </w:rPr>
        <w:t> </w:t>
      </w:r>
      <w:r>
        <w:rPr/>
        <w:t>with</w:t>
      </w:r>
      <w:r>
        <w:rPr>
          <w:spacing w:val="-7"/>
        </w:rPr>
        <w:t> </w:t>
      </w:r>
      <w:r>
        <w:rPr/>
        <w:t>the</w:t>
      </w:r>
      <w:r>
        <w:rPr>
          <w:spacing w:val="-8"/>
        </w:rPr>
        <w:t> </w:t>
      </w:r>
      <w:r>
        <w:rPr/>
        <w:t>home-grown</w:t>
      </w:r>
      <w:r>
        <w:rPr>
          <w:spacing w:val="-8"/>
        </w:rPr>
        <w:t> </w:t>
      </w:r>
      <w:r>
        <w:rPr/>
        <w:t>of</w:t>
      </w:r>
      <w:r>
        <w:rPr>
          <w:spacing w:val="-8"/>
        </w:rPr>
        <w:t> </w:t>
      </w:r>
      <w:r>
        <w:rPr/>
        <w:t>inputs</w:t>
      </w:r>
      <w:r>
        <w:rPr>
          <w:spacing w:val="-7"/>
        </w:rPr>
        <w:t> </w:t>
      </w:r>
      <w:r>
        <w:rPr/>
        <w:t>(forages)</w:t>
      </w:r>
      <w:r>
        <w:rPr>
          <w:spacing w:val="-8"/>
        </w:rPr>
        <w:t> </w:t>
      </w:r>
      <w:r>
        <w:rPr/>
        <w:t>they</w:t>
      </w:r>
      <w:r>
        <w:rPr>
          <w:spacing w:val="-10"/>
        </w:rPr>
        <w:t> </w:t>
      </w:r>
      <w:r>
        <w:rPr/>
        <w:t>are</w:t>
      </w:r>
      <w:r>
        <w:rPr>
          <w:spacing w:val="-9"/>
        </w:rPr>
        <w:t> </w:t>
      </w:r>
      <w:r>
        <w:rPr/>
        <w:t>the</w:t>
      </w:r>
      <w:r>
        <w:rPr>
          <w:spacing w:val="-6"/>
        </w:rPr>
        <w:t> </w:t>
      </w:r>
      <w:r>
        <w:rPr/>
        <w:t>factors</w:t>
      </w:r>
      <w:r>
        <w:rPr>
          <w:spacing w:val="-8"/>
        </w:rPr>
        <w:t> </w:t>
      </w:r>
      <w:r>
        <w:rPr/>
        <w:t>that</w:t>
      </w:r>
      <w:r>
        <w:rPr>
          <w:spacing w:val="-8"/>
        </w:rPr>
        <w:t> </w:t>
      </w:r>
      <w:r>
        <w:rPr/>
        <w:t>have</w:t>
      </w:r>
      <w:r>
        <w:rPr>
          <w:spacing w:val="-9"/>
        </w:rPr>
        <w:t> </w:t>
      </w:r>
      <w:r>
        <w:rPr/>
        <w:t>economically kept these systems in the competitive market (Ndambi et al., 2008; Ndambi and Hemme, 2009). In this work, the RSSDF utilises family labour in 97% </w:t>
      </w:r>
      <w:r>
        <w:rPr>
          <w:spacing w:val="3"/>
        </w:rPr>
        <w:t>of </w:t>
      </w:r>
      <w:r>
        <w:rPr/>
        <w:t>the production process (Posadas-Domínguez et al.,</w:t>
      </w:r>
      <w:r>
        <w:rPr>
          <w:spacing w:val="-8"/>
        </w:rPr>
        <w:t> </w:t>
      </w:r>
      <w:r>
        <w:rPr/>
        <w:t>2013a).</w:t>
      </w:r>
    </w:p>
    <w:p>
      <w:pPr>
        <w:spacing w:after="0" w:line="360" w:lineRule="auto"/>
        <w:jc w:val="both"/>
        <w:sectPr>
          <w:pgSz w:w="12240" w:h="15840"/>
          <w:pgMar w:header="0" w:footer="657" w:top="1360" w:bottom="840" w:left="1600" w:right="1580"/>
        </w:sectPr>
      </w:pPr>
    </w:p>
    <w:p>
      <w:pPr>
        <w:pStyle w:val="BodyText"/>
        <w:spacing w:line="360" w:lineRule="auto" w:before="50"/>
        <w:ind w:left="102" w:right="100"/>
        <w:jc w:val="both"/>
      </w:pPr>
      <w:r>
        <w:rPr>
          <w:b/>
        </w:rPr>
        <w:t>Model</w:t>
      </w:r>
      <w:r>
        <w:rPr>
          <w:b/>
          <w:spacing w:val="-11"/>
        </w:rPr>
        <w:t> </w:t>
      </w:r>
      <w:r>
        <w:rPr>
          <w:b/>
        </w:rPr>
        <w:t>3:</w:t>
      </w:r>
      <w:r>
        <w:rPr>
          <w:b/>
          <w:spacing w:val="-9"/>
        </w:rPr>
        <w:t> </w:t>
      </w:r>
      <w:r>
        <w:rPr>
          <w:spacing w:val="-3"/>
        </w:rPr>
        <w:t>It</w:t>
      </w:r>
      <w:r>
        <w:rPr>
          <w:spacing w:val="-8"/>
        </w:rPr>
        <w:t> </w:t>
      </w:r>
      <w:r>
        <w:rPr/>
        <w:t>considered</w:t>
      </w:r>
      <w:r>
        <w:rPr>
          <w:spacing w:val="-11"/>
        </w:rPr>
        <w:t> </w:t>
      </w:r>
      <w:r>
        <w:rPr/>
        <w:t>purchasing</w:t>
      </w:r>
      <w:r>
        <w:rPr>
          <w:spacing w:val="-13"/>
        </w:rPr>
        <w:t> </w:t>
      </w:r>
      <w:r>
        <w:rPr/>
        <w:t>100%</w:t>
      </w:r>
      <w:r>
        <w:rPr>
          <w:spacing w:val="-12"/>
        </w:rPr>
        <w:t> </w:t>
      </w:r>
      <w:r>
        <w:rPr/>
        <w:t>of</w:t>
      </w:r>
      <w:r>
        <w:rPr>
          <w:spacing w:val="-9"/>
        </w:rPr>
        <w:t> </w:t>
      </w:r>
      <w:r>
        <w:rPr/>
        <w:t>feed</w:t>
      </w:r>
      <w:r>
        <w:rPr>
          <w:spacing w:val="-11"/>
        </w:rPr>
        <w:t> </w:t>
      </w:r>
      <w:r>
        <w:rPr/>
        <w:t>inputs.</w:t>
      </w:r>
      <w:r>
        <w:rPr>
          <w:spacing w:val="-11"/>
        </w:rPr>
        <w:t> </w:t>
      </w:r>
      <w:r>
        <w:rPr/>
        <w:t>The</w:t>
      </w:r>
      <w:r>
        <w:rPr>
          <w:spacing w:val="-12"/>
        </w:rPr>
        <w:t> </w:t>
      </w:r>
      <w:r>
        <w:rPr/>
        <w:t>model</w:t>
      </w:r>
      <w:r>
        <w:rPr>
          <w:spacing w:val="-11"/>
        </w:rPr>
        <w:t> </w:t>
      </w:r>
      <w:r>
        <w:rPr/>
        <w:t>took</w:t>
      </w:r>
      <w:r>
        <w:rPr>
          <w:spacing w:val="-11"/>
        </w:rPr>
        <w:t> </w:t>
      </w:r>
      <w:r>
        <w:rPr/>
        <w:t>into</w:t>
      </w:r>
      <w:r>
        <w:rPr>
          <w:spacing w:val="-11"/>
        </w:rPr>
        <w:t> </w:t>
      </w:r>
      <w:r>
        <w:rPr/>
        <w:t>account</w:t>
      </w:r>
      <w:r>
        <w:rPr>
          <w:spacing w:val="-11"/>
        </w:rPr>
        <w:t> </w:t>
      </w:r>
      <w:r>
        <w:rPr/>
        <w:t>the</w:t>
      </w:r>
      <w:r>
        <w:rPr>
          <w:spacing w:val="-12"/>
        </w:rPr>
        <w:t> </w:t>
      </w:r>
      <w:r>
        <w:rPr/>
        <w:t>risk of volatility faced by the price of inputs in the international market for the planning horizon 2010-2018. Prices from Table 1 were taken for the simulations. This Model is in contrast to the analysed RSSDF that produces 95% of the feed inputs required by the</w:t>
      </w:r>
      <w:r>
        <w:rPr>
          <w:spacing w:val="-13"/>
        </w:rPr>
        <w:t> </w:t>
      </w:r>
      <w:r>
        <w:rPr/>
        <w:t>herd.</w:t>
      </w:r>
    </w:p>
    <w:p>
      <w:pPr>
        <w:pStyle w:val="BodyText"/>
      </w:pPr>
    </w:p>
    <w:p>
      <w:pPr>
        <w:pStyle w:val="BodyText"/>
        <w:spacing w:before="3"/>
        <w:rPr>
          <w:sz w:val="33"/>
        </w:rPr>
      </w:pPr>
    </w:p>
    <w:p>
      <w:pPr>
        <w:pStyle w:val="BodyText"/>
        <w:spacing w:line="360" w:lineRule="auto"/>
        <w:ind w:left="102" w:right="106"/>
        <w:jc w:val="both"/>
      </w:pPr>
      <w:r>
        <w:rPr>
          <w:b/>
        </w:rPr>
        <w:t>Model 4: </w:t>
      </w:r>
      <w:r>
        <w:rPr/>
        <w:t>It considered the farm income without transferences from government support programmes.</w:t>
      </w:r>
    </w:p>
    <w:p>
      <w:pPr>
        <w:pStyle w:val="BodyText"/>
      </w:pPr>
    </w:p>
    <w:p>
      <w:pPr>
        <w:pStyle w:val="BodyText"/>
        <w:spacing w:before="9"/>
        <w:rPr>
          <w:sz w:val="33"/>
        </w:rPr>
      </w:pPr>
    </w:p>
    <w:p>
      <w:pPr>
        <w:pStyle w:val="Heading1"/>
        <w:numPr>
          <w:ilvl w:val="0"/>
          <w:numId w:val="24"/>
        </w:numPr>
        <w:tabs>
          <w:tab w:pos="343" w:val="left" w:leader="none"/>
        </w:tabs>
        <w:spacing w:line="240" w:lineRule="auto" w:before="0" w:after="0"/>
        <w:ind w:left="342" w:right="0" w:hanging="240"/>
        <w:jc w:val="both"/>
      </w:pPr>
      <w:r>
        <w:rPr/>
        <w:t>Results</w:t>
      </w:r>
    </w:p>
    <w:p>
      <w:pPr>
        <w:pStyle w:val="BodyText"/>
        <w:rPr>
          <w:b/>
        </w:rPr>
      </w:pPr>
    </w:p>
    <w:p>
      <w:pPr>
        <w:pStyle w:val="BodyText"/>
        <w:rPr>
          <w:b/>
        </w:rPr>
      </w:pPr>
    </w:p>
    <w:p>
      <w:pPr>
        <w:pStyle w:val="BodyText"/>
        <w:spacing w:before="5"/>
        <w:rPr>
          <w:b/>
          <w:sz w:val="20"/>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Economic</w:t>
      </w:r>
      <w:r>
        <w:rPr>
          <w:i/>
          <w:spacing w:val="-4"/>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spacing w:line="360" w:lineRule="auto"/>
        <w:ind w:left="102" w:right="99"/>
        <w:jc w:val="both"/>
      </w:pPr>
      <w:r>
        <w:rPr/>
        <w:t>The four analysed models showed positive Total Incomes, with a difference of US$ 770 among them. TI increased in 2012, 2013, and 2017 due to an increase in the GNP. TI decreased for 2011 and 2014 due on the one hand, to the poor increase in the price of milk, and on the other hand, due to a reduced increase in GNP (Table 1). An adverse effect in TI was also observed due to the increase in price of inputs due to inflation (Table 1), both in Model 3, as in Model 4 with the withdrawal of subsidies. The same pattern is observed in 2018 (Table 2).</w:t>
      </w:r>
    </w:p>
    <w:p>
      <w:pPr>
        <w:pStyle w:val="BodyText"/>
      </w:pPr>
    </w:p>
    <w:p>
      <w:pPr>
        <w:pStyle w:val="BodyText"/>
        <w:spacing w:before="3"/>
        <w:rPr>
          <w:sz w:val="33"/>
        </w:rPr>
      </w:pPr>
    </w:p>
    <w:p>
      <w:pPr>
        <w:pStyle w:val="BodyText"/>
        <w:ind w:left="102"/>
        <w:jc w:val="both"/>
      </w:pPr>
      <w:r>
        <w:rPr>
          <w:rFonts w:ascii="Symbol" w:hAnsi="Symbol"/>
        </w:rPr>
        <w:t></w:t>
      </w:r>
      <w:r>
        <w:rPr/>
        <w:t> Please insert Table 2 around here</w:t>
      </w:r>
    </w:p>
    <w:p>
      <w:pPr>
        <w:pStyle w:val="BodyText"/>
      </w:pPr>
    </w:p>
    <w:p>
      <w:pPr>
        <w:pStyle w:val="BodyText"/>
      </w:pPr>
    </w:p>
    <w:p>
      <w:pPr>
        <w:pStyle w:val="BodyText"/>
        <w:spacing w:before="7"/>
        <w:rPr>
          <w:sz w:val="21"/>
        </w:rPr>
      </w:pPr>
    </w:p>
    <w:p>
      <w:pPr>
        <w:pStyle w:val="BodyText"/>
        <w:spacing w:line="360" w:lineRule="auto" w:before="1"/>
        <w:ind w:left="102" w:right="99"/>
        <w:jc w:val="both"/>
      </w:pPr>
      <w:r>
        <w:rPr/>
        <w:t>Total costs (TC) increased in all models. </w:t>
      </w:r>
      <w:r>
        <w:rPr>
          <w:spacing w:val="-3"/>
        </w:rPr>
        <w:t>In </w:t>
      </w:r>
      <w:r>
        <w:rPr/>
        <w:t>Model 3, TC increased in 32% for 2018, due mainly to the increased trend in inflation and its effect on the price of inputs. Net income (NI) for 2010-2018 grew 18, 20, and 17% in Models 1, 2, and 4 respectively. NI in Model 3 decreased</w:t>
      </w:r>
      <w:r>
        <w:rPr>
          <w:spacing w:val="-9"/>
        </w:rPr>
        <w:t> </w:t>
      </w:r>
      <w:r>
        <w:rPr/>
        <w:t>in</w:t>
      </w:r>
      <w:r>
        <w:rPr>
          <w:spacing w:val="-8"/>
        </w:rPr>
        <w:t> </w:t>
      </w:r>
      <w:r>
        <w:rPr/>
        <w:t>133%,</w:t>
      </w:r>
      <w:r>
        <w:rPr>
          <w:spacing w:val="-9"/>
        </w:rPr>
        <w:t> </w:t>
      </w:r>
      <w:r>
        <w:rPr/>
        <w:t>determined</w:t>
      </w:r>
      <w:r>
        <w:rPr>
          <w:spacing w:val="-9"/>
        </w:rPr>
        <w:t> </w:t>
      </w:r>
      <w:r>
        <w:rPr/>
        <w:t>mainly</w:t>
      </w:r>
      <w:r>
        <w:rPr>
          <w:spacing w:val="-13"/>
        </w:rPr>
        <w:t> </w:t>
      </w:r>
      <w:r>
        <w:rPr/>
        <w:t>by</w:t>
      </w:r>
      <w:r>
        <w:rPr>
          <w:spacing w:val="-16"/>
        </w:rPr>
        <w:t> </w:t>
      </w:r>
      <w:r>
        <w:rPr/>
        <w:t>the</w:t>
      </w:r>
      <w:r>
        <w:rPr>
          <w:spacing w:val="-10"/>
        </w:rPr>
        <w:t> </w:t>
      </w:r>
      <w:r>
        <w:rPr/>
        <w:t>increase</w:t>
      </w:r>
      <w:r>
        <w:rPr>
          <w:spacing w:val="-9"/>
        </w:rPr>
        <w:t> </w:t>
      </w:r>
      <w:r>
        <w:rPr/>
        <w:t>in</w:t>
      </w:r>
      <w:r>
        <w:rPr>
          <w:spacing w:val="-8"/>
        </w:rPr>
        <w:t> </w:t>
      </w:r>
      <w:r>
        <w:rPr/>
        <w:t>input</w:t>
      </w:r>
      <w:r>
        <w:rPr>
          <w:spacing w:val="-8"/>
        </w:rPr>
        <w:t> </w:t>
      </w:r>
      <w:r>
        <w:rPr/>
        <w:t>prices</w:t>
      </w:r>
      <w:r>
        <w:rPr>
          <w:spacing w:val="-8"/>
        </w:rPr>
        <w:t> </w:t>
      </w:r>
      <w:r>
        <w:rPr/>
        <w:t>and</w:t>
      </w:r>
      <w:r>
        <w:rPr>
          <w:spacing w:val="-9"/>
        </w:rPr>
        <w:t> </w:t>
      </w:r>
      <w:r>
        <w:rPr/>
        <w:t>the</w:t>
      </w:r>
      <w:r>
        <w:rPr>
          <w:spacing w:val="-10"/>
        </w:rPr>
        <w:t> </w:t>
      </w:r>
      <w:r>
        <w:rPr/>
        <w:t>increase</w:t>
      </w:r>
      <w:r>
        <w:rPr>
          <w:spacing w:val="-9"/>
        </w:rPr>
        <w:t> </w:t>
      </w:r>
      <w:r>
        <w:rPr/>
        <w:t>in</w:t>
      </w:r>
      <w:r>
        <w:rPr>
          <w:spacing w:val="-8"/>
        </w:rPr>
        <w:t> </w:t>
      </w:r>
      <w:r>
        <w:rPr/>
        <w:t>TC, so that by 2016 this Model 3 showed losses (Table</w:t>
      </w:r>
      <w:r>
        <w:rPr>
          <w:spacing w:val="-8"/>
        </w:rPr>
        <w:t> </w:t>
      </w:r>
      <w:r>
        <w:rPr/>
        <w:t>2).</w:t>
      </w:r>
    </w:p>
    <w:p>
      <w:pPr>
        <w:spacing w:after="0" w:line="360" w:lineRule="auto"/>
        <w:jc w:val="both"/>
        <w:sectPr>
          <w:pgSz w:w="12240" w:h="15840"/>
          <w:pgMar w:header="0" w:footer="657" w:top="1360" w:bottom="840" w:left="1600" w:right="1600"/>
        </w:sectPr>
      </w:pPr>
    </w:p>
    <w:p>
      <w:pPr>
        <w:pStyle w:val="BodyText"/>
        <w:spacing w:line="360" w:lineRule="auto" w:before="50"/>
        <w:ind w:left="102" w:right="118"/>
        <w:jc w:val="both"/>
      </w:pPr>
      <w:r>
        <w:rPr/>
        <w:t>Figure 1 summarises the probability distributions (in percentiles) of net incomes in cash for each Model. There is a 5% probability that Models 1, 2, and 4 incurr in economic losses; while Model 3 presents a 25% probability of not being viable and a 50% probability of incurring</w:t>
      </w:r>
      <w:r>
        <w:rPr>
          <w:spacing w:val="-7"/>
        </w:rPr>
        <w:t> </w:t>
      </w:r>
      <w:r>
        <w:rPr/>
        <w:t>in</w:t>
      </w:r>
      <w:r>
        <w:rPr>
          <w:spacing w:val="-4"/>
        </w:rPr>
        <w:t> </w:t>
      </w:r>
      <w:r>
        <w:rPr/>
        <w:t>economic</w:t>
      </w:r>
      <w:r>
        <w:rPr>
          <w:spacing w:val="-6"/>
        </w:rPr>
        <w:t> </w:t>
      </w:r>
      <w:r>
        <w:rPr/>
        <w:t>losses</w:t>
      </w:r>
      <w:r>
        <w:rPr>
          <w:spacing w:val="-5"/>
        </w:rPr>
        <w:t> </w:t>
      </w:r>
      <w:r>
        <w:rPr/>
        <w:t>as</w:t>
      </w:r>
      <w:r>
        <w:rPr>
          <w:spacing w:val="-5"/>
        </w:rPr>
        <w:t> </w:t>
      </w:r>
      <w:r>
        <w:rPr/>
        <w:t>from</w:t>
      </w:r>
      <w:r>
        <w:rPr>
          <w:spacing w:val="-4"/>
        </w:rPr>
        <w:t> </w:t>
      </w:r>
      <w:r>
        <w:rPr/>
        <w:t>2014.</w:t>
      </w:r>
      <w:r>
        <w:rPr>
          <w:spacing w:val="-5"/>
        </w:rPr>
        <w:t> </w:t>
      </w:r>
      <w:r>
        <w:rPr/>
        <w:t>NIC</w:t>
      </w:r>
      <w:r>
        <w:rPr>
          <w:spacing w:val="-4"/>
        </w:rPr>
        <w:t> </w:t>
      </w:r>
      <w:r>
        <w:rPr/>
        <w:t>were</w:t>
      </w:r>
      <w:r>
        <w:rPr>
          <w:spacing w:val="-7"/>
        </w:rPr>
        <w:t> </w:t>
      </w:r>
      <w:r>
        <w:rPr/>
        <w:t>between</w:t>
      </w:r>
      <w:r>
        <w:rPr>
          <w:spacing w:val="-5"/>
        </w:rPr>
        <w:t> </w:t>
      </w:r>
      <w:r>
        <w:rPr/>
        <w:t>US$</w:t>
      </w:r>
      <w:r>
        <w:rPr>
          <w:spacing w:val="-4"/>
        </w:rPr>
        <w:t> </w:t>
      </w:r>
      <w:r>
        <w:rPr/>
        <w:t>8,000</w:t>
      </w:r>
      <w:r>
        <w:rPr>
          <w:spacing w:val="-5"/>
        </w:rPr>
        <w:t> </w:t>
      </w:r>
      <w:r>
        <w:rPr/>
        <w:t>and</w:t>
      </w:r>
      <w:r>
        <w:rPr>
          <w:spacing w:val="-5"/>
        </w:rPr>
        <w:t> </w:t>
      </w:r>
      <w:r>
        <w:rPr/>
        <w:t>US$10,000</w:t>
      </w:r>
      <w:r>
        <w:rPr>
          <w:spacing w:val="-4"/>
        </w:rPr>
        <w:t> </w:t>
      </w:r>
      <w:r>
        <w:rPr/>
        <w:t>in Models</w:t>
      </w:r>
      <w:r>
        <w:rPr>
          <w:spacing w:val="-3"/>
        </w:rPr>
        <w:t> </w:t>
      </w:r>
      <w:r>
        <w:rPr/>
        <w:t>1,</w:t>
      </w:r>
      <w:r>
        <w:rPr>
          <w:spacing w:val="-4"/>
        </w:rPr>
        <w:t> </w:t>
      </w:r>
      <w:r>
        <w:rPr/>
        <w:t>2,</w:t>
      </w:r>
      <w:r>
        <w:rPr>
          <w:spacing w:val="-4"/>
        </w:rPr>
        <w:t> </w:t>
      </w:r>
      <w:r>
        <w:rPr/>
        <w:t>and</w:t>
      </w:r>
      <w:r>
        <w:rPr>
          <w:spacing w:val="-4"/>
        </w:rPr>
        <w:t> </w:t>
      </w:r>
      <w:r>
        <w:rPr/>
        <w:t>4;</w:t>
      </w:r>
      <w:r>
        <w:rPr>
          <w:spacing w:val="-1"/>
        </w:rPr>
        <w:t> </w:t>
      </w:r>
      <w:r>
        <w:rPr/>
        <w:t>whils</w:t>
      </w:r>
      <w:r>
        <w:rPr>
          <w:spacing w:val="-4"/>
        </w:rPr>
        <w:t> </w:t>
      </w:r>
      <w:r>
        <w:rPr/>
        <w:t>in</w:t>
      </w:r>
      <w:r>
        <w:rPr>
          <w:spacing w:val="-3"/>
        </w:rPr>
        <w:t> </w:t>
      </w:r>
      <w:r>
        <w:rPr/>
        <w:t>Model</w:t>
      </w:r>
      <w:r>
        <w:rPr>
          <w:spacing w:val="-3"/>
        </w:rPr>
        <w:t> </w:t>
      </w:r>
      <w:r>
        <w:rPr/>
        <w:t>3</w:t>
      </w:r>
      <w:r>
        <w:rPr>
          <w:spacing w:val="-4"/>
        </w:rPr>
        <w:t> </w:t>
      </w:r>
      <w:r>
        <w:rPr/>
        <w:t>they</w:t>
      </w:r>
      <w:r>
        <w:rPr>
          <w:spacing w:val="-9"/>
        </w:rPr>
        <w:t> </w:t>
      </w:r>
      <w:r>
        <w:rPr/>
        <w:t>were</w:t>
      </w:r>
      <w:r>
        <w:rPr>
          <w:spacing w:val="-5"/>
        </w:rPr>
        <w:t> </w:t>
      </w:r>
      <w:r>
        <w:rPr/>
        <w:t>below</w:t>
      </w:r>
      <w:r>
        <w:rPr>
          <w:spacing w:val="-4"/>
        </w:rPr>
        <w:t> </w:t>
      </w:r>
      <w:r>
        <w:rPr/>
        <w:t>US$</w:t>
      </w:r>
      <w:r>
        <w:rPr>
          <w:spacing w:val="-3"/>
        </w:rPr>
        <w:t> </w:t>
      </w:r>
      <w:r>
        <w:rPr/>
        <w:t>3,080</w:t>
      </w:r>
      <w:r>
        <w:rPr>
          <w:spacing w:val="-4"/>
        </w:rPr>
        <w:t> </w:t>
      </w:r>
      <w:r>
        <w:rPr/>
        <w:t>and</w:t>
      </w:r>
      <w:r>
        <w:rPr>
          <w:spacing w:val="-1"/>
        </w:rPr>
        <w:t> </w:t>
      </w:r>
      <w:r>
        <w:rPr/>
        <w:t>were</w:t>
      </w:r>
      <w:r>
        <w:rPr>
          <w:spacing w:val="-2"/>
        </w:rPr>
        <w:t> </w:t>
      </w:r>
      <w:r>
        <w:rPr/>
        <w:t>negative</w:t>
      </w:r>
      <w:r>
        <w:rPr>
          <w:spacing w:val="-5"/>
        </w:rPr>
        <w:t> </w:t>
      </w:r>
      <w:r>
        <w:rPr/>
        <w:t>as</w:t>
      </w:r>
      <w:r>
        <w:rPr>
          <w:spacing w:val="-1"/>
        </w:rPr>
        <w:t> </w:t>
      </w:r>
      <w:r>
        <w:rPr/>
        <w:t>from 2016 (Figure</w:t>
      </w:r>
      <w:r>
        <w:rPr>
          <w:spacing w:val="-5"/>
        </w:rPr>
        <w:t> </w:t>
      </w:r>
      <w:r>
        <w:rPr/>
        <w:t>1).</w:t>
      </w:r>
    </w:p>
    <w:p>
      <w:pPr>
        <w:pStyle w:val="BodyText"/>
      </w:pPr>
    </w:p>
    <w:p>
      <w:pPr>
        <w:pStyle w:val="BodyText"/>
        <w:spacing w:before="3"/>
        <w:rPr>
          <w:sz w:val="33"/>
        </w:rPr>
      </w:pPr>
    </w:p>
    <w:p>
      <w:pPr>
        <w:pStyle w:val="BodyText"/>
        <w:ind w:left="102"/>
        <w:jc w:val="both"/>
      </w:pPr>
      <w:r>
        <w:rPr>
          <w:rFonts w:ascii="Symbol" w:hAnsi="Symbol"/>
        </w:rPr>
        <w:t></w:t>
      </w:r>
      <w:r>
        <w:rPr/>
        <w:t> Please insert Figure 1 about here</w:t>
      </w:r>
    </w:p>
    <w:p>
      <w:pPr>
        <w:pStyle w:val="BodyText"/>
      </w:pPr>
    </w:p>
    <w:p>
      <w:pPr>
        <w:pStyle w:val="BodyText"/>
      </w:pPr>
    </w:p>
    <w:p>
      <w:pPr>
        <w:pStyle w:val="BodyText"/>
        <w:spacing w:before="7"/>
        <w:rPr>
          <w:sz w:val="21"/>
        </w:rPr>
      </w:pPr>
    </w:p>
    <w:p>
      <w:pPr>
        <w:pStyle w:val="BodyText"/>
        <w:spacing w:before="1"/>
        <w:ind w:left="102"/>
        <w:jc w:val="both"/>
      </w:pPr>
      <w:r>
        <w:rPr/>
        <w:t>Final</w:t>
      </w:r>
      <w:r>
        <w:rPr>
          <w:spacing w:val="-13"/>
        </w:rPr>
        <w:t> </w:t>
      </w:r>
      <w:r>
        <w:rPr/>
        <w:t>reserves</w:t>
      </w:r>
      <w:r>
        <w:rPr>
          <w:spacing w:val="-13"/>
        </w:rPr>
        <w:t> </w:t>
      </w:r>
      <w:r>
        <w:rPr/>
        <w:t>in</w:t>
      </w:r>
      <w:r>
        <w:rPr>
          <w:spacing w:val="-11"/>
        </w:rPr>
        <w:t> </w:t>
      </w:r>
      <w:r>
        <w:rPr/>
        <w:t>cash</w:t>
      </w:r>
      <w:r>
        <w:rPr>
          <w:spacing w:val="-13"/>
        </w:rPr>
        <w:t> </w:t>
      </w:r>
      <w:r>
        <w:rPr/>
        <w:t>(FRC)</w:t>
      </w:r>
      <w:r>
        <w:rPr>
          <w:spacing w:val="-14"/>
        </w:rPr>
        <w:t> </w:t>
      </w:r>
      <w:r>
        <w:rPr/>
        <w:t>were</w:t>
      </w:r>
      <w:r>
        <w:rPr>
          <w:spacing w:val="-15"/>
        </w:rPr>
        <w:t> </w:t>
      </w:r>
      <w:r>
        <w:rPr/>
        <w:t>positive</w:t>
      </w:r>
      <w:r>
        <w:rPr>
          <w:spacing w:val="-14"/>
        </w:rPr>
        <w:t> </w:t>
      </w:r>
      <w:r>
        <w:rPr/>
        <w:t>for</w:t>
      </w:r>
      <w:r>
        <w:rPr>
          <w:spacing w:val="-14"/>
        </w:rPr>
        <w:t> </w:t>
      </w:r>
      <w:r>
        <w:rPr/>
        <w:t>Models</w:t>
      </w:r>
      <w:r>
        <w:rPr>
          <w:spacing w:val="-13"/>
        </w:rPr>
        <w:t> </w:t>
      </w:r>
      <w:r>
        <w:rPr/>
        <w:t>1,</w:t>
      </w:r>
      <w:r>
        <w:rPr>
          <w:spacing w:val="-13"/>
        </w:rPr>
        <w:t> </w:t>
      </w:r>
      <w:r>
        <w:rPr/>
        <w:t>2,</w:t>
      </w:r>
      <w:r>
        <w:rPr>
          <w:spacing w:val="-13"/>
        </w:rPr>
        <w:t> </w:t>
      </w:r>
      <w:r>
        <w:rPr/>
        <w:t>and</w:t>
      </w:r>
      <w:r>
        <w:rPr>
          <w:spacing w:val="-13"/>
        </w:rPr>
        <w:t> </w:t>
      </w:r>
      <w:r>
        <w:rPr/>
        <w:t>4</w:t>
      </w:r>
      <w:r>
        <w:rPr>
          <w:spacing w:val="-13"/>
        </w:rPr>
        <w:t> </w:t>
      </w:r>
      <w:r>
        <w:rPr/>
        <w:t>as</w:t>
      </w:r>
      <w:r>
        <w:rPr>
          <w:spacing w:val="-11"/>
        </w:rPr>
        <w:t> </w:t>
      </w:r>
      <w:r>
        <w:rPr/>
        <w:t>from</w:t>
      </w:r>
      <w:r>
        <w:rPr>
          <w:spacing w:val="-13"/>
        </w:rPr>
        <w:t> </w:t>
      </w:r>
      <w:r>
        <w:rPr/>
        <w:t>2012,</w:t>
      </w:r>
      <w:r>
        <w:rPr>
          <w:spacing w:val="-13"/>
        </w:rPr>
        <w:t> </w:t>
      </w:r>
      <w:r>
        <w:rPr/>
        <w:t>except</w:t>
      </w:r>
      <w:r>
        <w:rPr>
          <w:spacing w:val="-13"/>
        </w:rPr>
        <w:t> </w:t>
      </w:r>
      <w:r>
        <w:rPr/>
        <w:t>Model</w:t>
      </w:r>
    </w:p>
    <w:p>
      <w:pPr>
        <w:pStyle w:val="BodyText"/>
        <w:spacing w:line="360" w:lineRule="auto" w:before="139"/>
        <w:ind w:left="102" w:right="120"/>
        <w:jc w:val="both"/>
      </w:pPr>
      <w:r>
        <w:rPr/>
        <w:t>3.</w:t>
      </w:r>
      <w:r>
        <w:rPr>
          <w:spacing w:val="-6"/>
        </w:rPr>
        <w:t> </w:t>
      </w:r>
      <w:r>
        <w:rPr/>
        <w:t>Net</w:t>
      </w:r>
      <w:r>
        <w:rPr>
          <w:spacing w:val="-6"/>
        </w:rPr>
        <w:t> </w:t>
      </w:r>
      <w:r>
        <w:rPr/>
        <w:t>nominal</w:t>
      </w:r>
      <w:r>
        <w:rPr>
          <w:spacing w:val="-6"/>
        </w:rPr>
        <w:t> </w:t>
      </w:r>
      <w:r>
        <w:rPr/>
        <w:t>capital</w:t>
      </w:r>
      <w:r>
        <w:rPr>
          <w:spacing w:val="-6"/>
        </w:rPr>
        <w:t> </w:t>
      </w:r>
      <w:r>
        <w:rPr/>
        <w:t>(NNC)</w:t>
      </w:r>
      <w:r>
        <w:rPr>
          <w:spacing w:val="-7"/>
        </w:rPr>
        <w:t> </w:t>
      </w:r>
      <w:r>
        <w:rPr/>
        <w:t>was</w:t>
      </w:r>
      <w:r>
        <w:rPr>
          <w:spacing w:val="-4"/>
        </w:rPr>
        <w:t> </w:t>
      </w:r>
      <w:r>
        <w:rPr/>
        <w:t>above</w:t>
      </w:r>
      <w:r>
        <w:rPr>
          <w:spacing w:val="-7"/>
        </w:rPr>
        <w:t> </w:t>
      </w:r>
      <w:r>
        <w:rPr/>
        <w:t>US$</w:t>
      </w:r>
      <w:r>
        <w:rPr>
          <w:spacing w:val="-6"/>
        </w:rPr>
        <w:t> </w:t>
      </w:r>
      <w:r>
        <w:rPr/>
        <w:t>88,000</w:t>
      </w:r>
      <w:r>
        <w:rPr>
          <w:spacing w:val="-6"/>
        </w:rPr>
        <w:t> </w:t>
      </w:r>
      <w:r>
        <w:rPr/>
        <w:t>in</w:t>
      </w:r>
      <w:r>
        <w:rPr>
          <w:spacing w:val="-6"/>
        </w:rPr>
        <w:t> </w:t>
      </w:r>
      <w:r>
        <w:rPr/>
        <w:t>Models</w:t>
      </w:r>
      <w:r>
        <w:rPr>
          <w:spacing w:val="-6"/>
        </w:rPr>
        <w:t> </w:t>
      </w:r>
      <w:r>
        <w:rPr/>
        <w:t>1,</w:t>
      </w:r>
      <w:r>
        <w:rPr>
          <w:spacing w:val="-6"/>
        </w:rPr>
        <w:t> </w:t>
      </w:r>
      <w:r>
        <w:rPr/>
        <w:t>2,</w:t>
      </w:r>
      <w:r>
        <w:rPr>
          <w:spacing w:val="-6"/>
        </w:rPr>
        <w:t> </w:t>
      </w:r>
      <w:r>
        <w:rPr/>
        <w:t>and</w:t>
      </w:r>
      <w:r>
        <w:rPr>
          <w:spacing w:val="-6"/>
        </w:rPr>
        <w:t> </w:t>
      </w:r>
      <w:r>
        <w:rPr/>
        <w:t>4;</w:t>
      </w:r>
      <w:r>
        <w:rPr>
          <w:spacing w:val="-3"/>
        </w:rPr>
        <w:t> </w:t>
      </w:r>
      <w:r>
        <w:rPr/>
        <w:t>and</w:t>
      </w:r>
      <w:r>
        <w:rPr>
          <w:spacing w:val="-6"/>
        </w:rPr>
        <w:t> </w:t>
      </w:r>
      <w:r>
        <w:rPr/>
        <w:t>negative</w:t>
      </w:r>
      <w:r>
        <w:rPr>
          <w:spacing w:val="-5"/>
        </w:rPr>
        <w:t> </w:t>
      </w:r>
      <w:r>
        <w:rPr/>
        <w:t>for Model 3 US$ (7,300). The RRA performed similarly, being positive for Models 1, 2, and 4, and negative in Model 3 (US$ 7,877.10). Model 3 obtained the highest probabilities that the final reserves in cash, nominal net capital, and return rate over assets were negative; and Model 2 obtained the lowest probabilities for failure (Table</w:t>
      </w:r>
      <w:r>
        <w:rPr>
          <w:spacing w:val="-12"/>
        </w:rPr>
        <w:t> </w:t>
      </w:r>
      <w:r>
        <w:rPr/>
        <w:t>3).</w:t>
      </w:r>
    </w:p>
    <w:p>
      <w:pPr>
        <w:pStyle w:val="BodyText"/>
      </w:pPr>
    </w:p>
    <w:p>
      <w:pPr>
        <w:pStyle w:val="BodyText"/>
        <w:spacing w:before="3"/>
        <w:rPr>
          <w:sz w:val="33"/>
        </w:rPr>
      </w:pPr>
    </w:p>
    <w:p>
      <w:pPr>
        <w:pStyle w:val="BodyText"/>
        <w:ind w:left="102"/>
        <w:jc w:val="both"/>
      </w:pPr>
      <w:r>
        <w:rPr>
          <w:rFonts w:ascii="Symbol" w:hAnsi="Symbol"/>
        </w:rPr>
        <w:t></w:t>
      </w:r>
      <w:r>
        <w:rPr/>
        <w:t> Please insert Table 3 around here</w:t>
      </w:r>
    </w:p>
    <w:p>
      <w:pPr>
        <w:pStyle w:val="BodyText"/>
      </w:pPr>
    </w:p>
    <w:p>
      <w:pPr>
        <w:pStyle w:val="BodyText"/>
      </w:pPr>
    </w:p>
    <w:p>
      <w:pPr>
        <w:pStyle w:val="BodyText"/>
        <w:spacing w:before="9"/>
        <w:rPr>
          <w:sz w:val="21"/>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Financial</w:t>
      </w:r>
      <w:r>
        <w:rPr>
          <w:i/>
          <w:spacing w:val="-1"/>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ind w:left="102"/>
        <w:jc w:val="both"/>
      </w:pPr>
      <w:r>
        <w:rPr/>
        <w:t>The four analysed Models obtained a null probability of obtaining a negative NPV (less than</w:t>
      </w:r>
    </w:p>
    <w:p>
      <w:pPr>
        <w:pStyle w:val="BodyText"/>
        <w:spacing w:line="360" w:lineRule="auto" w:before="137"/>
        <w:ind w:left="102" w:right="114"/>
        <w:jc w:val="both"/>
      </w:pPr>
      <w:r>
        <w:rPr/>
        <w:t>0)</w:t>
      </w:r>
      <w:r>
        <w:rPr>
          <w:spacing w:val="-17"/>
        </w:rPr>
        <w:t> </w:t>
      </w:r>
      <w:r>
        <w:rPr/>
        <w:t>both</w:t>
      </w:r>
      <w:r>
        <w:rPr>
          <w:spacing w:val="-15"/>
        </w:rPr>
        <w:t> </w:t>
      </w:r>
      <w:r>
        <w:rPr/>
        <w:t>at</w:t>
      </w:r>
      <w:r>
        <w:rPr>
          <w:spacing w:val="-15"/>
        </w:rPr>
        <w:t> </w:t>
      </w:r>
      <w:r>
        <w:rPr/>
        <w:t>the</w:t>
      </w:r>
      <w:r>
        <w:rPr>
          <w:spacing w:val="-14"/>
        </w:rPr>
        <w:t> </w:t>
      </w:r>
      <w:r>
        <w:rPr/>
        <w:t>extremes</w:t>
      </w:r>
      <w:r>
        <w:rPr>
          <w:spacing w:val="-16"/>
        </w:rPr>
        <w:t> </w:t>
      </w:r>
      <w:r>
        <w:rPr/>
        <w:t>of</w:t>
      </w:r>
      <w:r>
        <w:rPr>
          <w:spacing w:val="-14"/>
        </w:rPr>
        <w:t> </w:t>
      </w:r>
      <w:r>
        <w:rPr/>
        <w:t>the</w:t>
      </w:r>
      <w:r>
        <w:rPr>
          <w:spacing w:val="-16"/>
        </w:rPr>
        <w:t> </w:t>
      </w:r>
      <w:r>
        <w:rPr/>
        <w:t>planning</w:t>
      </w:r>
      <w:r>
        <w:rPr>
          <w:spacing w:val="-16"/>
        </w:rPr>
        <w:t> </w:t>
      </w:r>
      <w:r>
        <w:rPr/>
        <w:t>horizon</w:t>
      </w:r>
      <w:r>
        <w:rPr>
          <w:spacing w:val="-16"/>
        </w:rPr>
        <w:t> </w:t>
      </w:r>
      <w:r>
        <w:rPr/>
        <w:t>as</w:t>
      </w:r>
      <w:r>
        <w:rPr>
          <w:spacing w:val="-16"/>
        </w:rPr>
        <w:t> </w:t>
      </w:r>
      <w:r>
        <w:rPr/>
        <w:t>in</w:t>
      </w:r>
      <w:r>
        <w:rPr>
          <w:spacing w:val="-13"/>
        </w:rPr>
        <w:t> </w:t>
      </w:r>
      <w:r>
        <w:rPr/>
        <w:t>its</w:t>
      </w:r>
      <w:r>
        <w:rPr>
          <w:spacing w:val="-16"/>
        </w:rPr>
        <w:t> </w:t>
      </w:r>
      <w:r>
        <w:rPr/>
        <w:t>development.</w:t>
      </w:r>
      <w:r>
        <w:rPr>
          <w:spacing w:val="-15"/>
        </w:rPr>
        <w:t> </w:t>
      </w:r>
      <w:r>
        <w:rPr/>
        <w:t>The</w:t>
      </w:r>
      <w:r>
        <w:rPr>
          <w:spacing w:val="-12"/>
        </w:rPr>
        <w:t> </w:t>
      </w:r>
      <w:r>
        <w:rPr/>
        <w:t>utilisation</w:t>
      </w:r>
      <w:r>
        <w:rPr>
          <w:spacing w:val="-16"/>
        </w:rPr>
        <w:t> </w:t>
      </w:r>
      <w:r>
        <w:rPr/>
        <w:t>of</w:t>
      </w:r>
      <w:r>
        <w:rPr>
          <w:spacing w:val="-17"/>
        </w:rPr>
        <w:t> </w:t>
      </w:r>
      <w:r>
        <w:rPr/>
        <w:t>family labour in Model 2 was financially reflected by obtaining a higher probability for economic success than the three</w:t>
      </w:r>
      <w:r>
        <w:rPr>
          <w:spacing w:val="-5"/>
        </w:rPr>
        <w:t> </w:t>
      </w:r>
      <w:r>
        <w:rPr/>
        <w:t>others.</w:t>
      </w:r>
    </w:p>
    <w:p>
      <w:pPr>
        <w:pStyle w:val="BodyText"/>
      </w:pPr>
    </w:p>
    <w:p>
      <w:pPr>
        <w:pStyle w:val="BodyText"/>
        <w:spacing w:before="3"/>
        <w:rPr>
          <w:sz w:val="33"/>
        </w:rPr>
      </w:pPr>
    </w:p>
    <w:p>
      <w:pPr>
        <w:pStyle w:val="BodyText"/>
        <w:spacing w:line="360" w:lineRule="auto"/>
        <w:ind w:left="102" w:right="119"/>
        <w:jc w:val="both"/>
      </w:pPr>
      <w:r>
        <w:rPr/>
        <w:t>Model 3 presented he highest probability of financial failure showing a risk for investment of</w:t>
      </w:r>
      <w:r>
        <w:rPr>
          <w:spacing w:val="-5"/>
        </w:rPr>
        <w:t> </w:t>
      </w:r>
      <w:r>
        <w:rPr/>
        <w:t>40%</w:t>
      </w:r>
      <w:r>
        <w:rPr>
          <w:spacing w:val="-5"/>
        </w:rPr>
        <w:t> </w:t>
      </w:r>
      <w:r>
        <w:rPr/>
        <w:t>that</w:t>
      </w:r>
      <w:r>
        <w:rPr>
          <w:spacing w:val="-4"/>
        </w:rPr>
        <w:t> </w:t>
      </w:r>
      <w:r>
        <w:rPr/>
        <w:t>leads</w:t>
      </w:r>
      <w:r>
        <w:rPr>
          <w:spacing w:val="-4"/>
        </w:rPr>
        <w:t> </w:t>
      </w:r>
      <w:r>
        <w:rPr/>
        <w:t>to</w:t>
      </w:r>
      <w:r>
        <w:rPr>
          <w:spacing w:val="-3"/>
        </w:rPr>
        <w:t> </w:t>
      </w:r>
      <w:r>
        <w:rPr/>
        <w:t>an</w:t>
      </w:r>
      <w:r>
        <w:rPr>
          <w:spacing w:val="-4"/>
        </w:rPr>
        <w:t> </w:t>
      </w:r>
      <w:r>
        <w:rPr/>
        <w:t>unfavourable</w:t>
      </w:r>
      <w:r>
        <w:rPr>
          <w:spacing w:val="-5"/>
        </w:rPr>
        <w:t> </w:t>
      </w:r>
      <w:r>
        <w:rPr/>
        <w:t>economic</w:t>
      </w:r>
      <w:r>
        <w:rPr>
          <w:spacing w:val="-5"/>
        </w:rPr>
        <w:t> </w:t>
      </w:r>
      <w:r>
        <w:rPr/>
        <w:t>situation</w:t>
      </w:r>
      <w:r>
        <w:rPr>
          <w:spacing w:val="-4"/>
        </w:rPr>
        <w:t> </w:t>
      </w:r>
      <w:r>
        <w:rPr/>
        <w:t>and</w:t>
      </w:r>
      <w:r>
        <w:rPr>
          <w:spacing w:val="-4"/>
        </w:rPr>
        <w:t> </w:t>
      </w:r>
      <w:r>
        <w:rPr/>
        <w:t>high</w:t>
      </w:r>
      <w:r>
        <w:rPr>
          <w:spacing w:val="-4"/>
        </w:rPr>
        <w:t> </w:t>
      </w:r>
      <w:r>
        <w:rPr/>
        <w:t>probabilities</w:t>
      </w:r>
      <w:r>
        <w:rPr>
          <w:spacing w:val="-4"/>
        </w:rPr>
        <w:t> </w:t>
      </w:r>
      <w:r>
        <w:rPr/>
        <w:t>for</w:t>
      </w:r>
      <w:r>
        <w:rPr>
          <w:spacing w:val="-5"/>
        </w:rPr>
        <w:t> </w:t>
      </w:r>
      <w:r>
        <w:rPr/>
        <w:t>obtaining</w:t>
      </w:r>
    </w:p>
    <w:p>
      <w:pPr>
        <w:spacing w:after="0" w:line="360" w:lineRule="auto"/>
        <w:jc w:val="both"/>
        <w:sectPr>
          <w:pgSz w:w="12240" w:h="15840"/>
          <w:pgMar w:header="0" w:footer="657" w:top="1360" w:bottom="840" w:left="1600" w:right="1580"/>
        </w:sectPr>
      </w:pPr>
    </w:p>
    <w:p>
      <w:pPr>
        <w:pStyle w:val="BodyText"/>
        <w:spacing w:line="362" w:lineRule="auto" w:before="50"/>
        <w:ind w:left="102" w:right="122"/>
        <w:jc w:val="both"/>
      </w:pPr>
      <w:r>
        <w:rPr/>
        <w:t>a negative final income and for de-capitalisation based on the probabilistic forecast for the NPV and the general economic situation of this Model.</w:t>
      </w:r>
    </w:p>
    <w:p>
      <w:pPr>
        <w:pStyle w:val="BodyText"/>
      </w:pPr>
    </w:p>
    <w:p>
      <w:pPr>
        <w:pStyle w:val="BodyText"/>
        <w:spacing w:before="1"/>
        <w:rPr>
          <w:sz w:val="33"/>
        </w:rPr>
      </w:pPr>
    </w:p>
    <w:p>
      <w:pPr>
        <w:pStyle w:val="BodyText"/>
        <w:spacing w:line="360" w:lineRule="auto"/>
        <w:ind w:left="102" w:right="124"/>
        <w:jc w:val="both"/>
      </w:pPr>
      <w:r>
        <w:rPr/>
        <w:t>The probabilities of obtaining a real rate of return (RRR) higher than zero (P (RRR&gt;0) in 1, 2, and 4 were above 97%; whilst Model 3 showed 29%.</w:t>
      </w:r>
    </w:p>
    <w:p>
      <w:pPr>
        <w:pStyle w:val="BodyText"/>
      </w:pPr>
    </w:p>
    <w:p>
      <w:pPr>
        <w:pStyle w:val="BodyText"/>
        <w:spacing w:before="3"/>
        <w:rPr>
          <w:sz w:val="33"/>
        </w:rPr>
      </w:pPr>
    </w:p>
    <w:p>
      <w:pPr>
        <w:pStyle w:val="BodyText"/>
        <w:spacing w:line="360" w:lineRule="auto"/>
        <w:ind w:left="102" w:right="117"/>
        <w:jc w:val="both"/>
      </w:pPr>
      <w:r>
        <w:rPr/>
        <w:t>The cost/benefit ratio (C/B) was 84, 75, 54 and 89% for Models 1, 2, 3, and 4 respectively, meaning that they were able to cover their production costs and obtained a positive benefit (Table 4). The highest C/B was in Model 3 because the present value of the net real capital was seven times less than in Models 1, 2, and 4. The analysis of the risk variables gave a Monte Carlo projection of the General Economic Situation (GES). Models 1 and 2 resulted with a favourable GES with the probability of negative final cash and de-capitalisation</w:t>
      </w:r>
      <w:r>
        <w:rPr>
          <w:spacing w:val="-18"/>
        </w:rPr>
        <w:t> </w:t>
      </w:r>
      <w:r>
        <w:rPr/>
        <w:t>were under 25%; but Model 3 was unfavourable, with probabilities higher than 57%; and finally, Model 4 showed a cautionary GES, with probabilities between 27 and 34% (Table</w:t>
      </w:r>
      <w:r>
        <w:rPr>
          <w:spacing w:val="-17"/>
        </w:rPr>
        <w:t> </w:t>
      </w:r>
      <w:r>
        <w:rPr/>
        <w:t>4).</w:t>
      </w:r>
    </w:p>
    <w:p>
      <w:pPr>
        <w:pStyle w:val="BodyText"/>
      </w:pPr>
    </w:p>
    <w:p>
      <w:pPr>
        <w:pStyle w:val="BodyText"/>
        <w:spacing w:before="3"/>
        <w:rPr>
          <w:sz w:val="33"/>
        </w:rPr>
      </w:pPr>
    </w:p>
    <w:p>
      <w:pPr>
        <w:pStyle w:val="BodyText"/>
        <w:ind w:left="102"/>
        <w:jc w:val="both"/>
      </w:pPr>
      <w:r>
        <w:rPr>
          <w:rFonts w:ascii="Symbol" w:hAnsi="Symbol"/>
        </w:rPr>
        <w:t></w:t>
      </w:r>
      <w:r>
        <w:rPr/>
        <w:t> Please insert Table 4 around here</w:t>
      </w:r>
    </w:p>
    <w:p>
      <w:pPr>
        <w:pStyle w:val="BodyText"/>
      </w:pPr>
    </w:p>
    <w:p>
      <w:pPr>
        <w:pStyle w:val="BodyText"/>
      </w:pPr>
    </w:p>
    <w:p>
      <w:pPr>
        <w:pStyle w:val="BodyText"/>
        <w:rPr>
          <w:sz w:val="22"/>
        </w:rPr>
      </w:pPr>
    </w:p>
    <w:p>
      <w:pPr>
        <w:pStyle w:val="Heading1"/>
        <w:numPr>
          <w:ilvl w:val="0"/>
          <w:numId w:val="24"/>
        </w:numPr>
        <w:tabs>
          <w:tab w:pos="343" w:val="left" w:leader="none"/>
        </w:tabs>
        <w:spacing w:line="240" w:lineRule="auto" w:before="0" w:after="0"/>
        <w:ind w:left="342" w:right="0" w:hanging="240"/>
        <w:jc w:val="both"/>
      </w:pPr>
      <w:r>
        <w:rPr/>
        <w:t>Discussion</w:t>
      </w:r>
    </w:p>
    <w:p>
      <w:pPr>
        <w:pStyle w:val="BodyText"/>
        <w:rPr>
          <w:b/>
        </w:rPr>
      </w:pPr>
    </w:p>
    <w:p>
      <w:pPr>
        <w:pStyle w:val="BodyText"/>
        <w:rPr>
          <w:b/>
        </w:rPr>
      </w:pPr>
    </w:p>
    <w:p>
      <w:pPr>
        <w:pStyle w:val="BodyText"/>
        <w:spacing w:before="5"/>
        <w:rPr>
          <w:b/>
          <w:sz w:val="20"/>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Economic</w:t>
      </w:r>
      <w:r>
        <w:rPr>
          <w:i/>
          <w:spacing w:val="-4"/>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spacing w:line="360" w:lineRule="auto"/>
        <w:ind w:left="102" w:right="116"/>
        <w:jc w:val="both"/>
      </w:pPr>
      <w:r>
        <w:rPr/>
        <w:t>The importance of the role of family labour was shown on the economic viability by increasing</w:t>
      </w:r>
      <w:r>
        <w:rPr>
          <w:spacing w:val="-6"/>
        </w:rPr>
        <w:t> </w:t>
      </w:r>
      <w:r>
        <w:rPr/>
        <w:t>NI</w:t>
      </w:r>
      <w:r>
        <w:rPr>
          <w:spacing w:val="-7"/>
        </w:rPr>
        <w:t> </w:t>
      </w:r>
      <w:r>
        <w:rPr/>
        <w:t>in</w:t>
      </w:r>
      <w:r>
        <w:rPr>
          <w:spacing w:val="-3"/>
        </w:rPr>
        <w:t> </w:t>
      </w:r>
      <w:r>
        <w:rPr/>
        <w:t>20%</w:t>
      </w:r>
      <w:r>
        <w:rPr>
          <w:spacing w:val="-5"/>
        </w:rPr>
        <w:t> </w:t>
      </w:r>
      <w:r>
        <w:rPr/>
        <w:t>in</w:t>
      </w:r>
      <w:r>
        <w:rPr>
          <w:spacing w:val="-3"/>
        </w:rPr>
        <w:t> </w:t>
      </w:r>
      <w:r>
        <w:rPr/>
        <w:t>Model</w:t>
      </w:r>
      <w:r>
        <w:rPr>
          <w:spacing w:val="-3"/>
        </w:rPr>
        <w:t> </w:t>
      </w:r>
      <w:r>
        <w:rPr/>
        <w:t>2</w:t>
      </w:r>
      <w:r>
        <w:rPr>
          <w:spacing w:val="-4"/>
        </w:rPr>
        <w:t> </w:t>
      </w:r>
      <w:r>
        <w:rPr/>
        <w:t>against</w:t>
      </w:r>
      <w:r>
        <w:rPr>
          <w:spacing w:val="-3"/>
        </w:rPr>
        <w:t> </w:t>
      </w:r>
      <w:r>
        <w:rPr/>
        <w:t>17%</w:t>
      </w:r>
      <w:r>
        <w:rPr>
          <w:spacing w:val="-5"/>
        </w:rPr>
        <w:t> </w:t>
      </w:r>
      <w:r>
        <w:rPr/>
        <w:t>in</w:t>
      </w:r>
      <w:r>
        <w:rPr>
          <w:spacing w:val="-3"/>
        </w:rPr>
        <w:t> </w:t>
      </w:r>
      <w:r>
        <w:rPr/>
        <w:t>Model</w:t>
      </w:r>
      <w:r>
        <w:rPr>
          <w:spacing w:val="-3"/>
        </w:rPr>
        <w:t> </w:t>
      </w:r>
      <w:r>
        <w:rPr/>
        <w:t>1.</w:t>
      </w:r>
      <w:r>
        <w:rPr>
          <w:spacing w:val="-3"/>
        </w:rPr>
        <w:t> </w:t>
      </w:r>
      <w:r>
        <w:rPr/>
        <w:t>Also</w:t>
      </w:r>
      <w:r>
        <w:rPr>
          <w:spacing w:val="-4"/>
        </w:rPr>
        <w:t> </w:t>
      </w:r>
      <w:r>
        <w:rPr/>
        <w:t>NIC,</w:t>
      </w:r>
      <w:r>
        <w:rPr>
          <w:spacing w:val="-4"/>
        </w:rPr>
        <w:t> </w:t>
      </w:r>
      <w:r>
        <w:rPr/>
        <w:t>NRC,</w:t>
      </w:r>
      <w:r>
        <w:rPr>
          <w:spacing w:val="-4"/>
        </w:rPr>
        <w:t> </w:t>
      </w:r>
      <w:r>
        <w:rPr/>
        <w:t>NNC,</w:t>
      </w:r>
      <w:r>
        <w:rPr>
          <w:spacing w:val="-4"/>
        </w:rPr>
        <w:t> </w:t>
      </w:r>
      <w:r>
        <w:rPr/>
        <w:t>and</w:t>
      </w:r>
      <w:r>
        <w:rPr>
          <w:spacing w:val="-4"/>
        </w:rPr>
        <w:t> </w:t>
      </w:r>
      <w:r>
        <w:rPr/>
        <w:t>RRA. Lara-Covarrubias et al. (2003), Carranza-Trinidad et al. (2007), Gómez et al. (2007), and Malcolm et al. (2012) value family labour as a source of social capital. However, results show that hiring waged labour does not have a significant negative effect on the economic viability (Model 1), so that the strength of the social capital reported by the mentioned authors, </w:t>
      </w:r>
      <w:r>
        <w:rPr>
          <w:spacing w:val="45"/>
        </w:rPr>
        <w:t> </w:t>
      </w:r>
      <w:r>
        <w:rPr/>
        <w:t>was </w:t>
      </w:r>
      <w:r>
        <w:rPr>
          <w:spacing w:val="46"/>
        </w:rPr>
        <w:t> </w:t>
      </w:r>
      <w:r>
        <w:rPr/>
        <w:t>not </w:t>
      </w:r>
      <w:r>
        <w:rPr>
          <w:spacing w:val="46"/>
        </w:rPr>
        <w:t> </w:t>
      </w:r>
      <w:r>
        <w:rPr/>
        <w:t>observed </w:t>
      </w:r>
      <w:r>
        <w:rPr>
          <w:spacing w:val="45"/>
        </w:rPr>
        <w:t> </w:t>
      </w:r>
      <w:r>
        <w:rPr/>
        <w:t>in </w:t>
      </w:r>
      <w:r>
        <w:rPr>
          <w:spacing w:val="46"/>
        </w:rPr>
        <w:t> </w:t>
      </w:r>
      <w:r>
        <w:rPr/>
        <w:t>economic </w:t>
      </w:r>
      <w:r>
        <w:rPr>
          <w:spacing w:val="44"/>
        </w:rPr>
        <w:t> </w:t>
      </w:r>
      <w:r>
        <w:rPr/>
        <w:t>terms. </w:t>
      </w:r>
      <w:r>
        <w:rPr>
          <w:spacing w:val="46"/>
        </w:rPr>
        <w:t> </w:t>
      </w:r>
      <w:r>
        <w:rPr/>
        <w:t>Posadas-Domínguez </w:t>
      </w:r>
      <w:r>
        <w:rPr>
          <w:spacing w:val="47"/>
        </w:rPr>
        <w:t> </w:t>
      </w:r>
      <w:r>
        <w:rPr/>
        <w:t>et </w:t>
      </w:r>
      <w:r>
        <w:rPr>
          <w:spacing w:val="46"/>
        </w:rPr>
        <w:t> </w:t>
      </w:r>
      <w:r>
        <w:rPr/>
        <w:t>al. </w:t>
      </w:r>
      <w:r>
        <w:rPr>
          <w:spacing w:val="46"/>
        </w:rPr>
        <w:t> </w:t>
      </w:r>
      <w:r>
        <w:rPr/>
        <w:t>(2013b)</w:t>
      </w:r>
    </w:p>
    <w:p>
      <w:pPr>
        <w:spacing w:after="0" w:line="360" w:lineRule="auto"/>
        <w:jc w:val="both"/>
        <w:sectPr>
          <w:pgSz w:w="12240" w:h="15840"/>
          <w:pgMar w:header="0" w:footer="657" w:top="1360" w:bottom="840" w:left="1600" w:right="1580"/>
        </w:sectPr>
      </w:pPr>
    </w:p>
    <w:p>
      <w:pPr>
        <w:pStyle w:val="BodyText"/>
        <w:spacing w:line="360" w:lineRule="auto" w:before="50"/>
        <w:ind w:left="102" w:right="113"/>
        <w:jc w:val="both"/>
      </w:pPr>
      <w:r>
        <w:rPr/>
        <w:t>demonstrated not only the social importance of family labour within small-scale dairy systems, but also showed the important economic role by inferring that the opportunity cost for family labour is better within their farms than any waged job in central Mexico.</w:t>
      </w:r>
    </w:p>
    <w:p>
      <w:pPr>
        <w:pStyle w:val="BodyText"/>
      </w:pPr>
    </w:p>
    <w:p>
      <w:pPr>
        <w:pStyle w:val="BodyText"/>
        <w:spacing w:before="3"/>
        <w:rPr>
          <w:sz w:val="33"/>
        </w:rPr>
      </w:pPr>
    </w:p>
    <w:p>
      <w:pPr>
        <w:pStyle w:val="BodyText"/>
        <w:spacing w:line="360" w:lineRule="auto"/>
        <w:ind w:left="102" w:right="117"/>
        <w:jc w:val="both"/>
      </w:pPr>
      <w:r>
        <w:rPr/>
        <w:t>Staal</w:t>
      </w:r>
      <w:r>
        <w:rPr>
          <w:spacing w:val="-10"/>
        </w:rPr>
        <w:t> </w:t>
      </w:r>
      <w:r>
        <w:rPr/>
        <w:t>et</w:t>
      </w:r>
      <w:r>
        <w:rPr>
          <w:spacing w:val="-11"/>
        </w:rPr>
        <w:t> </w:t>
      </w:r>
      <w:r>
        <w:rPr/>
        <w:t>al.</w:t>
      </w:r>
      <w:r>
        <w:rPr>
          <w:spacing w:val="-11"/>
        </w:rPr>
        <w:t> </w:t>
      </w:r>
      <w:r>
        <w:rPr/>
        <w:t>(2008),</w:t>
      </w:r>
      <w:r>
        <w:rPr>
          <w:spacing w:val="-12"/>
        </w:rPr>
        <w:t> </w:t>
      </w:r>
      <w:r>
        <w:rPr/>
        <w:t>from</w:t>
      </w:r>
      <w:r>
        <w:rPr>
          <w:spacing w:val="-11"/>
        </w:rPr>
        <w:t> </w:t>
      </w:r>
      <w:r>
        <w:rPr/>
        <w:t>a</w:t>
      </w:r>
      <w:r>
        <w:rPr>
          <w:spacing w:val="-10"/>
        </w:rPr>
        <w:t> </w:t>
      </w:r>
      <w:r>
        <w:rPr/>
        <w:t>study</w:t>
      </w:r>
      <w:r>
        <w:rPr>
          <w:spacing w:val="-16"/>
        </w:rPr>
        <w:t> </w:t>
      </w:r>
      <w:r>
        <w:rPr/>
        <w:t>in</w:t>
      </w:r>
      <w:r>
        <w:rPr>
          <w:spacing w:val="-11"/>
        </w:rPr>
        <w:t> </w:t>
      </w:r>
      <w:r>
        <w:rPr/>
        <w:t>South</w:t>
      </w:r>
      <w:r>
        <w:rPr>
          <w:spacing w:val="-11"/>
        </w:rPr>
        <w:t> </w:t>
      </w:r>
      <w:r>
        <w:rPr/>
        <w:t>Asia</w:t>
      </w:r>
      <w:r>
        <w:rPr>
          <w:spacing w:val="-9"/>
        </w:rPr>
        <w:t> </w:t>
      </w:r>
      <w:r>
        <w:rPr/>
        <w:t>and</w:t>
      </w:r>
      <w:r>
        <w:rPr>
          <w:spacing w:val="-9"/>
        </w:rPr>
        <w:t> </w:t>
      </w:r>
      <w:r>
        <w:rPr/>
        <w:t>East</w:t>
      </w:r>
      <w:r>
        <w:rPr>
          <w:spacing w:val="-10"/>
        </w:rPr>
        <w:t> </w:t>
      </w:r>
      <w:r>
        <w:rPr/>
        <w:t>Africa</w:t>
      </w:r>
      <w:r>
        <w:rPr>
          <w:spacing w:val="-12"/>
        </w:rPr>
        <w:t> </w:t>
      </w:r>
      <w:r>
        <w:rPr/>
        <w:t>noted</w:t>
      </w:r>
      <w:r>
        <w:rPr>
          <w:spacing w:val="-9"/>
        </w:rPr>
        <w:t> </w:t>
      </w:r>
      <w:r>
        <w:rPr/>
        <w:t>the</w:t>
      </w:r>
      <w:r>
        <w:rPr>
          <w:spacing w:val="-12"/>
        </w:rPr>
        <w:t> </w:t>
      </w:r>
      <w:r>
        <w:rPr/>
        <w:t>importance</w:t>
      </w:r>
      <w:r>
        <w:rPr>
          <w:spacing w:val="-10"/>
        </w:rPr>
        <w:t> </w:t>
      </w:r>
      <w:r>
        <w:rPr/>
        <w:t>of</w:t>
      </w:r>
      <w:r>
        <w:rPr>
          <w:spacing w:val="-12"/>
        </w:rPr>
        <w:t> </w:t>
      </w:r>
      <w:r>
        <w:rPr/>
        <w:t>family labour in the economic viability of small-scale dairy systems since this input generates a substitution mechanism of capital for labour. Ndambi et al. (2008) and Ndambi and Hemme (2009) undertaking work on small-scale dairy systems in Africa agree in the importance of family labour, reflected not only on job generation (social impact), but also in the economic and financial stability since the family provides their labour without receiving a constant income, which allows their systems to have a number of possibilities to sort out critical situations, as was demonstrated in Model</w:t>
      </w:r>
      <w:r>
        <w:rPr>
          <w:spacing w:val="-8"/>
        </w:rPr>
        <w:t> </w:t>
      </w:r>
      <w:r>
        <w:rPr/>
        <w:t>2.</w:t>
      </w:r>
    </w:p>
    <w:p>
      <w:pPr>
        <w:pStyle w:val="BodyText"/>
      </w:pPr>
    </w:p>
    <w:p>
      <w:pPr>
        <w:pStyle w:val="BodyText"/>
        <w:spacing w:before="3"/>
        <w:rPr>
          <w:sz w:val="33"/>
        </w:rPr>
      </w:pPr>
    </w:p>
    <w:p>
      <w:pPr>
        <w:pStyle w:val="BodyText"/>
        <w:spacing w:line="360" w:lineRule="auto"/>
        <w:ind w:left="102" w:right="114"/>
        <w:jc w:val="both"/>
      </w:pPr>
      <w:r>
        <w:rPr/>
        <w:t>Gómez et al. (2007) in Perú, Cabrera et al. (2010) in USA and Zhuo et al. (2013) in China reported that family labour has a direct impact on total production costs and increased incomes. </w:t>
      </w:r>
      <w:r>
        <w:rPr>
          <w:spacing w:val="-3"/>
        </w:rPr>
        <w:t>In </w:t>
      </w:r>
      <w:r>
        <w:rPr/>
        <w:t>the study herein reported, family labour decreased TC and increased TI for the whole period 2010-2018. Also, it was demonstrated that family labour contributed significantly to an increase in NIC in farms with herds between four and nine milking</w:t>
      </w:r>
      <w:r>
        <w:rPr>
          <w:spacing w:val="-19"/>
        </w:rPr>
        <w:t> </w:t>
      </w:r>
      <w:r>
        <w:rPr/>
        <w:t>cows; although in herds under four cows the NIC were</w:t>
      </w:r>
      <w:r>
        <w:rPr>
          <w:spacing w:val="-12"/>
        </w:rPr>
        <w:t> </w:t>
      </w:r>
      <w:r>
        <w:rPr/>
        <w:t>negative.</w:t>
      </w:r>
    </w:p>
    <w:p>
      <w:pPr>
        <w:pStyle w:val="BodyText"/>
      </w:pPr>
    </w:p>
    <w:p>
      <w:pPr>
        <w:pStyle w:val="BodyText"/>
        <w:spacing w:before="3"/>
        <w:rPr>
          <w:sz w:val="33"/>
        </w:rPr>
      </w:pPr>
    </w:p>
    <w:p>
      <w:pPr>
        <w:pStyle w:val="BodyText"/>
        <w:spacing w:line="360" w:lineRule="auto"/>
        <w:ind w:left="102" w:right="116"/>
        <w:jc w:val="both"/>
      </w:pPr>
      <w:r>
        <w:rPr/>
        <w:t>Uddin et al. (2010) reported similar results in a study undertaken in three different small- scale dairy production systems (intensive, extensive and traditional) in Bangladesh, demonstrating that NIC decrease significantly if an opportunity cost for family labour is included</w:t>
      </w:r>
      <w:r>
        <w:rPr>
          <w:spacing w:val="-4"/>
        </w:rPr>
        <w:t> </w:t>
      </w:r>
      <w:r>
        <w:rPr/>
        <w:t>for</w:t>
      </w:r>
      <w:r>
        <w:rPr>
          <w:spacing w:val="-5"/>
        </w:rPr>
        <w:t> </w:t>
      </w:r>
      <w:r>
        <w:rPr/>
        <w:t>herds</w:t>
      </w:r>
      <w:r>
        <w:rPr>
          <w:spacing w:val="-1"/>
        </w:rPr>
        <w:t> </w:t>
      </w:r>
      <w:r>
        <w:rPr/>
        <w:t>with</w:t>
      </w:r>
      <w:r>
        <w:rPr>
          <w:spacing w:val="-4"/>
        </w:rPr>
        <w:t> </w:t>
      </w:r>
      <w:r>
        <w:rPr/>
        <w:t>4,</w:t>
      </w:r>
      <w:r>
        <w:rPr>
          <w:spacing w:val="-4"/>
        </w:rPr>
        <w:t> </w:t>
      </w:r>
      <w:r>
        <w:rPr/>
        <w:t>14</w:t>
      </w:r>
      <w:r>
        <w:rPr>
          <w:spacing w:val="-4"/>
        </w:rPr>
        <w:t> </w:t>
      </w:r>
      <w:r>
        <w:rPr/>
        <w:t>and</w:t>
      </w:r>
      <w:r>
        <w:rPr>
          <w:spacing w:val="-4"/>
        </w:rPr>
        <w:t> </w:t>
      </w:r>
      <w:r>
        <w:rPr/>
        <w:t>22</w:t>
      </w:r>
      <w:r>
        <w:rPr>
          <w:spacing w:val="-1"/>
        </w:rPr>
        <w:t> </w:t>
      </w:r>
      <w:r>
        <w:rPr/>
        <w:t>cows,</w:t>
      </w:r>
      <w:r>
        <w:rPr>
          <w:spacing w:val="-1"/>
        </w:rPr>
        <w:t> </w:t>
      </w:r>
      <w:r>
        <w:rPr/>
        <w:t>and</w:t>
      </w:r>
      <w:r>
        <w:rPr>
          <w:spacing w:val="-4"/>
        </w:rPr>
        <w:t> </w:t>
      </w:r>
      <w:r>
        <w:rPr/>
        <w:t>are</w:t>
      </w:r>
      <w:r>
        <w:rPr>
          <w:spacing w:val="-3"/>
        </w:rPr>
        <w:t> </w:t>
      </w:r>
      <w:r>
        <w:rPr/>
        <w:t>negative</w:t>
      </w:r>
      <w:r>
        <w:rPr>
          <w:spacing w:val="-2"/>
        </w:rPr>
        <w:t> </w:t>
      </w:r>
      <w:r>
        <w:rPr/>
        <w:t>for</w:t>
      </w:r>
      <w:r>
        <w:rPr>
          <w:spacing w:val="-5"/>
        </w:rPr>
        <w:t> </w:t>
      </w:r>
      <w:r>
        <w:rPr/>
        <w:t>herds</w:t>
      </w:r>
      <w:r>
        <w:rPr>
          <w:spacing w:val="-4"/>
        </w:rPr>
        <w:t> </w:t>
      </w:r>
      <w:r>
        <w:rPr/>
        <w:t>of</w:t>
      </w:r>
      <w:r>
        <w:rPr>
          <w:spacing w:val="-5"/>
        </w:rPr>
        <w:t> </w:t>
      </w:r>
      <w:r>
        <w:rPr/>
        <w:t>less</w:t>
      </w:r>
      <w:r>
        <w:rPr>
          <w:spacing w:val="-4"/>
        </w:rPr>
        <w:t> </w:t>
      </w:r>
      <w:r>
        <w:rPr/>
        <w:t>than</w:t>
      </w:r>
      <w:r>
        <w:rPr>
          <w:spacing w:val="-4"/>
        </w:rPr>
        <w:t> </w:t>
      </w:r>
      <w:r>
        <w:rPr/>
        <w:t>four</w:t>
      </w:r>
      <w:r>
        <w:rPr>
          <w:spacing w:val="1"/>
        </w:rPr>
        <w:t> </w:t>
      </w:r>
      <w:r>
        <w:rPr/>
        <w:t>cows.</w:t>
      </w:r>
    </w:p>
    <w:p>
      <w:pPr>
        <w:pStyle w:val="BodyText"/>
      </w:pPr>
    </w:p>
    <w:p>
      <w:pPr>
        <w:pStyle w:val="BodyText"/>
        <w:spacing w:before="3"/>
        <w:rPr>
          <w:sz w:val="33"/>
        </w:rPr>
      </w:pPr>
    </w:p>
    <w:p>
      <w:pPr>
        <w:pStyle w:val="BodyText"/>
        <w:spacing w:line="360" w:lineRule="auto"/>
        <w:ind w:left="102" w:right="119"/>
        <w:jc w:val="both"/>
      </w:pPr>
      <w:r>
        <w:rPr/>
        <w:t>Zvinorova et al. (2013) reported from work in Zimbabwe that analysed dairy farms are economically unviable since their costs of production are higher than the selling price of milk. </w:t>
      </w:r>
      <w:r>
        <w:rPr>
          <w:spacing w:val="-3"/>
        </w:rPr>
        <w:t>In </w:t>
      </w:r>
      <w:r>
        <w:rPr/>
        <w:t>Model 3, where 100% of their feed inputs are bought-in, the simulated RSSDF was unviable. Zimmermann and Heckelei (2012) report a similar situation in a study of the</w:t>
      </w:r>
      <w:r>
        <w:rPr>
          <w:spacing w:val="-19"/>
        </w:rPr>
        <w:t> </w:t>
      </w:r>
      <w:r>
        <w:rPr/>
        <w:t>dairy</w:t>
      </w:r>
    </w:p>
    <w:p>
      <w:pPr>
        <w:spacing w:after="0" w:line="360" w:lineRule="auto"/>
        <w:jc w:val="both"/>
        <w:sectPr>
          <w:pgSz w:w="12240" w:h="15840"/>
          <w:pgMar w:header="0" w:footer="657" w:top="1360" w:bottom="840" w:left="1600" w:right="1580"/>
        </w:sectPr>
      </w:pPr>
    </w:p>
    <w:p>
      <w:pPr>
        <w:pStyle w:val="BodyText"/>
        <w:spacing w:line="360" w:lineRule="auto" w:before="50"/>
        <w:ind w:left="102" w:right="119"/>
        <w:jc w:val="both"/>
      </w:pPr>
      <w:r>
        <w:rPr/>
        <w:t>industry</w:t>
      </w:r>
      <w:r>
        <w:rPr>
          <w:spacing w:val="-15"/>
        </w:rPr>
        <w:t> </w:t>
      </w:r>
      <w:r>
        <w:rPr/>
        <w:t>in</w:t>
      </w:r>
      <w:r>
        <w:rPr>
          <w:spacing w:val="-10"/>
        </w:rPr>
        <w:t> </w:t>
      </w:r>
      <w:r>
        <w:rPr/>
        <w:t>Europe,</w:t>
      </w:r>
      <w:r>
        <w:rPr>
          <w:spacing w:val="-8"/>
        </w:rPr>
        <w:t> </w:t>
      </w:r>
      <w:r>
        <w:rPr/>
        <w:t>concluding</w:t>
      </w:r>
      <w:r>
        <w:rPr>
          <w:spacing w:val="-12"/>
        </w:rPr>
        <w:t> </w:t>
      </w:r>
      <w:r>
        <w:rPr/>
        <w:t>that</w:t>
      </w:r>
      <w:r>
        <w:rPr>
          <w:spacing w:val="-10"/>
        </w:rPr>
        <w:t> </w:t>
      </w:r>
      <w:r>
        <w:rPr/>
        <w:t>the</w:t>
      </w:r>
      <w:r>
        <w:rPr>
          <w:spacing w:val="-11"/>
        </w:rPr>
        <w:t> </w:t>
      </w:r>
      <w:r>
        <w:rPr/>
        <w:t>volatility</w:t>
      </w:r>
      <w:r>
        <w:rPr>
          <w:spacing w:val="-15"/>
        </w:rPr>
        <w:t> </w:t>
      </w:r>
      <w:r>
        <w:rPr/>
        <w:t>in</w:t>
      </w:r>
      <w:r>
        <w:rPr>
          <w:spacing w:val="-10"/>
        </w:rPr>
        <w:t> </w:t>
      </w:r>
      <w:r>
        <w:rPr/>
        <w:t>prices</w:t>
      </w:r>
      <w:r>
        <w:rPr>
          <w:spacing w:val="-10"/>
        </w:rPr>
        <w:t> </w:t>
      </w:r>
      <w:r>
        <w:rPr/>
        <w:t>of</w:t>
      </w:r>
      <w:r>
        <w:rPr>
          <w:spacing w:val="-11"/>
        </w:rPr>
        <w:t> </w:t>
      </w:r>
      <w:r>
        <w:rPr/>
        <w:t>inputs</w:t>
      </w:r>
      <w:r>
        <w:rPr>
          <w:spacing w:val="-10"/>
        </w:rPr>
        <w:t> </w:t>
      </w:r>
      <w:r>
        <w:rPr/>
        <w:t>and</w:t>
      </w:r>
      <w:r>
        <w:rPr>
          <w:spacing w:val="-10"/>
        </w:rPr>
        <w:t> </w:t>
      </w:r>
      <w:r>
        <w:rPr/>
        <w:t>milk</w:t>
      </w:r>
      <w:r>
        <w:rPr>
          <w:spacing w:val="-10"/>
        </w:rPr>
        <w:t> </w:t>
      </w:r>
      <w:r>
        <w:rPr/>
        <w:t>relates</w:t>
      </w:r>
      <w:r>
        <w:rPr>
          <w:spacing w:val="-8"/>
        </w:rPr>
        <w:t> </w:t>
      </w:r>
      <w:r>
        <w:rPr/>
        <w:t>to</w:t>
      </w:r>
      <w:r>
        <w:rPr>
          <w:spacing w:val="-10"/>
        </w:rPr>
        <w:t> </w:t>
      </w:r>
      <w:r>
        <w:rPr/>
        <w:t>higher uncertainty so that farms avoid new investments; therefore reducing agricultural growth</w:t>
      </w:r>
      <w:r>
        <w:rPr>
          <w:spacing w:val="-19"/>
        </w:rPr>
        <w:t> </w:t>
      </w:r>
      <w:r>
        <w:rPr/>
        <w:t>and its economic</w:t>
      </w:r>
      <w:r>
        <w:rPr>
          <w:spacing w:val="-7"/>
        </w:rPr>
        <w:t> </w:t>
      </w:r>
      <w:r>
        <w:rPr/>
        <w:t>viability.</w:t>
      </w:r>
    </w:p>
    <w:p>
      <w:pPr>
        <w:pStyle w:val="BodyText"/>
      </w:pPr>
    </w:p>
    <w:p>
      <w:pPr>
        <w:pStyle w:val="BodyText"/>
        <w:spacing w:before="3"/>
        <w:rPr>
          <w:sz w:val="33"/>
        </w:rPr>
      </w:pPr>
    </w:p>
    <w:p>
      <w:pPr>
        <w:pStyle w:val="BodyText"/>
        <w:spacing w:line="360" w:lineRule="auto"/>
        <w:ind w:left="102" w:right="120"/>
        <w:jc w:val="both"/>
      </w:pPr>
      <w:r>
        <w:rPr/>
        <w:t>Wiek and Heckelei (2007) coincide in that the home-grown production of forages reduces marginal costs of production and increases the economic profitability of dairy systems, as was demonstrated in Models 1, 2, and 4.</w:t>
      </w:r>
    </w:p>
    <w:p>
      <w:pPr>
        <w:pStyle w:val="BodyText"/>
      </w:pPr>
    </w:p>
    <w:p>
      <w:pPr>
        <w:pStyle w:val="BodyText"/>
        <w:spacing w:before="4"/>
        <w:rPr>
          <w:sz w:val="33"/>
        </w:rPr>
      </w:pPr>
    </w:p>
    <w:p>
      <w:pPr>
        <w:pStyle w:val="BodyText"/>
        <w:spacing w:line="360" w:lineRule="auto"/>
        <w:ind w:left="102" w:right="114"/>
        <w:jc w:val="both"/>
      </w:pPr>
      <w:r>
        <w:rPr/>
        <w:t>Bozic et al. (2012) analysed risk management by dairy farmers in the USA considering two scenarios: growing their feed needs in the farm or buying feed in the market. They reported that</w:t>
      </w:r>
      <w:r>
        <w:rPr>
          <w:spacing w:val="-10"/>
        </w:rPr>
        <w:t> </w:t>
      </w:r>
      <w:r>
        <w:rPr/>
        <w:t>the</w:t>
      </w:r>
      <w:r>
        <w:rPr>
          <w:spacing w:val="-11"/>
        </w:rPr>
        <w:t> </w:t>
      </w:r>
      <w:r>
        <w:rPr/>
        <w:t>self</w:t>
      </w:r>
      <w:r>
        <w:rPr>
          <w:spacing w:val="-10"/>
        </w:rPr>
        <w:t> </w:t>
      </w:r>
      <w:r>
        <w:rPr/>
        <w:t>production</w:t>
      </w:r>
      <w:r>
        <w:rPr>
          <w:spacing w:val="-10"/>
        </w:rPr>
        <w:t> </w:t>
      </w:r>
      <w:r>
        <w:rPr/>
        <w:t>of</w:t>
      </w:r>
      <w:r>
        <w:rPr>
          <w:spacing w:val="-9"/>
        </w:rPr>
        <w:t> </w:t>
      </w:r>
      <w:r>
        <w:rPr/>
        <w:t>feed</w:t>
      </w:r>
      <w:r>
        <w:rPr>
          <w:spacing w:val="-8"/>
        </w:rPr>
        <w:t> </w:t>
      </w:r>
      <w:r>
        <w:rPr/>
        <w:t>had</w:t>
      </w:r>
      <w:r>
        <w:rPr>
          <w:spacing w:val="-8"/>
        </w:rPr>
        <w:t> </w:t>
      </w:r>
      <w:r>
        <w:rPr/>
        <w:t>an</w:t>
      </w:r>
      <w:r>
        <w:rPr>
          <w:spacing w:val="-10"/>
        </w:rPr>
        <w:t> </w:t>
      </w:r>
      <w:r>
        <w:rPr/>
        <w:t>effect</w:t>
      </w:r>
      <w:r>
        <w:rPr>
          <w:spacing w:val="-10"/>
        </w:rPr>
        <w:t> </w:t>
      </w:r>
      <w:r>
        <w:rPr/>
        <w:t>reducing</w:t>
      </w:r>
      <w:r>
        <w:rPr>
          <w:spacing w:val="-12"/>
        </w:rPr>
        <w:t> </w:t>
      </w:r>
      <w:r>
        <w:rPr/>
        <w:t>93%</w:t>
      </w:r>
      <w:r>
        <w:rPr>
          <w:spacing w:val="-11"/>
        </w:rPr>
        <w:t> </w:t>
      </w:r>
      <w:r>
        <w:rPr/>
        <w:t>of</w:t>
      </w:r>
      <w:r>
        <w:rPr>
          <w:spacing w:val="-11"/>
        </w:rPr>
        <w:t> </w:t>
      </w:r>
      <w:r>
        <w:rPr/>
        <w:t>the</w:t>
      </w:r>
      <w:r>
        <w:rPr>
          <w:spacing w:val="-11"/>
        </w:rPr>
        <w:t> </w:t>
      </w:r>
      <w:r>
        <w:rPr/>
        <w:t>decline</w:t>
      </w:r>
      <w:r>
        <w:rPr>
          <w:spacing w:val="-11"/>
        </w:rPr>
        <w:t> </w:t>
      </w:r>
      <w:r>
        <w:rPr/>
        <w:t>in</w:t>
      </w:r>
      <w:r>
        <w:rPr>
          <w:spacing w:val="-10"/>
        </w:rPr>
        <w:t> </w:t>
      </w:r>
      <w:r>
        <w:rPr/>
        <w:t>income</w:t>
      </w:r>
      <w:r>
        <w:rPr>
          <w:spacing w:val="-10"/>
        </w:rPr>
        <w:t> </w:t>
      </w:r>
      <w:r>
        <w:rPr/>
        <w:t>over</w:t>
      </w:r>
      <w:r>
        <w:rPr>
          <w:spacing w:val="-11"/>
        </w:rPr>
        <w:t> </w:t>
      </w:r>
      <w:r>
        <w:rPr/>
        <w:t>feed costs compared to only 47% in the scenario that purchases feed. These results coincide with those</w:t>
      </w:r>
      <w:r>
        <w:rPr>
          <w:spacing w:val="-7"/>
        </w:rPr>
        <w:t> </w:t>
      </w:r>
      <w:r>
        <w:rPr/>
        <w:t>reported</w:t>
      </w:r>
      <w:r>
        <w:rPr>
          <w:spacing w:val="-4"/>
        </w:rPr>
        <w:t> </w:t>
      </w:r>
      <w:r>
        <w:rPr/>
        <w:t>for</w:t>
      </w:r>
      <w:r>
        <w:rPr>
          <w:spacing w:val="-8"/>
        </w:rPr>
        <w:t> </w:t>
      </w:r>
      <w:r>
        <w:rPr/>
        <w:t>Model</w:t>
      </w:r>
      <w:r>
        <w:rPr>
          <w:spacing w:val="-3"/>
        </w:rPr>
        <w:t> </w:t>
      </w:r>
      <w:r>
        <w:rPr/>
        <w:t>3</w:t>
      </w:r>
      <w:r>
        <w:rPr>
          <w:spacing w:val="-6"/>
        </w:rPr>
        <w:t> </w:t>
      </w:r>
      <w:r>
        <w:rPr/>
        <w:t>that</w:t>
      </w:r>
      <w:r>
        <w:rPr>
          <w:spacing w:val="-6"/>
        </w:rPr>
        <w:t> </w:t>
      </w:r>
      <w:r>
        <w:rPr/>
        <w:t>demonstrated</w:t>
      </w:r>
      <w:r>
        <w:rPr>
          <w:spacing w:val="-7"/>
        </w:rPr>
        <w:t> </w:t>
      </w:r>
      <w:r>
        <w:rPr/>
        <w:t>that</w:t>
      </w:r>
      <w:r>
        <w:rPr>
          <w:spacing w:val="-6"/>
        </w:rPr>
        <w:t> </w:t>
      </w:r>
      <w:r>
        <w:rPr/>
        <w:t>feeding</w:t>
      </w:r>
      <w:r>
        <w:rPr>
          <w:spacing w:val="-9"/>
        </w:rPr>
        <w:t> </w:t>
      </w:r>
      <w:r>
        <w:rPr/>
        <w:t>costs</w:t>
      </w:r>
      <w:r>
        <w:rPr>
          <w:spacing w:val="-6"/>
        </w:rPr>
        <w:t> </w:t>
      </w:r>
      <w:r>
        <w:rPr/>
        <w:t>are</w:t>
      </w:r>
      <w:r>
        <w:rPr>
          <w:spacing w:val="-7"/>
        </w:rPr>
        <w:t> </w:t>
      </w:r>
      <w:r>
        <w:rPr/>
        <w:t>reduced</w:t>
      </w:r>
      <w:r>
        <w:rPr>
          <w:spacing w:val="-4"/>
        </w:rPr>
        <w:t> </w:t>
      </w:r>
      <w:r>
        <w:rPr/>
        <w:t>in</w:t>
      </w:r>
      <w:r>
        <w:rPr>
          <w:spacing w:val="-6"/>
        </w:rPr>
        <w:t> </w:t>
      </w:r>
      <w:r>
        <w:rPr/>
        <w:t>over</w:t>
      </w:r>
      <w:r>
        <w:rPr>
          <w:spacing w:val="-7"/>
        </w:rPr>
        <w:t> </w:t>
      </w:r>
      <w:r>
        <w:rPr/>
        <w:t>100%</w:t>
      </w:r>
      <w:r>
        <w:rPr>
          <w:spacing w:val="-7"/>
        </w:rPr>
        <w:t> </w:t>
      </w:r>
      <w:r>
        <w:rPr/>
        <w:t>by producing feed in the farm rather than buying it. These results are in agreement with reports by Herbst et al. (2010) who demonstrated that small-scale dairy farms have an advantage</w:t>
      </w:r>
      <w:r>
        <w:rPr>
          <w:spacing w:val="-12"/>
        </w:rPr>
        <w:t> </w:t>
      </w:r>
      <w:r>
        <w:rPr/>
        <w:t>by producing most of their feed inputs, being able to reduce their cost/benefit ration in relation to</w:t>
      </w:r>
      <w:r>
        <w:rPr>
          <w:spacing w:val="-13"/>
        </w:rPr>
        <w:t> </w:t>
      </w:r>
      <w:r>
        <w:rPr/>
        <w:t>large</w:t>
      </w:r>
      <w:r>
        <w:rPr>
          <w:spacing w:val="-14"/>
        </w:rPr>
        <w:t> </w:t>
      </w:r>
      <w:r>
        <w:rPr/>
        <w:t>scale</w:t>
      </w:r>
      <w:r>
        <w:rPr>
          <w:spacing w:val="-14"/>
        </w:rPr>
        <w:t> </w:t>
      </w:r>
      <w:r>
        <w:rPr/>
        <w:t>herds</w:t>
      </w:r>
      <w:r>
        <w:rPr>
          <w:spacing w:val="-14"/>
        </w:rPr>
        <w:t> </w:t>
      </w:r>
      <w:r>
        <w:rPr/>
        <w:t>that</w:t>
      </w:r>
      <w:r>
        <w:rPr>
          <w:spacing w:val="-13"/>
        </w:rPr>
        <w:t> </w:t>
      </w:r>
      <w:r>
        <w:rPr/>
        <w:t>need</w:t>
      </w:r>
      <w:r>
        <w:rPr>
          <w:spacing w:val="-13"/>
        </w:rPr>
        <w:t> </w:t>
      </w:r>
      <w:r>
        <w:rPr/>
        <w:t>to</w:t>
      </w:r>
      <w:r>
        <w:rPr>
          <w:spacing w:val="-13"/>
        </w:rPr>
        <w:t> </w:t>
      </w:r>
      <w:r>
        <w:rPr/>
        <w:t>purchase</w:t>
      </w:r>
      <w:r>
        <w:rPr>
          <w:spacing w:val="-14"/>
        </w:rPr>
        <w:t> </w:t>
      </w:r>
      <w:r>
        <w:rPr/>
        <w:t>most</w:t>
      </w:r>
      <w:r>
        <w:rPr>
          <w:spacing w:val="-12"/>
        </w:rPr>
        <w:t> </w:t>
      </w:r>
      <w:r>
        <w:rPr/>
        <w:t>of</w:t>
      </w:r>
      <w:r>
        <w:rPr>
          <w:spacing w:val="-14"/>
        </w:rPr>
        <w:t> </w:t>
      </w:r>
      <w:r>
        <w:rPr/>
        <w:t>their</w:t>
      </w:r>
      <w:r>
        <w:rPr>
          <w:spacing w:val="-14"/>
        </w:rPr>
        <w:t> </w:t>
      </w:r>
      <w:r>
        <w:rPr/>
        <w:t>inputs,</w:t>
      </w:r>
      <w:r>
        <w:rPr>
          <w:spacing w:val="-13"/>
        </w:rPr>
        <w:t> </w:t>
      </w:r>
      <w:r>
        <w:rPr/>
        <w:t>that</w:t>
      </w:r>
      <w:r>
        <w:rPr>
          <w:spacing w:val="-13"/>
        </w:rPr>
        <w:t> </w:t>
      </w:r>
      <w:r>
        <w:rPr/>
        <w:t>had</w:t>
      </w:r>
      <w:r>
        <w:rPr>
          <w:spacing w:val="-13"/>
        </w:rPr>
        <w:t> </w:t>
      </w:r>
      <w:r>
        <w:rPr/>
        <w:t>their</w:t>
      </w:r>
      <w:r>
        <w:rPr>
          <w:spacing w:val="-12"/>
        </w:rPr>
        <w:t> </w:t>
      </w:r>
      <w:r>
        <w:rPr/>
        <w:t>cost/benefit</w:t>
      </w:r>
      <w:r>
        <w:rPr>
          <w:spacing w:val="-13"/>
        </w:rPr>
        <w:t> </w:t>
      </w:r>
      <w:r>
        <w:rPr/>
        <w:t>ratios increased from increased production</w:t>
      </w:r>
      <w:r>
        <w:rPr>
          <w:spacing w:val="-8"/>
        </w:rPr>
        <w:t> </w:t>
      </w:r>
      <w:r>
        <w:rPr/>
        <w:t>costs.</w:t>
      </w:r>
    </w:p>
    <w:p>
      <w:pPr>
        <w:pStyle w:val="BodyText"/>
      </w:pPr>
    </w:p>
    <w:p>
      <w:pPr>
        <w:pStyle w:val="BodyText"/>
        <w:spacing w:before="3"/>
        <w:rPr>
          <w:sz w:val="33"/>
        </w:rPr>
      </w:pPr>
    </w:p>
    <w:p>
      <w:pPr>
        <w:pStyle w:val="BodyText"/>
        <w:spacing w:line="360" w:lineRule="auto"/>
        <w:ind w:left="102" w:right="117"/>
        <w:jc w:val="both"/>
      </w:pPr>
      <w:r>
        <w:rPr/>
        <w:t>Bojnec and Latrueffe (2013) in Slovenia and Hendricks et al. (2012) in North America reported</w:t>
      </w:r>
      <w:r>
        <w:rPr>
          <w:spacing w:val="-9"/>
        </w:rPr>
        <w:t> </w:t>
      </w:r>
      <w:r>
        <w:rPr/>
        <w:t>that</w:t>
      </w:r>
      <w:r>
        <w:rPr>
          <w:spacing w:val="-11"/>
        </w:rPr>
        <w:t> </w:t>
      </w:r>
      <w:r>
        <w:rPr/>
        <w:t>the</w:t>
      </w:r>
      <w:r>
        <w:rPr>
          <w:spacing w:val="-12"/>
        </w:rPr>
        <w:t> </w:t>
      </w:r>
      <w:r>
        <w:rPr/>
        <w:t>persistence</w:t>
      </w:r>
      <w:r>
        <w:rPr>
          <w:spacing w:val="-12"/>
        </w:rPr>
        <w:t> </w:t>
      </w:r>
      <w:r>
        <w:rPr/>
        <w:t>of</w:t>
      </w:r>
      <w:r>
        <w:rPr>
          <w:spacing w:val="-10"/>
        </w:rPr>
        <w:t> </w:t>
      </w:r>
      <w:r>
        <w:rPr/>
        <w:t>small-scale</w:t>
      </w:r>
      <w:r>
        <w:rPr>
          <w:spacing w:val="-12"/>
        </w:rPr>
        <w:t> </w:t>
      </w:r>
      <w:r>
        <w:rPr/>
        <w:t>agricultural</w:t>
      </w:r>
      <w:r>
        <w:rPr>
          <w:spacing w:val="-11"/>
        </w:rPr>
        <w:t> </w:t>
      </w:r>
      <w:r>
        <w:rPr/>
        <w:t>systems</w:t>
      </w:r>
      <w:r>
        <w:rPr>
          <w:spacing w:val="-10"/>
        </w:rPr>
        <w:t> </w:t>
      </w:r>
      <w:r>
        <w:rPr/>
        <w:t>is</w:t>
      </w:r>
      <w:r>
        <w:rPr>
          <w:spacing w:val="-10"/>
        </w:rPr>
        <w:t> </w:t>
      </w:r>
      <w:r>
        <w:rPr/>
        <w:t>linked</w:t>
      </w:r>
      <w:r>
        <w:rPr>
          <w:spacing w:val="-11"/>
        </w:rPr>
        <w:t> </w:t>
      </w:r>
      <w:r>
        <w:rPr/>
        <w:t>to</w:t>
      </w:r>
      <w:r>
        <w:rPr>
          <w:spacing w:val="-8"/>
        </w:rPr>
        <w:t> </w:t>
      </w:r>
      <w:r>
        <w:rPr/>
        <w:t>receiving</w:t>
      </w:r>
      <w:r>
        <w:rPr>
          <w:spacing w:val="-13"/>
        </w:rPr>
        <w:t> </w:t>
      </w:r>
      <w:r>
        <w:rPr/>
        <w:t>support subsidies,</w:t>
      </w:r>
      <w:r>
        <w:rPr>
          <w:spacing w:val="-5"/>
        </w:rPr>
        <w:t> </w:t>
      </w:r>
      <w:r>
        <w:rPr/>
        <w:t>which</w:t>
      </w:r>
      <w:r>
        <w:rPr>
          <w:spacing w:val="-5"/>
        </w:rPr>
        <w:t> </w:t>
      </w:r>
      <w:r>
        <w:rPr/>
        <w:t>are</w:t>
      </w:r>
      <w:r>
        <w:rPr>
          <w:spacing w:val="-6"/>
        </w:rPr>
        <w:t> </w:t>
      </w:r>
      <w:r>
        <w:rPr/>
        <w:t>negatively</w:t>
      </w:r>
      <w:r>
        <w:rPr>
          <w:spacing w:val="-10"/>
        </w:rPr>
        <w:t> </w:t>
      </w:r>
      <w:r>
        <w:rPr/>
        <w:t>related</w:t>
      </w:r>
      <w:r>
        <w:rPr>
          <w:spacing w:val="-5"/>
        </w:rPr>
        <w:t> </w:t>
      </w:r>
      <w:r>
        <w:rPr/>
        <w:t>to</w:t>
      </w:r>
      <w:r>
        <w:rPr>
          <w:spacing w:val="-3"/>
        </w:rPr>
        <w:t> </w:t>
      </w:r>
      <w:r>
        <w:rPr/>
        <w:t>technical</w:t>
      </w:r>
      <w:r>
        <w:rPr>
          <w:spacing w:val="-5"/>
        </w:rPr>
        <w:t> </w:t>
      </w:r>
      <w:r>
        <w:rPr/>
        <w:t>efficiency</w:t>
      </w:r>
      <w:r>
        <w:rPr>
          <w:spacing w:val="-10"/>
        </w:rPr>
        <w:t> </w:t>
      </w:r>
      <w:r>
        <w:rPr/>
        <w:t>of</w:t>
      </w:r>
      <w:r>
        <w:rPr>
          <w:spacing w:val="-6"/>
        </w:rPr>
        <w:t> </w:t>
      </w:r>
      <w:r>
        <w:rPr/>
        <w:t>farms</w:t>
      </w:r>
      <w:r>
        <w:rPr>
          <w:spacing w:val="-5"/>
        </w:rPr>
        <w:t> </w:t>
      </w:r>
      <w:r>
        <w:rPr/>
        <w:t>but</w:t>
      </w:r>
      <w:r>
        <w:rPr>
          <w:spacing w:val="-5"/>
        </w:rPr>
        <w:t> </w:t>
      </w:r>
      <w:r>
        <w:rPr/>
        <w:t>positively</w:t>
      </w:r>
      <w:r>
        <w:rPr>
          <w:spacing w:val="-10"/>
        </w:rPr>
        <w:t> </w:t>
      </w:r>
      <w:r>
        <w:rPr/>
        <w:t>to</w:t>
      </w:r>
      <w:r>
        <w:rPr>
          <w:spacing w:val="-5"/>
        </w:rPr>
        <w:t> </w:t>
      </w:r>
      <w:r>
        <w:rPr/>
        <w:t>their profitability. In the work herein reported, Model 4 showed that subsidies do not play an important role in the persistence of small-scale dairy systems, since subsidies represent</w:t>
      </w:r>
      <w:r>
        <w:rPr>
          <w:spacing w:val="-16"/>
        </w:rPr>
        <w:t> </w:t>
      </w:r>
      <w:r>
        <w:rPr/>
        <w:t>only 3% of total</w:t>
      </w:r>
      <w:r>
        <w:rPr>
          <w:spacing w:val="-4"/>
        </w:rPr>
        <w:t> </w:t>
      </w:r>
      <w:r>
        <w:rPr/>
        <w:t>incomes.</w:t>
      </w:r>
    </w:p>
    <w:p>
      <w:pPr>
        <w:pStyle w:val="BodyText"/>
      </w:pPr>
    </w:p>
    <w:p>
      <w:pPr>
        <w:pStyle w:val="BodyText"/>
        <w:spacing w:before="3"/>
        <w:rPr>
          <w:sz w:val="33"/>
        </w:rPr>
      </w:pPr>
    </w:p>
    <w:p>
      <w:pPr>
        <w:pStyle w:val="BodyText"/>
        <w:spacing w:line="360" w:lineRule="auto"/>
        <w:ind w:left="102" w:right="120"/>
        <w:jc w:val="both"/>
      </w:pPr>
      <w:r>
        <w:rPr/>
        <w:t>Jonnason</w:t>
      </w:r>
      <w:r>
        <w:rPr>
          <w:spacing w:val="-6"/>
        </w:rPr>
        <w:t> </w:t>
      </w:r>
      <w:r>
        <w:rPr/>
        <w:t>et</w:t>
      </w:r>
      <w:r>
        <w:rPr>
          <w:spacing w:val="-6"/>
        </w:rPr>
        <w:t> </w:t>
      </w:r>
      <w:r>
        <w:rPr/>
        <w:t>al.</w:t>
      </w:r>
      <w:r>
        <w:rPr>
          <w:spacing w:val="-6"/>
        </w:rPr>
        <w:t> </w:t>
      </w:r>
      <w:r>
        <w:rPr/>
        <w:t>(2012)</w:t>
      </w:r>
      <w:r>
        <w:rPr>
          <w:spacing w:val="-7"/>
        </w:rPr>
        <w:t> </w:t>
      </w:r>
      <w:r>
        <w:rPr/>
        <w:t>have</w:t>
      </w:r>
      <w:r>
        <w:rPr>
          <w:spacing w:val="-7"/>
        </w:rPr>
        <w:t> </w:t>
      </w:r>
      <w:r>
        <w:rPr/>
        <w:t>reported</w:t>
      </w:r>
      <w:r>
        <w:rPr>
          <w:spacing w:val="-4"/>
        </w:rPr>
        <w:t> </w:t>
      </w:r>
      <w:r>
        <w:rPr/>
        <w:t>from</w:t>
      </w:r>
      <w:r>
        <w:rPr>
          <w:spacing w:val="-6"/>
        </w:rPr>
        <w:t> </w:t>
      </w:r>
      <w:r>
        <w:rPr/>
        <w:t>a</w:t>
      </w:r>
      <w:r>
        <w:rPr>
          <w:spacing w:val="-7"/>
        </w:rPr>
        <w:t> </w:t>
      </w:r>
      <w:r>
        <w:rPr/>
        <w:t>simulation</w:t>
      </w:r>
      <w:r>
        <w:rPr>
          <w:spacing w:val="-6"/>
        </w:rPr>
        <w:t> </w:t>
      </w:r>
      <w:r>
        <w:rPr/>
        <w:t>study</w:t>
      </w:r>
      <w:r>
        <w:rPr>
          <w:spacing w:val="-13"/>
        </w:rPr>
        <w:t> </w:t>
      </w:r>
      <w:r>
        <w:rPr/>
        <w:t>in</w:t>
      </w:r>
      <w:r>
        <w:rPr>
          <w:spacing w:val="-6"/>
        </w:rPr>
        <w:t> </w:t>
      </w:r>
      <w:r>
        <w:rPr/>
        <w:t>six</w:t>
      </w:r>
      <w:r>
        <w:rPr>
          <w:spacing w:val="-3"/>
        </w:rPr>
        <w:t> </w:t>
      </w:r>
      <w:r>
        <w:rPr/>
        <w:t>developing</w:t>
      </w:r>
      <w:r>
        <w:rPr>
          <w:spacing w:val="-9"/>
        </w:rPr>
        <w:t> </w:t>
      </w:r>
      <w:r>
        <w:rPr/>
        <w:t>countries</w:t>
      </w:r>
      <w:r>
        <w:rPr>
          <w:spacing w:val="-6"/>
        </w:rPr>
        <w:t> </w:t>
      </w:r>
      <w:r>
        <w:rPr/>
        <w:t>that subsidies are the most effective way to increase total incomes and the profitability of agricultural</w:t>
      </w:r>
      <w:r>
        <w:rPr>
          <w:spacing w:val="-12"/>
        </w:rPr>
        <w:t> </w:t>
      </w:r>
      <w:r>
        <w:rPr/>
        <w:t>systems.</w:t>
      </w:r>
      <w:r>
        <w:rPr>
          <w:spacing w:val="-7"/>
        </w:rPr>
        <w:t> </w:t>
      </w:r>
      <w:r>
        <w:rPr/>
        <w:t>In</w:t>
      </w:r>
      <w:r>
        <w:rPr>
          <w:spacing w:val="-12"/>
        </w:rPr>
        <w:t> </w:t>
      </w:r>
      <w:r>
        <w:rPr/>
        <w:t>that</w:t>
      </w:r>
      <w:r>
        <w:rPr>
          <w:spacing w:val="-12"/>
        </w:rPr>
        <w:t> </w:t>
      </w:r>
      <w:r>
        <w:rPr/>
        <w:t>sense,</w:t>
      </w:r>
      <w:r>
        <w:rPr>
          <w:spacing w:val="-10"/>
        </w:rPr>
        <w:t> </w:t>
      </w:r>
      <w:r>
        <w:rPr/>
        <w:t>Viaggi</w:t>
      </w:r>
      <w:r>
        <w:rPr>
          <w:spacing w:val="-9"/>
        </w:rPr>
        <w:t> </w:t>
      </w:r>
      <w:r>
        <w:rPr/>
        <w:t>et</w:t>
      </w:r>
      <w:r>
        <w:rPr>
          <w:spacing w:val="-12"/>
        </w:rPr>
        <w:t> </w:t>
      </w:r>
      <w:r>
        <w:rPr/>
        <w:t>al.</w:t>
      </w:r>
      <w:r>
        <w:rPr>
          <w:spacing w:val="-9"/>
        </w:rPr>
        <w:t> </w:t>
      </w:r>
      <w:r>
        <w:rPr/>
        <w:t>(2013)</w:t>
      </w:r>
      <w:r>
        <w:rPr>
          <w:spacing w:val="-13"/>
        </w:rPr>
        <w:t> </w:t>
      </w:r>
      <w:r>
        <w:rPr/>
        <w:t>in</w:t>
      </w:r>
      <w:r>
        <w:rPr>
          <w:spacing w:val="-12"/>
        </w:rPr>
        <w:t> </w:t>
      </w:r>
      <w:r>
        <w:rPr/>
        <w:t>European</w:t>
      </w:r>
      <w:r>
        <w:rPr>
          <w:spacing w:val="-10"/>
        </w:rPr>
        <w:t> </w:t>
      </w:r>
      <w:r>
        <w:rPr/>
        <w:t>family</w:t>
      </w:r>
      <w:r>
        <w:rPr>
          <w:spacing w:val="-14"/>
        </w:rPr>
        <w:t> </w:t>
      </w:r>
      <w:r>
        <w:rPr/>
        <w:t>farms,</w:t>
      </w:r>
      <w:r>
        <w:rPr>
          <w:spacing w:val="-10"/>
        </w:rPr>
        <w:t> </w:t>
      </w:r>
      <w:r>
        <w:rPr/>
        <w:t>and</w:t>
      </w:r>
      <w:r>
        <w:rPr>
          <w:spacing w:val="-10"/>
        </w:rPr>
        <w:t> </w:t>
      </w:r>
      <w:r>
        <w:rPr/>
        <w:t>Franco</w:t>
      </w:r>
    </w:p>
    <w:p>
      <w:pPr>
        <w:spacing w:after="0" w:line="360" w:lineRule="auto"/>
        <w:jc w:val="both"/>
        <w:sectPr>
          <w:pgSz w:w="12240" w:h="15840"/>
          <w:pgMar w:header="0" w:footer="657" w:top="1360" w:bottom="840" w:left="1600" w:right="1580"/>
        </w:sectPr>
      </w:pPr>
    </w:p>
    <w:p>
      <w:pPr>
        <w:pStyle w:val="BodyText"/>
        <w:spacing w:line="360" w:lineRule="auto" w:before="50"/>
        <w:ind w:left="102" w:right="121"/>
        <w:jc w:val="both"/>
      </w:pPr>
      <w:r>
        <w:rPr/>
        <w:t>et al. (2012) studying extensive livestock production in Spain, demonstrated that subsidies are crucial for the sustainability of small-scale agricultural systems in economic and employment terms.</w:t>
      </w:r>
    </w:p>
    <w:p>
      <w:pPr>
        <w:pStyle w:val="BodyText"/>
      </w:pPr>
    </w:p>
    <w:p>
      <w:pPr>
        <w:pStyle w:val="BodyText"/>
        <w:spacing w:before="3"/>
        <w:rPr>
          <w:sz w:val="33"/>
        </w:rPr>
      </w:pPr>
    </w:p>
    <w:p>
      <w:pPr>
        <w:pStyle w:val="BodyText"/>
        <w:spacing w:line="360" w:lineRule="auto"/>
        <w:ind w:left="102" w:right="118"/>
        <w:jc w:val="both"/>
      </w:pPr>
      <w:r>
        <w:rPr/>
        <w:t>However, the work herein reported showed that subsidies have a low impact on the studied small-scale dairy systems in terms of economic and financial viability, and no impact on family or waged employment; signifying their economic weakness.</w:t>
      </w:r>
    </w:p>
    <w:p>
      <w:pPr>
        <w:pStyle w:val="BodyText"/>
      </w:pPr>
    </w:p>
    <w:p>
      <w:pPr>
        <w:pStyle w:val="BodyText"/>
        <w:spacing w:before="4"/>
        <w:rPr>
          <w:sz w:val="33"/>
        </w:rPr>
      </w:pPr>
    </w:p>
    <w:p>
      <w:pPr>
        <w:pStyle w:val="ListParagraph"/>
        <w:numPr>
          <w:ilvl w:val="1"/>
          <w:numId w:val="24"/>
        </w:numPr>
        <w:tabs>
          <w:tab w:pos="523" w:val="left" w:leader="none"/>
        </w:tabs>
        <w:spacing w:line="240" w:lineRule="auto" w:before="0" w:after="0"/>
        <w:ind w:left="522" w:right="0" w:hanging="420"/>
        <w:jc w:val="both"/>
        <w:rPr>
          <w:i/>
          <w:sz w:val="24"/>
        </w:rPr>
      </w:pPr>
      <w:r>
        <w:rPr>
          <w:i/>
          <w:sz w:val="24"/>
        </w:rPr>
        <w:t>Financial</w:t>
      </w:r>
      <w:r>
        <w:rPr>
          <w:i/>
          <w:spacing w:val="-1"/>
          <w:sz w:val="24"/>
        </w:rPr>
        <w:t> </w:t>
      </w:r>
      <w:r>
        <w:rPr>
          <w:i/>
          <w:sz w:val="24"/>
        </w:rPr>
        <w:t>viability</w:t>
      </w:r>
    </w:p>
    <w:p>
      <w:pPr>
        <w:pStyle w:val="BodyText"/>
        <w:rPr>
          <w:i/>
        </w:rPr>
      </w:pPr>
    </w:p>
    <w:p>
      <w:pPr>
        <w:pStyle w:val="BodyText"/>
        <w:rPr>
          <w:i/>
        </w:rPr>
      </w:pPr>
    </w:p>
    <w:p>
      <w:pPr>
        <w:pStyle w:val="BodyText"/>
        <w:spacing w:before="10"/>
        <w:rPr>
          <w:i/>
          <w:sz w:val="20"/>
        </w:rPr>
      </w:pPr>
    </w:p>
    <w:p>
      <w:pPr>
        <w:pStyle w:val="BodyText"/>
        <w:spacing w:line="360" w:lineRule="auto"/>
        <w:ind w:left="102" w:right="116"/>
        <w:jc w:val="both"/>
      </w:pPr>
      <w:r>
        <w:rPr/>
        <w:t>The</w:t>
      </w:r>
      <w:r>
        <w:rPr>
          <w:spacing w:val="-9"/>
        </w:rPr>
        <w:t> </w:t>
      </w:r>
      <w:r>
        <w:rPr/>
        <w:t>good</w:t>
      </w:r>
      <w:r>
        <w:rPr>
          <w:spacing w:val="-10"/>
        </w:rPr>
        <w:t> </w:t>
      </w:r>
      <w:r>
        <w:rPr/>
        <w:t>financial</w:t>
      </w:r>
      <w:r>
        <w:rPr>
          <w:spacing w:val="-10"/>
        </w:rPr>
        <w:t> </w:t>
      </w:r>
      <w:r>
        <w:rPr/>
        <w:t>viability</w:t>
      </w:r>
      <w:r>
        <w:rPr>
          <w:spacing w:val="-15"/>
        </w:rPr>
        <w:t> </w:t>
      </w:r>
      <w:r>
        <w:rPr/>
        <w:t>of</w:t>
      </w:r>
      <w:r>
        <w:rPr>
          <w:spacing w:val="-11"/>
        </w:rPr>
        <w:t> </w:t>
      </w:r>
      <w:r>
        <w:rPr/>
        <w:t>the</w:t>
      </w:r>
      <w:r>
        <w:rPr>
          <w:spacing w:val="-11"/>
        </w:rPr>
        <w:t> </w:t>
      </w:r>
      <w:r>
        <w:rPr/>
        <w:t>RSSDF</w:t>
      </w:r>
      <w:r>
        <w:rPr>
          <w:spacing w:val="-12"/>
        </w:rPr>
        <w:t> </w:t>
      </w:r>
      <w:r>
        <w:rPr/>
        <w:t>in</w:t>
      </w:r>
      <w:r>
        <w:rPr>
          <w:spacing w:val="-10"/>
        </w:rPr>
        <w:t> </w:t>
      </w:r>
      <w:r>
        <w:rPr/>
        <w:t>Models</w:t>
      </w:r>
      <w:r>
        <w:rPr>
          <w:spacing w:val="-9"/>
        </w:rPr>
        <w:t> </w:t>
      </w:r>
      <w:r>
        <w:rPr/>
        <w:t>1,</w:t>
      </w:r>
      <w:r>
        <w:rPr>
          <w:spacing w:val="-10"/>
        </w:rPr>
        <w:t> </w:t>
      </w:r>
      <w:r>
        <w:rPr/>
        <w:t>2,</w:t>
      </w:r>
      <w:r>
        <w:rPr>
          <w:spacing w:val="-10"/>
        </w:rPr>
        <w:t> </w:t>
      </w:r>
      <w:r>
        <w:rPr/>
        <w:t>and</w:t>
      </w:r>
      <w:r>
        <w:rPr>
          <w:spacing w:val="-8"/>
        </w:rPr>
        <w:t> </w:t>
      </w:r>
      <w:r>
        <w:rPr/>
        <w:t>4</w:t>
      </w:r>
      <w:r>
        <w:rPr>
          <w:spacing w:val="-10"/>
        </w:rPr>
        <w:t> </w:t>
      </w:r>
      <w:r>
        <w:rPr/>
        <w:t>is</w:t>
      </w:r>
      <w:r>
        <w:rPr>
          <w:spacing w:val="-9"/>
        </w:rPr>
        <w:t> </w:t>
      </w:r>
      <w:r>
        <w:rPr/>
        <w:t>because</w:t>
      </w:r>
      <w:r>
        <w:rPr>
          <w:spacing w:val="-9"/>
        </w:rPr>
        <w:t> </w:t>
      </w:r>
      <w:r>
        <w:rPr/>
        <w:t>its</w:t>
      </w:r>
      <w:r>
        <w:rPr>
          <w:spacing w:val="-10"/>
        </w:rPr>
        <w:t> </w:t>
      </w:r>
      <w:r>
        <w:rPr/>
        <w:t>NPV</w:t>
      </w:r>
      <w:r>
        <w:rPr>
          <w:spacing w:val="-10"/>
        </w:rPr>
        <w:t> </w:t>
      </w:r>
      <w:r>
        <w:rPr/>
        <w:t>and</w:t>
      </w:r>
      <w:r>
        <w:rPr>
          <w:spacing w:val="-10"/>
        </w:rPr>
        <w:t> </w:t>
      </w:r>
      <w:r>
        <w:rPr/>
        <w:t>RRA were</w:t>
      </w:r>
      <w:r>
        <w:rPr>
          <w:spacing w:val="-11"/>
        </w:rPr>
        <w:t> </w:t>
      </w:r>
      <w:r>
        <w:rPr/>
        <w:t>higher</w:t>
      </w:r>
      <w:r>
        <w:rPr>
          <w:spacing w:val="-12"/>
        </w:rPr>
        <w:t> </w:t>
      </w:r>
      <w:r>
        <w:rPr/>
        <w:t>than</w:t>
      </w:r>
      <w:r>
        <w:rPr>
          <w:spacing w:val="-9"/>
        </w:rPr>
        <w:t> </w:t>
      </w:r>
      <w:r>
        <w:rPr/>
        <w:t>the</w:t>
      </w:r>
      <w:r>
        <w:rPr>
          <w:spacing w:val="-12"/>
        </w:rPr>
        <w:t> </w:t>
      </w:r>
      <w:r>
        <w:rPr/>
        <w:t>discount</w:t>
      </w:r>
      <w:r>
        <w:rPr>
          <w:spacing w:val="-11"/>
        </w:rPr>
        <w:t> </w:t>
      </w:r>
      <w:r>
        <w:rPr/>
        <w:t>rate</w:t>
      </w:r>
      <w:r>
        <w:rPr>
          <w:spacing w:val="-12"/>
        </w:rPr>
        <w:t> </w:t>
      </w:r>
      <w:r>
        <w:rPr/>
        <w:t>(Richardson</w:t>
      </w:r>
      <w:r>
        <w:rPr>
          <w:spacing w:val="-9"/>
        </w:rPr>
        <w:t> </w:t>
      </w:r>
      <w:r>
        <w:rPr/>
        <w:t>and</w:t>
      </w:r>
      <w:r>
        <w:rPr>
          <w:spacing w:val="-11"/>
        </w:rPr>
        <w:t> </w:t>
      </w:r>
      <w:r>
        <w:rPr/>
        <w:t>Mapp,</w:t>
      </w:r>
      <w:r>
        <w:rPr>
          <w:spacing w:val="-11"/>
        </w:rPr>
        <w:t> </w:t>
      </w:r>
      <w:r>
        <w:rPr/>
        <w:t>1976;</w:t>
      </w:r>
      <w:r>
        <w:rPr>
          <w:spacing w:val="-11"/>
        </w:rPr>
        <w:t> </w:t>
      </w:r>
      <w:r>
        <w:rPr/>
        <w:t>Gill</w:t>
      </w:r>
      <w:r>
        <w:rPr>
          <w:spacing w:val="-11"/>
        </w:rPr>
        <w:t> </w:t>
      </w:r>
      <w:r>
        <w:rPr/>
        <w:t>et</w:t>
      </w:r>
      <w:r>
        <w:rPr>
          <w:spacing w:val="-11"/>
        </w:rPr>
        <w:t> </w:t>
      </w:r>
      <w:r>
        <w:rPr/>
        <w:t>al.,</w:t>
      </w:r>
      <w:r>
        <w:rPr>
          <w:spacing w:val="-8"/>
        </w:rPr>
        <w:t> </w:t>
      </w:r>
      <w:r>
        <w:rPr/>
        <w:t>2003;</w:t>
      </w:r>
      <w:r>
        <w:rPr>
          <w:spacing w:val="-11"/>
        </w:rPr>
        <w:t> </w:t>
      </w:r>
      <w:r>
        <w:rPr/>
        <w:t>Richardson et al., 2007b). Model 3, on the contrary, had a high probability of financial failure and de- capitalisation due to its dependence on purchased inputs. Chapman et al. (2008) and Fariña et al. (2013) have similar results from dairy farms in Australia, demonstrating that dependence on concentrates increases financial risks by 8% compared to a system based on low concentrate inputs and high forage</w:t>
      </w:r>
      <w:r>
        <w:rPr>
          <w:spacing w:val="-10"/>
        </w:rPr>
        <w:t> </w:t>
      </w:r>
      <w:r>
        <w:rPr/>
        <w:t>usage.</w:t>
      </w:r>
    </w:p>
    <w:p>
      <w:pPr>
        <w:pStyle w:val="BodyText"/>
      </w:pPr>
    </w:p>
    <w:p>
      <w:pPr>
        <w:pStyle w:val="BodyText"/>
        <w:spacing w:before="3"/>
        <w:rPr>
          <w:sz w:val="33"/>
        </w:rPr>
      </w:pPr>
    </w:p>
    <w:p>
      <w:pPr>
        <w:pStyle w:val="BodyText"/>
        <w:spacing w:line="360" w:lineRule="auto"/>
        <w:ind w:left="102" w:right="115"/>
        <w:jc w:val="both"/>
      </w:pPr>
      <w:r>
        <w:rPr/>
        <w:t>This study demonstrated that the RSSDF reduced its financial risk by 20% since the feeding of the herd is comprised by 95% of forages produced in the farm, and 5% by commercial compound concentrates (Models 1, 2, and 4). Therefore, the implementation of a policy focused</w:t>
      </w:r>
      <w:r>
        <w:rPr>
          <w:spacing w:val="-10"/>
        </w:rPr>
        <w:t> </w:t>
      </w:r>
      <w:r>
        <w:rPr/>
        <w:t>and</w:t>
      </w:r>
      <w:r>
        <w:rPr>
          <w:spacing w:val="-10"/>
        </w:rPr>
        <w:t> </w:t>
      </w:r>
      <w:r>
        <w:rPr/>
        <w:t>well</w:t>
      </w:r>
      <w:r>
        <w:rPr>
          <w:spacing w:val="-9"/>
        </w:rPr>
        <w:t> </w:t>
      </w:r>
      <w:r>
        <w:rPr/>
        <w:t>aimed</w:t>
      </w:r>
      <w:r>
        <w:rPr>
          <w:spacing w:val="-10"/>
        </w:rPr>
        <w:t> </w:t>
      </w:r>
      <w:r>
        <w:rPr/>
        <w:t>that</w:t>
      </w:r>
      <w:r>
        <w:rPr>
          <w:spacing w:val="-10"/>
        </w:rPr>
        <w:t> </w:t>
      </w:r>
      <w:r>
        <w:rPr/>
        <w:t>promotes</w:t>
      </w:r>
      <w:r>
        <w:rPr>
          <w:spacing w:val="-10"/>
        </w:rPr>
        <w:t> </w:t>
      </w:r>
      <w:r>
        <w:rPr/>
        <w:t>and</w:t>
      </w:r>
      <w:r>
        <w:rPr>
          <w:spacing w:val="-10"/>
        </w:rPr>
        <w:t> </w:t>
      </w:r>
      <w:r>
        <w:rPr/>
        <w:t>sustains</w:t>
      </w:r>
      <w:r>
        <w:rPr>
          <w:spacing w:val="-9"/>
        </w:rPr>
        <w:t> </w:t>
      </w:r>
      <w:r>
        <w:rPr/>
        <w:t>the</w:t>
      </w:r>
      <w:r>
        <w:rPr>
          <w:spacing w:val="-10"/>
        </w:rPr>
        <w:t> </w:t>
      </w:r>
      <w:r>
        <w:rPr/>
        <w:t>in-farm</w:t>
      </w:r>
      <w:r>
        <w:rPr>
          <w:spacing w:val="-10"/>
        </w:rPr>
        <w:t> </w:t>
      </w:r>
      <w:r>
        <w:rPr/>
        <w:t>production</w:t>
      </w:r>
      <w:r>
        <w:rPr>
          <w:spacing w:val="-9"/>
        </w:rPr>
        <w:t> </w:t>
      </w:r>
      <w:r>
        <w:rPr/>
        <w:t>of</w:t>
      </w:r>
      <w:r>
        <w:rPr>
          <w:spacing w:val="-10"/>
        </w:rPr>
        <w:t> </w:t>
      </w:r>
      <w:r>
        <w:rPr/>
        <w:t>inputs</w:t>
      </w:r>
      <w:r>
        <w:rPr>
          <w:spacing w:val="-9"/>
        </w:rPr>
        <w:t> </w:t>
      </w:r>
      <w:r>
        <w:rPr/>
        <w:t>(forages) will</w:t>
      </w:r>
      <w:r>
        <w:rPr>
          <w:spacing w:val="-4"/>
        </w:rPr>
        <w:t> </w:t>
      </w:r>
      <w:r>
        <w:rPr/>
        <w:t>decrease</w:t>
      </w:r>
      <w:r>
        <w:rPr>
          <w:spacing w:val="-6"/>
        </w:rPr>
        <w:t> </w:t>
      </w:r>
      <w:r>
        <w:rPr/>
        <w:t>considerably</w:t>
      </w:r>
      <w:r>
        <w:rPr>
          <w:spacing w:val="-8"/>
        </w:rPr>
        <w:t> </w:t>
      </w:r>
      <w:r>
        <w:rPr/>
        <w:t>the</w:t>
      </w:r>
      <w:r>
        <w:rPr>
          <w:spacing w:val="-3"/>
        </w:rPr>
        <w:t> </w:t>
      </w:r>
      <w:r>
        <w:rPr/>
        <w:t>risk</w:t>
      </w:r>
      <w:r>
        <w:rPr>
          <w:spacing w:val="-5"/>
        </w:rPr>
        <w:t> </w:t>
      </w:r>
      <w:r>
        <w:rPr/>
        <w:t>of</w:t>
      </w:r>
      <w:r>
        <w:rPr>
          <w:spacing w:val="-6"/>
        </w:rPr>
        <w:t> </w:t>
      </w:r>
      <w:r>
        <w:rPr/>
        <w:t>abandonment</w:t>
      </w:r>
      <w:r>
        <w:rPr>
          <w:spacing w:val="-5"/>
        </w:rPr>
        <w:t> </w:t>
      </w:r>
      <w:r>
        <w:rPr/>
        <w:t>of</w:t>
      </w:r>
      <w:r>
        <w:rPr>
          <w:spacing w:val="-6"/>
        </w:rPr>
        <w:t> </w:t>
      </w:r>
      <w:r>
        <w:rPr/>
        <w:t>dairy</w:t>
      </w:r>
      <w:r>
        <w:rPr>
          <w:spacing w:val="-10"/>
        </w:rPr>
        <w:t> </w:t>
      </w:r>
      <w:r>
        <w:rPr/>
        <w:t>farming</w:t>
      </w:r>
      <w:r>
        <w:rPr>
          <w:spacing w:val="-7"/>
        </w:rPr>
        <w:t> </w:t>
      </w:r>
      <w:r>
        <w:rPr/>
        <w:t>in</w:t>
      </w:r>
      <w:r>
        <w:rPr>
          <w:spacing w:val="-5"/>
        </w:rPr>
        <w:t> </w:t>
      </w:r>
      <w:r>
        <w:rPr/>
        <w:t>the</w:t>
      </w:r>
      <w:r>
        <w:rPr>
          <w:spacing w:val="-3"/>
        </w:rPr>
        <w:t> </w:t>
      </w:r>
      <w:r>
        <w:rPr/>
        <w:t>medium</w:t>
      </w:r>
      <w:r>
        <w:rPr>
          <w:spacing w:val="-5"/>
        </w:rPr>
        <w:t> </w:t>
      </w:r>
      <w:r>
        <w:rPr/>
        <w:t>and</w:t>
      </w:r>
      <w:r>
        <w:rPr>
          <w:spacing w:val="-5"/>
        </w:rPr>
        <w:t> </w:t>
      </w:r>
      <w:r>
        <w:rPr/>
        <w:t>long term; and would place small-scale dairy systems in a better economic</w:t>
      </w:r>
      <w:r>
        <w:rPr>
          <w:spacing w:val="-15"/>
        </w:rPr>
        <w:t> </w:t>
      </w:r>
      <w:r>
        <w:rPr/>
        <w:t>panorama.</w:t>
      </w:r>
    </w:p>
    <w:p>
      <w:pPr>
        <w:pStyle w:val="BodyText"/>
      </w:pPr>
    </w:p>
    <w:p>
      <w:pPr>
        <w:pStyle w:val="BodyText"/>
        <w:spacing w:before="3"/>
        <w:rPr>
          <w:sz w:val="33"/>
        </w:rPr>
      </w:pPr>
    </w:p>
    <w:p>
      <w:pPr>
        <w:pStyle w:val="BodyText"/>
        <w:spacing w:line="360" w:lineRule="auto"/>
        <w:ind w:left="102" w:right="118"/>
        <w:jc w:val="both"/>
      </w:pPr>
      <w:r>
        <w:rPr/>
        <w:t>With</w:t>
      </w:r>
      <w:r>
        <w:rPr>
          <w:spacing w:val="-16"/>
        </w:rPr>
        <w:t> </w:t>
      </w:r>
      <w:r>
        <w:rPr/>
        <w:t>or</w:t>
      </w:r>
      <w:r>
        <w:rPr>
          <w:spacing w:val="-17"/>
        </w:rPr>
        <w:t> </w:t>
      </w:r>
      <w:r>
        <w:rPr/>
        <w:t>without</w:t>
      </w:r>
      <w:r>
        <w:rPr>
          <w:spacing w:val="-15"/>
        </w:rPr>
        <w:t> </w:t>
      </w:r>
      <w:r>
        <w:rPr/>
        <w:t>government</w:t>
      </w:r>
      <w:r>
        <w:rPr>
          <w:spacing w:val="-15"/>
        </w:rPr>
        <w:t> </w:t>
      </w:r>
      <w:r>
        <w:rPr/>
        <w:t>support</w:t>
      </w:r>
      <w:r>
        <w:rPr>
          <w:spacing w:val="-16"/>
        </w:rPr>
        <w:t> </w:t>
      </w:r>
      <w:r>
        <w:rPr/>
        <w:t>transferences,</w:t>
      </w:r>
      <w:r>
        <w:rPr>
          <w:spacing w:val="-14"/>
        </w:rPr>
        <w:t> </w:t>
      </w:r>
      <w:r>
        <w:rPr/>
        <w:t>the</w:t>
      </w:r>
      <w:r>
        <w:rPr>
          <w:spacing w:val="-16"/>
        </w:rPr>
        <w:t> </w:t>
      </w:r>
      <w:r>
        <w:rPr/>
        <w:t>RSSDF</w:t>
      </w:r>
      <w:r>
        <w:rPr>
          <w:spacing w:val="-18"/>
        </w:rPr>
        <w:t> </w:t>
      </w:r>
      <w:r>
        <w:rPr/>
        <w:t>showed</w:t>
      </w:r>
      <w:r>
        <w:rPr>
          <w:spacing w:val="-16"/>
        </w:rPr>
        <w:t> </w:t>
      </w:r>
      <w:r>
        <w:rPr/>
        <w:t>a</w:t>
      </w:r>
      <w:r>
        <w:rPr>
          <w:spacing w:val="-17"/>
        </w:rPr>
        <w:t> </w:t>
      </w:r>
      <w:r>
        <w:rPr/>
        <w:t>favourable</w:t>
      </w:r>
      <w:r>
        <w:rPr>
          <w:spacing w:val="-16"/>
        </w:rPr>
        <w:t> </w:t>
      </w:r>
      <w:r>
        <w:rPr/>
        <w:t>financial situation during the analysed planning horizon (Model 4). Somda et al. (2005) reported similar results for small-scale dairy systems Gambia, showing that the studied systems  </w:t>
      </w:r>
      <w:r>
        <w:rPr>
          <w:spacing w:val="40"/>
        </w:rPr>
        <w:t> </w:t>
      </w:r>
      <w:r>
        <w:rPr/>
        <w:t>are</w:t>
      </w:r>
    </w:p>
    <w:p>
      <w:pPr>
        <w:spacing w:after="0" w:line="360" w:lineRule="auto"/>
        <w:jc w:val="both"/>
        <w:sectPr>
          <w:pgSz w:w="12240" w:h="15840"/>
          <w:pgMar w:header="0" w:footer="657" w:top="1360" w:bottom="840" w:left="1600" w:right="1580"/>
        </w:sectPr>
      </w:pPr>
    </w:p>
    <w:p>
      <w:pPr>
        <w:pStyle w:val="BodyText"/>
        <w:spacing w:line="360" w:lineRule="auto" w:before="50"/>
        <w:ind w:left="102" w:right="116"/>
        <w:jc w:val="both"/>
      </w:pPr>
      <w:r>
        <w:rPr/>
        <w:t>financially viable in spite of low subsidies. Also, Smith et al. (1999) conclude from a study of</w:t>
      </w:r>
      <w:r>
        <w:rPr>
          <w:spacing w:val="-5"/>
        </w:rPr>
        <w:t> </w:t>
      </w:r>
      <w:r>
        <w:rPr/>
        <w:t>family</w:t>
      </w:r>
      <w:r>
        <w:rPr>
          <w:spacing w:val="-9"/>
        </w:rPr>
        <w:t> </w:t>
      </w:r>
      <w:r>
        <w:rPr/>
        <w:t>farms</w:t>
      </w:r>
      <w:r>
        <w:rPr>
          <w:spacing w:val="-4"/>
        </w:rPr>
        <w:t> </w:t>
      </w:r>
      <w:r>
        <w:rPr/>
        <w:t>in</w:t>
      </w:r>
      <w:r>
        <w:rPr>
          <w:spacing w:val="-3"/>
        </w:rPr>
        <w:t> </w:t>
      </w:r>
      <w:r>
        <w:rPr/>
        <w:t>Mississippi</w:t>
      </w:r>
      <w:r>
        <w:rPr>
          <w:spacing w:val="-3"/>
        </w:rPr>
        <w:t> </w:t>
      </w:r>
      <w:r>
        <w:rPr/>
        <w:t>in</w:t>
      </w:r>
      <w:r>
        <w:rPr>
          <w:spacing w:val="-6"/>
        </w:rPr>
        <w:t> </w:t>
      </w:r>
      <w:r>
        <w:rPr/>
        <w:t>the</w:t>
      </w:r>
      <w:r>
        <w:rPr>
          <w:spacing w:val="-4"/>
        </w:rPr>
        <w:t> </w:t>
      </w:r>
      <w:r>
        <w:rPr/>
        <w:t>USA</w:t>
      </w:r>
      <w:r>
        <w:rPr>
          <w:spacing w:val="-6"/>
        </w:rPr>
        <w:t> </w:t>
      </w:r>
      <w:r>
        <w:rPr/>
        <w:t>that</w:t>
      </w:r>
      <w:r>
        <w:rPr>
          <w:spacing w:val="-4"/>
        </w:rPr>
        <w:t> </w:t>
      </w:r>
      <w:r>
        <w:rPr/>
        <w:t>the</w:t>
      </w:r>
      <w:r>
        <w:rPr>
          <w:spacing w:val="-7"/>
        </w:rPr>
        <w:t> </w:t>
      </w:r>
      <w:r>
        <w:rPr/>
        <w:t>financial</w:t>
      </w:r>
      <w:r>
        <w:rPr>
          <w:spacing w:val="-4"/>
        </w:rPr>
        <w:t> </w:t>
      </w:r>
      <w:r>
        <w:rPr/>
        <w:t>viability</w:t>
      </w:r>
      <w:r>
        <w:rPr>
          <w:spacing w:val="-11"/>
        </w:rPr>
        <w:t> </w:t>
      </w:r>
      <w:r>
        <w:rPr/>
        <w:t>is</w:t>
      </w:r>
      <w:r>
        <w:rPr>
          <w:spacing w:val="-3"/>
        </w:rPr>
        <w:t> </w:t>
      </w:r>
      <w:r>
        <w:rPr/>
        <w:t>not</w:t>
      </w:r>
      <w:r>
        <w:rPr>
          <w:spacing w:val="-3"/>
        </w:rPr>
        <w:t> </w:t>
      </w:r>
      <w:r>
        <w:rPr/>
        <w:t>related</w:t>
      </w:r>
      <w:r>
        <w:rPr>
          <w:spacing w:val="-4"/>
        </w:rPr>
        <w:t> </w:t>
      </w:r>
      <w:r>
        <w:rPr/>
        <w:t>to</w:t>
      </w:r>
      <w:r>
        <w:rPr>
          <w:spacing w:val="-3"/>
        </w:rPr>
        <w:t> </w:t>
      </w:r>
      <w:r>
        <w:rPr/>
        <w:t>the</w:t>
      </w:r>
      <w:r>
        <w:rPr>
          <w:spacing w:val="-4"/>
        </w:rPr>
        <w:t> </w:t>
      </w:r>
      <w:r>
        <w:rPr/>
        <w:t>size of the farms, and that family farms may be as efficient as large commercial</w:t>
      </w:r>
      <w:r>
        <w:rPr>
          <w:spacing w:val="-18"/>
        </w:rPr>
        <w:t> </w:t>
      </w:r>
      <w:r>
        <w:rPr/>
        <w:t>farms.</w:t>
      </w:r>
    </w:p>
    <w:p>
      <w:pPr>
        <w:pStyle w:val="BodyText"/>
      </w:pPr>
    </w:p>
    <w:p>
      <w:pPr>
        <w:pStyle w:val="BodyText"/>
        <w:spacing w:before="3"/>
        <w:rPr>
          <w:sz w:val="33"/>
        </w:rPr>
      </w:pPr>
    </w:p>
    <w:p>
      <w:pPr>
        <w:pStyle w:val="BodyText"/>
        <w:spacing w:line="360" w:lineRule="auto"/>
        <w:ind w:left="102" w:right="120"/>
        <w:jc w:val="both"/>
      </w:pPr>
      <w:r>
        <w:rPr/>
        <w:t>The</w:t>
      </w:r>
      <w:r>
        <w:rPr>
          <w:spacing w:val="-14"/>
        </w:rPr>
        <w:t> </w:t>
      </w:r>
      <w:r>
        <w:rPr/>
        <w:t>financial</w:t>
      </w:r>
      <w:r>
        <w:rPr>
          <w:spacing w:val="-12"/>
        </w:rPr>
        <w:t> </w:t>
      </w:r>
      <w:r>
        <w:rPr/>
        <w:t>model</w:t>
      </w:r>
      <w:r>
        <w:rPr>
          <w:spacing w:val="-13"/>
        </w:rPr>
        <w:t> </w:t>
      </w:r>
      <w:r>
        <w:rPr/>
        <w:t>showed</w:t>
      </w:r>
      <w:r>
        <w:rPr>
          <w:spacing w:val="-12"/>
        </w:rPr>
        <w:t> </w:t>
      </w:r>
      <w:r>
        <w:rPr/>
        <w:t>a</w:t>
      </w:r>
      <w:r>
        <w:rPr>
          <w:spacing w:val="-10"/>
        </w:rPr>
        <w:t> </w:t>
      </w:r>
      <w:r>
        <w:rPr/>
        <w:t>low</w:t>
      </w:r>
      <w:r>
        <w:rPr>
          <w:spacing w:val="-13"/>
        </w:rPr>
        <w:t> </w:t>
      </w:r>
      <w:r>
        <w:rPr/>
        <w:t>probability</w:t>
      </w:r>
      <w:r>
        <w:rPr>
          <w:spacing w:val="-17"/>
        </w:rPr>
        <w:t> </w:t>
      </w:r>
      <w:r>
        <w:rPr/>
        <w:t>(P&lt;25%)</w:t>
      </w:r>
      <w:r>
        <w:rPr>
          <w:spacing w:val="-11"/>
        </w:rPr>
        <w:t> </w:t>
      </w:r>
      <w:r>
        <w:rPr/>
        <w:t>for</w:t>
      </w:r>
      <w:r>
        <w:rPr>
          <w:spacing w:val="-14"/>
        </w:rPr>
        <w:t> </w:t>
      </w:r>
      <w:r>
        <w:rPr/>
        <w:t>de-capitalisation</w:t>
      </w:r>
      <w:r>
        <w:rPr>
          <w:spacing w:val="-12"/>
        </w:rPr>
        <w:t> </w:t>
      </w:r>
      <w:r>
        <w:rPr/>
        <w:t>and</w:t>
      </w:r>
      <w:r>
        <w:rPr>
          <w:spacing w:val="-12"/>
        </w:rPr>
        <w:t> </w:t>
      </w:r>
      <w:r>
        <w:rPr/>
        <w:t>of</w:t>
      </w:r>
      <w:r>
        <w:rPr>
          <w:spacing w:val="-11"/>
        </w:rPr>
        <w:t> </w:t>
      </w:r>
      <w:r>
        <w:rPr/>
        <w:t>obtaining negative final (ending) cash during the planning horizon 2010-2018 for Models 1, 2, and 4; ensuring</w:t>
      </w:r>
      <w:r>
        <w:rPr>
          <w:spacing w:val="-9"/>
        </w:rPr>
        <w:t> </w:t>
      </w:r>
      <w:r>
        <w:rPr/>
        <w:t>the</w:t>
      </w:r>
      <w:r>
        <w:rPr>
          <w:spacing w:val="-9"/>
        </w:rPr>
        <w:t> </w:t>
      </w:r>
      <w:r>
        <w:rPr/>
        <w:t>constant</w:t>
      </w:r>
      <w:r>
        <w:rPr>
          <w:spacing w:val="-8"/>
        </w:rPr>
        <w:t> </w:t>
      </w:r>
      <w:r>
        <w:rPr/>
        <w:t>cash</w:t>
      </w:r>
      <w:r>
        <w:rPr>
          <w:spacing w:val="-9"/>
        </w:rPr>
        <w:t> </w:t>
      </w:r>
      <w:r>
        <w:rPr/>
        <w:t>flow</w:t>
      </w:r>
      <w:r>
        <w:rPr>
          <w:spacing w:val="-9"/>
        </w:rPr>
        <w:t> </w:t>
      </w:r>
      <w:r>
        <w:rPr/>
        <w:t>for</w:t>
      </w:r>
      <w:r>
        <w:rPr>
          <w:spacing w:val="-8"/>
        </w:rPr>
        <w:t> </w:t>
      </w:r>
      <w:r>
        <w:rPr/>
        <w:t>the</w:t>
      </w:r>
      <w:r>
        <w:rPr>
          <w:spacing w:val="-9"/>
        </w:rPr>
        <w:t> </w:t>
      </w:r>
      <w:r>
        <w:rPr/>
        <w:t>purchase</w:t>
      </w:r>
      <w:r>
        <w:rPr>
          <w:spacing w:val="-7"/>
        </w:rPr>
        <w:t> </w:t>
      </w:r>
      <w:r>
        <w:rPr/>
        <w:t>of</w:t>
      </w:r>
      <w:r>
        <w:rPr>
          <w:spacing w:val="-7"/>
        </w:rPr>
        <w:t> </w:t>
      </w:r>
      <w:r>
        <w:rPr/>
        <w:t>inputs</w:t>
      </w:r>
      <w:r>
        <w:rPr>
          <w:spacing w:val="-8"/>
        </w:rPr>
        <w:t> </w:t>
      </w:r>
      <w:r>
        <w:rPr/>
        <w:t>and</w:t>
      </w:r>
      <w:r>
        <w:rPr>
          <w:spacing w:val="-9"/>
        </w:rPr>
        <w:t> </w:t>
      </w:r>
      <w:r>
        <w:rPr/>
        <w:t>the</w:t>
      </w:r>
      <w:r>
        <w:rPr>
          <w:spacing w:val="-9"/>
        </w:rPr>
        <w:t> </w:t>
      </w:r>
      <w:r>
        <w:rPr/>
        <w:t>keeping</w:t>
      </w:r>
      <w:r>
        <w:rPr>
          <w:spacing w:val="-11"/>
        </w:rPr>
        <w:t> </w:t>
      </w:r>
      <w:r>
        <w:rPr/>
        <w:t>of</w:t>
      </w:r>
      <w:r>
        <w:rPr>
          <w:spacing w:val="-7"/>
        </w:rPr>
        <w:t> </w:t>
      </w:r>
      <w:r>
        <w:rPr/>
        <w:t>their</w:t>
      </w:r>
      <w:r>
        <w:rPr>
          <w:spacing w:val="-9"/>
        </w:rPr>
        <w:t> </w:t>
      </w:r>
      <w:r>
        <w:rPr/>
        <w:t>main</w:t>
      </w:r>
      <w:r>
        <w:rPr>
          <w:spacing w:val="-9"/>
        </w:rPr>
        <w:t> </w:t>
      </w:r>
      <w:r>
        <w:rPr/>
        <w:t>asset (the cows); as has been demonstrated by Posadas et al. (2013a) in the study</w:t>
      </w:r>
      <w:r>
        <w:rPr>
          <w:spacing w:val="-13"/>
        </w:rPr>
        <w:t> </w:t>
      </w:r>
      <w:r>
        <w:rPr/>
        <w:t>area.</w:t>
      </w:r>
    </w:p>
    <w:p>
      <w:pPr>
        <w:pStyle w:val="BodyText"/>
      </w:pPr>
    </w:p>
    <w:p>
      <w:pPr>
        <w:pStyle w:val="BodyText"/>
        <w:spacing w:before="4"/>
        <w:rPr>
          <w:sz w:val="33"/>
        </w:rPr>
      </w:pPr>
    </w:p>
    <w:p>
      <w:pPr>
        <w:pStyle w:val="BodyText"/>
        <w:spacing w:line="360" w:lineRule="auto"/>
        <w:ind w:left="102" w:right="116"/>
        <w:jc w:val="both"/>
      </w:pPr>
      <w:r>
        <w:rPr/>
        <w:t>In terms of the cost/benefit ratio (C/B), Herbst et al. (2010) report between 63% and 75% cost to receipts for farms that grow most of their forage needs in the USA; and Ochoa et al. (1998)</w:t>
      </w:r>
      <w:r>
        <w:rPr>
          <w:spacing w:val="-4"/>
        </w:rPr>
        <w:t> </w:t>
      </w:r>
      <w:r>
        <w:rPr/>
        <w:t>reported</w:t>
      </w:r>
      <w:r>
        <w:rPr>
          <w:spacing w:val="-3"/>
        </w:rPr>
        <w:t> </w:t>
      </w:r>
      <w:r>
        <w:rPr/>
        <w:t>a</w:t>
      </w:r>
      <w:r>
        <w:rPr>
          <w:spacing w:val="-4"/>
        </w:rPr>
        <w:t> </w:t>
      </w:r>
      <w:r>
        <w:rPr/>
        <w:t>C/B</w:t>
      </w:r>
      <w:r>
        <w:rPr>
          <w:spacing w:val="-5"/>
        </w:rPr>
        <w:t> </w:t>
      </w:r>
      <w:r>
        <w:rPr/>
        <w:t>of 65%</w:t>
      </w:r>
      <w:r>
        <w:rPr>
          <w:spacing w:val="-4"/>
        </w:rPr>
        <w:t> </w:t>
      </w:r>
      <w:r>
        <w:rPr/>
        <w:t>and</w:t>
      </w:r>
      <w:r>
        <w:rPr>
          <w:spacing w:val="-3"/>
        </w:rPr>
        <w:t> </w:t>
      </w:r>
      <w:r>
        <w:rPr/>
        <w:t>80%</w:t>
      </w:r>
      <w:r>
        <w:rPr>
          <w:spacing w:val="-1"/>
        </w:rPr>
        <w:t> </w:t>
      </w:r>
      <w:r>
        <w:rPr/>
        <w:t>for</w:t>
      </w:r>
      <w:r>
        <w:rPr>
          <w:spacing w:val="-4"/>
        </w:rPr>
        <w:t> </w:t>
      </w:r>
      <w:r>
        <w:rPr/>
        <w:t>small-scale</w:t>
      </w:r>
      <w:r>
        <w:rPr>
          <w:spacing w:val="-3"/>
        </w:rPr>
        <w:t> </w:t>
      </w:r>
      <w:r>
        <w:rPr/>
        <w:t>dairy</w:t>
      </w:r>
      <w:r>
        <w:rPr>
          <w:spacing w:val="-8"/>
        </w:rPr>
        <w:t> </w:t>
      </w:r>
      <w:r>
        <w:rPr/>
        <w:t>production</w:t>
      </w:r>
      <w:r>
        <w:rPr>
          <w:spacing w:val="-3"/>
        </w:rPr>
        <w:t> </w:t>
      </w:r>
      <w:r>
        <w:rPr/>
        <w:t>systems</w:t>
      </w:r>
      <w:r>
        <w:rPr>
          <w:spacing w:val="-3"/>
        </w:rPr>
        <w:t> </w:t>
      </w:r>
      <w:r>
        <w:rPr/>
        <w:t>in</w:t>
      </w:r>
      <w:r>
        <w:rPr>
          <w:spacing w:val="-2"/>
        </w:rPr>
        <w:t> </w:t>
      </w:r>
      <w:r>
        <w:rPr/>
        <w:t>the</w:t>
      </w:r>
      <w:r>
        <w:rPr>
          <w:spacing w:val="-3"/>
        </w:rPr>
        <w:t> </w:t>
      </w:r>
      <w:r>
        <w:rPr/>
        <w:t>State of Jalisco in Western Mexico, ratios that are similar to the C/B found in this work. These results show that the RSSDF is financially sound and profitable over the planning horizon 2010 –</w:t>
      </w:r>
      <w:r>
        <w:rPr>
          <w:spacing w:val="-1"/>
        </w:rPr>
        <w:t> </w:t>
      </w:r>
      <w:r>
        <w:rPr/>
        <w:t>2018.</w:t>
      </w:r>
    </w:p>
    <w:p>
      <w:pPr>
        <w:pStyle w:val="BodyText"/>
      </w:pPr>
    </w:p>
    <w:p>
      <w:pPr>
        <w:pStyle w:val="BodyText"/>
        <w:spacing w:before="8"/>
        <w:rPr>
          <w:sz w:val="33"/>
        </w:rPr>
      </w:pPr>
    </w:p>
    <w:p>
      <w:pPr>
        <w:pStyle w:val="Heading1"/>
        <w:numPr>
          <w:ilvl w:val="0"/>
          <w:numId w:val="24"/>
        </w:numPr>
        <w:tabs>
          <w:tab w:pos="343" w:val="left" w:leader="none"/>
        </w:tabs>
        <w:spacing w:line="240" w:lineRule="auto" w:before="1" w:after="0"/>
        <w:ind w:left="342" w:right="0" w:hanging="240"/>
        <w:jc w:val="both"/>
      </w:pPr>
      <w:r>
        <w:rPr/>
        <w:t>Conclusions</w:t>
      </w:r>
    </w:p>
    <w:p>
      <w:pPr>
        <w:pStyle w:val="BodyText"/>
        <w:rPr>
          <w:b/>
        </w:rPr>
      </w:pPr>
    </w:p>
    <w:p>
      <w:pPr>
        <w:pStyle w:val="BodyText"/>
        <w:rPr>
          <w:b/>
        </w:rPr>
      </w:pPr>
    </w:p>
    <w:p>
      <w:pPr>
        <w:pStyle w:val="BodyText"/>
        <w:spacing w:before="5"/>
        <w:rPr>
          <w:b/>
          <w:sz w:val="20"/>
        </w:rPr>
      </w:pPr>
    </w:p>
    <w:p>
      <w:pPr>
        <w:pStyle w:val="BodyText"/>
        <w:spacing w:line="360" w:lineRule="auto"/>
        <w:ind w:left="102" w:right="121"/>
        <w:jc w:val="both"/>
      </w:pPr>
      <w:r>
        <w:rPr/>
        <w:t>The RSSDF was economically and financially viable, showing better results when no economic cost is applied to family labour (Model 2); although hiring labour did not show a significant effect on the economic and financial viability of the farm (Model 1).</w:t>
      </w:r>
    </w:p>
    <w:p>
      <w:pPr>
        <w:pStyle w:val="BodyText"/>
        <w:spacing w:line="360" w:lineRule="auto" w:before="126"/>
        <w:ind w:left="102" w:right="118"/>
        <w:jc w:val="both"/>
      </w:pPr>
      <w:r>
        <w:rPr/>
        <w:t>However, in order for Model 1 to reach a financial viability of 93%, similar to Model 2, would require waged labour to generate an economic value of US$ 1,849 during each year of the planning horizon 2010 – 2018. </w:t>
      </w:r>
      <w:r>
        <w:rPr>
          <w:spacing w:val="-3"/>
        </w:rPr>
        <w:t>In </w:t>
      </w:r>
      <w:r>
        <w:rPr/>
        <w:t>regards to the four risk variables studied, the production</w:t>
      </w:r>
      <w:r>
        <w:rPr>
          <w:spacing w:val="-13"/>
        </w:rPr>
        <w:t> </w:t>
      </w:r>
      <w:r>
        <w:rPr/>
        <w:t>of</w:t>
      </w:r>
      <w:r>
        <w:rPr>
          <w:spacing w:val="-14"/>
        </w:rPr>
        <w:t> </w:t>
      </w:r>
      <w:r>
        <w:rPr/>
        <w:t>feed</w:t>
      </w:r>
      <w:r>
        <w:rPr>
          <w:spacing w:val="-13"/>
        </w:rPr>
        <w:t> </w:t>
      </w:r>
      <w:r>
        <w:rPr/>
        <w:t>inputs</w:t>
      </w:r>
      <w:r>
        <w:rPr>
          <w:spacing w:val="-11"/>
        </w:rPr>
        <w:t> </w:t>
      </w:r>
      <w:r>
        <w:rPr/>
        <w:t>in</w:t>
      </w:r>
      <w:r>
        <w:rPr>
          <w:spacing w:val="-13"/>
        </w:rPr>
        <w:t> </w:t>
      </w:r>
      <w:r>
        <w:rPr/>
        <w:t>the</w:t>
      </w:r>
      <w:r>
        <w:rPr>
          <w:spacing w:val="-14"/>
        </w:rPr>
        <w:t> </w:t>
      </w:r>
      <w:r>
        <w:rPr/>
        <w:t>farm</w:t>
      </w:r>
      <w:r>
        <w:rPr>
          <w:spacing w:val="-14"/>
        </w:rPr>
        <w:t> </w:t>
      </w:r>
      <w:r>
        <w:rPr/>
        <w:t>had</w:t>
      </w:r>
      <w:r>
        <w:rPr>
          <w:spacing w:val="-13"/>
        </w:rPr>
        <w:t> </w:t>
      </w:r>
      <w:r>
        <w:rPr/>
        <w:t>the</w:t>
      </w:r>
      <w:r>
        <w:rPr>
          <w:spacing w:val="-14"/>
        </w:rPr>
        <w:t> </w:t>
      </w:r>
      <w:r>
        <w:rPr/>
        <w:t>highest</w:t>
      </w:r>
      <w:r>
        <w:rPr>
          <w:spacing w:val="-13"/>
        </w:rPr>
        <w:t> </w:t>
      </w:r>
      <w:r>
        <w:rPr/>
        <w:t>degree</w:t>
      </w:r>
      <w:r>
        <w:rPr>
          <w:spacing w:val="-12"/>
        </w:rPr>
        <w:t> </w:t>
      </w:r>
      <w:r>
        <w:rPr/>
        <w:t>of</w:t>
      </w:r>
      <w:r>
        <w:rPr>
          <w:spacing w:val="-12"/>
        </w:rPr>
        <w:t> </w:t>
      </w:r>
      <w:r>
        <w:rPr/>
        <w:t>risk.</w:t>
      </w:r>
      <w:r>
        <w:rPr>
          <w:spacing w:val="-13"/>
        </w:rPr>
        <w:t> </w:t>
      </w:r>
      <w:r>
        <w:rPr/>
        <w:t>Purchase</w:t>
      </w:r>
      <w:r>
        <w:rPr>
          <w:spacing w:val="-10"/>
        </w:rPr>
        <w:t> </w:t>
      </w:r>
      <w:r>
        <w:rPr/>
        <w:t>and</w:t>
      </w:r>
      <w:r>
        <w:rPr>
          <w:spacing w:val="-13"/>
        </w:rPr>
        <w:t> </w:t>
      </w:r>
      <w:r>
        <w:rPr/>
        <w:t>dependence on bought-in feed inputs makes the farm economically and financially</w:t>
      </w:r>
      <w:r>
        <w:rPr>
          <w:spacing w:val="-14"/>
        </w:rPr>
        <w:t> </w:t>
      </w:r>
      <w:r>
        <w:rPr/>
        <w:t>unviable.</w:t>
      </w:r>
    </w:p>
    <w:p>
      <w:pPr>
        <w:spacing w:after="0" w:line="360" w:lineRule="auto"/>
        <w:jc w:val="both"/>
        <w:sectPr>
          <w:footerReference w:type="default" r:id="rId153"/>
          <w:pgSz w:w="12240" w:h="15840"/>
          <w:pgMar w:footer="657" w:header="0" w:top="1360" w:bottom="840" w:left="1600" w:right="1580"/>
          <w:pgNumType w:start="180"/>
        </w:sectPr>
      </w:pPr>
    </w:p>
    <w:p>
      <w:pPr>
        <w:pStyle w:val="BodyText"/>
        <w:spacing w:before="50"/>
        <w:ind w:left="102"/>
        <w:jc w:val="both"/>
      </w:pPr>
      <w:r>
        <w:rPr/>
        <w:t>The withdrawal of subsidies did not have an important economic or financial effect</w:t>
      </w:r>
      <w:r>
        <w:rPr>
          <w:spacing w:val="54"/>
        </w:rPr>
        <w:t> </w:t>
      </w:r>
      <w:r>
        <w:rPr/>
        <w:t>(Model</w:t>
      </w:r>
    </w:p>
    <w:p>
      <w:pPr>
        <w:pStyle w:val="BodyText"/>
        <w:spacing w:line="360" w:lineRule="auto" w:before="139"/>
        <w:ind w:left="102" w:right="124"/>
        <w:jc w:val="both"/>
      </w:pPr>
      <w:r>
        <w:rPr/>
        <w:t>4) since they do not comprise a significant proportion of total income, nor in value, nor in the proportion of incomes (only 3%).</w:t>
      </w:r>
    </w:p>
    <w:p>
      <w:pPr>
        <w:pStyle w:val="BodyText"/>
      </w:pPr>
    </w:p>
    <w:p>
      <w:pPr>
        <w:pStyle w:val="BodyText"/>
        <w:spacing w:before="3"/>
        <w:rPr>
          <w:sz w:val="33"/>
        </w:rPr>
      </w:pPr>
    </w:p>
    <w:p>
      <w:pPr>
        <w:pStyle w:val="BodyText"/>
        <w:spacing w:line="360" w:lineRule="auto"/>
        <w:ind w:left="102" w:right="120"/>
        <w:jc w:val="both"/>
      </w:pPr>
      <w:r>
        <w:rPr/>
        <w:t>Results</w:t>
      </w:r>
      <w:r>
        <w:rPr>
          <w:spacing w:val="-6"/>
        </w:rPr>
        <w:t> </w:t>
      </w:r>
      <w:r>
        <w:rPr/>
        <w:t>show</w:t>
      </w:r>
      <w:r>
        <w:rPr>
          <w:spacing w:val="-7"/>
        </w:rPr>
        <w:t> </w:t>
      </w:r>
      <w:r>
        <w:rPr/>
        <w:t>that</w:t>
      </w:r>
      <w:r>
        <w:rPr>
          <w:spacing w:val="-6"/>
        </w:rPr>
        <w:t> </w:t>
      </w:r>
      <w:r>
        <w:rPr/>
        <w:t>small-scale</w:t>
      </w:r>
      <w:r>
        <w:rPr>
          <w:spacing w:val="-7"/>
        </w:rPr>
        <w:t> </w:t>
      </w:r>
      <w:r>
        <w:rPr/>
        <w:t>dairy</w:t>
      </w:r>
      <w:r>
        <w:rPr>
          <w:spacing w:val="-11"/>
        </w:rPr>
        <w:t> </w:t>
      </w:r>
      <w:r>
        <w:rPr/>
        <w:t>systems</w:t>
      </w:r>
      <w:r>
        <w:rPr>
          <w:spacing w:val="-6"/>
        </w:rPr>
        <w:t> </w:t>
      </w:r>
      <w:r>
        <w:rPr/>
        <w:t>the</w:t>
      </w:r>
      <w:r>
        <w:rPr>
          <w:spacing w:val="-7"/>
        </w:rPr>
        <w:t> </w:t>
      </w:r>
      <w:r>
        <w:rPr/>
        <w:t>size</w:t>
      </w:r>
      <w:r>
        <w:rPr>
          <w:spacing w:val="-7"/>
        </w:rPr>
        <w:t> </w:t>
      </w:r>
      <w:r>
        <w:rPr/>
        <w:t>of</w:t>
      </w:r>
      <w:r>
        <w:rPr>
          <w:spacing w:val="-7"/>
        </w:rPr>
        <w:t> </w:t>
      </w:r>
      <w:r>
        <w:rPr/>
        <w:t>the</w:t>
      </w:r>
      <w:r>
        <w:rPr>
          <w:spacing w:val="-7"/>
        </w:rPr>
        <w:t> </w:t>
      </w:r>
      <w:r>
        <w:rPr/>
        <w:t>RSSDF</w:t>
      </w:r>
      <w:r>
        <w:rPr>
          <w:spacing w:val="-8"/>
        </w:rPr>
        <w:t> </w:t>
      </w:r>
      <w:r>
        <w:rPr/>
        <w:t>have</w:t>
      </w:r>
      <w:r>
        <w:rPr>
          <w:spacing w:val="-7"/>
        </w:rPr>
        <w:t> </w:t>
      </w:r>
      <w:r>
        <w:rPr/>
        <w:t>high</w:t>
      </w:r>
      <w:r>
        <w:rPr>
          <w:spacing w:val="-6"/>
        </w:rPr>
        <w:t> </w:t>
      </w:r>
      <w:r>
        <w:rPr/>
        <w:t>probabilities</w:t>
      </w:r>
      <w:r>
        <w:rPr>
          <w:spacing w:val="-7"/>
        </w:rPr>
        <w:t> </w:t>
      </w:r>
      <w:r>
        <w:rPr/>
        <w:t>to generate wealth as seen in the financial evaluation; which does bring social benefits as local employment and financial benefits as higher access to credit and the financing of</w:t>
      </w:r>
      <w:r>
        <w:rPr>
          <w:spacing w:val="-15"/>
        </w:rPr>
        <w:t> </w:t>
      </w:r>
      <w:r>
        <w:rPr/>
        <w:t>assets.</w:t>
      </w:r>
    </w:p>
    <w:p>
      <w:pPr>
        <w:pStyle w:val="BodyText"/>
      </w:pPr>
    </w:p>
    <w:p>
      <w:pPr>
        <w:pStyle w:val="BodyText"/>
        <w:spacing w:before="9"/>
        <w:rPr>
          <w:sz w:val="33"/>
        </w:rPr>
      </w:pPr>
    </w:p>
    <w:p>
      <w:pPr>
        <w:pStyle w:val="Heading1"/>
        <w:spacing w:before="0"/>
      </w:pPr>
      <w:r>
        <w:rPr/>
        <w:t>Acknowledgments</w:t>
      </w:r>
    </w:p>
    <w:p>
      <w:pPr>
        <w:pStyle w:val="BodyText"/>
        <w:rPr>
          <w:b/>
        </w:rPr>
      </w:pPr>
    </w:p>
    <w:p>
      <w:pPr>
        <w:pStyle w:val="BodyText"/>
        <w:rPr>
          <w:b/>
        </w:rPr>
      </w:pPr>
    </w:p>
    <w:p>
      <w:pPr>
        <w:pStyle w:val="BodyText"/>
        <w:spacing w:before="6"/>
        <w:rPr>
          <w:b/>
          <w:sz w:val="27"/>
        </w:rPr>
      </w:pPr>
    </w:p>
    <w:p>
      <w:pPr>
        <w:pStyle w:val="BodyText"/>
        <w:spacing w:line="360" w:lineRule="auto"/>
        <w:ind w:left="102" w:right="114"/>
        <w:jc w:val="both"/>
      </w:pPr>
      <w:r>
        <w:rPr/>
        <w:t>Authors express our gratitude to the 22 small-scale dairy farmers of the Texcoco region and to Mr. Mario Aquilino Lira-Melo, President of the regional dairy farmers association (</w:t>
      </w:r>
      <w:r>
        <w:rPr>
          <w:i/>
        </w:rPr>
        <w:t>Asociación</w:t>
      </w:r>
      <w:r>
        <w:rPr>
          <w:i/>
          <w:spacing w:val="-11"/>
        </w:rPr>
        <w:t> </w:t>
      </w:r>
      <w:r>
        <w:rPr>
          <w:i/>
        </w:rPr>
        <w:t>Regional</w:t>
      </w:r>
      <w:r>
        <w:rPr>
          <w:i/>
          <w:spacing w:val="-10"/>
        </w:rPr>
        <w:t> </w:t>
      </w:r>
      <w:r>
        <w:rPr>
          <w:i/>
        </w:rPr>
        <w:t>de</w:t>
      </w:r>
      <w:r>
        <w:rPr>
          <w:i/>
          <w:spacing w:val="-12"/>
        </w:rPr>
        <w:t> </w:t>
      </w:r>
      <w:r>
        <w:rPr>
          <w:i/>
        </w:rPr>
        <w:t>Lecheros</w:t>
      </w:r>
      <w:r>
        <w:rPr>
          <w:i/>
          <w:spacing w:val="-11"/>
        </w:rPr>
        <w:t> </w:t>
      </w:r>
      <w:r>
        <w:rPr>
          <w:i/>
        </w:rPr>
        <w:t>de</w:t>
      </w:r>
      <w:r>
        <w:rPr>
          <w:i/>
          <w:spacing w:val="-12"/>
        </w:rPr>
        <w:t> </w:t>
      </w:r>
      <w:r>
        <w:rPr>
          <w:i/>
        </w:rPr>
        <w:t>Coatlinchan)</w:t>
      </w:r>
      <w:r>
        <w:rPr/>
        <w:t>,</w:t>
      </w:r>
      <w:r>
        <w:rPr>
          <w:spacing w:val="-11"/>
        </w:rPr>
        <w:t> </w:t>
      </w:r>
      <w:r>
        <w:rPr/>
        <w:t>for</w:t>
      </w:r>
      <w:r>
        <w:rPr>
          <w:spacing w:val="-12"/>
        </w:rPr>
        <w:t> </w:t>
      </w:r>
      <w:r>
        <w:rPr/>
        <w:t>participating</w:t>
      </w:r>
      <w:r>
        <w:rPr>
          <w:spacing w:val="-13"/>
        </w:rPr>
        <w:t> </w:t>
      </w:r>
      <w:r>
        <w:rPr/>
        <w:t>in</w:t>
      </w:r>
      <w:r>
        <w:rPr>
          <w:spacing w:val="-11"/>
        </w:rPr>
        <w:t> </w:t>
      </w:r>
      <w:r>
        <w:rPr/>
        <w:t>this</w:t>
      </w:r>
      <w:r>
        <w:rPr>
          <w:spacing w:val="-13"/>
        </w:rPr>
        <w:t> </w:t>
      </w:r>
      <w:r>
        <w:rPr/>
        <w:t>work</w:t>
      </w:r>
      <w:r>
        <w:rPr>
          <w:spacing w:val="-11"/>
        </w:rPr>
        <w:t> </w:t>
      </w:r>
      <w:r>
        <w:rPr/>
        <w:t>and</w:t>
      </w:r>
      <w:r>
        <w:rPr>
          <w:spacing w:val="-11"/>
        </w:rPr>
        <w:t> </w:t>
      </w:r>
      <w:r>
        <w:rPr/>
        <w:t>sharing their knowledge and experience, as well as for enabling this study. This work was financed by</w:t>
      </w:r>
      <w:r>
        <w:rPr>
          <w:spacing w:val="-12"/>
        </w:rPr>
        <w:t> </w:t>
      </w:r>
      <w:r>
        <w:rPr/>
        <w:t>the</w:t>
      </w:r>
      <w:r>
        <w:rPr>
          <w:spacing w:val="-9"/>
        </w:rPr>
        <w:t> </w:t>
      </w:r>
      <w:r>
        <w:rPr/>
        <w:t>Universidad</w:t>
      </w:r>
      <w:r>
        <w:rPr>
          <w:spacing w:val="-5"/>
        </w:rPr>
        <w:t> </w:t>
      </w:r>
      <w:r>
        <w:rPr/>
        <w:t>Autónoma</w:t>
      </w:r>
      <w:r>
        <w:rPr>
          <w:spacing w:val="-8"/>
        </w:rPr>
        <w:t> </w:t>
      </w:r>
      <w:r>
        <w:rPr/>
        <w:t>del</w:t>
      </w:r>
      <w:r>
        <w:rPr>
          <w:spacing w:val="-7"/>
        </w:rPr>
        <w:t> </w:t>
      </w:r>
      <w:r>
        <w:rPr/>
        <w:t>Estado</w:t>
      </w:r>
      <w:r>
        <w:rPr>
          <w:spacing w:val="-6"/>
        </w:rPr>
        <w:t> </w:t>
      </w:r>
      <w:r>
        <w:rPr/>
        <w:t>de</w:t>
      </w:r>
      <w:r>
        <w:rPr>
          <w:spacing w:val="-6"/>
        </w:rPr>
        <w:t> </w:t>
      </w:r>
      <w:r>
        <w:rPr/>
        <w:t>México</w:t>
      </w:r>
      <w:r>
        <w:rPr>
          <w:spacing w:val="-8"/>
        </w:rPr>
        <w:t> </w:t>
      </w:r>
      <w:r>
        <w:rPr/>
        <w:t>(UAEM)</w:t>
      </w:r>
      <w:r>
        <w:rPr>
          <w:spacing w:val="-8"/>
        </w:rPr>
        <w:t> </w:t>
      </w:r>
      <w:r>
        <w:rPr/>
        <w:t>through</w:t>
      </w:r>
      <w:r>
        <w:rPr>
          <w:spacing w:val="-3"/>
        </w:rPr>
        <w:t> </w:t>
      </w:r>
      <w:r>
        <w:rPr/>
        <w:t>grant</w:t>
      </w:r>
      <w:r>
        <w:rPr>
          <w:spacing w:val="-7"/>
        </w:rPr>
        <w:t> </w:t>
      </w:r>
      <w:r>
        <w:rPr/>
        <w:t>2892/2010.</w:t>
      </w:r>
      <w:r>
        <w:rPr>
          <w:spacing w:val="-7"/>
        </w:rPr>
        <w:t> </w:t>
      </w:r>
      <w:r>
        <w:rPr/>
        <w:t>Our gratitude also to the Consejo Nacional de Ciencia y Tecnología (CONACYT) of Mexico</w:t>
      </w:r>
      <w:r>
        <w:rPr>
          <w:spacing w:val="-18"/>
        </w:rPr>
        <w:t> </w:t>
      </w:r>
      <w:r>
        <w:rPr/>
        <w:t>for the grant for the doctoral studies of Rodolfo Rogelio</w:t>
      </w:r>
      <w:r>
        <w:rPr>
          <w:spacing w:val="-7"/>
        </w:rPr>
        <w:t> </w:t>
      </w:r>
      <w:r>
        <w:rPr/>
        <w:t>Posadas-Domínguez.</w:t>
      </w:r>
    </w:p>
    <w:p>
      <w:pPr>
        <w:pStyle w:val="BodyText"/>
      </w:pPr>
    </w:p>
    <w:p>
      <w:pPr>
        <w:pStyle w:val="BodyText"/>
      </w:pPr>
    </w:p>
    <w:p>
      <w:pPr>
        <w:pStyle w:val="Heading1"/>
        <w:spacing w:before="191"/>
      </w:pPr>
      <w:r>
        <w:rPr/>
        <w:t>References</w:t>
      </w:r>
    </w:p>
    <w:p>
      <w:pPr>
        <w:pStyle w:val="BodyText"/>
        <w:rPr>
          <w:b/>
        </w:rPr>
      </w:pPr>
    </w:p>
    <w:p>
      <w:pPr>
        <w:pStyle w:val="BodyText"/>
        <w:rPr>
          <w:b/>
          <w:sz w:val="34"/>
        </w:rPr>
      </w:pPr>
    </w:p>
    <w:p>
      <w:pPr>
        <w:pStyle w:val="BodyText"/>
        <w:tabs>
          <w:tab w:pos="2509" w:val="left" w:leader="none"/>
          <w:tab w:pos="4701" w:val="left" w:leader="none"/>
          <w:tab w:pos="6784" w:val="left" w:leader="none"/>
          <w:tab w:pos="8402" w:val="left" w:leader="none"/>
        </w:tabs>
        <w:spacing w:line="360" w:lineRule="auto"/>
        <w:ind w:left="810" w:right="115" w:hanging="708"/>
        <w:jc w:val="both"/>
      </w:pPr>
      <w:r>
        <w:rPr/>
        <w:t>Agroprospecta, Red Mexicana de Investigación en Política Agropecuaria. 2009. Unidades representativas de producción, panorama económico 2007-2017. Resumen</w:t>
      </w:r>
      <w:r>
        <w:rPr>
          <w:spacing w:val="-17"/>
        </w:rPr>
        <w:t> </w:t>
      </w:r>
      <w:r>
        <w:rPr/>
        <w:t>Ejecutivo RE</w:t>
        <w:tab/>
        <w:t>2009-01</w:t>
        <w:tab/>
        <w:t>febrero</w:t>
        <w:tab/>
        <w:t>de</w:t>
        <w:tab/>
        <w:t>2009. </w:t>
      </w:r>
      <w:hyperlink r:id="rId148">
        <w:r>
          <w:rPr>
            <w:u w:val="single"/>
          </w:rPr>
          <w:t>http://www.sagarpa.gob.mx/agronegocios/Documents/INFORME%20FINAL%20U</w:t>
        </w:r>
      </w:hyperlink>
      <w:r>
        <w:rPr>
          <w:u w:val="single"/>
        </w:rPr>
        <w:t> </w:t>
      </w:r>
      <w:r>
        <w:rPr>
          <w:u w:val="single"/>
        </w:rPr>
        <w:t>RP.pdf.</w:t>
      </w:r>
    </w:p>
    <w:p>
      <w:pPr>
        <w:pStyle w:val="BodyText"/>
        <w:spacing w:line="360" w:lineRule="auto" w:before="4"/>
        <w:ind w:left="810" w:right="119" w:hanging="708"/>
        <w:jc w:val="both"/>
      </w:pPr>
      <w:r>
        <w:rPr/>
        <w:t>Barham,</w:t>
      </w:r>
      <w:r>
        <w:rPr>
          <w:spacing w:val="-15"/>
        </w:rPr>
        <w:t> </w:t>
      </w:r>
      <w:r>
        <w:rPr/>
        <w:t>E.</w:t>
      </w:r>
      <w:r>
        <w:rPr>
          <w:spacing w:val="-14"/>
        </w:rPr>
        <w:t> </w:t>
      </w:r>
      <w:r>
        <w:rPr/>
        <w:t>H.</w:t>
      </w:r>
      <w:r>
        <w:rPr>
          <w:spacing w:val="-14"/>
        </w:rPr>
        <w:t> </w:t>
      </w:r>
      <w:r>
        <w:rPr/>
        <w:t>B.,</w:t>
      </w:r>
      <w:r>
        <w:rPr>
          <w:spacing w:val="-16"/>
        </w:rPr>
        <w:t> </w:t>
      </w:r>
      <w:r>
        <w:rPr/>
        <w:t>Robinson,</w:t>
      </w:r>
      <w:r>
        <w:rPr>
          <w:spacing w:val="-16"/>
        </w:rPr>
        <w:t> </w:t>
      </w:r>
      <w:r>
        <w:rPr/>
        <w:t>J.</w:t>
      </w:r>
      <w:r>
        <w:rPr>
          <w:spacing w:val="-16"/>
        </w:rPr>
        <w:t> </w:t>
      </w:r>
      <w:r>
        <w:rPr/>
        <w:t>R.</w:t>
      </w:r>
      <w:r>
        <w:rPr>
          <w:spacing w:val="-16"/>
        </w:rPr>
        <w:t> </w:t>
      </w:r>
      <w:r>
        <w:rPr/>
        <w:t>C.,</w:t>
      </w:r>
      <w:r>
        <w:rPr>
          <w:spacing w:val="-16"/>
        </w:rPr>
        <w:t> </w:t>
      </w:r>
      <w:r>
        <w:rPr/>
        <w:t>Richardson,</w:t>
      </w:r>
      <w:r>
        <w:rPr>
          <w:spacing w:val="-16"/>
        </w:rPr>
        <w:t> </w:t>
      </w:r>
      <w:r>
        <w:rPr/>
        <w:t>J.</w:t>
      </w:r>
      <w:r>
        <w:rPr>
          <w:spacing w:val="-16"/>
        </w:rPr>
        <w:t> </w:t>
      </w:r>
      <w:r>
        <w:rPr/>
        <w:t>W.,</w:t>
      </w:r>
      <w:r>
        <w:rPr>
          <w:spacing w:val="-16"/>
        </w:rPr>
        <w:t> </w:t>
      </w:r>
      <w:r>
        <w:rPr/>
        <w:t>Rister,</w:t>
      </w:r>
      <w:r>
        <w:rPr>
          <w:spacing w:val="-17"/>
        </w:rPr>
        <w:t> </w:t>
      </w:r>
      <w:r>
        <w:rPr/>
        <w:t>M.</w:t>
      </w:r>
      <w:r>
        <w:rPr>
          <w:spacing w:val="-16"/>
        </w:rPr>
        <w:t> </w:t>
      </w:r>
      <w:r>
        <w:rPr/>
        <w:t>E.</w:t>
      </w:r>
      <w:r>
        <w:rPr>
          <w:spacing w:val="-16"/>
        </w:rPr>
        <w:t> </w:t>
      </w:r>
      <w:r>
        <w:rPr/>
        <w:t>2011.</w:t>
      </w:r>
      <w:r>
        <w:rPr>
          <w:spacing w:val="-11"/>
        </w:rPr>
        <w:t> </w:t>
      </w:r>
      <w:r>
        <w:rPr/>
        <w:t>Mitigating</w:t>
      </w:r>
      <w:r>
        <w:rPr>
          <w:spacing w:val="-16"/>
        </w:rPr>
        <w:t> </w:t>
      </w:r>
      <w:r>
        <w:rPr/>
        <w:t>cotton revenue risk through irrigation, insurance, and hedging. J. Agr. Appl. Econ. 43, 539- 540.</w:t>
      </w:r>
    </w:p>
    <w:p>
      <w:pPr>
        <w:spacing w:after="0" w:line="360" w:lineRule="auto"/>
        <w:jc w:val="both"/>
        <w:sectPr>
          <w:pgSz w:w="12240" w:h="15840"/>
          <w:pgMar w:header="0" w:footer="657" w:top="1360" w:bottom="840" w:left="1600" w:right="1580"/>
        </w:sectPr>
      </w:pPr>
    </w:p>
    <w:p>
      <w:pPr>
        <w:pStyle w:val="BodyText"/>
        <w:spacing w:line="362" w:lineRule="auto" w:before="50"/>
        <w:ind w:left="810" w:right="125" w:hanging="708"/>
        <w:jc w:val="both"/>
      </w:pPr>
      <w:r>
        <w:rPr/>
        <w:t>Bojnec, S., Latruffe, L., 2013. Farm size, agricultural subsidies and farm performance in Slovenia. Land Use Policy 32, 207–217.</w:t>
      </w:r>
    </w:p>
    <w:p>
      <w:pPr>
        <w:pStyle w:val="BodyText"/>
        <w:spacing w:line="360" w:lineRule="auto" w:before="1"/>
        <w:ind w:left="810" w:right="117" w:hanging="708"/>
        <w:jc w:val="both"/>
      </w:pPr>
      <w:r>
        <w:rPr/>
        <w:t>Bozic,</w:t>
      </w:r>
      <w:r>
        <w:rPr>
          <w:spacing w:val="-4"/>
        </w:rPr>
        <w:t> </w:t>
      </w:r>
      <w:r>
        <w:rPr/>
        <w:t>M.,</w:t>
      </w:r>
      <w:r>
        <w:rPr>
          <w:spacing w:val="-4"/>
        </w:rPr>
        <w:t> </w:t>
      </w:r>
      <w:r>
        <w:rPr/>
        <w:t>and</w:t>
      </w:r>
      <w:r>
        <w:rPr>
          <w:spacing w:val="-4"/>
        </w:rPr>
        <w:t> </w:t>
      </w:r>
      <w:r>
        <w:rPr/>
        <w:t>Newton,</w:t>
      </w:r>
      <w:r>
        <w:rPr>
          <w:spacing w:val="-4"/>
        </w:rPr>
        <w:t> </w:t>
      </w:r>
      <w:r>
        <w:rPr/>
        <w:t>J.,</w:t>
      </w:r>
      <w:r>
        <w:rPr>
          <w:spacing w:val="-4"/>
        </w:rPr>
        <w:t> </w:t>
      </w:r>
      <w:r>
        <w:rPr/>
        <w:t>Thraen,</w:t>
      </w:r>
      <w:r>
        <w:rPr>
          <w:spacing w:val="-4"/>
        </w:rPr>
        <w:t> </w:t>
      </w:r>
      <w:r>
        <w:rPr/>
        <w:t>C.S.,</w:t>
      </w:r>
      <w:r>
        <w:rPr>
          <w:spacing w:val="-4"/>
        </w:rPr>
        <w:t> </w:t>
      </w:r>
      <w:r>
        <w:rPr/>
        <w:t>Gould,</w:t>
      </w:r>
      <w:r>
        <w:rPr>
          <w:spacing w:val="-4"/>
        </w:rPr>
        <w:t> </w:t>
      </w:r>
      <w:r>
        <w:rPr/>
        <w:t>B.W.</w:t>
      </w:r>
      <w:r>
        <w:rPr>
          <w:spacing w:val="-4"/>
        </w:rPr>
        <w:t> </w:t>
      </w:r>
      <w:r>
        <w:rPr/>
        <w:t>2012.</w:t>
      </w:r>
      <w:r>
        <w:rPr>
          <w:spacing w:val="-4"/>
        </w:rPr>
        <w:t> </w:t>
      </w:r>
      <w:r>
        <w:rPr/>
        <w:t>Mean-reversion</w:t>
      </w:r>
      <w:r>
        <w:rPr>
          <w:spacing w:val="-4"/>
        </w:rPr>
        <w:t> </w:t>
      </w:r>
      <w:r>
        <w:rPr/>
        <w:t>in</w:t>
      </w:r>
      <w:r>
        <w:rPr>
          <w:spacing w:val="-3"/>
        </w:rPr>
        <w:t> </w:t>
      </w:r>
      <w:r>
        <w:rPr/>
        <w:t>income</w:t>
      </w:r>
      <w:r>
        <w:rPr>
          <w:spacing w:val="-5"/>
        </w:rPr>
        <w:t> </w:t>
      </w:r>
      <w:r>
        <w:rPr/>
        <w:t>over feed cost margins: Evidence and implications for managing margin risk by US dairy producers. J. Dairy Sci. 95,</w:t>
      </w:r>
      <w:r>
        <w:rPr>
          <w:spacing w:val="-5"/>
        </w:rPr>
        <w:t> </w:t>
      </w:r>
      <w:r>
        <w:rPr/>
        <w:t>7417-7428.</w:t>
      </w:r>
    </w:p>
    <w:p>
      <w:pPr>
        <w:pStyle w:val="BodyText"/>
        <w:spacing w:line="360" w:lineRule="auto" w:before="6"/>
        <w:ind w:left="810" w:right="118" w:hanging="708"/>
        <w:jc w:val="both"/>
      </w:pPr>
      <w:r>
        <w:rPr/>
        <w:t>Cabrera, V.E., Solís, D., Del Corral, J., 2010. Determinants of technical efficiency among dairy farms in Wisconsin. J. Dairy Sci. 93, 387-393.</w:t>
      </w:r>
    </w:p>
    <w:p>
      <w:pPr>
        <w:pStyle w:val="BodyText"/>
        <w:spacing w:line="360" w:lineRule="auto" w:before="6"/>
        <w:ind w:left="810" w:right="122" w:hanging="708"/>
        <w:jc w:val="both"/>
      </w:pPr>
      <w:r>
        <w:rPr/>
        <w:t>CANILEC, Cámara Nacional de Industriales de la Leche. 2013. Información estadística sobre producción de leche</w:t>
      </w:r>
      <w:hyperlink r:id="rId109">
        <w:r>
          <w:rPr/>
          <w:t>. http://www.canilec.org.mx/prod_leche.html.</w:t>
        </w:r>
      </w:hyperlink>
    </w:p>
    <w:p>
      <w:pPr>
        <w:pStyle w:val="BodyText"/>
        <w:spacing w:line="360" w:lineRule="auto" w:before="7"/>
        <w:ind w:left="810" w:right="115" w:hanging="708"/>
        <w:jc w:val="both"/>
      </w:pPr>
      <w:r>
        <w:rPr/>
        <w:t>Carranza-Trinidad, R.G., Macedo-Barragán, R., Cámara-Córdoba, J., Sosa-Ramírez, J., Meraz-Jiménez, A.J., Valdivia-Flores, A.G., 2007. Competitividad en la cadena productiva de leche del estado de Aguascalientes, México. Agrociencia-México. 41, 701-709.</w:t>
      </w:r>
    </w:p>
    <w:p>
      <w:pPr>
        <w:pStyle w:val="BodyText"/>
        <w:spacing w:line="360" w:lineRule="auto" w:before="6"/>
        <w:ind w:left="810" w:right="121" w:hanging="708"/>
        <w:jc w:val="both"/>
      </w:pPr>
      <w:r>
        <w:rPr/>
        <w:t>Chapman,</w:t>
      </w:r>
      <w:r>
        <w:rPr>
          <w:spacing w:val="-5"/>
        </w:rPr>
        <w:t> </w:t>
      </w:r>
      <w:r>
        <w:rPr/>
        <w:t>D.F.,</w:t>
      </w:r>
      <w:r>
        <w:rPr>
          <w:spacing w:val="-2"/>
        </w:rPr>
        <w:t> </w:t>
      </w:r>
      <w:r>
        <w:rPr/>
        <w:t>Kenny,</w:t>
      </w:r>
      <w:r>
        <w:rPr>
          <w:spacing w:val="-2"/>
        </w:rPr>
        <w:t> </w:t>
      </w:r>
      <w:r>
        <w:rPr/>
        <w:t>S.N.,</w:t>
      </w:r>
      <w:r>
        <w:rPr>
          <w:spacing w:val="-5"/>
        </w:rPr>
        <w:t> </w:t>
      </w:r>
      <w:r>
        <w:rPr/>
        <w:t>Beca,</w:t>
      </w:r>
      <w:r>
        <w:rPr>
          <w:spacing w:val="-5"/>
        </w:rPr>
        <w:t> </w:t>
      </w:r>
      <w:r>
        <w:rPr/>
        <w:t>D.,</w:t>
      </w:r>
      <w:r>
        <w:rPr>
          <w:spacing w:val="-5"/>
        </w:rPr>
        <w:t> </w:t>
      </w:r>
      <w:r>
        <w:rPr/>
        <w:t>Johnson,</w:t>
      </w:r>
      <w:r>
        <w:rPr>
          <w:spacing w:val="-5"/>
        </w:rPr>
        <w:t> </w:t>
      </w:r>
      <w:r>
        <w:rPr/>
        <w:t>I.R.</w:t>
      </w:r>
      <w:r>
        <w:rPr>
          <w:spacing w:val="-5"/>
        </w:rPr>
        <w:t> </w:t>
      </w:r>
      <w:r>
        <w:rPr/>
        <w:t>2008.</w:t>
      </w:r>
      <w:r>
        <w:rPr>
          <w:spacing w:val="-3"/>
        </w:rPr>
        <w:t> </w:t>
      </w:r>
      <w:r>
        <w:rPr/>
        <w:t>Pasture</w:t>
      </w:r>
      <w:r>
        <w:rPr>
          <w:spacing w:val="-6"/>
        </w:rPr>
        <w:t> </w:t>
      </w:r>
      <w:r>
        <w:rPr/>
        <w:t>and</w:t>
      </w:r>
      <w:r>
        <w:rPr>
          <w:spacing w:val="-2"/>
        </w:rPr>
        <w:t> </w:t>
      </w:r>
      <w:r>
        <w:rPr/>
        <w:t>forage</w:t>
      </w:r>
      <w:r>
        <w:rPr>
          <w:spacing w:val="-3"/>
        </w:rPr>
        <w:t> </w:t>
      </w:r>
      <w:r>
        <w:rPr/>
        <w:t>crop</w:t>
      </w:r>
      <w:r>
        <w:rPr>
          <w:spacing w:val="-6"/>
        </w:rPr>
        <w:t> </w:t>
      </w:r>
      <w:r>
        <w:rPr/>
        <w:t>systems for</w:t>
      </w:r>
      <w:r>
        <w:rPr>
          <w:spacing w:val="-9"/>
        </w:rPr>
        <w:t> </w:t>
      </w:r>
      <w:r>
        <w:rPr/>
        <w:t>non-irrigated</w:t>
      </w:r>
      <w:r>
        <w:rPr>
          <w:spacing w:val="-8"/>
        </w:rPr>
        <w:t> </w:t>
      </w:r>
      <w:r>
        <w:rPr/>
        <w:t>dairy</w:t>
      </w:r>
      <w:r>
        <w:rPr>
          <w:spacing w:val="-14"/>
        </w:rPr>
        <w:t> </w:t>
      </w:r>
      <w:r>
        <w:rPr/>
        <w:t>farms</w:t>
      </w:r>
      <w:r>
        <w:rPr>
          <w:spacing w:val="-7"/>
        </w:rPr>
        <w:t> </w:t>
      </w:r>
      <w:r>
        <w:rPr/>
        <w:t>in</w:t>
      </w:r>
      <w:r>
        <w:rPr>
          <w:spacing w:val="-7"/>
        </w:rPr>
        <w:t> </w:t>
      </w:r>
      <w:r>
        <w:rPr/>
        <w:t>southern</w:t>
      </w:r>
      <w:r>
        <w:rPr>
          <w:spacing w:val="-8"/>
        </w:rPr>
        <w:t> </w:t>
      </w:r>
      <w:r>
        <w:rPr/>
        <w:t>Australia.</w:t>
      </w:r>
      <w:r>
        <w:rPr>
          <w:spacing w:val="-10"/>
        </w:rPr>
        <w:t> </w:t>
      </w:r>
      <w:r>
        <w:rPr/>
        <w:t>2.</w:t>
      </w:r>
      <w:r>
        <w:rPr>
          <w:spacing w:val="-5"/>
        </w:rPr>
        <w:t> </w:t>
      </w:r>
      <w:r>
        <w:rPr/>
        <w:t>Inter-annual</w:t>
      </w:r>
      <w:r>
        <w:rPr>
          <w:spacing w:val="-7"/>
        </w:rPr>
        <w:t> </w:t>
      </w:r>
      <w:r>
        <w:rPr/>
        <w:t>variation</w:t>
      </w:r>
      <w:r>
        <w:rPr>
          <w:spacing w:val="-7"/>
        </w:rPr>
        <w:t> </w:t>
      </w:r>
      <w:r>
        <w:rPr/>
        <w:t>in</w:t>
      </w:r>
      <w:r>
        <w:rPr>
          <w:spacing w:val="-7"/>
        </w:rPr>
        <w:t> </w:t>
      </w:r>
      <w:r>
        <w:rPr/>
        <w:t>forage supply, and business risk. Agr. Syst. 97,</w:t>
      </w:r>
      <w:r>
        <w:rPr>
          <w:spacing w:val="-6"/>
        </w:rPr>
        <w:t> </w:t>
      </w:r>
      <w:r>
        <w:rPr/>
        <w:t>126–138.</w:t>
      </w:r>
    </w:p>
    <w:p>
      <w:pPr>
        <w:pStyle w:val="BodyText"/>
        <w:spacing w:line="360" w:lineRule="auto" w:before="4"/>
        <w:ind w:left="810" w:right="114" w:hanging="708"/>
        <w:jc w:val="both"/>
      </w:pPr>
      <w:r>
        <w:rPr/>
        <w:t>Fariña, S.R., Alford, A., Garcia, S.C., Fulkerson, W.J. 2013. An integrated assessment of business</w:t>
      </w:r>
      <w:r>
        <w:rPr>
          <w:spacing w:val="-8"/>
        </w:rPr>
        <w:t> </w:t>
      </w:r>
      <w:r>
        <w:rPr/>
        <w:t>risk</w:t>
      </w:r>
      <w:r>
        <w:rPr>
          <w:spacing w:val="-9"/>
        </w:rPr>
        <w:t> </w:t>
      </w:r>
      <w:r>
        <w:rPr/>
        <w:t>for</w:t>
      </w:r>
      <w:r>
        <w:rPr>
          <w:spacing w:val="-10"/>
        </w:rPr>
        <w:t> </w:t>
      </w:r>
      <w:r>
        <w:rPr/>
        <w:t>pasture-based</w:t>
      </w:r>
      <w:r>
        <w:rPr>
          <w:spacing w:val="-9"/>
        </w:rPr>
        <w:t> </w:t>
      </w:r>
      <w:r>
        <w:rPr/>
        <w:t>dairy</w:t>
      </w:r>
      <w:r>
        <w:rPr>
          <w:spacing w:val="-13"/>
        </w:rPr>
        <w:t> </w:t>
      </w:r>
      <w:r>
        <w:rPr/>
        <w:t>farm</w:t>
      </w:r>
      <w:r>
        <w:rPr>
          <w:spacing w:val="-9"/>
        </w:rPr>
        <w:t> </w:t>
      </w:r>
      <w:r>
        <w:rPr/>
        <w:t>systems</w:t>
      </w:r>
      <w:r>
        <w:rPr>
          <w:spacing w:val="-7"/>
        </w:rPr>
        <w:t> </w:t>
      </w:r>
      <w:r>
        <w:rPr/>
        <w:t>intensification.</w:t>
      </w:r>
      <w:r>
        <w:rPr>
          <w:spacing w:val="-8"/>
        </w:rPr>
        <w:t> </w:t>
      </w:r>
      <w:r>
        <w:rPr/>
        <w:t>Agr.</w:t>
      </w:r>
      <w:r>
        <w:rPr>
          <w:spacing w:val="-9"/>
        </w:rPr>
        <w:t> </w:t>
      </w:r>
      <w:r>
        <w:rPr/>
        <w:t>Syst.</w:t>
      </w:r>
      <w:r>
        <w:rPr>
          <w:spacing w:val="-9"/>
        </w:rPr>
        <w:t> </w:t>
      </w:r>
      <w:r>
        <w:rPr/>
        <w:t>115,</w:t>
      </w:r>
      <w:r>
        <w:rPr>
          <w:spacing w:val="-9"/>
        </w:rPr>
        <w:t> </w:t>
      </w:r>
      <w:r>
        <w:rPr/>
        <w:t>10- 20.</w:t>
      </w:r>
    </w:p>
    <w:p>
      <w:pPr>
        <w:pStyle w:val="BodyText"/>
        <w:spacing w:line="360" w:lineRule="auto" w:before="6"/>
        <w:ind w:left="810" w:right="121" w:hanging="708"/>
        <w:jc w:val="both"/>
      </w:pPr>
      <w:r>
        <w:rPr/>
        <w:t>Franco, J, A., Gaspar, P., Mesias, F, J. 2013. Economic analysis of scenarios for the sustainability</w:t>
      </w:r>
      <w:r>
        <w:rPr>
          <w:spacing w:val="-13"/>
        </w:rPr>
        <w:t> </w:t>
      </w:r>
      <w:r>
        <w:rPr/>
        <w:t>of</w:t>
      </w:r>
      <w:r>
        <w:rPr>
          <w:spacing w:val="-7"/>
        </w:rPr>
        <w:t> </w:t>
      </w:r>
      <w:r>
        <w:rPr/>
        <w:t>extensive</w:t>
      </w:r>
      <w:r>
        <w:rPr>
          <w:spacing w:val="-7"/>
        </w:rPr>
        <w:t> </w:t>
      </w:r>
      <w:r>
        <w:rPr/>
        <w:t>livestock</w:t>
      </w:r>
      <w:r>
        <w:rPr>
          <w:spacing w:val="-6"/>
        </w:rPr>
        <w:t> </w:t>
      </w:r>
      <w:r>
        <w:rPr/>
        <w:t>farming</w:t>
      </w:r>
      <w:r>
        <w:rPr>
          <w:spacing w:val="-8"/>
        </w:rPr>
        <w:t> </w:t>
      </w:r>
      <w:r>
        <w:rPr/>
        <w:t>in</w:t>
      </w:r>
      <w:r>
        <w:rPr>
          <w:spacing w:val="-6"/>
        </w:rPr>
        <w:t> </w:t>
      </w:r>
      <w:r>
        <w:rPr/>
        <w:t>Spain</w:t>
      </w:r>
      <w:r>
        <w:rPr>
          <w:spacing w:val="-6"/>
        </w:rPr>
        <w:t> </w:t>
      </w:r>
      <w:r>
        <w:rPr/>
        <w:t>under</w:t>
      </w:r>
      <w:r>
        <w:rPr>
          <w:spacing w:val="-7"/>
        </w:rPr>
        <w:t> </w:t>
      </w:r>
      <w:r>
        <w:rPr/>
        <w:t>the</w:t>
      </w:r>
      <w:r>
        <w:rPr>
          <w:spacing w:val="-7"/>
        </w:rPr>
        <w:t> </w:t>
      </w:r>
      <w:r>
        <w:rPr/>
        <w:t>CAP.</w:t>
      </w:r>
      <w:r>
        <w:rPr>
          <w:spacing w:val="-6"/>
        </w:rPr>
        <w:t> </w:t>
      </w:r>
      <w:r>
        <w:rPr/>
        <w:t>Ecol.</w:t>
      </w:r>
      <w:r>
        <w:rPr>
          <w:spacing w:val="-3"/>
        </w:rPr>
        <w:t> </w:t>
      </w:r>
      <w:r>
        <w:rPr/>
        <w:t>Econ.</w:t>
      </w:r>
      <w:r>
        <w:rPr>
          <w:spacing w:val="-6"/>
        </w:rPr>
        <w:t> </w:t>
      </w:r>
      <w:r>
        <w:rPr/>
        <w:t>74, 120–129.</w:t>
      </w:r>
    </w:p>
    <w:p>
      <w:pPr>
        <w:pStyle w:val="BodyText"/>
        <w:spacing w:line="360" w:lineRule="auto" w:before="4"/>
        <w:ind w:left="810" w:right="121" w:hanging="708"/>
        <w:jc w:val="both"/>
      </w:pPr>
      <w:r>
        <w:rPr/>
        <w:t>Gill, C.R., Richardson, J.W., Outlaw, J.L., y Anderson D.P. 2003. An analysis of ethanol production in Texas using three ethanol facility sizes and their relative optimal subsidy levels. Paper presented in: Southern Agricultural Economics Association 35th Annual Meeting, Mobile, Alabama, 1-5 de febrero 2003.</w:t>
      </w:r>
    </w:p>
    <w:p>
      <w:pPr>
        <w:pStyle w:val="BodyText"/>
        <w:spacing w:line="360" w:lineRule="auto" w:before="4"/>
        <w:ind w:left="810" w:right="119" w:hanging="708"/>
        <w:jc w:val="both"/>
      </w:pPr>
      <w:r>
        <w:rPr/>
        <w:t>Gómez, C., Fernández, M., Salazar, I., Saldaña, I., Heredia I. 2007. Improvement of small dairy producers in the central coast of Peru. Trop. Anim. Health Prod. 39, 611–618.</w:t>
      </w:r>
    </w:p>
    <w:p>
      <w:pPr>
        <w:pStyle w:val="BodyText"/>
        <w:spacing w:line="360" w:lineRule="auto" w:before="4"/>
        <w:ind w:left="810" w:right="121" w:hanging="708"/>
        <w:jc w:val="both"/>
      </w:pPr>
      <w:r>
        <w:rPr/>
        <w:t>Halter, A.N., G.W. Dean. 1965. Use of simulation in evaluating management policies under uncertainty: application to a large scale ranch. Am. J. Agr. Econ. 47, 557-573.</w:t>
      </w:r>
    </w:p>
    <w:p>
      <w:pPr>
        <w:spacing w:after="0" w:line="360" w:lineRule="auto"/>
        <w:jc w:val="both"/>
        <w:sectPr>
          <w:pgSz w:w="12240" w:h="15840"/>
          <w:pgMar w:header="0" w:footer="657" w:top="1360" w:bottom="840" w:left="1600" w:right="1580"/>
        </w:sectPr>
      </w:pPr>
    </w:p>
    <w:p>
      <w:pPr>
        <w:pStyle w:val="BodyText"/>
        <w:spacing w:line="360" w:lineRule="auto" w:before="50"/>
        <w:ind w:left="810" w:right="118" w:hanging="708"/>
        <w:jc w:val="both"/>
      </w:pPr>
      <w:r>
        <w:rPr/>
        <w:t>Hardaker, J.B., Richardson J.W., Lien, G., Schumann, K.D. 2004. ‘Stochastic efficiency analysis</w:t>
      </w:r>
      <w:r>
        <w:rPr>
          <w:spacing w:val="-11"/>
        </w:rPr>
        <w:t> </w:t>
      </w:r>
      <w:r>
        <w:rPr/>
        <w:t>with</w:t>
      </w:r>
      <w:r>
        <w:rPr>
          <w:spacing w:val="-12"/>
        </w:rPr>
        <w:t> </w:t>
      </w:r>
      <w:r>
        <w:rPr/>
        <w:t>risk</w:t>
      </w:r>
      <w:r>
        <w:rPr>
          <w:spacing w:val="-12"/>
        </w:rPr>
        <w:t> </w:t>
      </w:r>
      <w:r>
        <w:rPr/>
        <w:t>aversion</w:t>
      </w:r>
      <w:r>
        <w:rPr>
          <w:spacing w:val="-12"/>
        </w:rPr>
        <w:t> </w:t>
      </w:r>
      <w:r>
        <w:rPr/>
        <w:t>bounds:</w:t>
      </w:r>
      <w:r>
        <w:rPr>
          <w:spacing w:val="-12"/>
        </w:rPr>
        <w:t> </w:t>
      </w:r>
      <w:r>
        <w:rPr/>
        <w:t>A</w:t>
      </w:r>
      <w:r>
        <w:rPr>
          <w:spacing w:val="-13"/>
        </w:rPr>
        <w:t> </w:t>
      </w:r>
      <w:r>
        <w:rPr/>
        <w:t>simplified</w:t>
      </w:r>
      <w:r>
        <w:rPr>
          <w:spacing w:val="-12"/>
        </w:rPr>
        <w:t> </w:t>
      </w:r>
      <w:r>
        <w:rPr/>
        <w:t>approach.’’</w:t>
      </w:r>
      <w:r>
        <w:rPr>
          <w:spacing w:val="-13"/>
        </w:rPr>
        <w:t> </w:t>
      </w:r>
      <w:r>
        <w:rPr/>
        <w:t>Aust.</w:t>
      </w:r>
      <w:r>
        <w:rPr>
          <w:spacing w:val="-12"/>
        </w:rPr>
        <w:t> </w:t>
      </w:r>
      <w:r>
        <w:rPr/>
        <w:t>J.</w:t>
      </w:r>
      <w:r>
        <w:rPr>
          <w:spacing w:val="-12"/>
        </w:rPr>
        <w:t> </w:t>
      </w:r>
      <w:r>
        <w:rPr/>
        <w:t>Agr.</w:t>
      </w:r>
      <w:r>
        <w:rPr>
          <w:spacing w:val="-13"/>
        </w:rPr>
        <w:t> </w:t>
      </w:r>
      <w:r>
        <w:rPr/>
        <w:t>Resour.</w:t>
      </w:r>
      <w:r>
        <w:rPr>
          <w:spacing w:val="-13"/>
        </w:rPr>
        <w:t> </w:t>
      </w:r>
      <w:r>
        <w:rPr/>
        <w:t>Ec. 48,</w:t>
      </w:r>
      <w:r>
        <w:rPr>
          <w:spacing w:val="-1"/>
        </w:rPr>
        <w:t> </w:t>
      </w:r>
      <w:r>
        <w:rPr/>
        <w:t>253–70.</w:t>
      </w:r>
    </w:p>
    <w:p>
      <w:pPr>
        <w:pStyle w:val="BodyText"/>
        <w:spacing w:line="360" w:lineRule="auto" w:before="6"/>
        <w:ind w:left="810" w:right="121" w:hanging="708"/>
        <w:jc w:val="both"/>
      </w:pPr>
      <w:r>
        <w:rPr/>
        <w:t>Harwood, J.L., Heifner, R., Perry, J., Coble, K., Somwaru, A. 1999. ‘‘Managing risk in farming: Concepts, research and analysis.’’ Agricultural Economic Report No. 774. Washington, DC: U.S. Department of Agriculture/Economic Research Service.</w:t>
      </w:r>
    </w:p>
    <w:p>
      <w:pPr>
        <w:pStyle w:val="BodyText"/>
        <w:spacing w:line="360" w:lineRule="auto" w:before="4"/>
        <w:ind w:left="810" w:right="124" w:hanging="708"/>
        <w:jc w:val="both"/>
      </w:pPr>
      <w:r>
        <w:rPr/>
        <w:t>Hendricks, N.P., Janzen, J.P., Dhuyvetter, K.C. 2012. Subsidy Incidence and Inertia in Farmland Rental Markets: Estimates from a Dynamic Panel. J. Agr. Resour. Econ. 37, 361–378.</w:t>
      </w:r>
    </w:p>
    <w:p>
      <w:pPr>
        <w:pStyle w:val="BodyText"/>
        <w:spacing w:line="360" w:lineRule="auto" w:before="7"/>
        <w:ind w:left="810" w:right="122" w:hanging="708"/>
        <w:jc w:val="both"/>
      </w:pPr>
      <w:r>
        <w:rPr/>
        <w:t>Herbst, B.K., Anderson, D.P., Outlaw, J.L., Richardson, J.W. 2010. Relative Profitability of Dairy Farms in a High Feed Cost Environment. Selected Paper prepared for presentation at the Southern Agricultural Economics Association Annual Meeting Orlando, Florida, February 6 - 9, 2010.</w:t>
      </w:r>
    </w:p>
    <w:p>
      <w:pPr>
        <w:pStyle w:val="BodyText"/>
        <w:spacing w:line="360" w:lineRule="auto" w:before="6"/>
        <w:ind w:left="810" w:right="126" w:hanging="708"/>
        <w:jc w:val="both"/>
      </w:pPr>
      <w:r>
        <w:rPr/>
        <w:t>INEGI, Instituto Nacional de Estadística, Geografía e Informática. 2012. Registro de nombres geográficos. </w:t>
      </w:r>
      <w:hyperlink r:id="rId154">
        <w:r>
          <w:rPr>
            <w:u w:val="single"/>
          </w:rPr>
          <w:t>http://www.Mapserver.inegi.org</w:t>
        </w:r>
        <w:r>
          <w:rPr/>
          <w:t>.</w:t>
        </w:r>
      </w:hyperlink>
      <w:r>
        <w:rPr/>
        <w:t> </w:t>
      </w:r>
      <w:r>
        <w:rPr>
          <w:u w:val="single"/>
        </w:rPr>
        <w:t>mx/rnng/index.cfm.</w:t>
      </w:r>
    </w:p>
    <w:p>
      <w:pPr>
        <w:pStyle w:val="BodyText"/>
        <w:spacing w:line="357" w:lineRule="auto" w:before="6"/>
        <w:ind w:left="810" w:right="117" w:hanging="708"/>
        <w:jc w:val="both"/>
      </w:pPr>
      <w:r>
        <w:rPr/>
        <w:t>Jonasson,</w:t>
      </w:r>
      <w:r>
        <w:rPr>
          <w:spacing w:val="-3"/>
        </w:rPr>
        <w:t> </w:t>
      </w:r>
      <w:r>
        <w:rPr/>
        <w:t>E.,</w:t>
      </w:r>
      <w:r>
        <w:rPr>
          <w:spacing w:val="-4"/>
        </w:rPr>
        <w:t> </w:t>
      </w:r>
      <w:r>
        <w:rPr/>
        <w:t>Filipski,</w:t>
      </w:r>
      <w:r>
        <w:rPr>
          <w:spacing w:val="-4"/>
        </w:rPr>
        <w:t> </w:t>
      </w:r>
      <w:r>
        <w:rPr/>
        <w:t>M.,</w:t>
      </w:r>
      <w:r>
        <w:rPr>
          <w:spacing w:val="-4"/>
        </w:rPr>
        <w:t> </w:t>
      </w:r>
      <w:r>
        <w:rPr/>
        <w:t>Brooks,</w:t>
      </w:r>
      <w:r>
        <w:rPr>
          <w:spacing w:val="-4"/>
        </w:rPr>
        <w:t> </w:t>
      </w:r>
      <w:r>
        <w:rPr/>
        <w:t>J.,</w:t>
      </w:r>
      <w:r>
        <w:rPr>
          <w:spacing w:val="-4"/>
        </w:rPr>
        <w:t> </w:t>
      </w:r>
      <w:r>
        <w:rPr/>
        <w:t>Taylord</w:t>
      </w:r>
      <w:r>
        <w:rPr>
          <w:spacing w:val="-5"/>
        </w:rPr>
        <w:t> </w:t>
      </w:r>
      <w:r>
        <w:rPr/>
        <w:t>J.E.</w:t>
      </w:r>
      <w:r>
        <w:rPr>
          <w:spacing w:val="-4"/>
        </w:rPr>
        <w:t> </w:t>
      </w:r>
      <w:r>
        <w:rPr/>
        <w:t>2012.</w:t>
      </w:r>
      <w:r>
        <w:rPr>
          <w:spacing w:val="-4"/>
        </w:rPr>
        <w:t> </w:t>
      </w:r>
      <w:r>
        <w:rPr/>
        <w:t>Modeling</w:t>
      </w:r>
      <w:r>
        <w:rPr>
          <w:spacing w:val="-6"/>
        </w:rPr>
        <w:t> </w:t>
      </w:r>
      <w:r>
        <w:rPr/>
        <w:t>the</w:t>
      </w:r>
      <w:r>
        <w:rPr>
          <w:spacing w:val="-4"/>
        </w:rPr>
        <w:t> </w:t>
      </w:r>
      <w:r>
        <w:rPr/>
        <w:t>Welfare</w:t>
      </w:r>
      <w:r>
        <w:rPr>
          <w:spacing w:val="-3"/>
        </w:rPr>
        <w:t> </w:t>
      </w:r>
      <w:r>
        <w:rPr/>
        <w:t>Implications of Agricultural Policies in Developing Countries. This paper is based on the</w:t>
      </w:r>
      <w:r>
        <w:rPr>
          <w:spacing w:val="-22"/>
        </w:rPr>
        <w:t> </w:t>
      </w:r>
      <w:r>
        <w:rPr/>
        <w:t>findings in “Modeling the Distributional Implications of Agricultural Policies in Developing Countries”,</w:t>
      </w:r>
      <w:r>
        <w:rPr>
          <w:spacing w:val="-9"/>
        </w:rPr>
        <w:t> </w:t>
      </w:r>
      <w:r>
        <w:rPr/>
        <w:t>OECD</w:t>
      </w:r>
      <w:r>
        <w:rPr>
          <w:spacing w:val="-7"/>
        </w:rPr>
        <w:t> </w:t>
      </w:r>
      <w:r>
        <w:rPr/>
        <w:t>Food,</w:t>
      </w:r>
      <w:r>
        <w:rPr>
          <w:spacing w:val="-7"/>
        </w:rPr>
        <w:t> </w:t>
      </w:r>
      <w:r>
        <w:rPr/>
        <w:t>Agriculture</w:t>
      </w:r>
      <w:r>
        <w:rPr>
          <w:spacing w:val="-8"/>
        </w:rPr>
        <w:t> </w:t>
      </w:r>
      <w:r>
        <w:rPr/>
        <w:t>and</w:t>
      </w:r>
      <w:r>
        <w:rPr>
          <w:spacing w:val="-6"/>
        </w:rPr>
        <w:t> </w:t>
      </w:r>
      <w:r>
        <w:rPr/>
        <w:t>Fisheries</w:t>
      </w:r>
      <w:r>
        <w:rPr>
          <w:spacing w:val="-8"/>
        </w:rPr>
        <w:t> </w:t>
      </w:r>
      <w:r>
        <w:rPr/>
        <w:t>Working</w:t>
      </w:r>
      <w:r>
        <w:rPr>
          <w:spacing w:val="-11"/>
        </w:rPr>
        <w:t> </w:t>
      </w:r>
      <w:r>
        <w:rPr/>
        <w:t>Papers</w:t>
      </w:r>
      <w:r>
        <w:rPr>
          <w:spacing w:val="-9"/>
        </w:rPr>
        <w:t> </w:t>
      </w:r>
      <w:r>
        <w:rPr/>
        <w:t>No.</w:t>
      </w:r>
      <w:r>
        <w:rPr>
          <w:spacing w:val="-7"/>
        </w:rPr>
        <w:t> </w:t>
      </w:r>
      <w:r>
        <w:rPr/>
        <w:t>50</w:t>
      </w:r>
      <w:r>
        <w:rPr>
          <w:spacing w:val="-6"/>
        </w:rPr>
        <w:t> </w:t>
      </w:r>
      <w:r>
        <w:rPr/>
        <w:t>and</w:t>
      </w:r>
      <w:r>
        <w:rPr>
          <w:spacing w:val="-9"/>
        </w:rPr>
        <w:t> </w:t>
      </w:r>
      <w:r>
        <w:rPr/>
        <w:t>“The Development Policy Evaluation Model (DEVPEM): Technical Documentation”, OECD</w:t>
      </w:r>
      <w:r>
        <w:rPr>
          <w:spacing w:val="-12"/>
        </w:rPr>
        <w:t> </w:t>
      </w:r>
      <w:r>
        <w:rPr/>
        <w:t>Food,</w:t>
      </w:r>
      <w:r>
        <w:rPr>
          <w:spacing w:val="-11"/>
        </w:rPr>
        <w:t> </w:t>
      </w:r>
      <w:r>
        <w:rPr/>
        <w:t>Agriculture</w:t>
      </w:r>
      <w:r>
        <w:rPr>
          <w:spacing w:val="-11"/>
        </w:rPr>
        <w:t> </w:t>
      </w:r>
      <w:r>
        <w:rPr/>
        <w:t>and</w:t>
      </w:r>
      <w:r>
        <w:rPr>
          <w:spacing w:val="-11"/>
        </w:rPr>
        <w:t> </w:t>
      </w:r>
      <w:r>
        <w:rPr/>
        <w:t>Fisheries</w:t>
      </w:r>
      <w:r>
        <w:rPr>
          <w:spacing w:val="-11"/>
        </w:rPr>
        <w:t> </w:t>
      </w:r>
      <w:r>
        <w:rPr/>
        <w:t>Working</w:t>
      </w:r>
      <w:r>
        <w:rPr>
          <w:spacing w:val="-14"/>
        </w:rPr>
        <w:t> </w:t>
      </w:r>
      <w:r>
        <w:rPr/>
        <w:t>Papers</w:t>
      </w:r>
      <w:r>
        <w:rPr>
          <w:spacing w:val="-12"/>
        </w:rPr>
        <w:t> </w:t>
      </w:r>
      <w:r>
        <w:rPr/>
        <w:t>No</w:t>
      </w:r>
      <w:r>
        <w:rPr>
          <w:spacing w:val="-12"/>
        </w:rPr>
        <w:t> </w:t>
      </w:r>
      <w:r>
        <w:rPr/>
        <w:t>51.</w:t>
      </w:r>
      <w:r>
        <w:rPr>
          <w:spacing w:val="-9"/>
        </w:rPr>
        <w:t> </w:t>
      </w:r>
      <w:r>
        <w:rPr/>
        <w:t>Both</w:t>
      </w:r>
      <w:r>
        <w:rPr>
          <w:spacing w:val="-11"/>
        </w:rPr>
        <w:t> </w:t>
      </w:r>
      <w:r>
        <w:rPr/>
        <w:t>working</w:t>
      </w:r>
      <w:r>
        <w:rPr>
          <w:spacing w:val="-14"/>
        </w:rPr>
        <w:t> </w:t>
      </w:r>
      <w:r>
        <w:rPr/>
        <w:t>papers: Paris, OECD Publishing</w:t>
      </w:r>
      <w:r>
        <w:rPr>
          <w:position w:val="9"/>
          <w:sz w:val="16"/>
        </w:rPr>
        <w:t>©</w:t>
      </w:r>
      <w:r>
        <w:rPr/>
        <w:t>. 2011</w:t>
      </w:r>
      <w:r>
        <w:rPr>
          <w:spacing w:val="-3"/>
        </w:rPr>
        <w:t> </w:t>
      </w:r>
      <w:r>
        <w:rPr/>
        <w:t>OECD.</w:t>
      </w:r>
    </w:p>
    <w:p>
      <w:pPr>
        <w:pStyle w:val="BodyText"/>
        <w:spacing w:line="360" w:lineRule="auto"/>
        <w:ind w:left="810" w:right="117" w:hanging="708"/>
        <w:jc w:val="both"/>
      </w:pPr>
      <w:r>
        <w:rPr/>
        <w:t>Lara-Covarrubias, D., Mora-Flores, J.S., Martínez-Damián, M.A., García-Delgado, G., Omaña-Silvestre, J.M., Gallegos-Sánchez, J., 2003. Competitividad y ventajas comparativas</w:t>
      </w:r>
      <w:r>
        <w:rPr>
          <w:spacing w:val="-4"/>
        </w:rPr>
        <w:t> </w:t>
      </w:r>
      <w:r>
        <w:rPr/>
        <w:t>de</w:t>
      </w:r>
      <w:r>
        <w:rPr>
          <w:spacing w:val="-5"/>
        </w:rPr>
        <w:t> </w:t>
      </w:r>
      <w:r>
        <w:rPr/>
        <w:t>los</w:t>
      </w:r>
      <w:r>
        <w:rPr>
          <w:spacing w:val="-3"/>
        </w:rPr>
        <w:t> </w:t>
      </w:r>
      <w:r>
        <w:rPr/>
        <w:t>sistemas</w:t>
      </w:r>
      <w:r>
        <w:rPr>
          <w:spacing w:val="-4"/>
        </w:rPr>
        <w:t> </w:t>
      </w:r>
      <w:r>
        <w:rPr/>
        <w:t>de</w:t>
      </w:r>
      <w:r>
        <w:rPr>
          <w:spacing w:val="-5"/>
        </w:rPr>
        <w:t> </w:t>
      </w:r>
      <w:r>
        <w:rPr/>
        <w:t>producción</w:t>
      </w:r>
      <w:r>
        <w:rPr>
          <w:spacing w:val="-3"/>
        </w:rPr>
        <w:t> </w:t>
      </w:r>
      <w:r>
        <w:rPr/>
        <w:t>de</w:t>
      </w:r>
      <w:r>
        <w:rPr>
          <w:spacing w:val="-5"/>
        </w:rPr>
        <w:t> </w:t>
      </w:r>
      <w:r>
        <w:rPr/>
        <w:t>leche</w:t>
      </w:r>
      <w:r>
        <w:rPr>
          <w:spacing w:val="-5"/>
        </w:rPr>
        <w:t> </w:t>
      </w:r>
      <w:r>
        <w:rPr/>
        <w:t>en</w:t>
      </w:r>
      <w:r>
        <w:rPr>
          <w:spacing w:val="-4"/>
        </w:rPr>
        <w:t> </w:t>
      </w:r>
      <w:r>
        <w:rPr/>
        <w:t>el</w:t>
      </w:r>
      <w:r>
        <w:rPr>
          <w:spacing w:val="-3"/>
        </w:rPr>
        <w:t> </w:t>
      </w:r>
      <w:r>
        <w:rPr/>
        <w:t>estado</w:t>
      </w:r>
      <w:r>
        <w:rPr>
          <w:spacing w:val="-4"/>
        </w:rPr>
        <w:t> </w:t>
      </w:r>
      <w:r>
        <w:rPr/>
        <w:t>de</w:t>
      </w:r>
      <w:r>
        <w:rPr>
          <w:spacing w:val="-5"/>
        </w:rPr>
        <w:t> </w:t>
      </w:r>
      <w:r>
        <w:rPr/>
        <w:t>Jalisco,</w:t>
      </w:r>
      <w:r>
        <w:rPr>
          <w:spacing w:val="-4"/>
        </w:rPr>
        <w:t> </w:t>
      </w:r>
      <w:r>
        <w:rPr/>
        <w:t>México. Agrociencia-México. 37,</w:t>
      </w:r>
      <w:r>
        <w:rPr>
          <w:spacing w:val="-7"/>
        </w:rPr>
        <w:t> </w:t>
      </w:r>
      <w:r>
        <w:rPr/>
        <w:t>85-94.</w:t>
      </w:r>
    </w:p>
    <w:p>
      <w:pPr>
        <w:pStyle w:val="BodyText"/>
        <w:spacing w:line="360" w:lineRule="auto" w:before="4"/>
        <w:ind w:left="810" w:right="118" w:hanging="708"/>
        <w:jc w:val="both"/>
      </w:pPr>
      <w:r>
        <w:rPr/>
        <w:t>Lemiux,</w:t>
      </w:r>
      <w:r>
        <w:rPr>
          <w:spacing w:val="-13"/>
        </w:rPr>
        <w:t> </w:t>
      </w:r>
      <w:r>
        <w:rPr/>
        <w:t>C.M.,</w:t>
      </w:r>
      <w:r>
        <w:rPr>
          <w:spacing w:val="-13"/>
        </w:rPr>
        <w:t> </w:t>
      </w:r>
      <w:r>
        <w:rPr/>
        <w:t>Richardson,</w:t>
      </w:r>
      <w:r>
        <w:rPr>
          <w:spacing w:val="-14"/>
        </w:rPr>
        <w:t> </w:t>
      </w:r>
      <w:r>
        <w:rPr/>
        <w:t>J.W.,</w:t>
      </w:r>
      <w:r>
        <w:rPr>
          <w:spacing w:val="-13"/>
        </w:rPr>
        <w:t> </w:t>
      </w:r>
      <w:r>
        <w:rPr/>
        <w:t>Nixon,</w:t>
      </w:r>
      <w:r>
        <w:rPr>
          <w:spacing w:val="-16"/>
        </w:rPr>
        <w:t> </w:t>
      </w:r>
      <w:r>
        <w:rPr/>
        <w:t>C.J.</w:t>
      </w:r>
      <w:r>
        <w:rPr>
          <w:spacing w:val="-13"/>
        </w:rPr>
        <w:t> </w:t>
      </w:r>
      <w:r>
        <w:rPr/>
        <w:t>1982.</w:t>
      </w:r>
      <w:r>
        <w:rPr>
          <w:spacing w:val="-14"/>
        </w:rPr>
        <w:t> </w:t>
      </w:r>
      <w:r>
        <w:rPr/>
        <w:t>Federal</w:t>
      </w:r>
      <w:r>
        <w:rPr>
          <w:spacing w:val="-13"/>
        </w:rPr>
        <w:t> </w:t>
      </w:r>
      <w:r>
        <w:rPr/>
        <w:t>crop</w:t>
      </w:r>
      <w:r>
        <w:rPr>
          <w:spacing w:val="-14"/>
        </w:rPr>
        <w:t> </w:t>
      </w:r>
      <w:r>
        <w:rPr/>
        <w:t>insurance</w:t>
      </w:r>
      <w:r>
        <w:rPr>
          <w:spacing w:val="-14"/>
        </w:rPr>
        <w:t> </w:t>
      </w:r>
      <w:r>
        <w:rPr/>
        <w:t>vs.</w:t>
      </w:r>
      <w:r>
        <w:rPr>
          <w:spacing w:val="-13"/>
        </w:rPr>
        <w:t> </w:t>
      </w:r>
      <w:r>
        <w:rPr/>
        <w:t>ASCS</w:t>
      </w:r>
      <w:r>
        <w:rPr>
          <w:spacing w:val="-13"/>
        </w:rPr>
        <w:t> </w:t>
      </w:r>
      <w:r>
        <w:rPr/>
        <w:t>disaster assistance for Texas high plains cotton producers: An application of whole-farm simulation. W. J. Agr. Econ.</w:t>
      </w:r>
      <w:r>
        <w:rPr>
          <w:spacing w:val="-3"/>
        </w:rPr>
        <w:t> </w:t>
      </w:r>
      <w:r>
        <w:rPr/>
        <w:t>141-154</w:t>
      </w:r>
    </w:p>
    <w:p>
      <w:pPr>
        <w:pStyle w:val="BodyText"/>
        <w:spacing w:before="4"/>
        <w:ind w:left="102"/>
      </w:pPr>
      <w:r>
        <w:rPr/>
        <w:t>Lien, G. 2003. Assisting whole-farm decision-making through stochastic budgeting. Agr.</w:t>
      </w:r>
    </w:p>
    <w:p>
      <w:pPr>
        <w:pStyle w:val="BodyText"/>
        <w:spacing w:before="139"/>
        <w:ind w:left="810"/>
      </w:pPr>
      <w:r>
        <w:rPr/>
        <w:t>Syst. 76, 399-413.</w:t>
      </w:r>
    </w:p>
    <w:p>
      <w:pPr>
        <w:spacing w:after="0"/>
        <w:sectPr>
          <w:pgSz w:w="12240" w:h="15840"/>
          <w:pgMar w:header="0" w:footer="657" w:top="1360" w:bottom="840" w:left="1600" w:right="1580"/>
        </w:sectPr>
      </w:pPr>
    </w:p>
    <w:p>
      <w:pPr>
        <w:pStyle w:val="BodyText"/>
        <w:spacing w:line="360" w:lineRule="auto" w:before="50"/>
        <w:ind w:left="810" w:right="122" w:hanging="708"/>
        <w:jc w:val="both"/>
      </w:pPr>
      <w:r>
        <w:rPr/>
        <w:t>Malcolm,</w:t>
      </w:r>
      <w:r>
        <w:rPr>
          <w:spacing w:val="-9"/>
        </w:rPr>
        <w:t> </w:t>
      </w:r>
      <w:r>
        <w:rPr/>
        <w:t>B.,</w:t>
      </w:r>
      <w:r>
        <w:rPr>
          <w:spacing w:val="-12"/>
        </w:rPr>
        <w:t> </w:t>
      </w:r>
      <w:r>
        <w:rPr/>
        <w:t>Ho,</w:t>
      </w:r>
      <w:r>
        <w:rPr>
          <w:spacing w:val="-10"/>
        </w:rPr>
        <w:t> </w:t>
      </w:r>
      <w:r>
        <w:rPr/>
        <w:t>C.K.M.,</w:t>
      </w:r>
      <w:r>
        <w:rPr>
          <w:spacing w:val="-12"/>
        </w:rPr>
        <w:t> </w:t>
      </w:r>
      <w:r>
        <w:rPr/>
        <w:t>Armstrong,</w:t>
      </w:r>
      <w:r>
        <w:rPr>
          <w:spacing w:val="-10"/>
        </w:rPr>
        <w:t> </w:t>
      </w:r>
      <w:r>
        <w:rPr/>
        <w:t>D.P.,</w:t>
      </w:r>
      <w:r>
        <w:rPr>
          <w:spacing w:val="-12"/>
        </w:rPr>
        <w:t> </w:t>
      </w:r>
      <w:r>
        <w:rPr/>
        <w:t>Doyle,</w:t>
      </w:r>
      <w:r>
        <w:rPr>
          <w:spacing w:val="-8"/>
        </w:rPr>
        <w:t> </w:t>
      </w:r>
      <w:r>
        <w:rPr/>
        <w:t>P.T.,</w:t>
      </w:r>
      <w:r>
        <w:rPr>
          <w:spacing w:val="-12"/>
        </w:rPr>
        <w:t> </w:t>
      </w:r>
      <w:r>
        <w:rPr/>
        <w:t>Tarrant,</w:t>
      </w:r>
      <w:r>
        <w:rPr>
          <w:spacing w:val="-9"/>
        </w:rPr>
        <w:t> </w:t>
      </w:r>
      <w:r>
        <w:rPr/>
        <w:t>K.A.,</w:t>
      </w:r>
      <w:r>
        <w:rPr>
          <w:spacing w:val="-10"/>
        </w:rPr>
        <w:t> </w:t>
      </w:r>
      <w:r>
        <w:rPr/>
        <w:t>Heard,</w:t>
      </w:r>
      <w:r>
        <w:rPr>
          <w:spacing w:val="-12"/>
        </w:rPr>
        <w:t> </w:t>
      </w:r>
      <w:r>
        <w:rPr/>
        <w:t>J.W.,</w:t>
      </w:r>
      <w:r>
        <w:rPr>
          <w:spacing w:val="-12"/>
        </w:rPr>
        <w:t> </w:t>
      </w:r>
      <w:r>
        <w:rPr/>
        <w:t>Leddin, C.M., Wales, W.J. 2012. Dairy directions: A decade of whole farm analysis of dairy systems. Australasian Agribusiness Review 20,</w:t>
      </w:r>
      <w:r>
        <w:rPr>
          <w:spacing w:val="-4"/>
        </w:rPr>
        <w:t> </w:t>
      </w:r>
      <w:r>
        <w:rPr/>
        <w:t>38-58.</w:t>
      </w:r>
    </w:p>
    <w:p>
      <w:pPr>
        <w:pStyle w:val="BodyText"/>
        <w:spacing w:before="205"/>
        <w:ind w:left="102"/>
      </w:pPr>
      <w:r>
        <w:rPr/>
        <w:t>Miller, D. C., Salkind, N. J. 2002. Hanbook of Research Desing and Social    Measurement.</w:t>
      </w:r>
    </w:p>
    <w:p>
      <w:pPr>
        <w:pStyle w:val="BodyText"/>
        <w:spacing w:before="124"/>
        <w:ind w:left="810"/>
      </w:pPr>
      <w:r>
        <w:rPr/>
        <w:t>6</w:t>
      </w:r>
      <w:r>
        <w:rPr>
          <w:position w:val="9"/>
          <w:sz w:val="16"/>
        </w:rPr>
        <w:t>Th </w:t>
      </w:r>
      <w:r>
        <w:rPr/>
        <w:t>edition. Sage Publications.</w:t>
      </w:r>
    </w:p>
    <w:p>
      <w:pPr>
        <w:pStyle w:val="BodyText"/>
        <w:spacing w:line="360" w:lineRule="auto" w:before="137"/>
        <w:ind w:left="810" w:right="118" w:hanging="708"/>
        <w:jc w:val="both"/>
      </w:pPr>
      <w:r>
        <w:rPr/>
        <w:t>Ndambi,</w:t>
      </w:r>
      <w:r>
        <w:rPr>
          <w:spacing w:val="-17"/>
        </w:rPr>
        <w:t> </w:t>
      </w:r>
      <w:r>
        <w:rPr/>
        <w:t>O.A.,</w:t>
      </w:r>
      <w:r>
        <w:rPr>
          <w:spacing w:val="-17"/>
        </w:rPr>
        <w:t> </w:t>
      </w:r>
      <w:r>
        <w:rPr/>
        <w:t>Garcia,</w:t>
      </w:r>
      <w:r>
        <w:rPr>
          <w:spacing w:val="-17"/>
        </w:rPr>
        <w:t> </w:t>
      </w:r>
      <w:r>
        <w:rPr/>
        <w:t>O.,</w:t>
      </w:r>
      <w:r>
        <w:rPr>
          <w:spacing w:val="-17"/>
        </w:rPr>
        <w:t> </w:t>
      </w:r>
      <w:r>
        <w:rPr/>
        <w:t>Balikowa,</w:t>
      </w:r>
      <w:r>
        <w:rPr>
          <w:spacing w:val="-14"/>
        </w:rPr>
        <w:t> </w:t>
      </w:r>
      <w:r>
        <w:rPr/>
        <w:t>D.,</w:t>
      </w:r>
      <w:r>
        <w:rPr>
          <w:spacing w:val="-17"/>
        </w:rPr>
        <w:t> </w:t>
      </w:r>
      <w:r>
        <w:rPr/>
        <w:t>Kiconco,</w:t>
      </w:r>
      <w:r>
        <w:rPr>
          <w:spacing w:val="-14"/>
        </w:rPr>
        <w:t> </w:t>
      </w:r>
      <w:r>
        <w:rPr/>
        <w:t>D.,</w:t>
      </w:r>
      <w:r>
        <w:rPr>
          <w:spacing w:val="-17"/>
        </w:rPr>
        <w:t> </w:t>
      </w:r>
      <w:r>
        <w:rPr/>
        <w:t>Hemme,</w:t>
      </w:r>
      <w:r>
        <w:rPr>
          <w:spacing w:val="-17"/>
        </w:rPr>
        <w:t> </w:t>
      </w:r>
      <w:r>
        <w:rPr/>
        <w:t>T.</w:t>
      </w:r>
      <w:r>
        <w:rPr>
          <w:spacing w:val="-15"/>
        </w:rPr>
        <w:t> </w:t>
      </w:r>
      <w:r>
        <w:rPr/>
        <w:t>Latacz-Lohmann,</w:t>
      </w:r>
      <w:r>
        <w:rPr>
          <w:spacing w:val="-17"/>
        </w:rPr>
        <w:t> </w:t>
      </w:r>
      <w:r>
        <w:rPr/>
        <w:t>U.</w:t>
      </w:r>
      <w:r>
        <w:rPr>
          <w:spacing w:val="-17"/>
        </w:rPr>
        <w:t> </w:t>
      </w:r>
      <w:r>
        <w:rPr/>
        <w:t>2008. Milk production systems in Central Uganda: a farm economic analysis. Trop. Anim. Health Prod. 40,</w:t>
      </w:r>
      <w:r>
        <w:rPr>
          <w:spacing w:val="-3"/>
        </w:rPr>
        <w:t> </w:t>
      </w:r>
      <w:r>
        <w:rPr/>
        <w:t>269-279.</w:t>
      </w:r>
    </w:p>
    <w:p>
      <w:pPr>
        <w:pStyle w:val="BodyText"/>
        <w:spacing w:line="360" w:lineRule="auto" w:before="7"/>
        <w:ind w:left="810" w:right="114" w:hanging="708"/>
        <w:jc w:val="both"/>
      </w:pPr>
      <w:r>
        <w:rPr/>
        <w:t>Ndambi,</w:t>
      </w:r>
      <w:r>
        <w:rPr>
          <w:spacing w:val="-11"/>
        </w:rPr>
        <w:t> </w:t>
      </w:r>
      <w:r>
        <w:rPr/>
        <w:t>O.A.,</w:t>
      </w:r>
      <w:r>
        <w:rPr>
          <w:spacing w:val="-11"/>
        </w:rPr>
        <w:t> </w:t>
      </w:r>
      <w:r>
        <w:rPr/>
        <w:t>Hemme,</w:t>
      </w:r>
      <w:r>
        <w:rPr>
          <w:spacing w:val="-9"/>
        </w:rPr>
        <w:t> </w:t>
      </w:r>
      <w:r>
        <w:rPr/>
        <w:t>T.</w:t>
      </w:r>
      <w:r>
        <w:rPr>
          <w:spacing w:val="-11"/>
        </w:rPr>
        <w:t> </w:t>
      </w:r>
      <w:r>
        <w:rPr/>
        <w:t>2009.</w:t>
      </w:r>
      <w:r>
        <w:rPr>
          <w:spacing w:val="-11"/>
        </w:rPr>
        <w:t> </w:t>
      </w:r>
      <w:r>
        <w:rPr/>
        <w:t>An</w:t>
      </w:r>
      <w:r>
        <w:rPr>
          <w:spacing w:val="-12"/>
        </w:rPr>
        <w:t> </w:t>
      </w:r>
      <w:r>
        <w:rPr/>
        <w:t>Economic</w:t>
      </w:r>
      <w:r>
        <w:rPr>
          <w:spacing w:val="-12"/>
        </w:rPr>
        <w:t> </w:t>
      </w:r>
      <w:r>
        <w:rPr/>
        <w:t>Comparison</w:t>
      </w:r>
      <w:r>
        <w:rPr>
          <w:spacing w:val="-10"/>
        </w:rPr>
        <w:t> </w:t>
      </w:r>
      <w:r>
        <w:rPr/>
        <w:t>of</w:t>
      </w:r>
      <w:r>
        <w:rPr>
          <w:spacing w:val="-12"/>
        </w:rPr>
        <w:t> </w:t>
      </w:r>
      <w:r>
        <w:rPr/>
        <w:t>typical</w:t>
      </w:r>
      <w:r>
        <w:rPr>
          <w:spacing w:val="-11"/>
        </w:rPr>
        <w:t> </w:t>
      </w:r>
      <w:r>
        <w:rPr/>
        <w:t>dairy</w:t>
      </w:r>
      <w:r>
        <w:rPr>
          <w:spacing w:val="-13"/>
        </w:rPr>
        <w:t> </w:t>
      </w:r>
      <w:r>
        <w:rPr/>
        <w:t>farming</w:t>
      </w:r>
      <w:r>
        <w:rPr>
          <w:spacing w:val="-13"/>
        </w:rPr>
        <w:t> </w:t>
      </w:r>
      <w:r>
        <w:rPr/>
        <w:t>systems in</w:t>
      </w:r>
      <w:r>
        <w:rPr>
          <w:spacing w:val="-11"/>
        </w:rPr>
        <w:t> </w:t>
      </w:r>
      <w:r>
        <w:rPr/>
        <w:t>South</w:t>
      </w:r>
      <w:r>
        <w:rPr>
          <w:spacing w:val="-11"/>
        </w:rPr>
        <w:t> </w:t>
      </w:r>
      <w:r>
        <w:rPr/>
        <w:t>Africa,</w:t>
      </w:r>
      <w:r>
        <w:rPr>
          <w:spacing w:val="-11"/>
        </w:rPr>
        <w:t> </w:t>
      </w:r>
      <w:r>
        <w:rPr/>
        <w:t>Morocco,</w:t>
      </w:r>
      <w:r>
        <w:rPr>
          <w:spacing w:val="-11"/>
        </w:rPr>
        <w:t> </w:t>
      </w:r>
      <w:r>
        <w:rPr/>
        <w:t>Uganda</w:t>
      </w:r>
      <w:r>
        <w:rPr>
          <w:spacing w:val="-12"/>
        </w:rPr>
        <w:t> </w:t>
      </w:r>
      <w:r>
        <w:rPr/>
        <w:t>and</w:t>
      </w:r>
      <w:r>
        <w:rPr>
          <w:spacing w:val="-11"/>
        </w:rPr>
        <w:t> </w:t>
      </w:r>
      <w:r>
        <w:rPr/>
        <w:t>Cameroon.</w:t>
      </w:r>
      <w:r>
        <w:rPr>
          <w:spacing w:val="-9"/>
        </w:rPr>
        <w:t> </w:t>
      </w:r>
      <w:r>
        <w:rPr/>
        <w:t>Trop.</w:t>
      </w:r>
      <w:r>
        <w:rPr>
          <w:spacing w:val="-11"/>
        </w:rPr>
        <w:t> </w:t>
      </w:r>
      <w:r>
        <w:rPr/>
        <w:t>Anim.</w:t>
      </w:r>
      <w:r>
        <w:rPr>
          <w:spacing w:val="-11"/>
        </w:rPr>
        <w:t> </w:t>
      </w:r>
      <w:r>
        <w:rPr/>
        <w:t>Health</w:t>
      </w:r>
      <w:r>
        <w:rPr>
          <w:spacing w:val="-11"/>
        </w:rPr>
        <w:t> </w:t>
      </w:r>
      <w:r>
        <w:rPr/>
        <w:t>Prod.</w:t>
      </w:r>
      <w:r>
        <w:rPr>
          <w:spacing w:val="-10"/>
        </w:rPr>
        <w:t> </w:t>
      </w:r>
      <w:r>
        <w:rPr/>
        <w:t>41,</w:t>
      </w:r>
      <w:r>
        <w:rPr>
          <w:spacing w:val="-11"/>
        </w:rPr>
        <w:t> </w:t>
      </w:r>
      <w:r>
        <w:rPr/>
        <w:t>979- 994.</w:t>
      </w:r>
    </w:p>
    <w:p>
      <w:pPr>
        <w:pStyle w:val="BodyText"/>
        <w:spacing w:line="360" w:lineRule="auto" w:before="4"/>
        <w:ind w:left="810" w:right="118" w:hanging="708"/>
        <w:jc w:val="both"/>
      </w:pPr>
      <w:r>
        <w:rPr/>
        <w:t>Ochoa, R.F., Anderson, D.P., Outlaw, J.L., Richardson J.W., Knutson R.D., Schwart, R.B., Miller,</w:t>
      </w:r>
      <w:r>
        <w:rPr>
          <w:spacing w:val="-9"/>
        </w:rPr>
        <w:t> </w:t>
      </w:r>
      <w:r>
        <w:rPr/>
        <w:t>J.W.</w:t>
      </w:r>
      <w:r>
        <w:rPr>
          <w:spacing w:val="-9"/>
        </w:rPr>
        <w:t> </w:t>
      </w:r>
      <w:r>
        <w:rPr/>
        <w:t>1998.</w:t>
      </w:r>
      <w:r>
        <w:rPr>
          <w:spacing w:val="-7"/>
        </w:rPr>
        <w:t> </w:t>
      </w:r>
      <w:r>
        <w:rPr/>
        <w:t>Granjas</w:t>
      </w:r>
      <w:r>
        <w:rPr>
          <w:spacing w:val="-8"/>
        </w:rPr>
        <w:t> </w:t>
      </w:r>
      <w:r>
        <w:rPr/>
        <w:t>lecheras</w:t>
      </w:r>
      <w:r>
        <w:rPr>
          <w:spacing w:val="-6"/>
        </w:rPr>
        <w:t> </w:t>
      </w:r>
      <w:r>
        <w:rPr/>
        <w:t>representativas</w:t>
      </w:r>
      <w:r>
        <w:rPr>
          <w:spacing w:val="-7"/>
        </w:rPr>
        <w:t> </w:t>
      </w:r>
      <w:r>
        <w:rPr/>
        <w:t>en</w:t>
      </w:r>
      <w:r>
        <w:rPr>
          <w:spacing w:val="-9"/>
        </w:rPr>
        <w:t> </w:t>
      </w:r>
      <w:r>
        <w:rPr/>
        <w:t>México.</w:t>
      </w:r>
      <w:r>
        <w:rPr>
          <w:spacing w:val="-9"/>
        </w:rPr>
        <w:t> </w:t>
      </w:r>
      <w:r>
        <w:rPr/>
        <w:t>Panorama</w:t>
      </w:r>
      <w:r>
        <w:rPr>
          <w:spacing w:val="-7"/>
        </w:rPr>
        <w:t> </w:t>
      </w:r>
      <w:r>
        <w:rPr/>
        <w:t>económico 1998. Working Paper AFPC 98-10. November 1998. Department of Agricultural Economics. Texas Agricultural Experiment Station. Texas Agricultural Extension Service. Texas A&amp;M University, pp.</w:t>
      </w:r>
      <w:r>
        <w:rPr>
          <w:spacing w:val="-10"/>
        </w:rPr>
        <w:t> </w:t>
      </w:r>
      <w:r>
        <w:rPr/>
        <w:t>1-50.</w:t>
      </w:r>
    </w:p>
    <w:p>
      <w:pPr>
        <w:pStyle w:val="BodyText"/>
        <w:spacing w:line="360" w:lineRule="auto" w:before="6"/>
        <w:ind w:left="810" w:right="120" w:hanging="708"/>
        <w:jc w:val="both"/>
      </w:pPr>
      <w:r>
        <w:rPr/>
        <w:t>Odening, M., Wagner, C., Narayana, R., Huettel S. 2013. Measuring Dynamic Efficiency under Uncertainty: An Application to German Dairy Farms. Selected Paper</w:t>
      </w:r>
      <w:r>
        <w:rPr>
          <w:spacing w:val="-21"/>
        </w:rPr>
        <w:t> </w:t>
      </w:r>
      <w:r>
        <w:rPr/>
        <w:t>prepared for</w:t>
      </w:r>
      <w:r>
        <w:rPr>
          <w:spacing w:val="-8"/>
        </w:rPr>
        <w:t> </w:t>
      </w:r>
      <w:r>
        <w:rPr/>
        <w:t>presentation</w:t>
      </w:r>
      <w:r>
        <w:rPr>
          <w:spacing w:val="-6"/>
        </w:rPr>
        <w:t> </w:t>
      </w:r>
      <w:r>
        <w:rPr/>
        <w:t>at</w:t>
      </w:r>
      <w:r>
        <w:rPr>
          <w:spacing w:val="-6"/>
        </w:rPr>
        <w:t> </w:t>
      </w:r>
      <w:r>
        <w:rPr/>
        <w:t>the</w:t>
      </w:r>
      <w:r>
        <w:rPr>
          <w:spacing w:val="-5"/>
        </w:rPr>
        <w:t> </w:t>
      </w:r>
      <w:r>
        <w:rPr/>
        <w:t>Agricultural</w:t>
      </w:r>
      <w:r>
        <w:rPr>
          <w:spacing w:val="-3"/>
        </w:rPr>
        <w:t> </w:t>
      </w:r>
      <w:r>
        <w:rPr/>
        <w:t>&amp;</w:t>
      </w:r>
      <w:r>
        <w:rPr>
          <w:spacing w:val="-8"/>
        </w:rPr>
        <w:t> </w:t>
      </w:r>
      <w:r>
        <w:rPr/>
        <w:t>Applied</w:t>
      </w:r>
      <w:r>
        <w:rPr>
          <w:spacing w:val="-7"/>
        </w:rPr>
        <w:t> </w:t>
      </w:r>
      <w:r>
        <w:rPr/>
        <w:t>Economics</w:t>
      </w:r>
      <w:r>
        <w:rPr>
          <w:spacing w:val="-6"/>
        </w:rPr>
        <w:t> </w:t>
      </w:r>
      <w:r>
        <w:rPr/>
        <w:t>Association’s</w:t>
      </w:r>
      <w:r>
        <w:rPr>
          <w:spacing w:val="-6"/>
        </w:rPr>
        <w:t> </w:t>
      </w:r>
      <w:r>
        <w:rPr/>
        <w:t>2013</w:t>
      </w:r>
      <w:r>
        <w:rPr>
          <w:spacing w:val="-6"/>
        </w:rPr>
        <w:t> </w:t>
      </w:r>
      <w:r>
        <w:rPr/>
        <w:t>AAEA &amp; CAES Joint Annual Meeting, Washington, DC, August 4-6,</w:t>
      </w:r>
      <w:r>
        <w:rPr>
          <w:spacing w:val="-12"/>
        </w:rPr>
        <w:t> </w:t>
      </w:r>
      <w:r>
        <w:rPr/>
        <w:t>2013.</w:t>
      </w:r>
    </w:p>
    <w:p>
      <w:pPr>
        <w:pStyle w:val="BodyText"/>
        <w:spacing w:line="360" w:lineRule="auto" w:before="4"/>
        <w:ind w:left="810" w:right="117" w:hanging="708"/>
        <w:jc w:val="both"/>
      </w:pPr>
      <w:r>
        <w:rPr/>
        <w:t>Outlaw, J.L., Ribera, L.A., Richardson, J.W., Da Silva, J., Bryant, H., Klose, E. 2007. Economics</w:t>
      </w:r>
      <w:r>
        <w:rPr>
          <w:spacing w:val="-7"/>
        </w:rPr>
        <w:t> </w:t>
      </w:r>
      <w:r>
        <w:rPr/>
        <w:t>of</w:t>
      </w:r>
      <w:r>
        <w:rPr>
          <w:spacing w:val="-8"/>
        </w:rPr>
        <w:t> </w:t>
      </w:r>
      <w:r>
        <w:rPr/>
        <w:t>sugar-based</w:t>
      </w:r>
      <w:r>
        <w:rPr>
          <w:spacing w:val="-7"/>
        </w:rPr>
        <w:t> </w:t>
      </w:r>
      <w:r>
        <w:rPr/>
        <w:t>ethanol</w:t>
      </w:r>
      <w:r>
        <w:rPr>
          <w:spacing w:val="-7"/>
        </w:rPr>
        <w:t> </w:t>
      </w:r>
      <w:r>
        <w:rPr/>
        <w:t>production</w:t>
      </w:r>
      <w:r>
        <w:rPr>
          <w:spacing w:val="-7"/>
        </w:rPr>
        <w:t> </w:t>
      </w:r>
      <w:r>
        <w:rPr/>
        <w:t>and</w:t>
      </w:r>
      <w:r>
        <w:rPr>
          <w:spacing w:val="-7"/>
        </w:rPr>
        <w:t> </w:t>
      </w:r>
      <w:r>
        <w:rPr/>
        <w:t>related</w:t>
      </w:r>
      <w:r>
        <w:rPr>
          <w:spacing w:val="-7"/>
        </w:rPr>
        <w:t> </w:t>
      </w:r>
      <w:r>
        <w:rPr/>
        <w:t>policy</w:t>
      </w:r>
      <w:r>
        <w:rPr>
          <w:spacing w:val="-10"/>
        </w:rPr>
        <w:t> </w:t>
      </w:r>
      <w:r>
        <w:rPr/>
        <w:t>Issues.</w:t>
      </w:r>
      <w:r>
        <w:rPr>
          <w:spacing w:val="-5"/>
        </w:rPr>
        <w:t> </w:t>
      </w:r>
      <w:r>
        <w:rPr/>
        <w:t>J.</w:t>
      </w:r>
      <w:r>
        <w:rPr>
          <w:spacing w:val="-7"/>
        </w:rPr>
        <w:t> </w:t>
      </w:r>
      <w:r>
        <w:rPr/>
        <w:t>Agr.</w:t>
      </w:r>
      <w:r>
        <w:rPr>
          <w:spacing w:val="-8"/>
        </w:rPr>
        <w:t> </w:t>
      </w:r>
      <w:r>
        <w:rPr/>
        <w:t>Appl. Econ. 39,</w:t>
      </w:r>
      <w:r>
        <w:rPr>
          <w:spacing w:val="-3"/>
        </w:rPr>
        <w:t> </w:t>
      </w:r>
      <w:r>
        <w:rPr/>
        <w:t>357-363.</w:t>
      </w:r>
    </w:p>
    <w:p>
      <w:pPr>
        <w:pStyle w:val="BodyText"/>
        <w:spacing w:line="360" w:lineRule="auto" w:before="6"/>
        <w:ind w:left="810" w:right="114" w:hanging="708"/>
        <w:jc w:val="both"/>
      </w:pPr>
      <w:r>
        <w:rPr/>
        <w:pict>
          <v:line style="position:absolute;mso-position-horizontal-relative:page;mso-position-vertical-relative:paragraph;z-index:-457408" from="120.5pt,116.593102pt" to="124.46pt,116.593102pt" stroked="true" strokeweight=".60004pt" strokecolor="#000000">
            <w10:wrap type="none"/>
          </v:line>
        </w:pict>
      </w:r>
      <w:r>
        <w:rPr/>
        <w:t>Posadas-Domínguez, R.R., Salinas-Martínez, J.A., Callejas-Juárez, N., Álvarez-Fuentes,</w:t>
      </w:r>
      <w:r>
        <w:rPr>
          <w:spacing w:val="-32"/>
        </w:rPr>
        <w:t> </w:t>
      </w:r>
      <w:r>
        <w:rPr/>
        <w:t>G., Herrera-Haro,</w:t>
      </w:r>
      <w:r>
        <w:rPr>
          <w:spacing w:val="-8"/>
        </w:rPr>
        <w:t> </w:t>
      </w:r>
      <w:r>
        <w:rPr/>
        <w:t>J.,</w:t>
      </w:r>
      <w:r>
        <w:rPr>
          <w:spacing w:val="-7"/>
        </w:rPr>
        <w:t> </w:t>
      </w:r>
      <w:r>
        <w:rPr/>
        <w:t>Arriaga-Jordán,</w:t>
      </w:r>
      <w:r>
        <w:rPr>
          <w:spacing w:val="-7"/>
        </w:rPr>
        <w:t> </w:t>
      </w:r>
      <w:r>
        <w:rPr/>
        <w:t>C.M.,</w:t>
      </w:r>
      <w:r>
        <w:rPr>
          <w:spacing w:val="-7"/>
        </w:rPr>
        <w:t> </w:t>
      </w:r>
      <w:r>
        <w:rPr/>
        <w:t>Martínez-Castañeda,</w:t>
      </w:r>
      <w:r>
        <w:rPr>
          <w:spacing w:val="-5"/>
        </w:rPr>
        <w:t> </w:t>
      </w:r>
      <w:r>
        <w:rPr/>
        <w:t>F.E.</w:t>
      </w:r>
      <w:r>
        <w:rPr>
          <w:spacing w:val="-7"/>
        </w:rPr>
        <w:t> </w:t>
      </w:r>
      <w:r>
        <w:rPr/>
        <w:t>2013a.</w:t>
      </w:r>
      <w:r>
        <w:rPr>
          <w:spacing w:val="-5"/>
        </w:rPr>
        <w:t> </w:t>
      </w:r>
      <w:r>
        <w:rPr/>
        <w:t>Análisis</w:t>
      </w:r>
      <w:r>
        <w:rPr>
          <w:spacing w:val="-7"/>
        </w:rPr>
        <w:t> </w:t>
      </w:r>
      <w:r>
        <w:rPr/>
        <w:t>de costos y estrategias productivas en la lechería de pequeña escala en el periodo 2000- 2012. Artículo en prensa en la Revista Contaduría y Administración-México. </w:t>
      </w:r>
      <w:hyperlink r:id="rId147">
        <w:r>
          <w:rPr>
            <w:u w:val="single"/>
          </w:rPr>
          <w:t>http://www.contaduriayadministracionunam.com.mx/userFiles/app/pp_11012013.pd</w:t>
        </w:r>
      </w:hyperlink>
      <w:r>
        <w:rPr>
          <w:u w:val="single"/>
        </w:rPr>
        <w:t> </w:t>
      </w:r>
      <w:hyperlink r:id="rId147">
        <w:r>
          <w:rPr/>
          <w:t>f.</w:t>
        </w:r>
      </w:hyperlink>
    </w:p>
    <w:p>
      <w:pPr>
        <w:spacing w:after="0" w:line="360" w:lineRule="auto"/>
        <w:jc w:val="both"/>
        <w:sectPr>
          <w:pgSz w:w="12240" w:h="15840"/>
          <w:pgMar w:header="0" w:footer="657" w:top="1360" w:bottom="840" w:left="1600" w:right="1580"/>
        </w:sectPr>
      </w:pPr>
    </w:p>
    <w:p>
      <w:pPr>
        <w:pStyle w:val="BodyText"/>
        <w:spacing w:before="50"/>
        <w:ind w:left="102"/>
      </w:pPr>
      <w:r>
        <w:rPr/>
        <w:t>Posadas-Domínguez, R.R.,  Arriaga-Jordán, C.M., Callejas-Juárez, N </w:t>
      </w:r>
      <w:r>
        <w:rPr>
          <w:spacing w:val="50"/>
        </w:rPr>
        <w:t> </w:t>
      </w:r>
      <w:r>
        <w:rPr/>
        <w:t>Martínez-Castañeda,</w:t>
      </w:r>
    </w:p>
    <w:p>
      <w:pPr>
        <w:pStyle w:val="BodyText"/>
        <w:spacing w:line="360" w:lineRule="auto" w:before="139"/>
        <w:ind w:left="810" w:right="115"/>
        <w:jc w:val="both"/>
      </w:pPr>
      <w:r>
        <w:rPr/>
        <w:t>F.E. 2013b. Viabilidad económica y financiera de los sistemas lecheros de pequeña escala y el papel de la mano de obra familiar: Panorama económico 2010-2019. En: Betariz A. Cavallotti V., Gustavo E. Rojo M., Benito Ramírez V., Alfredo Cesín V., Carlos F. Marcof A., (coordinadores). La Ganadería en la seguridad alimentaria de las familias campesinas. UACH. 217-228. ISBN 432.341-300-0.</w:t>
      </w:r>
    </w:p>
    <w:p>
      <w:pPr>
        <w:pStyle w:val="BodyText"/>
        <w:spacing w:line="360" w:lineRule="auto" w:before="205"/>
        <w:ind w:left="810" w:right="116" w:hanging="708"/>
        <w:jc w:val="both"/>
      </w:pPr>
      <w:r>
        <w:rPr/>
        <w:t>Reicher, R.K., Conner J.R., Heitschmidt, R.K. 1989. Economic consequences of alternative stocking rate adjustment tactics: a simulation approach. J. Range. Manage. 42,165- 171.</w:t>
      </w:r>
    </w:p>
    <w:p>
      <w:pPr>
        <w:pStyle w:val="BodyText"/>
        <w:spacing w:line="360" w:lineRule="auto" w:before="4"/>
        <w:ind w:left="810" w:right="117" w:hanging="708"/>
        <w:jc w:val="both"/>
      </w:pPr>
      <w:r>
        <w:rPr/>
        <w:t>Reutlinger,</w:t>
      </w:r>
      <w:r>
        <w:rPr>
          <w:spacing w:val="-6"/>
        </w:rPr>
        <w:t> </w:t>
      </w:r>
      <w:r>
        <w:rPr/>
        <w:t>S.</w:t>
      </w:r>
      <w:r>
        <w:rPr>
          <w:spacing w:val="-5"/>
        </w:rPr>
        <w:t> </w:t>
      </w:r>
      <w:r>
        <w:rPr/>
        <w:t>1970.</w:t>
      </w:r>
      <w:r>
        <w:rPr>
          <w:spacing w:val="-5"/>
        </w:rPr>
        <w:t> </w:t>
      </w:r>
      <w:r>
        <w:rPr/>
        <w:t>“Techniques</w:t>
      </w:r>
      <w:r>
        <w:rPr>
          <w:spacing w:val="-4"/>
        </w:rPr>
        <w:t> </w:t>
      </w:r>
      <w:r>
        <w:rPr/>
        <w:t>for</w:t>
      </w:r>
      <w:r>
        <w:rPr>
          <w:spacing w:val="-6"/>
        </w:rPr>
        <w:t> </w:t>
      </w:r>
      <w:r>
        <w:rPr/>
        <w:t>project</w:t>
      </w:r>
      <w:r>
        <w:rPr>
          <w:spacing w:val="-4"/>
        </w:rPr>
        <w:t> </w:t>
      </w:r>
      <w:r>
        <w:rPr/>
        <w:t>appraisal</w:t>
      </w:r>
      <w:r>
        <w:rPr>
          <w:spacing w:val="-5"/>
        </w:rPr>
        <w:t> </w:t>
      </w:r>
      <w:r>
        <w:rPr/>
        <w:t>under</w:t>
      </w:r>
      <w:r>
        <w:rPr>
          <w:spacing w:val="-6"/>
        </w:rPr>
        <w:t> </w:t>
      </w:r>
      <w:r>
        <w:rPr/>
        <w:t>uncertainty.”</w:t>
      </w:r>
      <w:r>
        <w:rPr>
          <w:spacing w:val="-3"/>
        </w:rPr>
        <w:t> </w:t>
      </w:r>
      <w:r>
        <w:rPr/>
        <w:t>World</w:t>
      </w:r>
      <w:r>
        <w:rPr>
          <w:spacing w:val="-5"/>
        </w:rPr>
        <w:t> </w:t>
      </w:r>
      <w:r>
        <w:rPr/>
        <w:t>Bank</w:t>
      </w:r>
      <w:r>
        <w:rPr>
          <w:spacing w:val="-5"/>
        </w:rPr>
        <w:t> </w:t>
      </w:r>
      <w:r>
        <w:rPr/>
        <w:t>Staff Occasional</w:t>
      </w:r>
      <w:r>
        <w:rPr>
          <w:spacing w:val="-14"/>
        </w:rPr>
        <w:t> </w:t>
      </w:r>
      <w:r>
        <w:rPr/>
        <w:t>Papers</w:t>
      </w:r>
      <w:r>
        <w:rPr>
          <w:spacing w:val="-15"/>
        </w:rPr>
        <w:t> </w:t>
      </w:r>
      <w:r>
        <w:rPr/>
        <w:t>(10),</w:t>
      </w:r>
      <w:r>
        <w:rPr>
          <w:spacing w:val="-12"/>
        </w:rPr>
        <w:t> </w:t>
      </w:r>
      <w:r>
        <w:rPr/>
        <w:t>International</w:t>
      </w:r>
      <w:r>
        <w:rPr>
          <w:spacing w:val="-14"/>
        </w:rPr>
        <w:t> </w:t>
      </w:r>
      <w:r>
        <w:rPr/>
        <w:t>Bank</w:t>
      </w:r>
      <w:r>
        <w:rPr>
          <w:spacing w:val="-14"/>
        </w:rPr>
        <w:t> </w:t>
      </w:r>
      <w:r>
        <w:rPr/>
        <w:t>for</w:t>
      </w:r>
      <w:r>
        <w:rPr>
          <w:spacing w:val="-15"/>
        </w:rPr>
        <w:t> </w:t>
      </w:r>
      <w:r>
        <w:rPr/>
        <w:t>Reconstruction</w:t>
      </w:r>
      <w:r>
        <w:rPr>
          <w:spacing w:val="-14"/>
        </w:rPr>
        <w:t> </w:t>
      </w:r>
      <w:r>
        <w:rPr/>
        <w:t>and</w:t>
      </w:r>
      <w:r>
        <w:rPr>
          <w:spacing w:val="-14"/>
        </w:rPr>
        <w:t> </w:t>
      </w:r>
      <w:r>
        <w:rPr/>
        <w:t>Development,</w:t>
      </w:r>
      <w:r>
        <w:rPr>
          <w:spacing w:val="-15"/>
        </w:rPr>
        <w:t> </w:t>
      </w:r>
      <w:r>
        <w:rPr/>
        <w:t>The John Hopkins University</w:t>
      </w:r>
      <w:r>
        <w:rPr>
          <w:spacing w:val="-5"/>
        </w:rPr>
        <w:t> </w:t>
      </w:r>
      <w:r>
        <w:rPr/>
        <w:t>Press.</w:t>
      </w:r>
    </w:p>
    <w:p>
      <w:pPr>
        <w:pStyle w:val="BodyText"/>
        <w:spacing w:line="360" w:lineRule="auto" w:before="6"/>
        <w:ind w:left="810" w:right="115" w:hanging="708"/>
        <w:jc w:val="both"/>
      </w:pPr>
      <w:r>
        <w:rPr/>
        <w:t>Richardson, J.W., Mapp, Jr. H.P. 1976. “Use of probabilistic cash flows in analyzing investments under conditions of risk and uncertainty.” So. J. Agr. Econ. 8, 19-24.</w:t>
      </w:r>
    </w:p>
    <w:p>
      <w:pPr>
        <w:pStyle w:val="BodyText"/>
        <w:spacing w:line="360" w:lineRule="auto" w:before="6"/>
        <w:ind w:right="117"/>
        <w:jc w:val="right"/>
      </w:pPr>
      <w:r>
        <w:rPr/>
        <w:t>Richardson,</w:t>
      </w:r>
      <w:r>
        <w:rPr>
          <w:spacing w:val="-15"/>
        </w:rPr>
        <w:t> </w:t>
      </w:r>
      <w:r>
        <w:rPr/>
        <w:t>J.W.,</w:t>
      </w:r>
      <w:r>
        <w:rPr>
          <w:spacing w:val="-17"/>
        </w:rPr>
        <w:t> </w:t>
      </w:r>
      <w:r>
        <w:rPr/>
        <w:t>Nixon,</w:t>
      </w:r>
      <w:r>
        <w:rPr>
          <w:spacing w:val="-17"/>
        </w:rPr>
        <w:t> </w:t>
      </w:r>
      <w:r>
        <w:rPr/>
        <w:t>C.J.</w:t>
      </w:r>
      <w:r>
        <w:rPr>
          <w:spacing w:val="-17"/>
        </w:rPr>
        <w:t> </w:t>
      </w:r>
      <w:r>
        <w:rPr/>
        <w:t>1982.</w:t>
      </w:r>
      <w:r>
        <w:rPr>
          <w:spacing w:val="-13"/>
        </w:rPr>
        <w:t> </w:t>
      </w:r>
      <w:r>
        <w:rPr/>
        <w:t>Producer's</w:t>
      </w:r>
      <w:r>
        <w:rPr>
          <w:spacing w:val="-14"/>
        </w:rPr>
        <w:t> </w:t>
      </w:r>
      <w:r>
        <w:rPr/>
        <w:t>preference</w:t>
      </w:r>
      <w:r>
        <w:rPr>
          <w:spacing w:val="-15"/>
        </w:rPr>
        <w:t> </w:t>
      </w:r>
      <w:r>
        <w:rPr/>
        <w:t>for</w:t>
      </w:r>
      <w:r>
        <w:rPr>
          <w:spacing w:val="-14"/>
        </w:rPr>
        <w:t> </w:t>
      </w:r>
      <w:r>
        <w:rPr/>
        <w:t>a</w:t>
      </w:r>
      <w:r>
        <w:rPr>
          <w:spacing w:val="-15"/>
        </w:rPr>
        <w:t> </w:t>
      </w:r>
      <w:r>
        <w:rPr/>
        <w:t>cotton</w:t>
      </w:r>
      <w:r>
        <w:rPr>
          <w:spacing w:val="-14"/>
        </w:rPr>
        <w:t> </w:t>
      </w:r>
      <w:r>
        <w:rPr/>
        <w:t>farmer</w:t>
      </w:r>
      <w:r>
        <w:rPr>
          <w:spacing w:val="-13"/>
        </w:rPr>
        <w:t> </w:t>
      </w:r>
      <w:r>
        <w:rPr/>
        <w:t>owned</w:t>
      </w:r>
      <w:r>
        <w:rPr>
          <w:spacing w:val="-14"/>
        </w:rPr>
        <w:t> </w:t>
      </w:r>
      <w:r>
        <w:rPr/>
        <w:t>reserve:</w:t>
      </w:r>
      <w:r>
        <w:rPr>
          <w:w w:val="99"/>
        </w:rPr>
        <w:t> </w:t>
      </w:r>
      <w:r>
        <w:rPr/>
        <w:t>An application of simulation and stochastic dominance. W. J. Agr. Econ.</w:t>
      </w:r>
      <w:r>
        <w:rPr>
          <w:spacing w:val="-42"/>
        </w:rPr>
        <w:t> </w:t>
      </w:r>
      <w:r>
        <w:rPr/>
        <w:t>7,</w:t>
      </w:r>
      <w:r>
        <w:rPr>
          <w:spacing w:val="-7"/>
        </w:rPr>
        <w:t> </w:t>
      </w:r>
      <w:r>
        <w:rPr/>
        <w:t>123-132.</w:t>
      </w:r>
      <w:r>
        <w:rPr>
          <w:w w:val="99"/>
        </w:rPr>
        <w:t> </w:t>
      </w:r>
      <w:r>
        <w:rPr/>
        <w:t>Richardson, J.W., Klose, S.L., Gray, A.W. 2000. “An applied procedure for</w:t>
      </w:r>
      <w:r>
        <w:rPr>
          <w:spacing w:val="5"/>
        </w:rPr>
        <w:t> </w:t>
      </w:r>
      <w:r>
        <w:rPr/>
        <w:t>estimating</w:t>
      </w:r>
      <w:r>
        <w:rPr>
          <w:spacing w:val="6"/>
        </w:rPr>
        <w:t> </w:t>
      </w:r>
      <w:r>
        <w:rPr/>
        <w:t>and simulating multivariate empirical (MVE) probability distributions in farm-level </w:t>
      </w:r>
      <w:r>
        <w:rPr>
          <w:spacing w:val="1"/>
        </w:rPr>
        <w:t> </w:t>
      </w:r>
      <w:r>
        <w:rPr/>
        <w:t>risk</w:t>
      </w:r>
    </w:p>
    <w:p>
      <w:pPr>
        <w:pStyle w:val="BodyText"/>
        <w:spacing w:before="4"/>
        <w:ind w:left="810"/>
        <w:jc w:val="both"/>
      </w:pPr>
      <w:r>
        <w:rPr/>
        <w:t>assessment and policy analysis.” J. Agr. Appl. Econ. 32, 299-315.</w:t>
      </w:r>
    </w:p>
    <w:p>
      <w:pPr>
        <w:pStyle w:val="BodyText"/>
        <w:spacing w:before="4"/>
        <w:rPr>
          <w:sz w:val="29"/>
        </w:rPr>
      </w:pPr>
    </w:p>
    <w:p>
      <w:pPr>
        <w:pStyle w:val="BodyText"/>
        <w:spacing w:line="360" w:lineRule="auto" w:before="1"/>
        <w:ind w:left="810" w:right="124" w:hanging="708"/>
        <w:jc w:val="both"/>
      </w:pPr>
      <w:r>
        <w:rPr/>
        <w:t>Richardson, J.W., Schumann, K., Feldman, P. 2005. “Simetar: Simulation for Excel to Analyze Risk.” Department of Agricultural Economics, Texas A&amp;M University, College Station, Texas, January 2005.</w:t>
      </w:r>
    </w:p>
    <w:p>
      <w:pPr>
        <w:pStyle w:val="BodyText"/>
        <w:spacing w:line="360" w:lineRule="auto" w:before="6"/>
        <w:ind w:left="810" w:right="119" w:hanging="708"/>
        <w:jc w:val="both"/>
      </w:pPr>
      <w:r>
        <w:rPr/>
        <w:t>Richardson, J.W. 2007. “Simulation for Applied Risk Management with an Introduction to SIMETAR©.” Department of Agricultural Economics,</w:t>
      </w:r>
    </w:p>
    <w:p>
      <w:pPr>
        <w:pStyle w:val="BodyText"/>
        <w:spacing w:line="360" w:lineRule="auto" w:before="7"/>
        <w:ind w:left="810" w:right="118" w:hanging="708"/>
        <w:jc w:val="both"/>
      </w:pPr>
      <w:r>
        <w:rPr/>
        <w:t>Richardson,</w:t>
      </w:r>
      <w:r>
        <w:rPr>
          <w:spacing w:val="-13"/>
        </w:rPr>
        <w:t> </w:t>
      </w:r>
      <w:r>
        <w:rPr/>
        <w:t>J.W.,</w:t>
      </w:r>
      <w:r>
        <w:rPr>
          <w:spacing w:val="-14"/>
        </w:rPr>
        <w:t> </w:t>
      </w:r>
      <w:r>
        <w:rPr/>
        <w:t>Herbst,</w:t>
      </w:r>
      <w:r>
        <w:rPr>
          <w:spacing w:val="-12"/>
        </w:rPr>
        <w:t> </w:t>
      </w:r>
      <w:r>
        <w:rPr/>
        <w:t>B.K.,</w:t>
      </w:r>
      <w:r>
        <w:rPr>
          <w:spacing w:val="-13"/>
        </w:rPr>
        <w:t> </w:t>
      </w:r>
      <w:r>
        <w:rPr/>
        <w:t>Outlaw,</w:t>
      </w:r>
      <w:r>
        <w:rPr>
          <w:spacing w:val="-12"/>
        </w:rPr>
        <w:t> </w:t>
      </w:r>
      <w:r>
        <w:rPr/>
        <w:t>J.L.,</w:t>
      </w:r>
      <w:r>
        <w:rPr>
          <w:spacing w:val="-12"/>
        </w:rPr>
        <w:t> </w:t>
      </w:r>
      <w:r>
        <w:rPr/>
        <w:t>Gill,</w:t>
      </w:r>
      <w:r>
        <w:rPr>
          <w:spacing w:val="-12"/>
        </w:rPr>
        <w:t> </w:t>
      </w:r>
      <w:r>
        <w:rPr/>
        <w:t>R.C.</w:t>
      </w:r>
      <w:r>
        <w:rPr>
          <w:spacing w:val="-12"/>
        </w:rPr>
        <w:t> </w:t>
      </w:r>
      <w:r>
        <w:rPr/>
        <w:t>II.</w:t>
      </w:r>
      <w:r>
        <w:rPr>
          <w:spacing w:val="-12"/>
        </w:rPr>
        <w:t> </w:t>
      </w:r>
      <w:r>
        <w:rPr/>
        <w:t>2007a.</w:t>
      </w:r>
      <w:r>
        <w:rPr>
          <w:spacing w:val="-10"/>
        </w:rPr>
        <w:t> </w:t>
      </w:r>
      <w:r>
        <w:rPr/>
        <w:t>Including</w:t>
      </w:r>
      <w:r>
        <w:rPr>
          <w:spacing w:val="-12"/>
        </w:rPr>
        <w:t> </w:t>
      </w:r>
      <w:r>
        <w:rPr/>
        <w:t>risk</w:t>
      </w:r>
      <w:r>
        <w:rPr>
          <w:spacing w:val="-12"/>
        </w:rPr>
        <w:t> </w:t>
      </w:r>
      <w:r>
        <w:rPr/>
        <w:t>in</w:t>
      </w:r>
      <w:r>
        <w:rPr>
          <w:spacing w:val="-12"/>
        </w:rPr>
        <w:t> </w:t>
      </w:r>
      <w:r>
        <w:rPr/>
        <w:t>economic feasibility</w:t>
      </w:r>
      <w:r>
        <w:rPr>
          <w:spacing w:val="-16"/>
        </w:rPr>
        <w:t> </w:t>
      </w:r>
      <w:r>
        <w:rPr/>
        <w:t>analysis:</w:t>
      </w:r>
      <w:r>
        <w:rPr>
          <w:spacing w:val="-11"/>
        </w:rPr>
        <w:t> </w:t>
      </w:r>
      <w:r>
        <w:rPr/>
        <w:t>The</w:t>
      </w:r>
      <w:r>
        <w:rPr>
          <w:spacing w:val="-12"/>
        </w:rPr>
        <w:t> </w:t>
      </w:r>
      <w:r>
        <w:rPr/>
        <w:t>case</w:t>
      </w:r>
      <w:r>
        <w:rPr>
          <w:spacing w:val="-12"/>
        </w:rPr>
        <w:t> </w:t>
      </w:r>
      <w:r>
        <w:rPr/>
        <w:t>of</w:t>
      </w:r>
      <w:r>
        <w:rPr>
          <w:spacing w:val="-9"/>
        </w:rPr>
        <w:t> </w:t>
      </w:r>
      <w:r>
        <w:rPr/>
        <w:t>ethanol</w:t>
      </w:r>
      <w:r>
        <w:rPr>
          <w:spacing w:val="-11"/>
        </w:rPr>
        <w:t> </w:t>
      </w:r>
      <w:r>
        <w:rPr/>
        <w:t>production</w:t>
      </w:r>
      <w:r>
        <w:rPr>
          <w:spacing w:val="-9"/>
        </w:rPr>
        <w:t> </w:t>
      </w:r>
      <w:r>
        <w:rPr/>
        <w:t>in</w:t>
      </w:r>
      <w:r>
        <w:rPr>
          <w:spacing w:val="-11"/>
        </w:rPr>
        <w:t> </w:t>
      </w:r>
      <w:r>
        <w:rPr/>
        <w:t>Texas.</w:t>
      </w:r>
      <w:r>
        <w:rPr>
          <w:spacing w:val="-11"/>
        </w:rPr>
        <w:t> </w:t>
      </w:r>
      <w:r>
        <w:rPr/>
        <w:t>Journal</w:t>
      </w:r>
      <w:r>
        <w:rPr>
          <w:spacing w:val="-11"/>
        </w:rPr>
        <w:t> </w:t>
      </w:r>
      <w:r>
        <w:rPr/>
        <w:t>of</w:t>
      </w:r>
      <w:r>
        <w:rPr>
          <w:spacing w:val="-12"/>
        </w:rPr>
        <w:t> </w:t>
      </w:r>
      <w:r>
        <w:rPr/>
        <w:t>Agribusiness. 25,</w:t>
      </w:r>
      <w:r>
        <w:rPr>
          <w:spacing w:val="-1"/>
        </w:rPr>
        <w:t> </w:t>
      </w:r>
      <w:r>
        <w:rPr/>
        <w:t>115-132.</w:t>
      </w:r>
    </w:p>
    <w:p>
      <w:pPr>
        <w:pStyle w:val="BodyText"/>
        <w:spacing w:line="360" w:lineRule="auto" w:before="4"/>
        <w:ind w:left="810" w:right="118" w:hanging="708"/>
        <w:jc w:val="both"/>
      </w:pPr>
      <w:r>
        <w:rPr/>
        <w:t>Richardson,</w:t>
      </w:r>
      <w:r>
        <w:rPr>
          <w:spacing w:val="-4"/>
        </w:rPr>
        <w:t> </w:t>
      </w:r>
      <w:r>
        <w:rPr/>
        <w:t>J.W.,</w:t>
      </w:r>
      <w:r>
        <w:rPr>
          <w:spacing w:val="-6"/>
        </w:rPr>
        <w:t> </w:t>
      </w:r>
      <w:r>
        <w:rPr/>
        <w:t>Lemmer,</w:t>
      </w:r>
      <w:r>
        <w:rPr>
          <w:spacing w:val="-5"/>
        </w:rPr>
        <w:t> </w:t>
      </w:r>
      <w:r>
        <w:rPr/>
        <w:t>W.J.,</w:t>
      </w:r>
      <w:r>
        <w:rPr>
          <w:spacing w:val="-6"/>
        </w:rPr>
        <w:t> </w:t>
      </w:r>
      <w:r>
        <w:rPr/>
        <w:t>Outlaw,</w:t>
      </w:r>
      <w:r>
        <w:rPr>
          <w:spacing w:val="-4"/>
        </w:rPr>
        <w:t> </w:t>
      </w:r>
      <w:r>
        <w:rPr/>
        <w:t>J.L.</w:t>
      </w:r>
      <w:r>
        <w:rPr>
          <w:spacing w:val="-4"/>
        </w:rPr>
        <w:t> </w:t>
      </w:r>
      <w:r>
        <w:rPr/>
        <w:t>2007b.</w:t>
      </w:r>
      <w:r>
        <w:rPr>
          <w:spacing w:val="-4"/>
        </w:rPr>
        <w:t> </w:t>
      </w:r>
      <w:r>
        <w:rPr/>
        <w:t>Bio-ethanol</w:t>
      </w:r>
      <w:r>
        <w:rPr>
          <w:spacing w:val="-4"/>
        </w:rPr>
        <w:t> </w:t>
      </w:r>
      <w:r>
        <w:rPr/>
        <w:t>production</w:t>
      </w:r>
      <w:r>
        <w:rPr>
          <w:spacing w:val="-3"/>
        </w:rPr>
        <w:t> </w:t>
      </w:r>
      <w:r>
        <w:rPr/>
        <w:t>from</w:t>
      </w:r>
      <w:r>
        <w:rPr>
          <w:spacing w:val="-3"/>
        </w:rPr>
        <w:t> </w:t>
      </w:r>
      <w:r>
        <w:rPr/>
        <w:t>wheat</w:t>
      </w:r>
      <w:r>
        <w:rPr>
          <w:spacing w:val="-3"/>
        </w:rPr>
        <w:t> </w:t>
      </w:r>
      <w:r>
        <w:rPr/>
        <w:t>in the winter rainfall region of South Africa: A quantitative risk analysis. International Food and Agribusiness Management Review. 10,</w:t>
      </w:r>
      <w:r>
        <w:rPr>
          <w:spacing w:val="-5"/>
        </w:rPr>
        <w:t> </w:t>
      </w:r>
      <w:r>
        <w:rPr/>
        <w:t>181-204.</w:t>
      </w:r>
    </w:p>
    <w:p>
      <w:pPr>
        <w:spacing w:after="0" w:line="360" w:lineRule="auto"/>
        <w:jc w:val="both"/>
        <w:sectPr>
          <w:pgSz w:w="12240" w:h="15840"/>
          <w:pgMar w:header="0" w:footer="657" w:top="1360" w:bottom="840" w:left="1600" w:right="1580"/>
        </w:sectPr>
      </w:pPr>
    </w:p>
    <w:p>
      <w:pPr>
        <w:pStyle w:val="BodyText"/>
        <w:spacing w:line="360" w:lineRule="auto" w:before="50"/>
        <w:ind w:left="810" w:right="113" w:hanging="708"/>
        <w:jc w:val="both"/>
      </w:pPr>
      <w:r>
        <w:rPr/>
        <w:t>Sagarnaga,</w:t>
      </w:r>
      <w:r>
        <w:rPr>
          <w:spacing w:val="-4"/>
        </w:rPr>
        <w:t> </w:t>
      </w:r>
      <w:r>
        <w:rPr/>
        <w:t>M.,</w:t>
      </w:r>
      <w:r>
        <w:rPr>
          <w:spacing w:val="-5"/>
        </w:rPr>
        <w:t> </w:t>
      </w:r>
      <w:r>
        <w:rPr/>
        <w:t>Ochoa,</w:t>
      </w:r>
      <w:r>
        <w:rPr>
          <w:spacing w:val="-6"/>
        </w:rPr>
        <w:t> </w:t>
      </w:r>
      <w:r>
        <w:rPr/>
        <w:t>R.,</w:t>
      </w:r>
      <w:r>
        <w:rPr>
          <w:spacing w:val="-6"/>
        </w:rPr>
        <w:t> </w:t>
      </w:r>
      <w:r>
        <w:rPr/>
        <w:t>Salas,</w:t>
      </w:r>
      <w:r>
        <w:rPr>
          <w:spacing w:val="-7"/>
        </w:rPr>
        <w:t> </w:t>
      </w:r>
      <w:r>
        <w:rPr/>
        <w:t>J.,</w:t>
      </w:r>
      <w:r>
        <w:rPr>
          <w:spacing w:val="-6"/>
        </w:rPr>
        <w:t> </w:t>
      </w:r>
      <w:r>
        <w:rPr/>
        <w:t>Anderson,</w:t>
      </w:r>
      <w:r>
        <w:rPr>
          <w:spacing w:val="-7"/>
        </w:rPr>
        <w:t> </w:t>
      </w:r>
      <w:r>
        <w:rPr/>
        <w:t>D.,</w:t>
      </w:r>
      <w:r>
        <w:rPr>
          <w:spacing w:val="-5"/>
        </w:rPr>
        <w:t> </w:t>
      </w:r>
      <w:r>
        <w:rPr/>
        <w:t>Richardson,</w:t>
      </w:r>
      <w:r>
        <w:rPr>
          <w:spacing w:val="-7"/>
        </w:rPr>
        <w:t> </w:t>
      </w:r>
      <w:r>
        <w:rPr/>
        <w:t>J.,</w:t>
      </w:r>
      <w:r>
        <w:rPr>
          <w:spacing w:val="-6"/>
        </w:rPr>
        <w:t> </w:t>
      </w:r>
      <w:r>
        <w:rPr/>
        <w:t>Kutson,</w:t>
      </w:r>
      <w:r>
        <w:rPr>
          <w:spacing w:val="-6"/>
        </w:rPr>
        <w:t> </w:t>
      </w:r>
      <w:r>
        <w:rPr/>
        <w:t>R.,</w:t>
      </w:r>
      <w:r>
        <w:rPr>
          <w:spacing w:val="-6"/>
        </w:rPr>
        <w:t> </w:t>
      </w:r>
      <w:r>
        <w:rPr/>
        <w:t>1999.</w:t>
      </w:r>
      <w:r>
        <w:rPr>
          <w:spacing w:val="-6"/>
        </w:rPr>
        <w:t> </w:t>
      </w:r>
      <w:r>
        <w:rPr/>
        <w:t>Granjas porcinas representativas en México. Panorama economico 1995-2004. Estudio preliminar. Reporte de Investigación AFPC 99-16., Agricultural and Food Policy Center, Department of Agricultural Economics, Texas Agricultural Experiment Station</w:t>
      </w:r>
      <w:r>
        <w:rPr>
          <w:spacing w:val="-12"/>
        </w:rPr>
        <w:t> </w:t>
      </w:r>
      <w:r>
        <w:rPr/>
        <w:t>Texas</w:t>
      </w:r>
      <w:r>
        <w:rPr>
          <w:spacing w:val="-12"/>
        </w:rPr>
        <w:t> </w:t>
      </w:r>
      <w:r>
        <w:rPr/>
        <w:t>Agricultural</w:t>
      </w:r>
      <w:r>
        <w:rPr>
          <w:spacing w:val="-12"/>
        </w:rPr>
        <w:t> </w:t>
      </w:r>
      <w:r>
        <w:rPr/>
        <w:t>Extension</w:t>
      </w:r>
      <w:r>
        <w:rPr>
          <w:spacing w:val="-12"/>
        </w:rPr>
        <w:t> </w:t>
      </w:r>
      <w:r>
        <w:rPr/>
        <w:t>Service,</w:t>
      </w:r>
      <w:r>
        <w:rPr>
          <w:spacing w:val="-12"/>
        </w:rPr>
        <w:t> </w:t>
      </w:r>
      <w:r>
        <w:rPr/>
        <w:t>Texas</w:t>
      </w:r>
      <w:r>
        <w:rPr>
          <w:spacing w:val="-12"/>
        </w:rPr>
        <w:t> </w:t>
      </w:r>
      <w:r>
        <w:rPr/>
        <w:t>A&amp;M</w:t>
      </w:r>
      <w:r>
        <w:rPr>
          <w:spacing w:val="-10"/>
        </w:rPr>
        <w:t> </w:t>
      </w:r>
      <w:r>
        <w:rPr/>
        <w:t>University.</w:t>
      </w:r>
      <w:r>
        <w:rPr>
          <w:spacing w:val="-12"/>
        </w:rPr>
        <w:t> </w:t>
      </w:r>
      <w:r>
        <w:rPr/>
        <w:t>January</w:t>
      </w:r>
      <w:r>
        <w:rPr>
          <w:spacing w:val="-17"/>
        </w:rPr>
        <w:t> </w:t>
      </w:r>
      <w:r>
        <w:rPr/>
        <w:t>1999, pp.</w:t>
      </w:r>
      <w:r>
        <w:rPr>
          <w:spacing w:val="-1"/>
        </w:rPr>
        <w:t> </w:t>
      </w:r>
      <w:r>
        <w:rPr/>
        <w:t>1-52.</w:t>
      </w:r>
    </w:p>
    <w:p>
      <w:pPr>
        <w:pStyle w:val="BodyText"/>
        <w:tabs>
          <w:tab w:pos="1502" w:val="left" w:leader="none"/>
          <w:tab w:pos="2192" w:val="left" w:leader="none"/>
          <w:tab w:pos="2680" w:val="left" w:leader="none"/>
          <w:tab w:pos="3016" w:val="left" w:leader="none"/>
          <w:tab w:pos="3126" w:val="left" w:leader="none"/>
          <w:tab w:pos="4110" w:val="left" w:leader="none"/>
          <w:tab w:pos="4510" w:val="left" w:leader="none"/>
          <w:tab w:pos="5250" w:val="left" w:leader="none"/>
          <w:tab w:pos="5775" w:val="left" w:leader="none"/>
          <w:tab w:pos="6004" w:val="left" w:leader="none"/>
          <w:tab w:pos="7008" w:val="left" w:leader="none"/>
          <w:tab w:pos="7162" w:val="left" w:leader="none"/>
          <w:tab w:pos="7821" w:val="left" w:leader="none"/>
          <w:tab w:pos="8586" w:val="left" w:leader="none"/>
        </w:tabs>
        <w:spacing w:line="360" w:lineRule="auto" w:before="4"/>
        <w:ind w:left="810" w:right="115" w:hanging="708"/>
      </w:pPr>
      <w:r>
        <w:rPr/>
        <w:t>SAGARPA,</w:t>
        <w:tab/>
        <w:t>Secretaría</w:t>
        <w:tab/>
        <w:t>de</w:t>
        <w:tab/>
        <w:tab/>
        <w:t>Agricultura,</w:t>
        <w:tab/>
        <w:t>Ganadería,</w:t>
        <w:tab/>
        <w:t>Desarrollo</w:t>
        <w:tab/>
        <w:t>Rural,</w:t>
        <w:tab/>
        <w:t>Pesca</w:t>
        <w:tab/>
        <w:t>and Alimentación), AFPC (Agriculture and FoodPolicy Center) and FAPRI (Food and Agricultural</w:t>
        <w:tab/>
        <w:t>Policy</w:t>
        <w:tab/>
        <w:t>Research</w:t>
        <w:tab/>
        <w:t>Institute).</w:t>
        <w:tab/>
        <w:t>2011.</w:t>
        <w:tab/>
        <w:t>Escenario</w:t>
        <w:tab/>
        <w:tab/>
        <w:t>Base</w:t>
        <w:tab/>
        <w:t>2009-2018. </w:t>
      </w:r>
      <w:hyperlink r:id="rId155">
        <w:r>
          <w:rPr>
            <w:u w:val="single"/>
          </w:rPr>
          <w:t>http://www.sagarpa.gob.mx/agronegocios/Documents/EBespa%C3%B1ol300909.p</w:t>
        </w:r>
      </w:hyperlink>
      <w:r>
        <w:rPr>
          <w:u w:val="single"/>
        </w:rPr>
        <w:t> </w:t>
      </w:r>
      <w:hyperlink r:id="rId155">
        <w:r>
          <w:rPr>
            <w:u w:val="single"/>
          </w:rPr>
          <w:t>df</w:t>
        </w:r>
        <w:r>
          <w:rPr/>
          <w:t>.</w:t>
        </w:r>
      </w:hyperlink>
    </w:p>
    <w:p>
      <w:pPr>
        <w:pStyle w:val="BodyText"/>
        <w:tabs>
          <w:tab w:pos="2472" w:val="left" w:leader="none"/>
          <w:tab w:pos="4142" w:val="left" w:leader="none"/>
          <w:tab w:pos="5109" w:val="left" w:leader="none"/>
          <w:tab w:pos="6923" w:val="left" w:leader="none"/>
          <w:tab w:pos="8602" w:val="left" w:leader="none"/>
        </w:tabs>
        <w:spacing w:line="360" w:lineRule="auto" w:before="6"/>
        <w:ind w:left="810" w:right="119" w:hanging="708"/>
      </w:pPr>
      <w:r>
        <w:rPr/>
        <w:t>SIAP,</w:t>
      </w:r>
      <w:r>
        <w:rPr>
          <w:spacing w:val="-12"/>
        </w:rPr>
        <w:t> </w:t>
      </w:r>
      <w:r>
        <w:rPr/>
        <w:t>Sistema</w:t>
      </w:r>
      <w:r>
        <w:rPr>
          <w:spacing w:val="-13"/>
        </w:rPr>
        <w:t> </w:t>
      </w:r>
      <w:r>
        <w:rPr/>
        <w:t>de</w:t>
      </w:r>
      <w:r>
        <w:rPr>
          <w:spacing w:val="-8"/>
        </w:rPr>
        <w:t> </w:t>
      </w:r>
      <w:r>
        <w:rPr/>
        <w:t>Información</w:t>
      </w:r>
      <w:r>
        <w:rPr>
          <w:spacing w:val="-12"/>
        </w:rPr>
        <w:t> </w:t>
      </w:r>
      <w:r>
        <w:rPr/>
        <w:t>Agroalimentaria</w:t>
      </w:r>
      <w:r>
        <w:rPr>
          <w:spacing w:val="-8"/>
        </w:rPr>
        <w:t> </w:t>
      </w:r>
      <w:r>
        <w:rPr/>
        <w:t>y</w:t>
      </w:r>
      <w:r>
        <w:rPr>
          <w:spacing w:val="-12"/>
        </w:rPr>
        <w:t> </w:t>
      </w:r>
      <w:r>
        <w:rPr/>
        <w:t>Pesquera,</w:t>
      </w:r>
      <w:r>
        <w:rPr>
          <w:spacing w:val="-12"/>
        </w:rPr>
        <w:t> </w:t>
      </w:r>
      <w:r>
        <w:rPr/>
        <w:t>2013.</w:t>
      </w:r>
      <w:r>
        <w:rPr>
          <w:spacing w:val="-10"/>
        </w:rPr>
        <w:t> </w:t>
      </w:r>
      <w:r>
        <w:rPr/>
        <w:t>Base</w:t>
      </w:r>
      <w:r>
        <w:rPr>
          <w:spacing w:val="-13"/>
        </w:rPr>
        <w:t> </w:t>
      </w:r>
      <w:r>
        <w:rPr/>
        <w:t>de</w:t>
      </w:r>
      <w:r>
        <w:rPr>
          <w:spacing w:val="-8"/>
        </w:rPr>
        <w:t> </w:t>
      </w:r>
      <w:r>
        <w:rPr/>
        <w:t>datos</w:t>
      </w:r>
      <w:r>
        <w:rPr>
          <w:spacing w:val="-11"/>
        </w:rPr>
        <w:t> </w:t>
      </w:r>
      <w:r>
        <w:rPr/>
        <w:t>estadísticos, resumen</w:t>
        <w:tab/>
        <w:t>nacional</w:t>
        <w:tab/>
        <w:t>y</w:t>
        <w:tab/>
        <w:t>municipal</w:t>
        <w:tab/>
        <w:t>pecuario</w:t>
        <w:tab/>
        <w:t>En: </w:t>
      </w:r>
      <w:hyperlink r:id="rId156">
        <w:r>
          <w:rPr>
            <w:u w:val="single"/>
          </w:rPr>
          <w:t>http://www.siap.gob.mx/index.php?option=com_wrapper&amp;view=wrapper&amp;Itemid=</w:t>
        </w:r>
      </w:hyperlink>
      <w:r>
        <w:rPr>
          <w:u w:val="single"/>
        </w:rPr>
        <w:t> </w:t>
      </w:r>
      <w:hyperlink r:id="rId156">
        <w:r>
          <w:rPr>
            <w:u w:val="single"/>
          </w:rPr>
          <w:t>373</w:t>
        </w:r>
      </w:hyperlink>
      <w:r>
        <w:rPr/>
        <w:t>.</w:t>
      </w:r>
    </w:p>
    <w:p>
      <w:pPr>
        <w:pStyle w:val="BodyText"/>
        <w:spacing w:line="360" w:lineRule="auto" w:before="6"/>
        <w:ind w:left="810" w:right="119" w:hanging="708"/>
        <w:jc w:val="both"/>
      </w:pPr>
      <w:r>
        <w:rPr/>
        <w:t>Smith, E.G., Richardson, J.W., Knutson, R.D. 1999. Small and Family Farms: Challenges and</w:t>
      </w:r>
      <w:r>
        <w:rPr>
          <w:spacing w:val="-17"/>
        </w:rPr>
        <w:t> </w:t>
      </w:r>
      <w:r>
        <w:rPr/>
        <w:t>Needs</w:t>
      </w:r>
      <w:r>
        <w:rPr>
          <w:spacing w:val="-14"/>
        </w:rPr>
        <w:t> </w:t>
      </w:r>
      <w:r>
        <w:rPr/>
        <w:t>Alcorn</w:t>
      </w:r>
      <w:r>
        <w:rPr>
          <w:spacing w:val="-18"/>
        </w:rPr>
        <w:t> </w:t>
      </w:r>
      <w:r>
        <w:rPr/>
        <w:t>State</w:t>
      </w:r>
      <w:r>
        <w:rPr>
          <w:spacing w:val="-18"/>
        </w:rPr>
        <w:t> </w:t>
      </w:r>
      <w:r>
        <w:rPr/>
        <w:t>University,</w:t>
      </w:r>
      <w:r>
        <w:rPr>
          <w:spacing w:val="-17"/>
        </w:rPr>
        <w:t> </w:t>
      </w:r>
      <w:r>
        <w:rPr/>
        <w:t>Alcorn,</w:t>
      </w:r>
      <w:r>
        <w:rPr>
          <w:spacing w:val="-18"/>
        </w:rPr>
        <w:t> </w:t>
      </w:r>
      <w:r>
        <w:rPr/>
        <w:t>Mississippi.</w:t>
      </w:r>
      <w:r>
        <w:rPr>
          <w:spacing w:val="-17"/>
        </w:rPr>
        <w:t> </w:t>
      </w:r>
      <w:r>
        <w:rPr/>
        <w:t>Agricultural</w:t>
      </w:r>
      <w:r>
        <w:rPr>
          <w:spacing w:val="-16"/>
        </w:rPr>
        <w:t> </w:t>
      </w:r>
      <w:r>
        <w:rPr/>
        <w:t>and</w:t>
      </w:r>
      <w:r>
        <w:rPr>
          <w:spacing w:val="-17"/>
        </w:rPr>
        <w:t> </w:t>
      </w:r>
      <w:r>
        <w:rPr/>
        <w:t>Food</w:t>
      </w:r>
      <w:r>
        <w:rPr>
          <w:spacing w:val="-17"/>
        </w:rPr>
        <w:t> </w:t>
      </w:r>
      <w:r>
        <w:rPr/>
        <w:t>Policy Center</w:t>
      </w:r>
      <w:r>
        <w:rPr>
          <w:spacing w:val="-18"/>
        </w:rPr>
        <w:t> </w:t>
      </w:r>
      <w:r>
        <w:rPr/>
        <w:t>Department</w:t>
      </w:r>
      <w:r>
        <w:rPr>
          <w:spacing w:val="-15"/>
        </w:rPr>
        <w:t> </w:t>
      </w:r>
      <w:r>
        <w:rPr/>
        <w:t>of</w:t>
      </w:r>
      <w:r>
        <w:rPr>
          <w:spacing w:val="-18"/>
        </w:rPr>
        <w:t> </w:t>
      </w:r>
      <w:r>
        <w:rPr/>
        <w:t>Agricultural</w:t>
      </w:r>
      <w:r>
        <w:rPr>
          <w:spacing w:val="-16"/>
        </w:rPr>
        <w:t> </w:t>
      </w:r>
      <w:r>
        <w:rPr/>
        <w:t>Economics</w:t>
      </w:r>
      <w:r>
        <w:rPr>
          <w:spacing w:val="-14"/>
        </w:rPr>
        <w:t> </w:t>
      </w:r>
      <w:r>
        <w:rPr/>
        <w:t>Texas</w:t>
      </w:r>
      <w:r>
        <w:rPr>
          <w:spacing w:val="-17"/>
        </w:rPr>
        <w:t> </w:t>
      </w:r>
      <w:r>
        <w:rPr/>
        <w:t>Agricultural</w:t>
      </w:r>
      <w:r>
        <w:rPr>
          <w:spacing w:val="-16"/>
        </w:rPr>
        <w:t> </w:t>
      </w:r>
      <w:r>
        <w:rPr/>
        <w:t>Experiment</w:t>
      </w:r>
      <w:r>
        <w:rPr>
          <w:spacing w:val="-16"/>
        </w:rPr>
        <w:t> </w:t>
      </w:r>
      <w:r>
        <w:rPr/>
        <w:t>Station Texas Agricultural Extension Service Texas A&amp;M University. AFPC Policy Issues Paper</w:t>
      </w:r>
      <w:r>
        <w:rPr>
          <w:spacing w:val="-4"/>
        </w:rPr>
        <w:t> </w:t>
      </w:r>
      <w:r>
        <w:rPr/>
        <w:t>99-1.</w:t>
      </w:r>
    </w:p>
    <w:p>
      <w:pPr>
        <w:pStyle w:val="BodyText"/>
        <w:spacing w:line="360" w:lineRule="auto" w:before="4"/>
        <w:ind w:left="810" w:right="115" w:hanging="708"/>
        <w:jc w:val="both"/>
      </w:pPr>
      <w:r>
        <w:rPr/>
        <w:t>Somda, J., Kamuanga, M., Tollens, E. 2005. Characteristics and economic viability of milk production in the smallholder farming systems in The Gambia. Agr. Syst. 85,</w:t>
      </w:r>
      <w:r>
        <w:rPr>
          <w:spacing w:val="-20"/>
        </w:rPr>
        <w:t> </w:t>
      </w:r>
      <w:r>
        <w:rPr/>
        <w:t>42–58.</w:t>
      </w:r>
    </w:p>
    <w:p>
      <w:pPr>
        <w:pStyle w:val="BodyText"/>
        <w:tabs>
          <w:tab w:pos="3608" w:val="left" w:leader="none"/>
          <w:tab w:pos="6140" w:val="left" w:leader="none"/>
          <w:tab w:pos="8940" w:val="right" w:leader="none"/>
        </w:tabs>
        <w:spacing w:line="360" w:lineRule="auto" w:before="4"/>
        <w:ind w:left="810" w:right="117" w:hanging="708"/>
        <w:jc w:val="both"/>
      </w:pPr>
      <w:r>
        <w:rPr/>
        <w:t>Staal, S.J., Pratt, A.N. Jabbar, M. 2008. Dairy development for the resource poor. Part-1: A comparison of dairy policies and development in south Asia and east Africa. PPLPI working</w:t>
        <w:tab/>
        <w:t>paper</w:t>
        <w:tab/>
        <w:t>no.</w:t>
        <w:tab/>
        <w:t>44-1.</w:t>
      </w:r>
    </w:p>
    <w:p>
      <w:pPr>
        <w:pStyle w:val="BodyText"/>
        <w:spacing w:before="7"/>
        <w:ind w:left="810"/>
      </w:pPr>
      <w:hyperlink r:id="rId151">
        <w:r>
          <w:rPr>
            <w:u w:val="single"/>
          </w:rPr>
          <w:t>http://www.fao.org/ag/againfo/programmes/en/pplpi/docarc/wp44_1.pdf</w:t>
        </w:r>
        <w:r>
          <w:rPr/>
          <w:t>.</w:t>
        </w:r>
      </w:hyperlink>
    </w:p>
    <w:p>
      <w:pPr>
        <w:pStyle w:val="BodyText"/>
        <w:tabs>
          <w:tab w:pos="2002" w:val="left" w:leader="none"/>
          <w:tab w:pos="4015" w:val="left" w:leader="none"/>
          <w:tab w:pos="5447" w:val="left" w:leader="none"/>
          <w:tab w:pos="6407" w:val="left" w:leader="none"/>
          <w:tab w:pos="7731" w:val="left" w:leader="none"/>
          <w:tab w:pos="8513" w:val="left" w:leader="none"/>
        </w:tabs>
        <w:spacing w:line="360" w:lineRule="auto" w:before="137"/>
        <w:ind w:left="810" w:right="120" w:hanging="708"/>
        <w:jc w:val="both"/>
      </w:pPr>
      <w:r>
        <w:rPr/>
        <w:t>Uddin,</w:t>
      </w:r>
      <w:r>
        <w:rPr>
          <w:spacing w:val="-11"/>
        </w:rPr>
        <w:t> </w:t>
      </w:r>
      <w:r>
        <w:rPr/>
        <w:t>M.M.,</w:t>
      </w:r>
      <w:r>
        <w:rPr>
          <w:spacing w:val="-11"/>
        </w:rPr>
        <w:t> </w:t>
      </w:r>
      <w:r>
        <w:rPr/>
        <w:t>Sultana,</w:t>
      </w:r>
      <w:r>
        <w:rPr>
          <w:spacing w:val="-11"/>
        </w:rPr>
        <w:t> </w:t>
      </w:r>
      <w:r>
        <w:rPr/>
        <w:t>M.N.,</w:t>
      </w:r>
      <w:r>
        <w:rPr>
          <w:spacing w:val="-11"/>
        </w:rPr>
        <w:t> </w:t>
      </w:r>
      <w:r>
        <w:rPr/>
        <w:t>Ndambi,</w:t>
      </w:r>
      <w:r>
        <w:rPr>
          <w:spacing w:val="-11"/>
        </w:rPr>
        <w:t> </w:t>
      </w:r>
      <w:r>
        <w:rPr/>
        <w:t>O.A.,</w:t>
      </w:r>
      <w:r>
        <w:rPr>
          <w:spacing w:val="-11"/>
        </w:rPr>
        <w:t> </w:t>
      </w:r>
      <w:r>
        <w:rPr/>
        <w:t>Hemme,</w:t>
      </w:r>
      <w:r>
        <w:rPr>
          <w:spacing w:val="-11"/>
        </w:rPr>
        <w:t> </w:t>
      </w:r>
      <w:r>
        <w:rPr/>
        <w:t>T.</w:t>
      </w:r>
      <w:r>
        <w:rPr>
          <w:spacing w:val="-11"/>
        </w:rPr>
        <w:t> </w:t>
      </w:r>
      <w:r>
        <w:rPr/>
        <w:t>Peters,</w:t>
      </w:r>
      <w:r>
        <w:rPr>
          <w:spacing w:val="-11"/>
        </w:rPr>
        <w:t> </w:t>
      </w:r>
      <w:r>
        <w:rPr/>
        <w:t>K.</w:t>
      </w:r>
      <w:r>
        <w:rPr>
          <w:spacing w:val="-12"/>
        </w:rPr>
        <w:t> </w:t>
      </w:r>
      <w:r>
        <w:rPr/>
        <w:t>J.</w:t>
      </w:r>
      <w:r>
        <w:rPr>
          <w:spacing w:val="-11"/>
        </w:rPr>
        <w:t> </w:t>
      </w:r>
      <w:r>
        <w:rPr/>
        <w:t>2010.</w:t>
      </w:r>
      <w:r>
        <w:rPr>
          <w:spacing w:val="-11"/>
        </w:rPr>
        <w:t> </w:t>
      </w:r>
      <w:r>
        <w:rPr/>
        <w:t>A</w:t>
      </w:r>
      <w:r>
        <w:rPr>
          <w:spacing w:val="-12"/>
        </w:rPr>
        <w:t> </w:t>
      </w:r>
      <w:r>
        <w:rPr/>
        <w:t>farm</w:t>
      </w:r>
      <w:r>
        <w:rPr>
          <w:spacing w:val="-11"/>
        </w:rPr>
        <w:t> </w:t>
      </w:r>
      <w:r>
        <w:rPr/>
        <w:t>economic analysis in different dairy production systems in Bangladesh. Livestock Research</w:t>
      </w:r>
      <w:r>
        <w:rPr>
          <w:spacing w:val="-39"/>
        </w:rPr>
        <w:t> </w:t>
      </w:r>
      <w:r>
        <w:rPr/>
        <w:t>for Rural</w:t>
        <w:tab/>
        <w:t>Development.</w:t>
        <w:tab/>
        <w:t>Volume</w:t>
        <w:tab/>
        <w:t>22,</w:t>
        <w:tab/>
        <w:t>Article</w:t>
        <w:tab/>
        <w:t>#</w:t>
        <w:tab/>
        <w:t>122. </w:t>
      </w:r>
      <w:hyperlink r:id="rId157">
        <w:r>
          <w:rPr>
            <w:u w:val="single"/>
          </w:rPr>
          <w:t>http://www.lrrd.org/lrrd22/7/uddi22122.htm</w:t>
        </w:r>
      </w:hyperlink>
      <w:r>
        <w:rPr>
          <w:u w:val="single"/>
        </w:rPr>
        <w:t>.</w:t>
      </w:r>
    </w:p>
    <w:p>
      <w:pPr>
        <w:spacing w:after="0" w:line="360" w:lineRule="auto"/>
        <w:jc w:val="both"/>
        <w:sectPr>
          <w:pgSz w:w="12240" w:h="15840"/>
          <w:pgMar w:header="0" w:footer="657" w:top="1360" w:bottom="840" w:left="1600" w:right="1580"/>
        </w:sectPr>
      </w:pPr>
    </w:p>
    <w:p>
      <w:pPr>
        <w:pStyle w:val="BodyText"/>
        <w:spacing w:line="360" w:lineRule="auto" w:before="50"/>
        <w:ind w:left="810" w:right="120" w:hanging="708"/>
        <w:jc w:val="both"/>
      </w:pPr>
      <w:r>
        <w:rPr/>
        <w:t>Vargas-Leitón, B., Cuevas-Abrego., M. 2009. Modelos estocásticos para estimación de valores económicos de rasgos productivos y funcionales en bovinos lecheros. Agrociencia-México. 43, 881-893.</w:t>
      </w:r>
    </w:p>
    <w:p>
      <w:pPr>
        <w:pStyle w:val="BodyText"/>
        <w:spacing w:line="360" w:lineRule="auto" w:before="6"/>
        <w:ind w:left="810" w:right="113" w:hanging="708"/>
        <w:jc w:val="both"/>
      </w:pPr>
      <w:r>
        <w:rPr/>
        <w:t>Viaggi, D., Raggi, M., Gómez, P.S. 2013. Modeling and interpreting the impact of policy and price scenarios on farm-household sustainability: Farming systems vs. result- driven clustering. Environ. Modell. Softw. 43, 96-108.</w:t>
      </w:r>
    </w:p>
    <w:p>
      <w:pPr>
        <w:pStyle w:val="BodyText"/>
        <w:spacing w:line="360" w:lineRule="auto" w:before="4"/>
        <w:ind w:left="810" w:right="118" w:hanging="708"/>
        <w:jc w:val="both"/>
      </w:pPr>
      <w:r>
        <w:rPr/>
        <w:t>Wieck,</w:t>
      </w:r>
      <w:r>
        <w:rPr>
          <w:spacing w:val="-13"/>
        </w:rPr>
        <w:t> </w:t>
      </w:r>
      <w:r>
        <w:rPr/>
        <w:t>C.,</w:t>
      </w:r>
      <w:r>
        <w:rPr>
          <w:spacing w:val="-13"/>
        </w:rPr>
        <w:t> </w:t>
      </w:r>
      <w:r>
        <w:rPr/>
        <w:t>Heckelei,</w:t>
      </w:r>
      <w:r>
        <w:rPr>
          <w:spacing w:val="-13"/>
        </w:rPr>
        <w:t> </w:t>
      </w:r>
      <w:r>
        <w:rPr/>
        <w:t>T.</w:t>
      </w:r>
      <w:r>
        <w:rPr>
          <w:spacing w:val="-13"/>
        </w:rPr>
        <w:t> </w:t>
      </w:r>
      <w:r>
        <w:rPr/>
        <w:t>2007.</w:t>
      </w:r>
      <w:r>
        <w:rPr>
          <w:spacing w:val="-13"/>
        </w:rPr>
        <w:t> </w:t>
      </w:r>
      <w:r>
        <w:rPr/>
        <w:t>Determinants,</w:t>
      </w:r>
      <w:r>
        <w:rPr>
          <w:spacing w:val="-12"/>
        </w:rPr>
        <w:t> </w:t>
      </w:r>
      <w:r>
        <w:rPr/>
        <w:t>Differentiation,</w:t>
      </w:r>
      <w:r>
        <w:rPr>
          <w:spacing w:val="-13"/>
        </w:rPr>
        <w:t> </w:t>
      </w:r>
      <w:r>
        <w:rPr/>
        <w:t>and</w:t>
      </w:r>
      <w:r>
        <w:rPr>
          <w:spacing w:val="-13"/>
        </w:rPr>
        <w:t> </w:t>
      </w:r>
      <w:r>
        <w:rPr/>
        <w:t>Development</w:t>
      </w:r>
      <w:r>
        <w:rPr>
          <w:spacing w:val="-13"/>
        </w:rPr>
        <w:t> </w:t>
      </w:r>
      <w:r>
        <w:rPr/>
        <w:t>of</w:t>
      </w:r>
      <w:r>
        <w:rPr>
          <w:spacing w:val="-14"/>
        </w:rPr>
        <w:t> </w:t>
      </w:r>
      <w:r>
        <w:rPr/>
        <w:t>Short-term Marginal Costs in Dairy production: An Empirical Analysis for Selected Regions of the EU. Agr. Econ. 36,</w:t>
      </w:r>
      <w:r>
        <w:rPr>
          <w:spacing w:val="-2"/>
        </w:rPr>
        <w:t> </w:t>
      </w:r>
      <w:r>
        <w:rPr/>
        <w:t>202-220.</w:t>
      </w:r>
    </w:p>
    <w:p>
      <w:pPr>
        <w:pStyle w:val="BodyText"/>
        <w:spacing w:line="360" w:lineRule="auto" w:before="7"/>
        <w:ind w:left="810" w:right="117" w:hanging="708"/>
        <w:jc w:val="both"/>
      </w:pPr>
      <w:r>
        <w:rPr/>
        <w:t>Williams, J.R., Pachta, M.J., Roozemboo, K.L., Llewelyn, R.V., Bergtold, J.S., 2012. Risk Analysis</w:t>
      </w:r>
      <w:r>
        <w:rPr>
          <w:spacing w:val="-4"/>
        </w:rPr>
        <w:t> </w:t>
      </w:r>
      <w:r>
        <w:rPr/>
        <w:t>of</w:t>
      </w:r>
      <w:r>
        <w:rPr>
          <w:spacing w:val="-6"/>
        </w:rPr>
        <w:t> </w:t>
      </w:r>
      <w:r>
        <w:rPr/>
        <w:t>Tillage</w:t>
      </w:r>
      <w:r>
        <w:rPr>
          <w:spacing w:val="-6"/>
        </w:rPr>
        <w:t> </w:t>
      </w:r>
      <w:r>
        <w:rPr/>
        <w:t>and</w:t>
      </w:r>
      <w:r>
        <w:rPr>
          <w:spacing w:val="-5"/>
        </w:rPr>
        <w:t> </w:t>
      </w:r>
      <w:r>
        <w:rPr/>
        <w:t>Crop</w:t>
      </w:r>
      <w:r>
        <w:rPr>
          <w:spacing w:val="-6"/>
        </w:rPr>
        <w:t> </w:t>
      </w:r>
      <w:r>
        <w:rPr/>
        <w:t>Rotation</w:t>
      </w:r>
      <w:r>
        <w:rPr>
          <w:spacing w:val="-4"/>
        </w:rPr>
        <w:t> </w:t>
      </w:r>
      <w:r>
        <w:rPr/>
        <w:t>Alternatives</w:t>
      </w:r>
      <w:r>
        <w:rPr>
          <w:spacing w:val="-5"/>
        </w:rPr>
        <w:t> </w:t>
      </w:r>
      <w:r>
        <w:rPr/>
        <w:t>with</w:t>
      </w:r>
      <w:r>
        <w:rPr>
          <w:spacing w:val="-7"/>
        </w:rPr>
        <w:t> </w:t>
      </w:r>
      <w:r>
        <w:rPr/>
        <w:t>Winter</w:t>
      </w:r>
      <w:r>
        <w:rPr>
          <w:spacing w:val="-8"/>
        </w:rPr>
        <w:t> </w:t>
      </w:r>
      <w:r>
        <w:rPr/>
        <w:t>Wheat.</w:t>
      </w:r>
      <w:r>
        <w:rPr>
          <w:spacing w:val="-3"/>
        </w:rPr>
        <w:t> </w:t>
      </w:r>
      <w:r>
        <w:rPr/>
        <w:t>J.</w:t>
      </w:r>
      <w:r>
        <w:rPr>
          <w:spacing w:val="-5"/>
        </w:rPr>
        <w:t> </w:t>
      </w:r>
      <w:r>
        <w:rPr/>
        <w:t>Agr.</w:t>
      </w:r>
      <w:r>
        <w:rPr>
          <w:spacing w:val="-5"/>
        </w:rPr>
        <w:t> </w:t>
      </w:r>
      <w:r>
        <w:rPr/>
        <w:t>Appl. Econ. 44,</w:t>
      </w:r>
      <w:r>
        <w:rPr>
          <w:spacing w:val="-3"/>
        </w:rPr>
        <w:t> </w:t>
      </w:r>
      <w:r>
        <w:rPr/>
        <w:t>561-576.</w:t>
      </w:r>
    </w:p>
    <w:p>
      <w:pPr>
        <w:pStyle w:val="BodyText"/>
        <w:spacing w:before="4"/>
        <w:ind w:left="102"/>
      </w:pPr>
      <w:r>
        <w:rPr/>
        <w:t>Zavala-Pineda, M, J., Salas-González, J. M., Leos-Rodríguez, J. A., Sagarnaga-Villegas, L.</w:t>
      </w:r>
    </w:p>
    <w:p>
      <w:pPr>
        <w:pStyle w:val="BodyText"/>
        <w:spacing w:line="360" w:lineRule="auto" w:before="139"/>
        <w:ind w:left="810" w:right="116"/>
        <w:jc w:val="both"/>
      </w:pPr>
      <w:r>
        <w:rPr/>
        <w:t>M. 2012. Construcción de unidades representativas de producción porcina y análisis de su viabilidad económica en el periodo 2009-2018. Agrociencia-México. 46, 731- 743.</w:t>
      </w:r>
    </w:p>
    <w:p>
      <w:pPr>
        <w:pStyle w:val="BodyText"/>
        <w:spacing w:line="360" w:lineRule="auto" w:before="4"/>
        <w:ind w:left="810" w:right="116" w:hanging="708"/>
        <w:jc w:val="both"/>
      </w:pPr>
      <w:r>
        <w:rPr/>
        <w:t>Zhou,</w:t>
      </w:r>
      <w:r>
        <w:rPr>
          <w:spacing w:val="-7"/>
        </w:rPr>
        <w:t> </w:t>
      </w:r>
      <w:r>
        <w:rPr/>
        <w:t>S.,</w:t>
      </w:r>
      <w:r>
        <w:rPr>
          <w:spacing w:val="-7"/>
        </w:rPr>
        <w:t> </w:t>
      </w:r>
      <w:r>
        <w:rPr/>
        <w:t>Huang,</w:t>
      </w:r>
      <w:r>
        <w:rPr>
          <w:spacing w:val="-7"/>
        </w:rPr>
        <w:t> </w:t>
      </w:r>
      <w:r>
        <w:rPr/>
        <w:t>Y.,</w:t>
      </w:r>
      <w:r>
        <w:rPr>
          <w:spacing w:val="-8"/>
        </w:rPr>
        <w:t> </w:t>
      </w:r>
      <w:r>
        <w:rPr/>
        <w:t>Yao,</w:t>
      </w:r>
      <w:r>
        <w:rPr>
          <w:spacing w:val="-7"/>
        </w:rPr>
        <w:t> </w:t>
      </w:r>
      <w:r>
        <w:rPr/>
        <w:t>C.,</w:t>
      </w:r>
      <w:r>
        <w:rPr>
          <w:spacing w:val="-7"/>
        </w:rPr>
        <w:t> </w:t>
      </w:r>
      <w:r>
        <w:rPr/>
        <w:t>Lu,</w:t>
      </w:r>
      <w:r>
        <w:rPr>
          <w:spacing w:val="-7"/>
        </w:rPr>
        <w:t> </w:t>
      </w:r>
      <w:r>
        <w:rPr/>
        <w:t>R.,</w:t>
      </w:r>
      <w:r>
        <w:rPr>
          <w:spacing w:val="-5"/>
        </w:rPr>
        <w:t> </w:t>
      </w:r>
      <w:r>
        <w:rPr/>
        <w:t>Liu,</w:t>
      </w:r>
      <w:r>
        <w:rPr>
          <w:spacing w:val="-7"/>
        </w:rPr>
        <w:t> </w:t>
      </w:r>
      <w:r>
        <w:rPr/>
        <w:t>X.,</w:t>
      </w:r>
      <w:r>
        <w:rPr>
          <w:spacing w:val="-8"/>
        </w:rPr>
        <w:t> </w:t>
      </w:r>
      <w:r>
        <w:rPr/>
        <w:t>2013.</w:t>
      </w:r>
      <w:r>
        <w:rPr>
          <w:spacing w:val="-3"/>
        </w:rPr>
        <w:t> </w:t>
      </w:r>
      <w:r>
        <w:rPr/>
        <w:t>Labor</w:t>
      </w:r>
      <w:r>
        <w:rPr>
          <w:spacing w:val="-8"/>
        </w:rPr>
        <w:t> </w:t>
      </w:r>
      <w:r>
        <w:rPr/>
        <w:t>cost</w:t>
      </w:r>
      <w:r>
        <w:rPr>
          <w:spacing w:val="-7"/>
        </w:rPr>
        <w:t> </w:t>
      </w:r>
      <w:r>
        <w:rPr/>
        <w:t>analysis</w:t>
      </w:r>
      <w:r>
        <w:rPr>
          <w:spacing w:val="-7"/>
        </w:rPr>
        <w:t> </w:t>
      </w:r>
      <w:r>
        <w:rPr/>
        <w:t>for</w:t>
      </w:r>
      <w:r>
        <w:rPr>
          <w:spacing w:val="-9"/>
        </w:rPr>
        <w:t> </w:t>
      </w:r>
      <w:r>
        <w:rPr/>
        <w:t>pome</w:t>
      </w:r>
      <w:r>
        <w:rPr>
          <w:spacing w:val="-8"/>
        </w:rPr>
        <w:t> </w:t>
      </w:r>
      <w:r>
        <w:rPr/>
        <w:t>production in different cultivation modes in Hebei Province. Asian Agricultural Research 4, 36- 40.</w:t>
      </w:r>
    </w:p>
    <w:p>
      <w:pPr>
        <w:pStyle w:val="BodyText"/>
        <w:spacing w:line="360" w:lineRule="auto" w:before="6"/>
        <w:ind w:left="810" w:right="116" w:hanging="708"/>
        <w:jc w:val="both"/>
      </w:pPr>
      <w:r>
        <w:rPr/>
        <w:t>Zimmermann,</w:t>
      </w:r>
      <w:r>
        <w:rPr>
          <w:spacing w:val="-2"/>
        </w:rPr>
        <w:t> </w:t>
      </w:r>
      <w:r>
        <w:rPr/>
        <w:t>A,</w:t>
      </w:r>
      <w:r>
        <w:rPr>
          <w:spacing w:val="-4"/>
        </w:rPr>
        <w:t> </w:t>
      </w:r>
      <w:r>
        <w:rPr/>
        <w:t>Heckelei,</w:t>
      </w:r>
      <w:r>
        <w:rPr>
          <w:spacing w:val="-3"/>
        </w:rPr>
        <w:t> </w:t>
      </w:r>
      <w:r>
        <w:rPr/>
        <w:t>T.</w:t>
      </w:r>
      <w:r>
        <w:rPr>
          <w:spacing w:val="-4"/>
        </w:rPr>
        <w:t> </w:t>
      </w:r>
      <w:r>
        <w:rPr/>
        <w:t>2012.</w:t>
      </w:r>
      <w:r>
        <w:rPr>
          <w:spacing w:val="-4"/>
        </w:rPr>
        <w:t> </w:t>
      </w:r>
      <w:r>
        <w:rPr/>
        <w:t>Structural</w:t>
      </w:r>
      <w:r>
        <w:rPr>
          <w:spacing w:val="-3"/>
        </w:rPr>
        <w:t> </w:t>
      </w:r>
      <w:r>
        <w:rPr/>
        <w:t>Change</w:t>
      </w:r>
      <w:r>
        <w:rPr>
          <w:spacing w:val="-5"/>
        </w:rPr>
        <w:t> </w:t>
      </w:r>
      <w:r>
        <w:rPr/>
        <w:t>of</w:t>
      </w:r>
      <w:r>
        <w:rPr>
          <w:spacing w:val="-5"/>
        </w:rPr>
        <w:t> </w:t>
      </w:r>
      <w:r>
        <w:rPr/>
        <w:t>European</w:t>
      </w:r>
      <w:r>
        <w:rPr>
          <w:spacing w:val="-4"/>
        </w:rPr>
        <w:t> </w:t>
      </w:r>
      <w:r>
        <w:rPr/>
        <w:t>Dairy</w:t>
      </w:r>
      <w:r>
        <w:rPr>
          <w:spacing w:val="-4"/>
        </w:rPr>
        <w:t> </w:t>
      </w:r>
      <w:r>
        <w:rPr/>
        <w:t>Farms</w:t>
      </w:r>
      <w:r>
        <w:rPr>
          <w:spacing w:val="-2"/>
        </w:rPr>
        <w:t> </w:t>
      </w:r>
      <w:r>
        <w:rPr/>
        <w:t>-</w:t>
      </w:r>
      <w:r>
        <w:rPr>
          <w:spacing w:val="-2"/>
        </w:rPr>
        <w:t> </w:t>
      </w:r>
      <w:r>
        <w:rPr/>
        <w:t>A</w:t>
      </w:r>
      <w:r>
        <w:rPr>
          <w:spacing w:val="-4"/>
        </w:rPr>
        <w:t> </w:t>
      </w:r>
      <w:r>
        <w:rPr/>
        <w:t>Cross- regional Analysis. J. Agr. Econ. 63,</w:t>
      </w:r>
      <w:r>
        <w:rPr>
          <w:spacing w:val="-9"/>
        </w:rPr>
        <w:t> </w:t>
      </w:r>
      <w:r>
        <w:rPr/>
        <w:t>576-603.</w:t>
      </w:r>
    </w:p>
    <w:p>
      <w:pPr>
        <w:pStyle w:val="BodyText"/>
        <w:spacing w:line="360" w:lineRule="auto" w:before="6"/>
        <w:ind w:left="810" w:right="118" w:hanging="648"/>
        <w:jc w:val="both"/>
      </w:pPr>
      <w:r>
        <w:rPr/>
        <w:t>Zvinorova,</w:t>
      </w:r>
      <w:r>
        <w:rPr>
          <w:spacing w:val="-16"/>
        </w:rPr>
        <w:t> </w:t>
      </w:r>
      <w:r>
        <w:rPr/>
        <w:t>P.I.,</w:t>
      </w:r>
      <w:r>
        <w:rPr>
          <w:spacing w:val="-13"/>
        </w:rPr>
        <w:t> </w:t>
      </w:r>
      <w:r>
        <w:rPr/>
        <w:t>Halimani,</w:t>
      </w:r>
      <w:r>
        <w:rPr>
          <w:spacing w:val="-15"/>
        </w:rPr>
        <w:t> </w:t>
      </w:r>
      <w:r>
        <w:rPr/>
        <w:t>T.E.,</w:t>
      </w:r>
      <w:r>
        <w:rPr>
          <w:spacing w:val="28"/>
        </w:rPr>
        <w:t> </w:t>
      </w:r>
      <w:r>
        <w:rPr/>
        <w:t>Mano,</w:t>
      </w:r>
      <w:r>
        <w:rPr>
          <w:spacing w:val="-16"/>
        </w:rPr>
        <w:t> </w:t>
      </w:r>
      <w:r>
        <w:rPr/>
        <w:t>R.T.,</w:t>
      </w:r>
      <w:r>
        <w:rPr>
          <w:spacing w:val="-16"/>
        </w:rPr>
        <w:t> </w:t>
      </w:r>
      <w:r>
        <w:rPr/>
        <w:t>Ngongoni,</w:t>
      </w:r>
      <w:r>
        <w:rPr>
          <w:spacing w:val="-15"/>
        </w:rPr>
        <w:t> </w:t>
      </w:r>
      <w:r>
        <w:rPr/>
        <w:t>N.T.,</w:t>
      </w:r>
      <w:r>
        <w:rPr>
          <w:spacing w:val="-16"/>
        </w:rPr>
        <w:t> </w:t>
      </w:r>
      <w:r>
        <w:rPr/>
        <w:t>2013.</w:t>
      </w:r>
      <w:r>
        <w:rPr>
          <w:spacing w:val="-13"/>
        </w:rPr>
        <w:t> </w:t>
      </w:r>
      <w:r>
        <w:rPr/>
        <w:t>Viability</w:t>
      </w:r>
      <w:r>
        <w:rPr>
          <w:spacing w:val="-21"/>
        </w:rPr>
        <w:t> </w:t>
      </w:r>
      <w:r>
        <w:rPr/>
        <w:t>of</w:t>
      </w:r>
      <w:r>
        <w:rPr>
          <w:spacing w:val="-17"/>
        </w:rPr>
        <w:t> </w:t>
      </w:r>
      <w:r>
        <w:rPr/>
        <w:t>smallholder dairying in Wedza, Zimbabwe. Trop. Anim. Health. Prod. 4,</w:t>
      </w:r>
      <w:r>
        <w:rPr>
          <w:spacing w:val="-8"/>
        </w:rPr>
        <w:t> </w:t>
      </w:r>
      <w:r>
        <w:rPr/>
        <w:t>1007-1015.</w:t>
      </w:r>
    </w:p>
    <w:p>
      <w:pPr>
        <w:spacing w:after="0" w:line="360" w:lineRule="auto"/>
        <w:jc w:val="both"/>
        <w:sectPr>
          <w:pgSz w:w="12240" w:h="15840"/>
          <w:pgMar w:header="0" w:footer="657" w:top="1360" w:bottom="840" w:left="1600" w:right="1580"/>
        </w:sectPr>
      </w:pPr>
    </w:p>
    <w:p>
      <w:pPr>
        <w:pStyle w:val="Heading1"/>
        <w:jc w:val="left"/>
      </w:pPr>
      <w:r>
        <w:rPr/>
        <w:t>Table 1</w:t>
      </w:r>
    </w:p>
    <w:p>
      <w:pPr>
        <w:pStyle w:val="BodyText"/>
        <w:spacing w:before="135"/>
        <w:ind w:left="102"/>
      </w:pPr>
      <w:r>
        <w:rPr/>
        <w:t>Projections for the base scenario 2010-2018 utilised in the analysis</w:t>
      </w:r>
    </w:p>
    <w:p>
      <w:pPr>
        <w:pStyle w:val="BodyText"/>
        <w:spacing w:before="3"/>
        <w:rPr>
          <w:sz w:val="14"/>
        </w:rPr>
      </w:pPr>
    </w:p>
    <w:tbl>
      <w:tblPr>
        <w:tblW w:w="0" w:type="auto"/>
        <w:jc w:val="left"/>
        <w:tblInd w:w="15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53"/>
        <w:gridCol w:w="920"/>
        <w:gridCol w:w="921"/>
        <w:gridCol w:w="922"/>
        <w:gridCol w:w="922"/>
        <w:gridCol w:w="921"/>
        <w:gridCol w:w="921"/>
        <w:gridCol w:w="922"/>
        <w:gridCol w:w="922"/>
        <w:gridCol w:w="863"/>
      </w:tblGrid>
      <w:tr>
        <w:trPr>
          <w:trHeight w:val="461" w:hRule="exact"/>
        </w:trPr>
        <w:tc>
          <w:tcPr>
            <w:tcW w:w="1474" w:type="dxa"/>
            <w:gridSpan w:val="2"/>
            <w:tcBorders>
              <w:left w:val="nil"/>
              <w:right w:val="nil"/>
            </w:tcBorders>
          </w:tcPr>
          <w:p>
            <w:pPr>
              <w:pStyle w:val="TableParagraph"/>
              <w:spacing w:line="273" w:lineRule="exact"/>
              <w:ind w:left="863"/>
              <w:jc w:val="left"/>
              <w:rPr>
                <w:sz w:val="24"/>
              </w:rPr>
            </w:pPr>
            <w:r>
              <w:rPr>
                <w:sz w:val="24"/>
              </w:rPr>
              <w:t>2010</w:t>
            </w:r>
          </w:p>
        </w:tc>
        <w:tc>
          <w:tcPr>
            <w:tcW w:w="921" w:type="dxa"/>
            <w:tcBorders>
              <w:left w:val="nil"/>
              <w:right w:val="nil"/>
            </w:tcBorders>
          </w:tcPr>
          <w:p>
            <w:pPr>
              <w:pStyle w:val="TableParagraph"/>
              <w:spacing w:line="273" w:lineRule="exact"/>
              <w:ind w:right="129"/>
              <w:rPr>
                <w:sz w:val="24"/>
              </w:rPr>
            </w:pPr>
            <w:r>
              <w:rPr>
                <w:sz w:val="24"/>
              </w:rPr>
              <w:t>2011</w:t>
            </w:r>
          </w:p>
        </w:tc>
        <w:tc>
          <w:tcPr>
            <w:tcW w:w="922" w:type="dxa"/>
            <w:tcBorders>
              <w:left w:val="nil"/>
              <w:right w:val="nil"/>
            </w:tcBorders>
          </w:tcPr>
          <w:p>
            <w:pPr>
              <w:pStyle w:val="TableParagraph"/>
              <w:spacing w:line="273" w:lineRule="exact"/>
              <w:ind w:right="128"/>
              <w:rPr>
                <w:sz w:val="24"/>
              </w:rPr>
            </w:pPr>
            <w:r>
              <w:rPr>
                <w:sz w:val="24"/>
              </w:rPr>
              <w:t>2012</w:t>
            </w:r>
          </w:p>
        </w:tc>
        <w:tc>
          <w:tcPr>
            <w:tcW w:w="922" w:type="dxa"/>
            <w:tcBorders>
              <w:left w:val="nil"/>
              <w:right w:val="nil"/>
            </w:tcBorders>
          </w:tcPr>
          <w:p>
            <w:pPr>
              <w:pStyle w:val="TableParagraph"/>
              <w:spacing w:line="273" w:lineRule="exact"/>
              <w:ind w:right="128"/>
              <w:rPr>
                <w:sz w:val="24"/>
              </w:rPr>
            </w:pPr>
            <w:r>
              <w:rPr>
                <w:sz w:val="24"/>
              </w:rPr>
              <w:t>2013</w:t>
            </w:r>
          </w:p>
        </w:tc>
        <w:tc>
          <w:tcPr>
            <w:tcW w:w="921" w:type="dxa"/>
            <w:tcBorders>
              <w:left w:val="nil"/>
              <w:right w:val="nil"/>
            </w:tcBorders>
          </w:tcPr>
          <w:p>
            <w:pPr>
              <w:pStyle w:val="TableParagraph"/>
              <w:spacing w:line="273" w:lineRule="exact"/>
              <w:ind w:right="127"/>
              <w:rPr>
                <w:sz w:val="24"/>
              </w:rPr>
            </w:pPr>
            <w:r>
              <w:rPr>
                <w:sz w:val="24"/>
              </w:rPr>
              <w:t>2014</w:t>
            </w:r>
          </w:p>
        </w:tc>
        <w:tc>
          <w:tcPr>
            <w:tcW w:w="921" w:type="dxa"/>
            <w:tcBorders>
              <w:left w:val="nil"/>
              <w:right w:val="nil"/>
            </w:tcBorders>
          </w:tcPr>
          <w:p>
            <w:pPr>
              <w:pStyle w:val="TableParagraph"/>
              <w:spacing w:line="273" w:lineRule="exact"/>
              <w:ind w:right="128"/>
              <w:rPr>
                <w:sz w:val="24"/>
              </w:rPr>
            </w:pPr>
            <w:r>
              <w:rPr>
                <w:sz w:val="24"/>
              </w:rPr>
              <w:t>2015</w:t>
            </w:r>
          </w:p>
        </w:tc>
        <w:tc>
          <w:tcPr>
            <w:tcW w:w="922" w:type="dxa"/>
            <w:tcBorders>
              <w:left w:val="nil"/>
              <w:right w:val="nil"/>
            </w:tcBorders>
          </w:tcPr>
          <w:p>
            <w:pPr>
              <w:pStyle w:val="TableParagraph"/>
              <w:spacing w:line="273" w:lineRule="exact"/>
              <w:ind w:right="128"/>
              <w:rPr>
                <w:sz w:val="24"/>
              </w:rPr>
            </w:pPr>
            <w:r>
              <w:rPr>
                <w:sz w:val="24"/>
              </w:rPr>
              <w:t>2016</w:t>
            </w:r>
          </w:p>
        </w:tc>
        <w:tc>
          <w:tcPr>
            <w:tcW w:w="922" w:type="dxa"/>
            <w:tcBorders>
              <w:left w:val="nil"/>
              <w:right w:val="nil"/>
            </w:tcBorders>
          </w:tcPr>
          <w:p>
            <w:pPr>
              <w:pStyle w:val="TableParagraph"/>
              <w:spacing w:line="273" w:lineRule="exact"/>
              <w:ind w:right="128"/>
              <w:rPr>
                <w:sz w:val="24"/>
              </w:rPr>
            </w:pPr>
            <w:r>
              <w:rPr>
                <w:sz w:val="24"/>
              </w:rPr>
              <w:t>2017</w:t>
            </w:r>
          </w:p>
        </w:tc>
        <w:tc>
          <w:tcPr>
            <w:tcW w:w="863" w:type="dxa"/>
            <w:tcBorders>
              <w:left w:val="nil"/>
              <w:right w:val="nil"/>
            </w:tcBorders>
          </w:tcPr>
          <w:p>
            <w:pPr>
              <w:pStyle w:val="TableParagraph"/>
              <w:spacing w:line="273" w:lineRule="exact"/>
              <w:ind w:right="71"/>
              <w:rPr>
                <w:sz w:val="24"/>
              </w:rPr>
            </w:pPr>
            <w:r>
              <w:rPr>
                <w:sz w:val="24"/>
              </w:rPr>
              <w:t>2018</w:t>
            </w:r>
          </w:p>
        </w:tc>
      </w:tr>
      <w:tr>
        <w:trPr>
          <w:trHeight w:val="377" w:hRule="exact"/>
        </w:trPr>
        <w:tc>
          <w:tcPr>
            <w:tcW w:w="8786" w:type="dxa"/>
            <w:gridSpan w:val="10"/>
            <w:tcBorders>
              <w:top w:val="nil"/>
              <w:left w:val="nil"/>
              <w:bottom w:val="nil"/>
              <w:right w:val="nil"/>
            </w:tcBorders>
          </w:tcPr>
          <w:p>
            <w:pPr>
              <w:pStyle w:val="TableParagraph"/>
              <w:spacing w:before="20"/>
              <w:ind w:left="2784"/>
              <w:jc w:val="left"/>
              <w:rPr>
                <w:b/>
                <w:sz w:val="24"/>
              </w:rPr>
            </w:pPr>
            <w:r>
              <w:rPr>
                <w:b/>
                <w:sz w:val="24"/>
              </w:rPr>
              <w:t>Main macroeconomic variables</w:t>
            </w:r>
          </w:p>
        </w:tc>
      </w:tr>
      <w:tr>
        <w:trPr>
          <w:trHeight w:val="412" w:hRule="exact"/>
        </w:trPr>
        <w:tc>
          <w:tcPr>
            <w:tcW w:w="553" w:type="dxa"/>
            <w:tcBorders>
              <w:top w:val="nil"/>
              <w:left w:val="nil"/>
              <w:bottom w:val="nil"/>
              <w:right w:val="nil"/>
            </w:tcBorders>
          </w:tcPr>
          <w:p>
            <w:pPr>
              <w:pStyle w:val="TableParagraph"/>
              <w:spacing w:before="54"/>
              <w:ind w:left="171"/>
              <w:jc w:val="center"/>
              <w:rPr>
                <w:sz w:val="24"/>
              </w:rPr>
            </w:pPr>
            <w:r>
              <w:rPr>
                <w:sz w:val="24"/>
              </w:rPr>
              <w:t>1</w:t>
            </w:r>
          </w:p>
        </w:tc>
        <w:tc>
          <w:tcPr>
            <w:tcW w:w="920" w:type="dxa"/>
            <w:tcBorders>
              <w:top w:val="nil"/>
              <w:left w:val="nil"/>
              <w:bottom w:val="nil"/>
              <w:right w:val="nil"/>
            </w:tcBorders>
          </w:tcPr>
          <w:p>
            <w:pPr>
              <w:pStyle w:val="TableParagraph"/>
              <w:spacing w:before="54"/>
              <w:ind w:right="127"/>
              <w:rPr>
                <w:sz w:val="24"/>
              </w:rPr>
            </w:pPr>
            <w:r>
              <w:rPr>
                <w:sz w:val="24"/>
              </w:rPr>
              <w:t>2.10</w:t>
            </w:r>
          </w:p>
        </w:tc>
        <w:tc>
          <w:tcPr>
            <w:tcW w:w="921" w:type="dxa"/>
            <w:tcBorders>
              <w:top w:val="nil"/>
              <w:left w:val="nil"/>
              <w:bottom w:val="nil"/>
              <w:right w:val="nil"/>
            </w:tcBorders>
          </w:tcPr>
          <w:p>
            <w:pPr>
              <w:pStyle w:val="TableParagraph"/>
              <w:spacing w:before="54"/>
              <w:ind w:right="129"/>
              <w:rPr>
                <w:sz w:val="24"/>
              </w:rPr>
            </w:pPr>
            <w:r>
              <w:rPr>
                <w:sz w:val="24"/>
              </w:rPr>
              <w:t>2.70</w:t>
            </w:r>
          </w:p>
        </w:tc>
        <w:tc>
          <w:tcPr>
            <w:tcW w:w="922" w:type="dxa"/>
            <w:tcBorders>
              <w:top w:val="nil"/>
              <w:left w:val="nil"/>
              <w:bottom w:val="nil"/>
              <w:right w:val="nil"/>
            </w:tcBorders>
          </w:tcPr>
          <w:p>
            <w:pPr>
              <w:pStyle w:val="TableParagraph"/>
              <w:spacing w:before="54"/>
              <w:ind w:right="128"/>
              <w:rPr>
                <w:sz w:val="24"/>
              </w:rPr>
            </w:pPr>
            <w:r>
              <w:rPr>
                <w:sz w:val="24"/>
              </w:rPr>
              <w:t>3.50</w:t>
            </w:r>
          </w:p>
        </w:tc>
        <w:tc>
          <w:tcPr>
            <w:tcW w:w="922" w:type="dxa"/>
            <w:tcBorders>
              <w:top w:val="nil"/>
              <w:left w:val="nil"/>
              <w:bottom w:val="nil"/>
              <w:right w:val="nil"/>
            </w:tcBorders>
          </w:tcPr>
          <w:p>
            <w:pPr>
              <w:pStyle w:val="TableParagraph"/>
              <w:spacing w:before="54"/>
              <w:ind w:right="128"/>
              <w:rPr>
                <w:sz w:val="24"/>
              </w:rPr>
            </w:pPr>
            <w:r>
              <w:rPr>
                <w:sz w:val="24"/>
              </w:rPr>
              <w:t>3.30</w:t>
            </w:r>
          </w:p>
        </w:tc>
        <w:tc>
          <w:tcPr>
            <w:tcW w:w="921" w:type="dxa"/>
            <w:tcBorders>
              <w:top w:val="nil"/>
              <w:left w:val="nil"/>
              <w:bottom w:val="nil"/>
              <w:right w:val="nil"/>
            </w:tcBorders>
          </w:tcPr>
          <w:p>
            <w:pPr>
              <w:pStyle w:val="TableParagraph"/>
              <w:spacing w:before="54"/>
              <w:ind w:right="127"/>
              <w:rPr>
                <w:sz w:val="24"/>
              </w:rPr>
            </w:pPr>
            <w:r>
              <w:rPr>
                <w:sz w:val="24"/>
              </w:rPr>
              <w:t>3.10</w:t>
            </w:r>
          </w:p>
        </w:tc>
        <w:tc>
          <w:tcPr>
            <w:tcW w:w="921" w:type="dxa"/>
            <w:tcBorders>
              <w:top w:val="nil"/>
              <w:left w:val="nil"/>
              <w:bottom w:val="nil"/>
              <w:right w:val="nil"/>
            </w:tcBorders>
          </w:tcPr>
          <w:p>
            <w:pPr>
              <w:pStyle w:val="TableParagraph"/>
              <w:spacing w:before="54"/>
              <w:ind w:right="128"/>
              <w:rPr>
                <w:sz w:val="24"/>
              </w:rPr>
            </w:pPr>
            <w:r>
              <w:rPr>
                <w:sz w:val="24"/>
              </w:rPr>
              <w:t>1.90</w:t>
            </w:r>
          </w:p>
        </w:tc>
        <w:tc>
          <w:tcPr>
            <w:tcW w:w="922" w:type="dxa"/>
            <w:tcBorders>
              <w:top w:val="nil"/>
              <w:left w:val="nil"/>
              <w:bottom w:val="nil"/>
              <w:right w:val="nil"/>
            </w:tcBorders>
          </w:tcPr>
          <w:p>
            <w:pPr>
              <w:pStyle w:val="TableParagraph"/>
              <w:spacing w:before="54"/>
              <w:ind w:right="128"/>
              <w:rPr>
                <w:sz w:val="24"/>
              </w:rPr>
            </w:pPr>
            <w:r>
              <w:rPr>
                <w:sz w:val="24"/>
              </w:rPr>
              <w:t>3.60</w:t>
            </w:r>
          </w:p>
        </w:tc>
        <w:tc>
          <w:tcPr>
            <w:tcW w:w="922" w:type="dxa"/>
            <w:tcBorders>
              <w:top w:val="nil"/>
              <w:left w:val="nil"/>
              <w:bottom w:val="nil"/>
              <w:right w:val="nil"/>
            </w:tcBorders>
          </w:tcPr>
          <w:p>
            <w:pPr>
              <w:pStyle w:val="TableParagraph"/>
              <w:spacing w:before="54"/>
              <w:ind w:right="128"/>
              <w:rPr>
                <w:sz w:val="24"/>
              </w:rPr>
            </w:pPr>
            <w:r>
              <w:rPr>
                <w:sz w:val="24"/>
              </w:rPr>
              <w:t>3.70</w:t>
            </w:r>
          </w:p>
        </w:tc>
        <w:tc>
          <w:tcPr>
            <w:tcW w:w="863" w:type="dxa"/>
            <w:tcBorders>
              <w:top w:val="nil"/>
              <w:left w:val="nil"/>
              <w:bottom w:val="nil"/>
              <w:right w:val="nil"/>
            </w:tcBorders>
          </w:tcPr>
          <w:p>
            <w:pPr>
              <w:pStyle w:val="TableParagraph"/>
              <w:spacing w:before="54"/>
              <w:ind w:right="71"/>
              <w:rPr>
                <w:sz w:val="24"/>
              </w:rPr>
            </w:pPr>
            <w:r>
              <w:rPr>
                <w:sz w:val="24"/>
              </w:rPr>
              <w:t>3.30</w:t>
            </w:r>
          </w:p>
        </w:tc>
      </w:tr>
      <w:tr>
        <w:trPr>
          <w:trHeight w:val="414" w:hRule="exact"/>
        </w:trPr>
        <w:tc>
          <w:tcPr>
            <w:tcW w:w="553" w:type="dxa"/>
            <w:tcBorders>
              <w:top w:val="nil"/>
              <w:left w:val="nil"/>
              <w:bottom w:val="nil"/>
              <w:right w:val="nil"/>
            </w:tcBorders>
          </w:tcPr>
          <w:p>
            <w:pPr>
              <w:pStyle w:val="TableParagraph"/>
              <w:spacing w:before="55"/>
              <w:ind w:left="171"/>
              <w:jc w:val="center"/>
              <w:rPr>
                <w:sz w:val="24"/>
              </w:rPr>
            </w:pPr>
            <w:r>
              <w:rPr>
                <w:sz w:val="24"/>
              </w:rPr>
              <w:t>2</w:t>
            </w:r>
          </w:p>
        </w:tc>
        <w:tc>
          <w:tcPr>
            <w:tcW w:w="920" w:type="dxa"/>
            <w:tcBorders>
              <w:top w:val="nil"/>
              <w:left w:val="nil"/>
              <w:bottom w:val="nil"/>
              <w:right w:val="nil"/>
            </w:tcBorders>
          </w:tcPr>
          <w:p>
            <w:pPr>
              <w:pStyle w:val="TableParagraph"/>
              <w:spacing w:before="55"/>
              <w:ind w:right="127"/>
              <w:rPr>
                <w:sz w:val="24"/>
              </w:rPr>
            </w:pPr>
            <w:r>
              <w:rPr>
                <w:sz w:val="24"/>
              </w:rPr>
              <w:t>13.50</w:t>
            </w:r>
          </w:p>
        </w:tc>
        <w:tc>
          <w:tcPr>
            <w:tcW w:w="921" w:type="dxa"/>
            <w:tcBorders>
              <w:top w:val="nil"/>
              <w:left w:val="nil"/>
              <w:bottom w:val="nil"/>
              <w:right w:val="nil"/>
            </w:tcBorders>
          </w:tcPr>
          <w:p>
            <w:pPr>
              <w:pStyle w:val="TableParagraph"/>
              <w:spacing w:before="55"/>
              <w:ind w:right="129"/>
              <w:rPr>
                <w:sz w:val="24"/>
              </w:rPr>
            </w:pPr>
            <w:r>
              <w:rPr>
                <w:sz w:val="24"/>
              </w:rPr>
              <w:t>13.50</w:t>
            </w:r>
          </w:p>
        </w:tc>
        <w:tc>
          <w:tcPr>
            <w:tcW w:w="922" w:type="dxa"/>
            <w:tcBorders>
              <w:top w:val="nil"/>
              <w:left w:val="nil"/>
              <w:bottom w:val="nil"/>
              <w:right w:val="nil"/>
            </w:tcBorders>
          </w:tcPr>
          <w:p>
            <w:pPr>
              <w:pStyle w:val="TableParagraph"/>
              <w:spacing w:before="55"/>
              <w:ind w:right="128"/>
              <w:rPr>
                <w:sz w:val="24"/>
              </w:rPr>
            </w:pPr>
            <w:r>
              <w:rPr>
                <w:sz w:val="24"/>
              </w:rPr>
              <w:t>14.00</w:t>
            </w:r>
          </w:p>
        </w:tc>
        <w:tc>
          <w:tcPr>
            <w:tcW w:w="922" w:type="dxa"/>
            <w:tcBorders>
              <w:top w:val="nil"/>
              <w:left w:val="nil"/>
              <w:bottom w:val="nil"/>
              <w:right w:val="nil"/>
            </w:tcBorders>
          </w:tcPr>
          <w:p>
            <w:pPr>
              <w:pStyle w:val="TableParagraph"/>
              <w:spacing w:before="55"/>
              <w:ind w:right="128"/>
              <w:rPr>
                <w:sz w:val="24"/>
              </w:rPr>
            </w:pPr>
            <w:r>
              <w:rPr>
                <w:sz w:val="24"/>
              </w:rPr>
              <w:t>14.20</w:t>
            </w:r>
          </w:p>
        </w:tc>
        <w:tc>
          <w:tcPr>
            <w:tcW w:w="921" w:type="dxa"/>
            <w:tcBorders>
              <w:top w:val="nil"/>
              <w:left w:val="nil"/>
              <w:bottom w:val="nil"/>
              <w:right w:val="nil"/>
            </w:tcBorders>
          </w:tcPr>
          <w:p>
            <w:pPr>
              <w:pStyle w:val="TableParagraph"/>
              <w:spacing w:before="55"/>
              <w:ind w:right="127"/>
              <w:rPr>
                <w:sz w:val="24"/>
              </w:rPr>
            </w:pPr>
            <w:r>
              <w:rPr>
                <w:sz w:val="24"/>
              </w:rPr>
              <w:t>14.40</w:t>
            </w:r>
          </w:p>
        </w:tc>
        <w:tc>
          <w:tcPr>
            <w:tcW w:w="921" w:type="dxa"/>
            <w:tcBorders>
              <w:top w:val="nil"/>
              <w:left w:val="nil"/>
              <w:bottom w:val="nil"/>
              <w:right w:val="nil"/>
            </w:tcBorders>
          </w:tcPr>
          <w:p>
            <w:pPr>
              <w:pStyle w:val="TableParagraph"/>
              <w:spacing w:before="55"/>
              <w:ind w:right="128"/>
              <w:rPr>
                <w:sz w:val="24"/>
              </w:rPr>
            </w:pPr>
            <w:r>
              <w:rPr>
                <w:sz w:val="24"/>
              </w:rPr>
              <w:t>14.70</w:t>
            </w:r>
          </w:p>
        </w:tc>
        <w:tc>
          <w:tcPr>
            <w:tcW w:w="922" w:type="dxa"/>
            <w:tcBorders>
              <w:top w:val="nil"/>
              <w:left w:val="nil"/>
              <w:bottom w:val="nil"/>
              <w:right w:val="nil"/>
            </w:tcBorders>
          </w:tcPr>
          <w:p>
            <w:pPr>
              <w:pStyle w:val="TableParagraph"/>
              <w:spacing w:before="55"/>
              <w:ind w:right="128"/>
              <w:rPr>
                <w:sz w:val="24"/>
              </w:rPr>
            </w:pPr>
            <w:r>
              <w:rPr>
                <w:sz w:val="24"/>
              </w:rPr>
              <w:t>14.90</w:t>
            </w:r>
          </w:p>
        </w:tc>
        <w:tc>
          <w:tcPr>
            <w:tcW w:w="922" w:type="dxa"/>
            <w:tcBorders>
              <w:top w:val="nil"/>
              <w:left w:val="nil"/>
              <w:bottom w:val="nil"/>
              <w:right w:val="nil"/>
            </w:tcBorders>
          </w:tcPr>
          <w:p>
            <w:pPr>
              <w:pStyle w:val="TableParagraph"/>
              <w:spacing w:before="55"/>
              <w:ind w:right="128"/>
              <w:rPr>
                <w:sz w:val="24"/>
              </w:rPr>
            </w:pPr>
            <w:r>
              <w:rPr>
                <w:sz w:val="24"/>
              </w:rPr>
              <w:t>15.20</w:t>
            </w:r>
          </w:p>
        </w:tc>
        <w:tc>
          <w:tcPr>
            <w:tcW w:w="863" w:type="dxa"/>
            <w:tcBorders>
              <w:top w:val="nil"/>
              <w:left w:val="nil"/>
              <w:bottom w:val="nil"/>
              <w:right w:val="nil"/>
            </w:tcBorders>
          </w:tcPr>
          <w:p>
            <w:pPr>
              <w:pStyle w:val="TableParagraph"/>
              <w:spacing w:before="55"/>
              <w:ind w:right="71"/>
              <w:rPr>
                <w:sz w:val="24"/>
              </w:rPr>
            </w:pPr>
            <w:r>
              <w:rPr>
                <w:sz w:val="24"/>
              </w:rPr>
              <w:t>15.40</w:t>
            </w:r>
          </w:p>
        </w:tc>
      </w:tr>
      <w:tr>
        <w:trPr>
          <w:trHeight w:val="414" w:hRule="exact"/>
        </w:trPr>
        <w:tc>
          <w:tcPr>
            <w:tcW w:w="553" w:type="dxa"/>
            <w:tcBorders>
              <w:top w:val="nil"/>
              <w:left w:val="nil"/>
              <w:bottom w:val="nil"/>
              <w:right w:val="nil"/>
            </w:tcBorders>
          </w:tcPr>
          <w:p>
            <w:pPr>
              <w:pStyle w:val="TableParagraph"/>
              <w:spacing w:before="56"/>
              <w:ind w:left="171"/>
              <w:jc w:val="center"/>
              <w:rPr>
                <w:sz w:val="24"/>
              </w:rPr>
            </w:pPr>
            <w:r>
              <w:rPr>
                <w:sz w:val="24"/>
              </w:rPr>
              <w:t>3</w:t>
            </w:r>
          </w:p>
        </w:tc>
        <w:tc>
          <w:tcPr>
            <w:tcW w:w="920" w:type="dxa"/>
            <w:tcBorders>
              <w:top w:val="nil"/>
              <w:left w:val="nil"/>
              <w:bottom w:val="nil"/>
              <w:right w:val="nil"/>
            </w:tcBorders>
          </w:tcPr>
          <w:p>
            <w:pPr>
              <w:pStyle w:val="TableParagraph"/>
              <w:spacing w:before="56"/>
              <w:ind w:right="127"/>
              <w:rPr>
                <w:sz w:val="24"/>
              </w:rPr>
            </w:pPr>
            <w:r>
              <w:rPr>
                <w:sz w:val="24"/>
              </w:rPr>
              <w:t>9.70</w:t>
            </w:r>
          </w:p>
        </w:tc>
        <w:tc>
          <w:tcPr>
            <w:tcW w:w="921" w:type="dxa"/>
            <w:tcBorders>
              <w:top w:val="nil"/>
              <w:left w:val="nil"/>
              <w:bottom w:val="nil"/>
              <w:right w:val="nil"/>
            </w:tcBorders>
          </w:tcPr>
          <w:p>
            <w:pPr>
              <w:pStyle w:val="TableParagraph"/>
              <w:spacing w:before="56"/>
              <w:ind w:right="129"/>
              <w:rPr>
                <w:sz w:val="24"/>
              </w:rPr>
            </w:pPr>
            <w:r>
              <w:rPr>
                <w:sz w:val="24"/>
              </w:rPr>
              <w:t>9.80</w:t>
            </w:r>
          </w:p>
        </w:tc>
        <w:tc>
          <w:tcPr>
            <w:tcW w:w="922" w:type="dxa"/>
            <w:tcBorders>
              <w:top w:val="nil"/>
              <w:left w:val="nil"/>
              <w:bottom w:val="nil"/>
              <w:right w:val="nil"/>
            </w:tcBorders>
          </w:tcPr>
          <w:p>
            <w:pPr>
              <w:pStyle w:val="TableParagraph"/>
              <w:spacing w:before="56"/>
              <w:ind w:right="128"/>
              <w:rPr>
                <w:sz w:val="24"/>
              </w:rPr>
            </w:pPr>
            <w:r>
              <w:rPr>
                <w:sz w:val="24"/>
              </w:rPr>
              <w:t>9.90</w:t>
            </w:r>
          </w:p>
        </w:tc>
        <w:tc>
          <w:tcPr>
            <w:tcW w:w="922" w:type="dxa"/>
            <w:tcBorders>
              <w:top w:val="nil"/>
              <w:left w:val="nil"/>
              <w:bottom w:val="nil"/>
              <w:right w:val="nil"/>
            </w:tcBorders>
          </w:tcPr>
          <w:p>
            <w:pPr>
              <w:pStyle w:val="TableParagraph"/>
              <w:spacing w:before="56"/>
              <w:ind w:right="128"/>
              <w:rPr>
                <w:sz w:val="24"/>
              </w:rPr>
            </w:pPr>
            <w:r>
              <w:rPr>
                <w:sz w:val="24"/>
              </w:rPr>
              <w:t>9.90</w:t>
            </w:r>
          </w:p>
        </w:tc>
        <w:tc>
          <w:tcPr>
            <w:tcW w:w="921" w:type="dxa"/>
            <w:tcBorders>
              <w:top w:val="nil"/>
              <w:left w:val="nil"/>
              <w:bottom w:val="nil"/>
              <w:right w:val="nil"/>
            </w:tcBorders>
          </w:tcPr>
          <w:p>
            <w:pPr>
              <w:pStyle w:val="TableParagraph"/>
              <w:spacing w:before="56"/>
              <w:ind w:right="127"/>
              <w:rPr>
                <w:sz w:val="24"/>
              </w:rPr>
            </w:pPr>
            <w:r>
              <w:rPr>
                <w:sz w:val="24"/>
              </w:rPr>
              <w:t>10.10</w:t>
            </w:r>
          </w:p>
        </w:tc>
        <w:tc>
          <w:tcPr>
            <w:tcW w:w="921" w:type="dxa"/>
            <w:tcBorders>
              <w:top w:val="nil"/>
              <w:left w:val="nil"/>
              <w:bottom w:val="nil"/>
              <w:right w:val="nil"/>
            </w:tcBorders>
          </w:tcPr>
          <w:p>
            <w:pPr>
              <w:pStyle w:val="TableParagraph"/>
              <w:spacing w:before="56"/>
              <w:ind w:right="128"/>
              <w:rPr>
                <w:sz w:val="24"/>
              </w:rPr>
            </w:pPr>
            <w:r>
              <w:rPr>
                <w:sz w:val="24"/>
              </w:rPr>
              <w:t>10.20</w:t>
            </w:r>
          </w:p>
        </w:tc>
        <w:tc>
          <w:tcPr>
            <w:tcW w:w="922" w:type="dxa"/>
            <w:tcBorders>
              <w:top w:val="nil"/>
              <w:left w:val="nil"/>
              <w:bottom w:val="nil"/>
              <w:right w:val="nil"/>
            </w:tcBorders>
          </w:tcPr>
          <w:p>
            <w:pPr>
              <w:pStyle w:val="TableParagraph"/>
              <w:spacing w:before="56"/>
              <w:ind w:right="128"/>
              <w:rPr>
                <w:sz w:val="24"/>
              </w:rPr>
            </w:pPr>
            <w:r>
              <w:rPr>
                <w:sz w:val="24"/>
              </w:rPr>
              <w:t>10.30</w:t>
            </w:r>
          </w:p>
        </w:tc>
        <w:tc>
          <w:tcPr>
            <w:tcW w:w="922" w:type="dxa"/>
            <w:tcBorders>
              <w:top w:val="nil"/>
              <w:left w:val="nil"/>
              <w:bottom w:val="nil"/>
              <w:right w:val="nil"/>
            </w:tcBorders>
          </w:tcPr>
          <w:p>
            <w:pPr>
              <w:pStyle w:val="TableParagraph"/>
              <w:spacing w:before="56"/>
              <w:ind w:right="128"/>
              <w:rPr>
                <w:sz w:val="24"/>
              </w:rPr>
            </w:pPr>
            <w:r>
              <w:rPr>
                <w:sz w:val="24"/>
              </w:rPr>
              <w:t>10.40</w:t>
            </w:r>
          </w:p>
        </w:tc>
        <w:tc>
          <w:tcPr>
            <w:tcW w:w="863" w:type="dxa"/>
            <w:tcBorders>
              <w:top w:val="nil"/>
              <w:left w:val="nil"/>
              <w:bottom w:val="nil"/>
              <w:right w:val="nil"/>
            </w:tcBorders>
          </w:tcPr>
          <w:p>
            <w:pPr>
              <w:pStyle w:val="TableParagraph"/>
              <w:spacing w:before="56"/>
              <w:ind w:right="71"/>
              <w:rPr>
                <w:sz w:val="24"/>
              </w:rPr>
            </w:pPr>
            <w:r>
              <w:rPr>
                <w:sz w:val="24"/>
              </w:rPr>
              <w:t>10.50</w:t>
            </w:r>
          </w:p>
        </w:tc>
      </w:tr>
      <w:tr>
        <w:trPr>
          <w:trHeight w:val="414" w:hRule="exact"/>
        </w:trPr>
        <w:tc>
          <w:tcPr>
            <w:tcW w:w="553" w:type="dxa"/>
            <w:tcBorders>
              <w:top w:val="nil"/>
              <w:left w:val="nil"/>
              <w:bottom w:val="nil"/>
              <w:right w:val="nil"/>
            </w:tcBorders>
          </w:tcPr>
          <w:p>
            <w:pPr>
              <w:pStyle w:val="TableParagraph"/>
              <w:spacing w:before="55"/>
              <w:ind w:left="171"/>
              <w:jc w:val="center"/>
              <w:rPr>
                <w:sz w:val="24"/>
              </w:rPr>
            </w:pPr>
            <w:r>
              <w:rPr>
                <w:sz w:val="24"/>
              </w:rPr>
              <w:t>4</w:t>
            </w:r>
          </w:p>
        </w:tc>
        <w:tc>
          <w:tcPr>
            <w:tcW w:w="920" w:type="dxa"/>
            <w:tcBorders>
              <w:top w:val="nil"/>
              <w:left w:val="nil"/>
              <w:bottom w:val="nil"/>
              <w:right w:val="nil"/>
            </w:tcBorders>
          </w:tcPr>
          <w:p>
            <w:pPr>
              <w:pStyle w:val="TableParagraph"/>
              <w:spacing w:before="55"/>
              <w:ind w:right="127"/>
              <w:rPr>
                <w:sz w:val="24"/>
              </w:rPr>
            </w:pPr>
            <w:r>
              <w:rPr>
                <w:sz w:val="24"/>
              </w:rPr>
              <w:t>51.20</w:t>
            </w:r>
          </w:p>
        </w:tc>
        <w:tc>
          <w:tcPr>
            <w:tcW w:w="921" w:type="dxa"/>
            <w:tcBorders>
              <w:top w:val="nil"/>
              <w:left w:val="nil"/>
              <w:bottom w:val="nil"/>
              <w:right w:val="nil"/>
            </w:tcBorders>
          </w:tcPr>
          <w:p>
            <w:pPr>
              <w:pStyle w:val="TableParagraph"/>
              <w:spacing w:before="55"/>
              <w:ind w:right="129"/>
              <w:rPr>
                <w:sz w:val="24"/>
              </w:rPr>
            </w:pPr>
            <w:r>
              <w:rPr>
                <w:sz w:val="24"/>
              </w:rPr>
              <w:t>77.40</w:t>
            </w:r>
          </w:p>
        </w:tc>
        <w:tc>
          <w:tcPr>
            <w:tcW w:w="922" w:type="dxa"/>
            <w:tcBorders>
              <w:top w:val="nil"/>
              <w:left w:val="nil"/>
              <w:bottom w:val="nil"/>
              <w:right w:val="nil"/>
            </w:tcBorders>
          </w:tcPr>
          <w:p>
            <w:pPr>
              <w:pStyle w:val="TableParagraph"/>
              <w:spacing w:before="55"/>
              <w:ind w:right="128"/>
              <w:rPr>
                <w:sz w:val="24"/>
              </w:rPr>
            </w:pPr>
            <w:r>
              <w:rPr>
                <w:sz w:val="24"/>
              </w:rPr>
              <w:t>86.80</w:t>
            </w:r>
          </w:p>
        </w:tc>
        <w:tc>
          <w:tcPr>
            <w:tcW w:w="922" w:type="dxa"/>
            <w:tcBorders>
              <w:top w:val="nil"/>
              <w:left w:val="nil"/>
              <w:bottom w:val="nil"/>
              <w:right w:val="nil"/>
            </w:tcBorders>
          </w:tcPr>
          <w:p>
            <w:pPr>
              <w:pStyle w:val="TableParagraph"/>
              <w:spacing w:before="55"/>
              <w:ind w:right="128"/>
              <w:rPr>
                <w:sz w:val="24"/>
              </w:rPr>
            </w:pPr>
            <w:r>
              <w:rPr>
                <w:sz w:val="24"/>
              </w:rPr>
              <w:t>92.70</w:t>
            </w:r>
          </w:p>
        </w:tc>
        <w:tc>
          <w:tcPr>
            <w:tcW w:w="921" w:type="dxa"/>
            <w:tcBorders>
              <w:top w:val="nil"/>
              <w:left w:val="nil"/>
              <w:bottom w:val="nil"/>
              <w:right w:val="nil"/>
            </w:tcBorders>
          </w:tcPr>
          <w:p>
            <w:pPr>
              <w:pStyle w:val="TableParagraph"/>
              <w:spacing w:before="55"/>
              <w:ind w:right="127"/>
              <w:rPr>
                <w:sz w:val="24"/>
              </w:rPr>
            </w:pPr>
            <w:r>
              <w:rPr>
                <w:sz w:val="24"/>
              </w:rPr>
              <w:t>92.20</w:t>
            </w:r>
          </w:p>
        </w:tc>
        <w:tc>
          <w:tcPr>
            <w:tcW w:w="921" w:type="dxa"/>
            <w:tcBorders>
              <w:top w:val="nil"/>
              <w:left w:val="nil"/>
              <w:bottom w:val="nil"/>
              <w:right w:val="nil"/>
            </w:tcBorders>
          </w:tcPr>
          <w:p>
            <w:pPr>
              <w:pStyle w:val="TableParagraph"/>
              <w:spacing w:before="55"/>
              <w:ind w:right="128"/>
              <w:rPr>
                <w:sz w:val="24"/>
              </w:rPr>
            </w:pPr>
            <w:r>
              <w:rPr>
                <w:sz w:val="24"/>
              </w:rPr>
              <w:t>86.50</w:t>
            </w:r>
          </w:p>
        </w:tc>
        <w:tc>
          <w:tcPr>
            <w:tcW w:w="922" w:type="dxa"/>
            <w:tcBorders>
              <w:top w:val="nil"/>
              <w:left w:val="nil"/>
              <w:bottom w:val="nil"/>
              <w:right w:val="nil"/>
            </w:tcBorders>
          </w:tcPr>
          <w:p>
            <w:pPr>
              <w:pStyle w:val="TableParagraph"/>
              <w:spacing w:before="55"/>
              <w:ind w:right="128"/>
              <w:rPr>
                <w:sz w:val="24"/>
              </w:rPr>
            </w:pPr>
            <w:r>
              <w:rPr>
                <w:sz w:val="24"/>
              </w:rPr>
              <w:t>85.00</w:t>
            </w:r>
          </w:p>
        </w:tc>
        <w:tc>
          <w:tcPr>
            <w:tcW w:w="922" w:type="dxa"/>
            <w:tcBorders>
              <w:top w:val="nil"/>
              <w:left w:val="nil"/>
              <w:bottom w:val="nil"/>
              <w:right w:val="nil"/>
            </w:tcBorders>
          </w:tcPr>
          <w:p>
            <w:pPr>
              <w:pStyle w:val="TableParagraph"/>
              <w:spacing w:before="55"/>
              <w:ind w:right="128"/>
              <w:rPr>
                <w:sz w:val="24"/>
              </w:rPr>
            </w:pPr>
            <w:r>
              <w:rPr>
                <w:sz w:val="24"/>
              </w:rPr>
              <w:t>85.00</w:t>
            </w:r>
          </w:p>
        </w:tc>
        <w:tc>
          <w:tcPr>
            <w:tcW w:w="863" w:type="dxa"/>
            <w:tcBorders>
              <w:top w:val="nil"/>
              <w:left w:val="nil"/>
              <w:bottom w:val="nil"/>
              <w:right w:val="nil"/>
            </w:tcBorders>
          </w:tcPr>
          <w:p>
            <w:pPr>
              <w:pStyle w:val="TableParagraph"/>
              <w:spacing w:before="55"/>
              <w:ind w:right="71"/>
              <w:rPr>
                <w:sz w:val="24"/>
              </w:rPr>
            </w:pPr>
            <w:r>
              <w:rPr>
                <w:sz w:val="24"/>
              </w:rPr>
              <w:t>85.00</w:t>
            </w:r>
          </w:p>
        </w:tc>
      </w:tr>
      <w:tr>
        <w:trPr>
          <w:trHeight w:val="414" w:hRule="exact"/>
        </w:trPr>
        <w:tc>
          <w:tcPr>
            <w:tcW w:w="553" w:type="dxa"/>
            <w:tcBorders>
              <w:top w:val="nil"/>
              <w:left w:val="nil"/>
              <w:bottom w:val="nil"/>
              <w:right w:val="nil"/>
            </w:tcBorders>
          </w:tcPr>
          <w:p>
            <w:pPr>
              <w:pStyle w:val="TableParagraph"/>
              <w:spacing w:before="57"/>
              <w:ind w:left="171"/>
              <w:jc w:val="center"/>
              <w:rPr>
                <w:sz w:val="24"/>
              </w:rPr>
            </w:pPr>
            <w:r>
              <w:rPr>
                <w:sz w:val="24"/>
              </w:rPr>
              <w:t>5</w:t>
            </w:r>
          </w:p>
        </w:tc>
        <w:tc>
          <w:tcPr>
            <w:tcW w:w="920" w:type="dxa"/>
            <w:tcBorders>
              <w:top w:val="nil"/>
              <w:left w:val="nil"/>
              <w:bottom w:val="nil"/>
              <w:right w:val="nil"/>
            </w:tcBorders>
          </w:tcPr>
          <w:p>
            <w:pPr>
              <w:pStyle w:val="TableParagraph"/>
              <w:spacing w:before="57"/>
              <w:ind w:right="127"/>
              <w:rPr>
                <w:sz w:val="24"/>
              </w:rPr>
            </w:pPr>
            <w:r>
              <w:rPr>
                <w:sz w:val="24"/>
              </w:rPr>
              <w:t>118.10</w:t>
            </w:r>
          </w:p>
        </w:tc>
        <w:tc>
          <w:tcPr>
            <w:tcW w:w="921" w:type="dxa"/>
            <w:tcBorders>
              <w:top w:val="nil"/>
              <w:left w:val="nil"/>
              <w:bottom w:val="nil"/>
              <w:right w:val="nil"/>
            </w:tcBorders>
          </w:tcPr>
          <w:p>
            <w:pPr>
              <w:pStyle w:val="TableParagraph"/>
              <w:spacing w:before="57"/>
              <w:ind w:right="129"/>
              <w:rPr>
                <w:sz w:val="24"/>
              </w:rPr>
            </w:pPr>
            <w:r>
              <w:rPr>
                <w:sz w:val="24"/>
              </w:rPr>
              <w:t>122.00</w:t>
            </w:r>
          </w:p>
        </w:tc>
        <w:tc>
          <w:tcPr>
            <w:tcW w:w="922" w:type="dxa"/>
            <w:tcBorders>
              <w:top w:val="nil"/>
              <w:left w:val="nil"/>
              <w:bottom w:val="nil"/>
              <w:right w:val="nil"/>
            </w:tcBorders>
          </w:tcPr>
          <w:p>
            <w:pPr>
              <w:pStyle w:val="TableParagraph"/>
              <w:spacing w:before="57"/>
              <w:ind w:right="128"/>
              <w:rPr>
                <w:sz w:val="24"/>
              </w:rPr>
            </w:pPr>
            <w:r>
              <w:rPr>
                <w:sz w:val="24"/>
              </w:rPr>
              <w:t>126.20</w:t>
            </w:r>
          </w:p>
        </w:tc>
        <w:tc>
          <w:tcPr>
            <w:tcW w:w="922" w:type="dxa"/>
            <w:tcBorders>
              <w:top w:val="nil"/>
              <w:left w:val="nil"/>
              <w:bottom w:val="nil"/>
              <w:right w:val="nil"/>
            </w:tcBorders>
          </w:tcPr>
          <w:p>
            <w:pPr>
              <w:pStyle w:val="TableParagraph"/>
              <w:spacing w:before="57"/>
              <w:ind w:right="128"/>
              <w:rPr>
                <w:sz w:val="24"/>
              </w:rPr>
            </w:pPr>
            <w:r>
              <w:rPr>
                <w:sz w:val="24"/>
              </w:rPr>
              <w:t>130.20</w:t>
            </w:r>
          </w:p>
        </w:tc>
        <w:tc>
          <w:tcPr>
            <w:tcW w:w="921" w:type="dxa"/>
            <w:tcBorders>
              <w:top w:val="nil"/>
              <w:left w:val="nil"/>
              <w:bottom w:val="nil"/>
              <w:right w:val="nil"/>
            </w:tcBorders>
          </w:tcPr>
          <w:p>
            <w:pPr>
              <w:pStyle w:val="TableParagraph"/>
              <w:spacing w:before="57"/>
              <w:ind w:right="127"/>
              <w:rPr>
                <w:sz w:val="24"/>
              </w:rPr>
            </w:pPr>
            <w:r>
              <w:rPr>
                <w:sz w:val="24"/>
              </w:rPr>
              <w:t>134.40</w:t>
            </w:r>
          </w:p>
        </w:tc>
        <w:tc>
          <w:tcPr>
            <w:tcW w:w="921" w:type="dxa"/>
            <w:tcBorders>
              <w:top w:val="nil"/>
              <w:left w:val="nil"/>
              <w:bottom w:val="nil"/>
              <w:right w:val="nil"/>
            </w:tcBorders>
          </w:tcPr>
          <w:p>
            <w:pPr>
              <w:pStyle w:val="TableParagraph"/>
              <w:spacing w:before="57"/>
              <w:ind w:right="128"/>
              <w:rPr>
                <w:sz w:val="24"/>
              </w:rPr>
            </w:pPr>
            <w:r>
              <w:rPr>
                <w:sz w:val="24"/>
              </w:rPr>
              <w:t>138.50</w:t>
            </w:r>
          </w:p>
        </w:tc>
        <w:tc>
          <w:tcPr>
            <w:tcW w:w="922" w:type="dxa"/>
            <w:tcBorders>
              <w:top w:val="nil"/>
              <w:left w:val="nil"/>
              <w:bottom w:val="nil"/>
              <w:right w:val="nil"/>
            </w:tcBorders>
          </w:tcPr>
          <w:p>
            <w:pPr>
              <w:pStyle w:val="TableParagraph"/>
              <w:spacing w:before="57"/>
              <w:ind w:right="128"/>
              <w:rPr>
                <w:sz w:val="24"/>
              </w:rPr>
            </w:pPr>
            <w:r>
              <w:rPr>
                <w:sz w:val="24"/>
              </w:rPr>
              <w:t>143.60</w:t>
            </w:r>
          </w:p>
        </w:tc>
        <w:tc>
          <w:tcPr>
            <w:tcW w:w="922" w:type="dxa"/>
            <w:tcBorders>
              <w:top w:val="nil"/>
              <w:left w:val="nil"/>
              <w:bottom w:val="nil"/>
              <w:right w:val="nil"/>
            </w:tcBorders>
          </w:tcPr>
          <w:p>
            <w:pPr>
              <w:pStyle w:val="TableParagraph"/>
              <w:spacing w:before="57"/>
              <w:ind w:right="129"/>
              <w:rPr>
                <w:sz w:val="24"/>
              </w:rPr>
            </w:pPr>
            <w:r>
              <w:rPr>
                <w:sz w:val="24"/>
              </w:rPr>
              <w:t>148.50</w:t>
            </w:r>
          </w:p>
        </w:tc>
        <w:tc>
          <w:tcPr>
            <w:tcW w:w="863" w:type="dxa"/>
            <w:tcBorders>
              <w:top w:val="nil"/>
              <w:left w:val="nil"/>
              <w:bottom w:val="nil"/>
              <w:right w:val="nil"/>
            </w:tcBorders>
          </w:tcPr>
          <w:p>
            <w:pPr>
              <w:pStyle w:val="TableParagraph"/>
              <w:spacing w:before="57"/>
              <w:ind w:right="71"/>
              <w:rPr>
                <w:sz w:val="24"/>
              </w:rPr>
            </w:pPr>
            <w:r>
              <w:rPr>
                <w:sz w:val="24"/>
              </w:rPr>
              <w:t>152.30</w:t>
            </w:r>
          </w:p>
        </w:tc>
      </w:tr>
      <w:tr>
        <w:trPr>
          <w:trHeight w:val="326" w:hRule="exact"/>
        </w:trPr>
        <w:tc>
          <w:tcPr>
            <w:tcW w:w="553" w:type="dxa"/>
            <w:tcBorders>
              <w:top w:val="nil"/>
              <w:left w:val="nil"/>
              <w:bottom w:val="nil"/>
              <w:right w:val="nil"/>
            </w:tcBorders>
          </w:tcPr>
          <w:p>
            <w:pPr>
              <w:pStyle w:val="TableParagraph"/>
              <w:spacing w:before="55"/>
              <w:ind w:left="171"/>
              <w:jc w:val="center"/>
              <w:rPr>
                <w:sz w:val="24"/>
              </w:rPr>
            </w:pPr>
            <w:r>
              <w:rPr>
                <w:sz w:val="24"/>
              </w:rPr>
              <w:t>6</w:t>
            </w:r>
          </w:p>
        </w:tc>
        <w:tc>
          <w:tcPr>
            <w:tcW w:w="920" w:type="dxa"/>
            <w:tcBorders>
              <w:top w:val="nil"/>
              <w:left w:val="nil"/>
              <w:bottom w:val="nil"/>
              <w:right w:val="nil"/>
            </w:tcBorders>
          </w:tcPr>
          <w:p>
            <w:pPr>
              <w:pStyle w:val="TableParagraph"/>
              <w:spacing w:before="55"/>
              <w:ind w:right="127"/>
              <w:rPr>
                <w:sz w:val="24"/>
              </w:rPr>
            </w:pPr>
            <w:r>
              <w:rPr>
                <w:sz w:val="24"/>
              </w:rPr>
              <w:t>116.40</w:t>
            </w:r>
          </w:p>
        </w:tc>
        <w:tc>
          <w:tcPr>
            <w:tcW w:w="921" w:type="dxa"/>
            <w:tcBorders>
              <w:top w:val="nil"/>
              <w:left w:val="nil"/>
              <w:bottom w:val="nil"/>
              <w:right w:val="nil"/>
            </w:tcBorders>
          </w:tcPr>
          <w:p>
            <w:pPr>
              <w:pStyle w:val="TableParagraph"/>
              <w:spacing w:before="55"/>
              <w:ind w:right="129"/>
              <w:rPr>
                <w:sz w:val="24"/>
              </w:rPr>
            </w:pPr>
            <w:r>
              <w:rPr>
                <w:sz w:val="24"/>
              </w:rPr>
              <w:t>120.90</w:t>
            </w:r>
          </w:p>
        </w:tc>
        <w:tc>
          <w:tcPr>
            <w:tcW w:w="922" w:type="dxa"/>
            <w:tcBorders>
              <w:top w:val="nil"/>
              <w:left w:val="nil"/>
              <w:bottom w:val="nil"/>
              <w:right w:val="nil"/>
            </w:tcBorders>
          </w:tcPr>
          <w:p>
            <w:pPr>
              <w:pStyle w:val="TableParagraph"/>
              <w:spacing w:before="55"/>
              <w:ind w:right="128"/>
              <w:rPr>
                <w:sz w:val="24"/>
              </w:rPr>
            </w:pPr>
            <w:r>
              <w:rPr>
                <w:sz w:val="24"/>
              </w:rPr>
              <w:t>125.00</w:t>
            </w:r>
          </w:p>
        </w:tc>
        <w:tc>
          <w:tcPr>
            <w:tcW w:w="922" w:type="dxa"/>
            <w:tcBorders>
              <w:top w:val="nil"/>
              <w:left w:val="nil"/>
              <w:bottom w:val="nil"/>
              <w:right w:val="nil"/>
            </w:tcBorders>
          </w:tcPr>
          <w:p>
            <w:pPr>
              <w:pStyle w:val="TableParagraph"/>
              <w:spacing w:before="55"/>
              <w:ind w:right="128"/>
              <w:rPr>
                <w:sz w:val="24"/>
              </w:rPr>
            </w:pPr>
            <w:r>
              <w:rPr>
                <w:sz w:val="24"/>
              </w:rPr>
              <w:t>128.60</w:t>
            </w:r>
          </w:p>
        </w:tc>
        <w:tc>
          <w:tcPr>
            <w:tcW w:w="921" w:type="dxa"/>
            <w:tcBorders>
              <w:top w:val="nil"/>
              <w:left w:val="nil"/>
              <w:bottom w:val="nil"/>
              <w:right w:val="nil"/>
            </w:tcBorders>
          </w:tcPr>
          <w:p>
            <w:pPr>
              <w:pStyle w:val="TableParagraph"/>
              <w:spacing w:before="55"/>
              <w:ind w:right="127"/>
              <w:rPr>
                <w:sz w:val="24"/>
              </w:rPr>
            </w:pPr>
            <w:r>
              <w:rPr>
                <w:sz w:val="24"/>
              </w:rPr>
              <w:t>132.50</w:t>
            </w:r>
          </w:p>
        </w:tc>
        <w:tc>
          <w:tcPr>
            <w:tcW w:w="921" w:type="dxa"/>
            <w:tcBorders>
              <w:top w:val="nil"/>
              <w:left w:val="nil"/>
              <w:bottom w:val="nil"/>
              <w:right w:val="nil"/>
            </w:tcBorders>
          </w:tcPr>
          <w:p>
            <w:pPr>
              <w:pStyle w:val="TableParagraph"/>
              <w:spacing w:before="55"/>
              <w:ind w:right="128"/>
              <w:rPr>
                <w:sz w:val="24"/>
              </w:rPr>
            </w:pPr>
            <w:r>
              <w:rPr>
                <w:sz w:val="24"/>
              </w:rPr>
              <w:t>136.30</w:t>
            </w:r>
          </w:p>
        </w:tc>
        <w:tc>
          <w:tcPr>
            <w:tcW w:w="922" w:type="dxa"/>
            <w:tcBorders>
              <w:top w:val="nil"/>
              <w:left w:val="nil"/>
              <w:bottom w:val="nil"/>
              <w:right w:val="nil"/>
            </w:tcBorders>
          </w:tcPr>
          <w:p>
            <w:pPr>
              <w:pStyle w:val="TableParagraph"/>
              <w:spacing w:before="55"/>
              <w:ind w:right="128"/>
              <w:rPr>
                <w:sz w:val="24"/>
              </w:rPr>
            </w:pPr>
            <w:r>
              <w:rPr>
                <w:sz w:val="24"/>
              </w:rPr>
              <w:t>140.50</w:t>
            </w:r>
          </w:p>
        </w:tc>
        <w:tc>
          <w:tcPr>
            <w:tcW w:w="922" w:type="dxa"/>
            <w:tcBorders>
              <w:top w:val="nil"/>
              <w:left w:val="nil"/>
              <w:bottom w:val="nil"/>
              <w:right w:val="nil"/>
            </w:tcBorders>
          </w:tcPr>
          <w:p>
            <w:pPr>
              <w:pStyle w:val="TableParagraph"/>
              <w:spacing w:before="55"/>
              <w:ind w:right="129"/>
              <w:rPr>
                <w:sz w:val="24"/>
              </w:rPr>
            </w:pPr>
            <w:r>
              <w:rPr>
                <w:sz w:val="24"/>
              </w:rPr>
              <w:t>144.60</w:t>
            </w:r>
          </w:p>
        </w:tc>
        <w:tc>
          <w:tcPr>
            <w:tcW w:w="863" w:type="dxa"/>
            <w:tcBorders>
              <w:top w:val="nil"/>
              <w:left w:val="nil"/>
              <w:bottom w:val="nil"/>
              <w:right w:val="nil"/>
            </w:tcBorders>
          </w:tcPr>
          <w:p>
            <w:pPr>
              <w:pStyle w:val="TableParagraph"/>
              <w:spacing w:before="55"/>
              <w:ind w:right="71"/>
              <w:rPr>
                <w:sz w:val="24"/>
              </w:rPr>
            </w:pPr>
            <w:r>
              <w:rPr>
                <w:sz w:val="24"/>
              </w:rPr>
              <w:t>149.10</w:t>
            </w:r>
          </w:p>
        </w:tc>
      </w:tr>
      <w:tr>
        <w:trPr>
          <w:trHeight w:val="504" w:hRule="exact"/>
        </w:trPr>
        <w:tc>
          <w:tcPr>
            <w:tcW w:w="8786" w:type="dxa"/>
            <w:gridSpan w:val="10"/>
            <w:tcBorders>
              <w:top w:val="nil"/>
              <w:left w:val="nil"/>
              <w:bottom w:val="nil"/>
              <w:right w:val="nil"/>
            </w:tcBorders>
          </w:tcPr>
          <w:p>
            <w:pPr>
              <w:pStyle w:val="TableParagraph"/>
              <w:spacing w:before="149"/>
              <w:ind w:left="2810"/>
              <w:jc w:val="left"/>
              <w:rPr>
                <w:b/>
                <w:sz w:val="24"/>
              </w:rPr>
            </w:pPr>
            <w:r>
              <w:rPr>
                <w:b/>
                <w:sz w:val="24"/>
              </w:rPr>
              <w:t>Main microeconomic variables</w:t>
            </w:r>
          </w:p>
        </w:tc>
      </w:tr>
      <w:tr>
        <w:trPr>
          <w:trHeight w:val="412" w:hRule="exact"/>
        </w:trPr>
        <w:tc>
          <w:tcPr>
            <w:tcW w:w="553" w:type="dxa"/>
            <w:tcBorders>
              <w:top w:val="nil"/>
              <w:left w:val="nil"/>
              <w:bottom w:val="nil"/>
              <w:right w:val="nil"/>
            </w:tcBorders>
          </w:tcPr>
          <w:p>
            <w:pPr>
              <w:pStyle w:val="TableParagraph"/>
              <w:spacing w:before="53"/>
              <w:ind w:left="171"/>
              <w:jc w:val="center"/>
              <w:rPr>
                <w:sz w:val="24"/>
              </w:rPr>
            </w:pPr>
            <w:r>
              <w:rPr>
                <w:sz w:val="24"/>
              </w:rPr>
              <w:t>7</w:t>
            </w:r>
          </w:p>
        </w:tc>
        <w:tc>
          <w:tcPr>
            <w:tcW w:w="920" w:type="dxa"/>
            <w:tcBorders>
              <w:top w:val="nil"/>
              <w:left w:val="nil"/>
              <w:bottom w:val="nil"/>
              <w:right w:val="nil"/>
            </w:tcBorders>
          </w:tcPr>
          <w:p>
            <w:pPr>
              <w:pStyle w:val="TableParagraph"/>
              <w:spacing w:before="53"/>
              <w:ind w:right="127"/>
              <w:rPr>
                <w:sz w:val="24"/>
              </w:rPr>
            </w:pPr>
            <w:r>
              <w:rPr>
                <w:sz w:val="24"/>
              </w:rPr>
              <w:t>5.80</w:t>
            </w:r>
          </w:p>
        </w:tc>
        <w:tc>
          <w:tcPr>
            <w:tcW w:w="921" w:type="dxa"/>
            <w:tcBorders>
              <w:top w:val="nil"/>
              <w:left w:val="nil"/>
              <w:bottom w:val="nil"/>
              <w:right w:val="nil"/>
            </w:tcBorders>
          </w:tcPr>
          <w:p>
            <w:pPr>
              <w:pStyle w:val="TableParagraph"/>
              <w:spacing w:before="53"/>
              <w:ind w:right="129"/>
              <w:rPr>
                <w:sz w:val="24"/>
              </w:rPr>
            </w:pPr>
            <w:r>
              <w:rPr>
                <w:sz w:val="24"/>
              </w:rPr>
              <w:t>5.10</w:t>
            </w:r>
          </w:p>
        </w:tc>
        <w:tc>
          <w:tcPr>
            <w:tcW w:w="922" w:type="dxa"/>
            <w:tcBorders>
              <w:top w:val="nil"/>
              <w:left w:val="nil"/>
              <w:bottom w:val="nil"/>
              <w:right w:val="nil"/>
            </w:tcBorders>
          </w:tcPr>
          <w:p>
            <w:pPr>
              <w:pStyle w:val="TableParagraph"/>
              <w:spacing w:before="53"/>
              <w:ind w:right="128"/>
              <w:rPr>
                <w:sz w:val="24"/>
              </w:rPr>
            </w:pPr>
            <w:r>
              <w:rPr>
                <w:sz w:val="24"/>
              </w:rPr>
              <w:t>3.80</w:t>
            </w:r>
          </w:p>
        </w:tc>
        <w:tc>
          <w:tcPr>
            <w:tcW w:w="922" w:type="dxa"/>
            <w:tcBorders>
              <w:top w:val="nil"/>
              <w:left w:val="nil"/>
              <w:bottom w:val="nil"/>
              <w:right w:val="nil"/>
            </w:tcBorders>
          </w:tcPr>
          <w:p>
            <w:pPr>
              <w:pStyle w:val="TableParagraph"/>
              <w:spacing w:before="53"/>
              <w:ind w:right="128"/>
              <w:rPr>
                <w:sz w:val="24"/>
              </w:rPr>
            </w:pPr>
            <w:r>
              <w:rPr>
                <w:sz w:val="24"/>
              </w:rPr>
              <w:t>3.50</w:t>
            </w:r>
          </w:p>
        </w:tc>
        <w:tc>
          <w:tcPr>
            <w:tcW w:w="921" w:type="dxa"/>
            <w:tcBorders>
              <w:top w:val="nil"/>
              <w:left w:val="nil"/>
              <w:bottom w:val="nil"/>
              <w:right w:val="nil"/>
            </w:tcBorders>
          </w:tcPr>
          <w:p>
            <w:pPr>
              <w:pStyle w:val="TableParagraph"/>
              <w:spacing w:before="53"/>
              <w:ind w:right="127"/>
              <w:rPr>
                <w:sz w:val="24"/>
              </w:rPr>
            </w:pPr>
            <w:r>
              <w:rPr>
                <w:sz w:val="24"/>
              </w:rPr>
              <w:t>3.70</w:t>
            </w:r>
          </w:p>
        </w:tc>
        <w:tc>
          <w:tcPr>
            <w:tcW w:w="921" w:type="dxa"/>
            <w:tcBorders>
              <w:top w:val="nil"/>
              <w:left w:val="nil"/>
              <w:bottom w:val="nil"/>
              <w:right w:val="nil"/>
            </w:tcBorders>
          </w:tcPr>
          <w:p>
            <w:pPr>
              <w:pStyle w:val="TableParagraph"/>
              <w:spacing w:before="53"/>
              <w:ind w:right="128"/>
              <w:rPr>
                <w:sz w:val="24"/>
              </w:rPr>
            </w:pPr>
            <w:r>
              <w:rPr>
                <w:sz w:val="24"/>
              </w:rPr>
              <w:t>4.10</w:t>
            </w:r>
          </w:p>
        </w:tc>
        <w:tc>
          <w:tcPr>
            <w:tcW w:w="922" w:type="dxa"/>
            <w:tcBorders>
              <w:top w:val="nil"/>
              <w:left w:val="nil"/>
              <w:bottom w:val="nil"/>
              <w:right w:val="nil"/>
            </w:tcBorders>
          </w:tcPr>
          <w:p>
            <w:pPr>
              <w:pStyle w:val="TableParagraph"/>
              <w:spacing w:before="53"/>
              <w:ind w:right="128"/>
              <w:rPr>
                <w:sz w:val="24"/>
              </w:rPr>
            </w:pPr>
            <w:r>
              <w:rPr>
                <w:sz w:val="24"/>
              </w:rPr>
              <w:t>4.20</w:t>
            </w:r>
          </w:p>
        </w:tc>
        <w:tc>
          <w:tcPr>
            <w:tcW w:w="922" w:type="dxa"/>
            <w:tcBorders>
              <w:top w:val="nil"/>
              <w:left w:val="nil"/>
              <w:bottom w:val="nil"/>
              <w:right w:val="nil"/>
            </w:tcBorders>
          </w:tcPr>
          <w:p>
            <w:pPr>
              <w:pStyle w:val="TableParagraph"/>
              <w:spacing w:before="53"/>
              <w:ind w:right="128"/>
              <w:rPr>
                <w:sz w:val="24"/>
              </w:rPr>
            </w:pPr>
            <w:r>
              <w:rPr>
                <w:sz w:val="24"/>
              </w:rPr>
              <w:t>4.00</w:t>
            </w:r>
          </w:p>
        </w:tc>
        <w:tc>
          <w:tcPr>
            <w:tcW w:w="863" w:type="dxa"/>
            <w:tcBorders>
              <w:top w:val="nil"/>
              <w:left w:val="nil"/>
              <w:bottom w:val="nil"/>
              <w:right w:val="nil"/>
            </w:tcBorders>
          </w:tcPr>
          <w:p>
            <w:pPr>
              <w:pStyle w:val="TableParagraph"/>
              <w:spacing w:before="53"/>
              <w:ind w:right="71"/>
              <w:rPr>
                <w:sz w:val="24"/>
              </w:rPr>
            </w:pPr>
            <w:r>
              <w:rPr>
                <w:sz w:val="24"/>
              </w:rPr>
              <w:t>5.40</w:t>
            </w:r>
          </w:p>
        </w:tc>
      </w:tr>
      <w:tr>
        <w:trPr>
          <w:trHeight w:val="414" w:hRule="exact"/>
        </w:trPr>
        <w:tc>
          <w:tcPr>
            <w:tcW w:w="553" w:type="dxa"/>
            <w:tcBorders>
              <w:top w:val="nil"/>
              <w:left w:val="nil"/>
              <w:bottom w:val="nil"/>
              <w:right w:val="nil"/>
            </w:tcBorders>
          </w:tcPr>
          <w:p>
            <w:pPr>
              <w:pStyle w:val="TableParagraph"/>
              <w:spacing w:before="56"/>
              <w:ind w:left="171"/>
              <w:jc w:val="center"/>
              <w:rPr>
                <w:sz w:val="24"/>
              </w:rPr>
            </w:pPr>
            <w:r>
              <w:rPr>
                <w:sz w:val="24"/>
              </w:rPr>
              <w:t>8</w:t>
            </w:r>
          </w:p>
        </w:tc>
        <w:tc>
          <w:tcPr>
            <w:tcW w:w="920" w:type="dxa"/>
            <w:tcBorders>
              <w:top w:val="nil"/>
              <w:left w:val="nil"/>
              <w:bottom w:val="nil"/>
              <w:right w:val="nil"/>
            </w:tcBorders>
          </w:tcPr>
          <w:p>
            <w:pPr>
              <w:pStyle w:val="TableParagraph"/>
              <w:spacing w:before="56"/>
              <w:ind w:right="127"/>
              <w:rPr>
                <w:sz w:val="24"/>
              </w:rPr>
            </w:pPr>
            <w:r>
              <w:rPr>
                <w:sz w:val="24"/>
              </w:rPr>
              <w:t>0.27</w:t>
            </w:r>
          </w:p>
        </w:tc>
        <w:tc>
          <w:tcPr>
            <w:tcW w:w="921" w:type="dxa"/>
            <w:tcBorders>
              <w:top w:val="nil"/>
              <w:left w:val="nil"/>
              <w:bottom w:val="nil"/>
              <w:right w:val="nil"/>
            </w:tcBorders>
          </w:tcPr>
          <w:p>
            <w:pPr>
              <w:pStyle w:val="TableParagraph"/>
              <w:spacing w:before="56"/>
              <w:ind w:right="129"/>
              <w:rPr>
                <w:sz w:val="24"/>
              </w:rPr>
            </w:pPr>
            <w:r>
              <w:rPr>
                <w:sz w:val="24"/>
              </w:rPr>
              <w:t>0.28</w:t>
            </w:r>
          </w:p>
        </w:tc>
        <w:tc>
          <w:tcPr>
            <w:tcW w:w="922" w:type="dxa"/>
            <w:tcBorders>
              <w:top w:val="nil"/>
              <w:left w:val="nil"/>
              <w:bottom w:val="nil"/>
              <w:right w:val="nil"/>
            </w:tcBorders>
          </w:tcPr>
          <w:p>
            <w:pPr>
              <w:pStyle w:val="TableParagraph"/>
              <w:spacing w:before="56"/>
              <w:ind w:right="128"/>
              <w:rPr>
                <w:sz w:val="24"/>
              </w:rPr>
            </w:pPr>
            <w:r>
              <w:rPr>
                <w:sz w:val="24"/>
              </w:rPr>
              <w:t>0.27</w:t>
            </w:r>
          </w:p>
        </w:tc>
        <w:tc>
          <w:tcPr>
            <w:tcW w:w="922" w:type="dxa"/>
            <w:tcBorders>
              <w:top w:val="nil"/>
              <w:left w:val="nil"/>
              <w:bottom w:val="nil"/>
              <w:right w:val="nil"/>
            </w:tcBorders>
          </w:tcPr>
          <w:p>
            <w:pPr>
              <w:pStyle w:val="TableParagraph"/>
              <w:spacing w:before="56"/>
              <w:ind w:right="128"/>
              <w:rPr>
                <w:sz w:val="24"/>
              </w:rPr>
            </w:pPr>
            <w:r>
              <w:rPr>
                <w:sz w:val="24"/>
              </w:rPr>
              <w:t>0.27</w:t>
            </w:r>
          </w:p>
        </w:tc>
        <w:tc>
          <w:tcPr>
            <w:tcW w:w="921" w:type="dxa"/>
            <w:tcBorders>
              <w:top w:val="nil"/>
              <w:left w:val="nil"/>
              <w:bottom w:val="nil"/>
              <w:right w:val="nil"/>
            </w:tcBorders>
          </w:tcPr>
          <w:p>
            <w:pPr>
              <w:pStyle w:val="TableParagraph"/>
              <w:spacing w:before="56"/>
              <w:ind w:right="127"/>
              <w:rPr>
                <w:sz w:val="24"/>
              </w:rPr>
            </w:pPr>
            <w:r>
              <w:rPr>
                <w:sz w:val="24"/>
              </w:rPr>
              <w:t>0.27</w:t>
            </w:r>
          </w:p>
        </w:tc>
        <w:tc>
          <w:tcPr>
            <w:tcW w:w="921" w:type="dxa"/>
            <w:tcBorders>
              <w:top w:val="nil"/>
              <w:left w:val="nil"/>
              <w:bottom w:val="nil"/>
              <w:right w:val="nil"/>
            </w:tcBorders>
          </w:tcPr>
          <w:p>
            <w:pPr>
              <w:pStyle w:val="TableParagraph"/>
              <w:spacing w:before="56"/>
              <w:ind w:right="128"/>
              <w:rPr>
                <w:sz w:val="24"/>
              </w:rPr>
            </w:pPr>
            <w:r>
              <w:rPr>
                <w:sz w:val="24"/>
              </w:rPr>
              <w:t>0.27</w:t>
            </w:r>
          </w:p>
        </w:tc>
        <w:tc>
          <w:tcPr>
            <w:tcW w:w="922" w:type="dxa"/>
            <w:tcBorders>
              <w:top w:val="nil"/>
              <w:left w:val="nil"/>
              <w:bottom w:val="nil"/>
              <w:right w:val="nil"/>
            </w:tcBorders>
          </w:tcPr>
          <w:p>
            <w:pPr>
              <w:pStyle w:val="TableParagraph"/>
              <w:spacing w:before="56"/>
              <w:ind w:right="128"/>
              <w:rPr>
                <w:sz w:val="24"/>
              </w:rPr>
            </w:pPr>
            <w:r>
              <w:rPr>
                <w:sz w:val="24"/>
              </w:rPr>
              <w:t>0.27</w:t>
            </w:r>
          </w:p>
        </w:tc>
        <w:tc>
          <w:tcPr>
            <w:tcW w:w="922" w:type="dxa"/>
            <w:tcBorders>
              <w:top w:val="nil"/>
              <w:left w:val="nil"/>
              <w:bottom w:val="nil"/>
              <w:right w:val="nil"/>
            </w:tcBorders>
          </w:tcPr>
          <w:p>
            <w:pPr>
              <w:pStyle w:val="TableParagraph"/>
              <w:spacing w:before="56"/>
              <w:ind w:right="128"/>
              <w:rPr>
                <w:sz w:val="24"/>
              </w:rPr>
            </w:pPr>
            <w:r>
              <w:rPr>
                <w:sz w:val="24"/>
              </w:rPr>
              <w:t>0.27</w:t>
            </w:r>
          </w:p>
        </w:tc>
        <w:tc>
          <w:tcPr>
            <w:tcW w:w="863" w:type="dxa"/>
            <w:tcBorders>
              <w:top w:val="nil"/>
              <w:left w:val="nil"/>
              <w:bottom w:val="nil"/>
              <w:right w:val="nil"/>
            </w:tcBorders>
          </w:tcPr>
          <w:p>
            <w:pPr>
              <w:pStyle w:val="TableParagraph"/>
              <w:spacing w:before="56"/>
              <w:ind w:right="71"/>
              <w:rPr>
                <w:sz w:val="24"/>
              </w:rPr>
            </w:pPr>
            <w:r>
              <w:rPr>
                <w:sz w:val="24"/>
              </w:rPr>
              <w:t>0.27</w:t>
            </w:r>
          </w:p>
        </w:tc>
      </w:tr>
      <w:tr>
        <w:trPr>
          <w:trHeight w:val="414" w:hRule="exact"/>
        </w:trPr>
        <w:tc>
          <w:tcPr>
            <w:tcW w:w="553" w:type="dxa"/>
            <w:tcBorders>
              <w:top w:val="nil"/>
              <w:left w:val="nil"/>
              <w:bottom w:val="nil"/>
              <w:right w:val="nil"/>
            </w:tcBorders>
          </w:tcPr>
          <w:p>
            <w:pPr>
              <w:pStyle w:val="TableParagraph"/>
              <w:spacing w:before="55"/>
              <w:ind w:left="171"/>
              <w:jc w:val="center"/>
              <w:rPr>
                <w:sz w:val="24"/>
              </w:rPr>
            </w:pPr>
            <w:r>
              <w:rPr>
                <w:sz w:val="24"/>
              </w:rPr>
              <w:t>9</w:t>
            </w:r>
          </w:p>
        </w:tc>
        <w:tc>
          <w:tcPr>
            <w:tcW w:w="920" w:type="dxa"/>
            <w:tcBorders>
              <w:top w:val="nil"/>
              <w:left w:val="nil"/>
              <w:bottom w:val="nil"/>
              <w:right w:val="nil"/>
            </w:tcBorders>
          </w:tcPr>
          <w:p>
            <w:pPr>
              <w:pStyle w:val="TableParagraph"/>
              <w:spacing w:before="55"/>
              <w:ind w:right="127"/>
              <w:rPr>
                <w:sz w:val="24"/>
              </w:rPr>
            </w:pPr>
            <w:r>
              <w:rPr>
                <w:sz w:val="24"/>
              </w:rPr>
              <w:t>0.03</w:t>
            </w:r>
          </w:p>
        </w:tc>
        <w:tc>
          <w:tcPr>
            <w:tcW w:w="921" w:type="dxa"/>
            <w:tcBorders>
              <w:top w:val="nil"/>
              <w:left w:val="nil"/>
              <w:bottom w:val="nil"/>
              <w:right w:val="nil"/>
            </w:tcBorders>
          </w:tcPr>
          <w:p>
            <w:pPr>
              <w:pStyle w:val="TableParagraph"/>
              <w:spacing w:before="55"/>
              <w:ind w:right="129"/>
              <w:rPr>
                <w:sz w:val="24"/>
              </w:rPr>
            </w:pPr>
            <w:r>
              <w:rPr>
                <w:sz w:val="24"/>
              </w:rPr>
              <w:t>0.03</w:t>
            </w:r>
          </w:p>
        </w:tc>
        <w:tc>
          <w:tcPr>
            <w:tcW w:w="922" w:type="dxa"/>
            <w:tcBorders>
              <w:top w:val="nil"/>
              <w:left w:val="nil"/>
              <w:bottom w:val="nil"/>
              <w:right w:val="nil"/>
            </w:tcBorders>
          </w:tcPr>
          <w:p>
            <w:pPr>
              <w:pStyle w:val="TableParagraph"/>
              <w:spacing w:before="55"/>
              <w:ind w:right="128"/>
              <w:rPr>
                <w:sz w:val="24"/>
              </w:rPr>
            </w:pPr>
            <w:r>
              <w:rPr>
                <w:sz w:val="24"/>
              </w:rPr>
              <w:t>0.04</w:t>
            </w:r>
          </w:p>
        </w:tc>
        <w:tc>
          <w:tcPr>
            <w:tcW w:w="922" w:type="dxa"/>
            <w:tcBorders>
              <w:top w:val="nil"/>
              <w:left w:val="nil"/>
              <w:bottom w:val="nil"/>
              <w:right w:val="nil"/>
            </w:tcBorders>
          </w:tcPr>
          <w:p>
            <w:pPr>
              <w:pStyle w:val="TableParagraph"/>
              <w:spacing w:before="55"/>
              <w:ind w:right="128"/>
              <w:rPr>
                <w:sz w:val="24"/>
              </w:rPr>
            </w:pPr>
            <w:r>
              <w:rPr>
                <w:sz w:val="24"/>
              </w:rPr>
              <w:t>0.04</w:t>
            </w:r>
          </w:p>
        </w:tc>
        <w:tc>
          <w:tcPr>
            <w:tcW w:w="921" w:type="dxa"/>
            <w:tcBorders>
              <w:top w:val="nil"/>
              <w:left w:val="nil"/>
              <w:bottom w:val="nil"/>
              <w:right w:val="nil"/>
            </w:tcBorders>
          </w:tcPr>
          <w:p>
            <w:pPr>
              <w:pStyle w:val="TableParagraph"/>
              <w:spacing w:before="55"/>
              <w:ind w:right="127"/>
              <w:rPr>
                <w:sz w:val="24"/>
              </w:rPr>
            </w:pPr>
            <w:r>
              <w:rPr>
                <w:sz w:val="24"/>
              </w:rPr>
              <w:t>0.04</w:t>
            </w:r>
          </w:p>
        </w:tc>
        <w:tc>
          <w:tcPr>
            <w:tcW w:w="921" w:type="dxa"/>
            <w:tcBorders>
              <w:top w:val="nil"/>
              <w:left w:val="nil"/>
              <w:bottom w:val="nil"/>
              <w:right w:val="nil"/>
            </w:tcBorders>
          </w:tcPr>
          <w:p>
            <w:pPr>
              <w:pStyle w:val="TableParagraph"/>
              <w:spacing w:before="55"/>
              <w:ind w:right="128"/>
              <w:rPr>
                <w:sz w:val="24"/>
              </w:rPr>
            </w:pPr>
            <w:r>
              <w:rPr>
                <w:sz w:val="24"/>
              </w:rPr>
              <w:t>0.05</w:t>
            </w:r>
          </w:p>
        </w:tc>
        <w:tc>
          <w:tcPr>
            <w:tcW w:w="922" w:type="dxa"/>
            <w:tcBorders>
              <w:top w:val="nil"/>
              <w:left w:val="nil"/>
              <w:bottom w:val="nil"/>
              <w:right w:val="nil"/>
            </w:tcBorders>
          </w:tcPr>
          <w:p>
            <w:pPr>
              <w:pStyle w:val="TableParagraph"/>
              <w:spacing w:before="55"/>
              <w:ind w:right="128"/>
              <w:rPr>
                <w:sz w:val="24"/>
              </w:rPr>
            </w:pPr>
            <w:r>
              <w:rPr>
                <w:sz w:val="24"/>
              </w:rPr>
              <w:t>0.04</w:t>
            </w:r>
          </w:p>
        </w:tc>
        <w:tc>
          <w:tcPr>
            <w:tcW w:w="922" w:type="dxa"/>
            <w:tcBorders>
              <w:top w:val="nil"/>
              <w:left w:val="nil"/>
              <w:bottom w:val="nil"/>
              <w:right w:val="nil"/>
            </w:tcBorders>
          </w:tcPr>
          <w:p>
            <w:pPr>
              <w:pStyle w:val="TableParagraph"/>
              <w:spacing w:before="55"/>
              <w:ind w:right="128"/>
              <w:rPr>
                <w:sz w:val="24"/>
              </w:rPr>
            </w:pPr>
            <w:r>
              <w:rPr>
                <w:sz w:val="24"/>
              </w:rPr>
              <w:t>0.05</w:t>
            </w:r>
          </w:p>
        </w:tc>
        <w:tc>
          <w:tcPr>
            <w:tcW w:w="863" w:type="dxa"/>
            <w:tcBorders>
              <w:top w:val="nil"/>
              <w:left w:val="nil"/>
              <w:bottom w:val="nil"/>
              <w:right w:val="nil"/>
            </w:tcBorders>
          </w:tcPr>
          <w:p>
            <w:pPr>
              <w:pStyle w:val="TableParagraph"/>
              <w:spacing w:before="55"/>
              <w:ind w:right="71"/>
              <w:rPr>
                <w:sz w:val="24"/>
              </w:rPr>
            </w:pPr>
            <w:r>
              <w:rPr>
                <w:sz w:val="24"/>
              </w:rPr>
              <w:t>0.05</w:t>
            </w:r>
          </w:p>
        </w:tc>
      </w:tr>
      <w:tr>
        <w:trPr>
          <w:trHeight w:val="414" w:hRule="exact"/>
        </w:trPr>
        <w:tc>
          <w:tcPr>
            <w:tcW w:w="553" w:type="dxa"/>
            <w:tcBorders>
              <w:top w:val="nil"/>
              <w:left w:val="nil"/>
              <w:bottom w:val="nil"/>
              <w:right w:val="nil"/>
            </w:tcBorders>
          </w:tcPr>
          <w:p>
            <w:pPr>
              <w:pStyle w:val="TableParagraph"/>
              <w:spacing w:before="56"/>
              <w:ind w:left="162" w:right="111"/>
              <w:jc w:val="center"/>
              <w:rPr>
                <w:sz w:val="24"/>
              </w:rPr>
            </w:pPr>
            <w:r>
              <w:rPr>
                <w:sz w:val="24"/>
              </w:rPr>
              <w:t>10</w:t>
            </w:r>
          </w:p>
        </w:tc>
        <w:tc>
          <w:tcPr>
            <w:tcW w:w="920" w:type="dxa"/>
            <w:tcBorders>
              <w:top w:val="nil"/>
              <w:left w:val="nil"/>
              <w:bottom w:val="nil"/>
              <w:right w:val="nil"/>
            </w:tcBorders>
          </w:tcPr>
          <w:p>
            <w:pPr>
              <w:pStyle w:val="TableParagraph"/>
              <w:spacing w:before="56"/>
              <w:ind w:right="127"/>
              <w:rPr>
                <w:sz w:val="24"/>
              </w:rPr>
            </w:pPr>
            <w:r>
              <w:rPr>
                <w:sz w:val="24"/>
              </w:rPr>
              <w:t>0.03</w:t>
            </w:r>
          </w:p>
        </w:tc>
        <w:tc>
          <w:tcPr>
            <w:tcW w:w="921" w:type="dxa"/>
            <w:tcBorders>
              <w:top w:val="nil"/>
              <w:left w:val="nil"/>
              <w:bottom w:val="nil"/>
              <w:right w:val="nil"/>
            </w:tcBorders>
          </w:tcPr>
          <w:p>
            <w:pPr>
              <w:pStyle w:val="TableParagraph"/>
              <w:spacing w:before="56"/>
              <w:ind w:right="129"/>
              <w:rPr>
                <w:sz w:val="24"/>
              </w:rPr>
            </w:pPr>
            <w:r>
              <w:rPr>
                <w:sz w:val="24"/>
              </w:rPr>
              <w:t>0.03</w:t>
            </w:r>
          </w:p>
        </w:tc>
        <w:tc>
          <w:tcPr>
            <w:tcW w:w="922" w:type="dxa"/>
            <w:tcBorders>
              <w:top w:val="nil"/>
              <w:left w:val="nil"/>
              <w:bottom w:val="nil"/>
              <w:right w:val="nil"/>
            </w:tcBorders>
          </w:tcPr>
          <w:p>
            <w:pPr>
              <w:pStyle w:val="TableParagraph"/>
              <w:spacing w:before="56"/>
              <w:ind w:right="128"/>
              <w:rPr>
                <w:sz w:val="24"/>
              </w:rPr>
            </w:pPr>
            <w:r>
              <w:rPr>
                <w:sz w:val="24"/>
              </w:rPr>
              <w:t>0.03</w:t>
            </w:r>
          </w:p>
        </w:tc>
        <w:tc>
          <w:tcPr>
            <w:tcW w:w="922" w:type="dxa"/>
            <w:tcBorders>
              <w:top w:val="nil"/>
              <w:left w:val="nil"/>
              <w:bottom w:val="nil"/>
              <w:right w:val="nil"/>
            </w:tcBorders>
          </w:tcPr>
          <w:p>
            <w:pPr>
              <w:pStyle w:val="TableParagraph"/>
              <w:spacing w:before="56"/>
              <w:ind w:right="128"/>
              <w:rPr>
                <w:sz w:val="24"/>
              </w:rPr>
            </w:pPr>
            <w:r>
              <w:rPr>
                <w:sz w:val="24"/>
              </w:rPr>
              <w:t>0.03</w:t>
            </w:r>
          </w:p>
        </w:tc>
        <w:tc>
          <w:tcPr>
            <w:tcW w:w="921" w:type="dxa"/>
            <w:tcBorders>
              <w:top w:val="nil"/>
              <w:left w:val="nil"/>
              <w:bottom w:val="nil"/>
              <w:right w:val="nil"/>
            </w:tcBorders>
          </w:tcPr>
          <w:p>
            <w:pPr>
              <w:pStyle w:val="TableParagraph"/>
              <w:spacing w:before="56"/>
              <w:ind w:right="127"/>
              <w:rPr>
                <w:sz w:val="24"/>
              </w:rPr>
            </w:pPr>
            <w:r>
              <w:rPr>
                <w:sz w:val="24"/>
              </w:rPr>
              <w:t>0.03</w:t>
            </w:r>
          </w:p>
        </w:tc>
        <w:tc>
          <w:tcPr>
            <w:tcW w:w="921" w:type="dxa"/>
            <w:tcBorders>
              <w:top w:val="nil"/>
              <w:left w:val="nil"/>
              <w:bottom w:val="nil"/>
              <w:right w:val="nil"/>
            </w:tcBorders>
          </w:tcPr>
          <w:p>
            <w:pPr>
              <w:pStyle w:val="TableParagraph"/>
              <w:spacing w:before="56"/>
              <w:ind w:right="128"/>
              <w:rPr>
                <w:sz w:val="24"/>
              </w:rPr>
            </w:pPr>
            <w:r>
              <w:rPr>
                <w:sz w:val="24"/>
              </w:rPr>
              <w:t>0.03</w:t>
            </w:r>
          </w:p>
        </w:tc>
        <w:tc>
          <w:tcPr>
            <w:tcW w:w="922" w:type="dxa"/>
            <w:tcBorders>
              <w:top w:val="nil"/>
              <w:left w:val="nil"/>
              <w:bottom w:val="nil"/>
              <w:right w:val="nil"/>
            </w:tcBorders>
          </w:tcPr>
          <w:p>
            <w:pPr>
              <w:pStyle w:val="TableParagraph"/>
              <w:spacing w:before="56"/>
              <w:ind w:right="128"/>
              <w:rPr>
                <w:sz w:val="24"/>
              </w:rPr>
            </w:pPr>
            <w:r>
              <w:rPr>
                <w:sz w:val="24"/>
              </w:rPr>
              <w:t>0.03</w:t>
            </w:r>
          </w:p>
        </w:tc>
        <w:tc>
          <w:tcPr>
            <w:tcW w:w="922" w:type="dxa"/>
            <w:tcBorders>
              <w:top w:val="nil"/>
              <w:left w:val="nil"/>
              <w:bottom w:val="nil"/>
              <w:right w:val="nil"/>
            </w:tcBorders>
          </w:tcPr>
          <w:p>
            <w:pPr>
              <w:pStyle w:val="TableParagraph"/>
              <w:spacing w:before="56"/>
              <w:ind w:right="128"/>
              <w:rPr>
                <w:sz w:val="24"/>
              </w:rPr>
            </w:pPr>
            <w:r>
              <w:rPr>
                <w:sz w:val="24"/>
              </w:rPr>
              <w:t>0.03</w:t>
            </w:r>
          </w:p>
        </w:tc>
        <w:tc>
          <w:tcPr>
            <w:tcW w:w="863" w:type="dxa"/>
            <w:tcBorders>
              <w:top w:val="nil"/>
              <w:left w:val="nil"/>
              <w:bottom w:val="nil"/>
              <w:right w:val="nil"/>
            </w:tcBorders>
          </w:tcPr>
          <w:p>
            <w:pPr>
              <w:pStyle w:val="TableParagraph"/>
              <w:spacing w:before="56"/>
              <w:ind w:right="71"/>
              <w:rPr>
                <w:sz w:val="24"/>
              </w:rPr>
            </w:pPr>
            <w:r>
              <w:rPr>
                <w:sz w:val="24"/>
              </w:rPr>
              <w:t>0.03</w:t>
            </w:r>
          </w:p>
        </w:tc>
      </w:tr>
      <w:tr>
        <w:trPr>
          <w:trHeight w:val="414" w:hRule="exact"/>
        </w:trPr>
        <w:tc>
          <w:tcPr>
            <w:tcW w:w="553" w:type="dxa"/>
            <w:tcBorders>
              <w:top w:val="nil"/>
              <w:left w:val="nil"/>
              <w:bottom w:val="nil"/>
              <w:right w:val="nil"/>
            </w:tcBorders>
          </w:tcPr>
          <w:p>
            <w:pPr>
              <w:pStyle w:val="TableParagraph"/>
              <w:spacing w:before="55"/>
              <w:ind w:left="162" w:right="111"/>
              <w:jc w:val="center"/>
              <w:rPr>
                <w:sz w:val="24"/>
              </w:rPr>
            </w:pPr>
            <w:r>
              <w:rPr>
                <w:sz w:val="24"/>
              </w:rPr>
              <w:t>11</w:t>
            </w:r>
          </w:p>
        </w:tc>
        <w:tc>
          <w:tcPr>
            <w:tcW w:w="920" w:type="dxa"/>
            <w:tcBorders>
              <w:top w:val="nil"/>
              <w:left w:val="nil"/>
              <w:bottom w:val="nil"/>
              <w:right w:val="nil"/>
            </w:tcBorders>
          </w:tcPr>
          <w:p>
            <w:pPr>
              <w:pStyle w:val="TableParagraph"/>
              <w:spacing w:before="55"/>
              <w:ind w:right="127"/>
              <w:rPr>
                <w:sz w:val="24"/>
              </w:rPr>
            </w:pPr>
            <w:r>
              <w:rPr>
                <w:sz w:val="24"/>
              </w:rPr>
              <w:t>0.31</w:t>
            </w:r>
          </w:p>
        </w:tc>
        <w:tc>
          <w:tcPr>
            <w:tcW w:w="921" w:type="dxa"/>
            <w:tcBorders>
              <w:top w:val="nil"/>
              <w:left w:val="nil"/>
              <w:bottom w:val="nil"/>
              <w:right w:val="nil"/>
            </w:tcBorders>
          </w:tcPr>
          <w:p>
            <w:pPr>
              <w:pStyle w:val="TableParagraph"/>
              <w:spacing w:before="55"/>
              <w:ind w:right="129"/>
              <w:rPr>
                <w:sz w:val="24"/>
              </w:rPr>
            </w:pPr>
            <w:r>
              <w:rPr>
                <w:sz w:val="24"/>
              </w:rPr>
              <w:t>0.33</w:t>
            </w:r>
          </w:p>
        </w:tc>
        <w:tc>
          <w:tcPr>
            <w:tcW w:w="922" w:type="dxa"/>
            <w:tcBorders>
              <w:top w:val="nil"/>
              <w:left w:val="nil"/>
              <w:bottom w:val="nil"/>
              <w:right w:val="nil"/>
            </w:tcBorders>
          </w:tcPr>
          <w:p>
            <w:pPr>
              <w:pStyle w:val="TableParagraph"/>
              <w:spacing w:before="55"/>
              <w:ind w:right="128"/>
              <w:rPr>
                <w:sz w:val="24"/>
              </w:rPr>
            </w:pPr>
            <w:r>
              <w:rPr>
                <w:sz w:val="24"/>
              </w:rPr>
              <w:t>0.38</w:t>
            </w:r>
          </w:p>
        </w:tc>
        <w:tc>
          <w:tcPr>
            <w:tcW w:w="922" w:type="dxa"/>
            <w:tcBorders>
              <w:top w:val="nil"/>
              <w:left w:val="nil"/>
              <w:bottom w:val="nil"/>
              <w:right w:val="nil"/>
            </w:tcBorders>
          </w:tcPr>
          <w:p>
            <w:pPr>
              <w:pStyle w:val="TableParagraph"/>
              <w:spacing w:before="55"/>
              <w:ind w:right="128"/>
              <w:rPr>
                <w:sz w:val="24"/>
              </w:rPr>
            </w:pPr>
            <w:r>
              <w:rPr>
                <w:sz w:val="24"/>
              </w:rPr>
              <w:t>0.42</w:t>
            </w:r>
          </w:p>
        </w:tc>
        <w:tc>
          <w:tcPr>
            <w:tcW w:w="921" w:type="dxa"/>
            <w:tcBorders>
              <w:top w:val="nil"/>
              <w:left w:val="nil"/>
              <w:bottom w:val="nil"/>
              <w:right w:val="nil"/>
            </w:tcBorders>
          </w:tcPr>
          <w:p>
            <w:pPr>
              <w:pStyle w:val="TableParagraph"/>
              <w:spacing w:before="55"/>
              <w:ind w:right="127"/>
              <w:rPr>
                <w:sz w:val="24"/>
              </w:rPr>
            </w:pPr>
            <w:r>
              <w:rPr>
                <w:sz w:val="24"/>
              </w:rPr>
              <w:t>0.48</w:t>
            </w:r>
          </w:p>
        </w:tc>
        <w:tc>
          <w:tcPr>
            <w:tcW w:w="921" w:type="dxa"/>
            <w:tcBorders>
              <w:top w:val="nil"/>
              <w:left w:val="nil"/>
              <w:bottom w:val="nil"/>
              <w:right w:val="nil"/>
            </w:tcBorders>
          </w:tcPr>
          <w:p>
            <w:pPr>
              <w:pStyle w:val="TableParagraph"/>
              <w:spacing w:before="55"/>
              <w:ind w:right="128"/>
              <w:rPr>
                <w:sz w:val="24"/>
              </w:rPr>
            </w:pPr>
            <w:r>
              <w:rPr>
                <w:sz w:val="24"/>
              </w:rPr>
              <w:t>0.48</w:t>
            </w:r>
          </w:p>
        </w:tc>
        <w:tc>
          <w:tcPr>
            <w:tcW w:w="922" w:type="dxa"/>
            <w:tcBorders>
              <w:top w:val="nil"/>
              <w:left w:val="nil"/>
              <w:bottom w:val="nil"/>
              <w:right w:val="nil"/>
            </w:tcBorders>
          </w:tcPr>
          <w:p>
            <w:pPr>
              <w:pStyle w:val="TableParagraph"/>
              <w:spacing w:before="55"/>
              <w:ind w:right="128"/>
              <w:rPr>
                <w:sz w:val="24"/>
              </w:rPr>
            </w:pPr>
            <w:r>
              <w:rPr>
                <w:sz w:val="24"/>
              </w:rPr>
              <w:t>0.49</w:t>
            </w:r>
          </w:p>
        </w:tc>
        <w:tc>
          <w:tcPr>
            <w:tcW w:w="922" w:type="dxa"/>
            <w:tcBorders>
              <w:top w:val="nil"/>
              <w:left w:val="nil"/>
              <w:bottom w:val="nil"/>
              <w:right w:val="nil"/>
            </w:tcBorders>
          </w:tcPr>
          <w:p>
            <w:pPr>
              <w:pStyle w:val="TableParagraph"/>
              <w:spacing w:before="55"/>
              <w:ind w:right="128"/>
              <w:rPr>
                <w:sz w:val="24"/>
              </w:rPr>
            </w:pPr>
            <w:r>
              <w:rPr>
                <w:sz w:val="24"/>
              </w:rPr>
              <w:t>0.49</w:t>
            </w:r>
          </w:p>
        </w:tc>
        <w:tc>
          <w:tcPr>
            <w:tcW w:w="863" w:type="dxa"/>
            <w:tcBorders>
              <w:top w:val="nil"/>
              <w:left w:val="nil"/>
              <w:bottom w:val="nil"/>
              <w:right w:val="nil"/>
            </w:tcBorders>
          </w:tcPr>
          <w:p>
            <w:pPr>
              <w:pStyle w:val="TableParagraph"/>
              <w:spacing w:before="55"/>
              <w:ind w:right="71"/>
              <w:rPr>
                <w:sz w:val="24"/>
              </w:rPr>
            </w:pPr>
            <w:r>
              <w:rPr>
                <w:sz w:val="24"/>
              </w:rPr>
              <w:t>0.50</w:t>
            </w:r>
          </w:p>
        </w:tc>
      </w:tr>
      <w:tr>
        <w:trPr>
          <w:trHeight w:val="414" w:hRule="exact"/>
        </w:trPr>
        <w:tc>
          <w:tcPr>
            <w:tcW w:w="553" w:type="dxa"/>
            <w:tcBorders>
              <w:top w:val="nil"/>
              <w:left w:val="nil"/>
              <w:bottom w:val="nil"/>
              <w:right w:val="nil"/>
            </w:tcBorders>
          </w:tcPr>
          <w:p>
            <w:pPr>
              <w:pStyle w:val="TableParagraph"/>
              <w:spacing w:before="56"/>
              <w:ind w:left="162" w:right="111"/>
              <w:jc w:val="center"/>
              <w:rPr>
                <w:sz w:val="24"/>
              </w:rPr>
            </w:pPr>
            <w:r>
              <w:rPr>
                <w:sz w:val="24"/>
              </w:rPr>
              <w:t>12</w:t>
            </w:r>
          </w:p>
        </w:tc>
        <w:tc>
          <w:tcPr>
            <w:tcW w:w="920" w:type="dxa"/>
            <w:tcBorders>
              <w:top w:val="nil"/>
              <w:left w:val="nil"/>
              <w:bottom w:val="nil"/>
              <w:right w:val="nil"/>
            </w:tcBorders>
          </w:tcPr>
          <w:p>
            <w:pPr>
              <w:pStyle w:val="TableParagraph"/>
              <w:spacing w:before="56"/>
              <w:ind w:right="127"/>
              <w:rPr>
                <w:sz w:val="24"/>
              </w:rPr>
            </w:pPr>
            <w:r>
              <w:rPr>
                <w:sz w:val="24"/>
              </w:rPr>
              <w:t>0.04</w:t>
            </w:r>
          </w:p>
        </w:tc>
        <w:tc>
          <w:tcPr>
            <w:tcW w:w="921" w:type="dxa"/>
            <w:tcBorders>
              <w:top w:val="nil"/>
              <w:left w:val="nil"/>
              <w:bottom w:val="nil"/>
              <w:right w:val="nil"/>
            </w:tcBorders>
          </w:tcPr>
          <w:p>
            <w:pPr>
              <w:pStyle w:val="TableParagraph"/>
              <w:spacing w:before="56"/>
              <w:ind w:right="129"/>
              <w:rPr>
                <w:sz w:val="24"/>
              </w:rPr>
            </w:pPr>
            <w:r>
              <w:rPr>
                <w:sz w:val="24"/>
              </w:rPr>
              <w:t>0.04</w:t>
            </w:r>
          </w:p>
        </w:tc>
        <w:tc>
          <w:tcPr>
            <w:tcW w:w="922" w:type="dxa"/>
            <w:tcBorders>
              <w:top w:val="nil"/>
              <w:left w:val="nil"/>
              <w:bottom w:val="nil"/>
              <w:right w:val="nil"/>
            </w:tcBorders>
          </w:tcPr>
          <w:p>
            <w:pPr>
              <w:pStyle w:val="TableParagraph"/>
              <w:spacing w:before="56"/>
              <w:ind w:right="128"/>
              <w:rPr>
                <w:sz w:val="24"/>
              </w:rPr>
            </w:pPr>
            <w:r>
              <w:rPr>
                <w:sz w:val="24"/>
              </w:rPr>
              <w:t>0.04</w:t>
            </w:r>
          </w:p>
        </w:tc>
        <w:tc>
          <w:tcPr>
            <w:tcW w:w="922" w:type="dxa"/>
            <w:tcBorders>
              <w:top w:val="nil"/>
              <w:left w:val="nil"/>
              <w:bottom w:val="nil"/>
              <w:right w:val="nil"/>
            </w:tcBorders>
          </w:tcPr>
          <w:p>
            <w:pPr>
              <w:pStyle w:val="TableParagraph"/>
              <w:spacing w:before="56"/>
              <w:ind w:right="128"/>
              <w:rPr>
                <w:sz w:val="24"/>
              </w:rPr>
            </w:pPr>
            <w:r>
              <w:rPr>
                <w:sz w:val="24"/>
              </w:rPr>
              <w:t>0.04</w:t>
            </w:r>
          </w:p>
        </w:tc>
        <w:tc>
          <w:tcPr>
            <w:tcW w:w="921" w:type="dxa"/>
            <w:tcBorders>
              <w:top w:val="nil"/>
              <w:left w:val="nil"/>
              <w:bottom w:val="nil"/>
              <w:right w:val="nil"/>
            </w:tcBorders>
          </w:tcPr>
          <w:p>
            <w:pPr>
              <w:pStyle w:val="TableParagraph"/>
              <w:spacing w:before="56"/>
              <w:ind w:right="127"/>
              <w:rPr>
                <w:sz w:val="24"/>
              </w:rPr>
            </w:pPr>
            <w:r>
              <w:rPr>
                <w:sz w:val="24"/>
              </w:rPr>
              <w:t>0.04</w:t>
            </w:r>
          </w:p>
        </w:tc>
        <w:tc>
          <w:tcPr>
            <w:tcW w:w="921" w:type="dxa"/>
            <w:tcBorders>
              <w:top w:val="nil"/>
              <w:left w:val="nil"/>
              <w:bottom w:val="nil"/>
              <w:right w:val="nil"/>
            </w:tcBorders>
          </w:tcPr>
          <w:p>
            <w:pPr>
              <w:pStyle w:val="TableParagraph"/>
              <w:spacing w:before="56"/>
              <w:ind w:right="128"/>
              <w:rPr>
                <w:sz w:val="24"/>
              </w:rPr>
            </w:pPr>
            <w:r>
              <w:rPr>
                <w:sz w:val="24"/>
              </w:rPr>
              <w:t>0.04</w:t>
            </w:r>
          </w:p>
        </w:tc>
        <w:tc>
          <w:tcPr>
            <w:tcW w:w="922" w:type="dxa"/>
            <w:tcBorders>
              <w:top w:val="nil"/>
              <w:left w:val="nil"/>
              <w:bottom w:val="nil"/>
              <w:right w:val="nil"/>
            </w:tcBorders>
          </w:tcPr>
          <w:p>
            <w:pPr>
              <w:pStyle w:val="TableParagraph"/>
              <w:spacing w:before="56"/>
              <w:ind w:right="128"/>
              <w:rPr>
                <w:sz w:val="24"/>
              </w:rPr>
            </w:pPr>
            <w:r>
              <w:rPr>
                <w:sz w:val="24"/>
              </w:rPr>
              <w:t>0.04</w:t>
            </w:r>
          </w:p>
        </w:tc>
        <w:tc>
          <w:tcPr>
            <w:tcW w:w="922" w:type="dxa"/>
            <w:tcBorders>
              <w:top w:val="nil"/>
              <w:left w:val="nil"/>
              <w:bottom w:val="nil"/>
              <w:right w:val="nil"/>
            </w:tcBorders>
          </w:tcPr>
          <w:p>
            <w:pPr>
              <w:pStyle w:val="TableParagraph"/>
              <w:spacing w:before="56"/>
              <w:ind w:right="128"/>
              <w:rPr>
                <w:sz w:val="24"/>
              </w:rPr>
            </w:pPr>
            <w:r>
              <w:rPr>
                <w:sz w:val="24"/>
              </w:rPr>
              <w:t>0.04</w:t>
            </w:r>
          </w:p>
        </w:tc>
        <w:tc>
          <w:tcPr>
            <w:tcW w:w="863" w:type="dxa"/>
            <w:tcBorders>
              <w:top w:val="nil"/>
              <w:left w:val="nil"/>
              <w:bottom w:val="nil"/>
              <w:right w:val="nil"/>
            </w:tcBorders>
          </w:tcPr>
          <w:p>
            <w:pPr>
              <w:pStyle w:val="TableParagraph"/>
              <w:spacing w:before="56"/>
              <w:ind w:right="71"/>
              <w:rPr>
                <w:sz w:val="24"/>
              </w:rPr>
            </w:pPr>
            <w:r>
              <w:rPr>
                <w:sz w:val="24"/>
              </w:rPr>
              <w:t>0.05</w:t>
            </w:r>
          </w:p>
        </w:tc>
      </w:tr>
      <w:tr>
        <w:trPr>
          <w:trHeight w:val="414" w:hRule="exact"/>
        </w:trPr>
        <w:tc>
          <w:tcPr>
            <w:tcW w:w="553" w:type="dxa"/>
            <w:tcBorders>
              <w:top w:val="nil"/>
              <w:left w:val="nil"/>
              <w:bottom w:val="nil"/>
              <w:right w:val="nil"/>
            </w:tcBorders>
          </w:tcPr>
          <w:p>
            <w:pPr>
              <w:pStyle w:val="TableParagraph"/>
              <w:spacing w:before="55"/>
              <w:ind w:left="162" w:right="111"/>
              <w:jc w:val="center"/>
              <w:rPr>
                <w:sz w:val="24"/>
              </w:rPr>
            </w:pPr>
            <w:r>
              <w:rPr>
                <w:sz w:val="24"/>
              </w:rPr>
              <w:t>13</w:t>
            </w:r>
          </w:p>
        </w:tc>
        <w:tc>
          <w:tcPr>
            <w:tcW w:w="920" w:type="dxa"/>
            <w:tcBorders>
              <w:top w:val="nil"/>
              <w:left w:val="nil"/>
              <w:bottom w:val="nil"/>
              <w:right w:val="nil"/>
            </w:tcBorders>
          </w:tcPr>
          <w:p>
            <w:pPr>
              <w:pStyle w:val="TableParagraph"/>
              <w:spacing w:before="55"/>
              <w:ind w:right="127"/>
              <w:rPr>
                <w:sz w:val="24"/>
              </w:rPr>
            </w:pPr>
            <w:r>
              <w:rPr>
                <w:sz w:val="24"/>
              </w:rPr>
              <w:t>1.54</w:t>
            </w:r>
          </w:p>
        </w:tc>
        <w:tc>
          <w:tcPr>
            <w:tcW w:w="921" w:type="dxa"/>
            <w:tcBorders>
              <w:top w:val="nil"/>
              <w:left w:val="nil"/>
              <w:bottom w:val="nil"/>
              <w:right w:val="nil"/>
            </w:tcBorders>
          </w:tcPr>
          <w:p>
            <w:pPr>
              <w:pStyle w:val="TableParagraph"/>
              <w:spacing w:before="55"/>
              <w:ind w:right="129"/>
              <w:rPr>
                <w:sz w:val="24"/>
              </w:rPr>
            </w:pPr>
            <w:r>
              <w:rPr>
                <w:sz w:val="24"/>
              </w:rPr>
              <w:t>1.73</w:t>
            </w:r>
          </w:p>
        </w:tc>
        <w:tc>
          <w:tcPr>
            <w:tcW w:w="922" w:type="dxa"/>
            <w:tcBorders>
              <w:top w:val="nil"/>
              <w:left w:val="nil"/>
              <w:bottom w:val="nil"/>
              <w:right w:val="nil"/>
            </w:tcBorders>
          </w:tcPr>
          <w:p>
            <w:pPr>
              <w:pStyle w:val="TableParagraph"/>
              <w:spacing w:before="55"/>
              <w:ind w:right="128"/>
              <w:rPr>
                <w:sz w:val="24"/>
              </w:rPr>
            </w:pPr>
            <w:r>
              <w:rPr>
                <w:sz w:val="24"/>
              </w:rPr>
              <w:t>1.93</w:t>
            </w:r>
          </w:p>
        </w:tc>
        <w:tc>
          <w:tcPr>
            <w:tcW w:w="922" w:type="dxa"/>
            <w:tcBorders>
              <w:top w:val="nil"/>
              <w:left w:val="nil"/>
              <w:bottom w:val="nil"/>
              <w:right w:val="nil"/>
            </w:tcBorders>
          </w:tcPr>
          <w:p>
            <w:pPr>
              <w:pStyle w:val="TableParagraph"/>
              <w:spacing w:before="55"/>
              <w:ind w:right="128"/>
              <w:rPr>
                <w:sz w:val="24"/>
              </w:rPr>
            </w:pPr>
            <w:r>
              <w:rPr>
                <w:sz w:val="24"/>
              </w:rPr>
              <w:t>2.00</w:t>
            </w:r>
          </w:p>
        </w:tc>
        <w:tc>
          <w:tcPr>
            <w:tcW w:w="921" w:type="dxa"/>
            <w:tcBorders>
              <w:top w:val="nil"/>
              <w:left w:val="nil"/>
              <w:bottom w:val="nil"/>
              <w:right w:val="nil"/>
            </w:tcBorders>
          </w:tcPr>
          <w:p>
            <w:pPr>
              <w:pStyle w:val="TableParagraph"/>
              <w:spacing w:before="55"/>
              <w:ind w:right="127"/>
              <w:rPr>
                <w:sz w:val="24"/>
              </w:rPr>
            </w:pPr>
            <w:r>
              <w:rPr>
                <w:sz w:val="24"/>
              </w:rPr>
              <w:t>2.05</w:t>
            </w:r>
          </w:p>
        </w:tc>
        <w:tc>
          <w:tcPr>
            <w:tcW w:w="921" w:type="dxa"/>
            <w:tcBorders>
              <w:top w:val="nil"/>
              <w:left w:val="nil"/>
              <w:bottom w:val="nil"/>
              <w:right w:val="nil"/>
            </w:tcBorders>
          </w:tcPr>
          <w:p>
            <w:pPr>
              <w:pStyle w:val="TableParagraph"/>
              <w:spacing w:before="55"/>
              <w:ind w:right="128"/>
              <w:rPr>
                <w:sz w:val="24"/>
              </w:rPr>
            </w:pPr>
            <w:r>
              <w:rPr>
                <w:sz w:val="24"/>
              </w:rPr>
              <w:t>2.05</w:t>
            </w:r>
          </w:p>
        </w:tc>
        <w:tc>
          <w:tcPr>
            <w:tcW w:w="922" w:type="dxa"/>
            <w:tcBorders>
              <w:top w:val="nil"/>
              <w:left w:val="nil"/>
              <w:bottom w:val="nil"/>
              <w:right w:val="nil"/>
            </w:tcBorders>
          </w:tcPr>
          <w:p>
            <w:pPr>
              <w:pStyle w:val="TableParagraph"/>
              <w:spacing w:before="55"/>
              <w:ind w:right="128"/>
              <w:rPr>
                <w:sz w:val="24"/>
              </w:rPr>
            </w:pPr>
            <w:r>
              <w:rPr>
                <w:sz w:val="24"/>
              </w:rPr>
              <w:t>2.07</w:t>
            </w:r>
          </w:p>
        </w:tc>
        <w:tc>
          <w:tcPr>
            <w:tcW w:w="922" w:type="dxa"/>
            <w:tcBorders>
              <w:top w:val="nil"/>
              <w:left w:val="nil"/>
              <w:bottom w:val="nil"/>
              <w:right w:val="nil"/>
            </w:tcBorders>
          </w:tcPr>
          <w:p>
            <w:pPr>
              <w:pStyle w:val="TableParagraph"/>
              <w:spacing w:before="55"/>
              <w:ind w:right="128"/>
              <w:rPr>
                <w:sz w:val="24"/>
              </w:rPr>
            </w:pPr>
            <w:r>
              <w:rPr>
                <w:sz w:val="24"/>
              </w:rPr>
              <w:t>2.09</w:t>
            </w:r>
          </w:p>
        </w:tc>
        <w:tc>
          <w:tcPr>
            <w:tcW w:w="863" w:type="dxa"/>
            <w:tcBorders>
              <w:top w:val="nil"/>
              <w:left w:val="nil"/>
              <w:bottom w:val="nil"/>
              <w:right w:val="nil"/>
            </w:tcBorders>
          </w:tcPr>
          <w:p>
            <w:pPr>
              <w:pStyle w:val="TableParagraph"/>
              <w:spacing w:before="55"/>
              <w:ind w:right="71"/>
              <w:rPr>
                <w:sz w:val="24"/>
              </w:rPr>
            </w:pPr>
            <w:r>
              <w:rPr>
                <w:sz w:val="24"/>
              </w:rPr>
              <w:t>2.12</w:t>
            </w:r>
          </w:p>
        </w:tc>
      </w:tr>
      <w:tr>
        <w:trPr>
          <w:trHeight w:val="414" w:hRule="exact"/>
        </w:trPr>
        <w:tc>
          <w:tcPr>
            <w:tcW w:w="553" w:type="dxa"/>
            <w:tcBorders>
              <w:top w:val="nil"/>
              <w:left w:val="nil"/>
              <w:bottom w:val="nil"/>
              <w:right w:val="nil"/>
            </w:tcBorders>
          </w:tcPr>
          <w:p>
            <w:pPr>
              <w:pStyle w:val="TableParagraph"/>
              <w:spacing w:before="56"/>
              <w:ind w:left="162" w:right="111"/>
              <w:jc w:val="center"/>
              <w:rPr>
                <w:sz w:val="24"/>
              </w:rPr>
            </w:pPr>
            <w:r>
              <w:rPr>
                <w:sz w:val="24"/>
              </w:rPr>
              <w:t>14</w:t>
            </w:r>
          </w:p>
        </w:tc>
        <w:tc>
          <w:tcPr>
            <w:tcW w:w="920" w:type="dxa"/>
            <w:tcBorders>
              <w:top w:val="nil"/>
              <w:left w:val="nil"/>
              <w:bottom w:val="nil"/>
              <w:right w:val="nil"/>
            </w:tcBorders>
          </w:tcPr>
          <w:p>
            <w:pPr>
              <w:pStyle w:val="TableParagraph"/>
              <w:spacing w:before="56"/>
              <w:ind w:right="127"/>
              <w:rPr>
                <w:sz w:val="24"/>
              </w:rPr>
            </w:pPr>
            <w:r>
              <w:rPr>
                <w:sz w:val="24"/>
              </w:rPr>
              <w:t>0.69</w:t>
            </w:r>
          </w:p>
        </w:tc>
        <w:tc>
          <w:tcPr>
            <w:tcW w:w="921" w:type="dxa"/>
            <w:tcBorders>
              <w:top w:val="nil"/>
              <w:left w:val="nil"/>
              <w:bottom w:val="nil"/>
              <w:right w:val="nil"/>
            </w:tcBorders>
          </w:tcPr>
          <w:p>
            <w:pPr>
              <w:pStyle w:val="TableParagraph"/>
              <w:spacing w:before="56"/>
              <w:ind w:right="129"/>
              <w:rPr>
                <w:sz w:val="24"/>
              </w:rPr>
            </w:pPr>
            <w:r>
              <w:rPr>
                <w:sz w:val="24"/>
              </w:rPr>
              <w:t>0.78</w:t>
            </w:r>
          </w:p>
        </w:tc>
        <w:tc>
          <w:tcPr>
            <w:tcW w:w="922" w:type="dxa"/>
            <w:tcBorders>
              <w:top w:val="nil"/>
              <w:left w:val="nil"/>
              <w:bottom w:val="nil"/>
              <w:right w:val="nil"/>
            </w:tcBorders>
          </w:tcPr>
          <w:p>
            <w:pPr>
              <w:pStyle w:val="TableParagraph"/>
              <w:spacing w:before="56"/>
              <w:ind w:right="128"/>
              <w:rPr>
                <w:sz w:val="24"/>
              </w:rPr>
            </w:pPr>
            <w:r>
              <w:rPr>
                <w:sz w:val="24"/>
              </w:rPr>
              <w:t>0.84</w:t>
            </w:r>
          </w:p>
        </w:tc>
        <w:tc>
          <w:tcPr>
            <w:tcW w:w="922" w:type="dxa"/>
            <w:tcBorders>
              <w:top w:val="nil"/>
              <w:left w:val="nil"/>
              <w:bottom w:val="nil"/>
              <w:right w:val="nil"/>
            </w:tcBorders>
          </w:tcPr>
          <w:p>
            <w:pPr>
              <w:pStyle w:val="TableParagraph"/>
              <w:spacing w:before="56"/>
              <w:ind w:right="128"/>
              <w:rPr>
                <w:sz w:val="24"/>
              </w:rPr>
            </w:pPr>
            <w:r>
              <w:rPr>
                <w:sz w:val="24"/>
              </w:rPr>
              <w:t>0.87</w:t>
            </w:r>
          </w:p>
        </w:tc>
        <w:tc>
          <w:tcPr>
            <w:tcW w:w="921" w:type="dxa"/>
            <w:tcBorders>
              <w:top w:val="nil"/>
              <w:left w:val="nil"/>
              <w:bottom w:val="nil"/>
              <w:right w:val="nil"/>
            </w:tcBorders>
          </w:tcPr>
          <w:p>
            <w:pPr>
              <w:pStyle w:val="TableParagraph"/>
              <w:spacing w:before="56"/>
              <w:ind w:right="127"/>
              <w:rPr>
                <w:sz w:val="24"/>
              </w:rPr>
            </w:pPr>
            <w:r>
              <w:rPr>
                <w:sz w:val="24"/>
              </w:rPr>
              <w:t>0.89</w:t>
            </w:r>
          </w:p>
        </w:tc>
        <w:tc>
          <w:tcPr>
            <w:tcW w:w="921" w:type="dxa"/>
            <w:tcBorders>
              <w:top w:val="nil"/>
              <w:left w:val="nil"/>
              <w:bottom w:val="nil"/>
              <w:right w:val="nil"/>
            </w:tcBorders>
          </w:tcPr>
          <w:p>
            <w:pPr>
              <w:pStyle w:val="TableParagraph"/>
              <w:spacing w:before="56"/>
              <w:ind w:right="128"/>
              <w:rPr>
                <w:sz w:val="24"/>
              </w:rPr>
            </w:pPr>
            <w:r>
              <w:rPr>
                <w:sz w:val="24"/>
              </w:rPr>
              <w:t>0.91</w:t>
            </w:r>
          </w:p>
        </w:tc>
        <w:tc>
          <w:tcPr>
            <w:tcW w:w="922" w:type="dxa"/>
            <w:tcBorders>
              <w:top w:val="nil"/>
              <w:left w:val="nil"/>
              <w:bottom w:val="nil"/>
              <w:right w:val="nil"/>
            </w:tcBorders>
          </w:tcPr>
          <w:p>
            <w:pPr>
              <w:pStyle w:val="TableParagraph"/>
              <w:spacing w:before="56"/>
              <w:ind w:right="128"/>
              <w:rPr>
                <w:sz w:val="24"/>
              </w:rPr>
            </w:pPr>
            <w:r>
              <w:rPr>
                <w:sz w:val="24"/>
              </w:rPr>
              <w:t>0.94</w:t>
            </w:r>
          </w:p>
        </w:tc>
        <w:tc>
          <w:tcPr>
            <w:tcW w:w="922" w:type="dxa"/>
            <w:tcBorders>
              <w:top w:val="nil"/>
              <w:left w:val="nil"/>
              <w:bottom w:val="nil"/>
              <w:right w:val="nil"/>
            </w:tcBorders>
          </w:tcPr>
          <w:p>
            <w:pPr>
              <w:pStyle w:val="TableParagraph"/>
              <w:spacing w:before="56"/>
              <w:ind w:right="128"/>
              <w:rPr>
                <w:sz w:val="24"/>
              </w:rPr>
            </w:pPr>
            <w:r>
              <w:rPr>
                <w:sz w:val="24"/>
              </w:rPr>
              <w:t>0.97</w:t>
            </w:r>
          </w:p>
        </w:tc>
        <w:tc>
          <w:tcPr>
            <w:tcW w:w="863" w:type="dxa"/>
            <w:tcBorders>
              <w:top w:val="nil"/>
              <w:left w:val="nil"/>
              <w:bottom w:val="nil"/>
              <w:right w:val="nil"/>
            </w:tcBorders>
          </w:tcPr>
          <w:p>
            <w:pPr>
              <w:pStyle w:val="TableParagraph"/>
              <w:spacing w:before="56"/>
              <w:ind w:right="71"/>
              <w:rPr>
                <w:sz w:val="24"/>
              </w:rPr>
            </w:pPr>
            <w:r>
              <w:rPr>
                <w:sz w:val="24"/>
              </w:rPr>
              <w:t>1.01</w:t>
            </w:r>
          </w:p>
        </w:tc>
      </w:tr>
      <w:tr>
        <w:trPr>
          <w:trHeight w:val="498" w:hRule="exact"/>
        </w:trPr>
        <w:tc>
          <w:tcPr>
            <w:tcW w:w="553" w:type="dxa"/>
            <w:tcBorders>
              <w:top w:val="nil"/>
              <w:left w:val="nil"/>
              <w:right w:val="nil"/>
            </w:tcBorders>
          </w:tcPr>
          <w:p>
            <w:pPr>
              <w:pStyle w:val="TableParagraph"/>
              <w:spacing w:before="55"/>
              <w:ind w:left="162" w:right="111"/>
              <w:jc w:val="center"/>
              <w:rPr>
                <w:sz w:val="24"/>
              </w:rPr>
            </w:pPr>
            <w:r>
              <w:rPr>
                <w:sz w:val="24"/>
              </w:rPr>
              <w:t>15</w:t>
            </w:r>
          </w:p>
        </w:tc>
        <w:tc>
          <w:tcPr>
            <w:tcW w:w="920" w:type="dxa"/>
            <w:tcBorders>
              <w:top w:val="nil"/>
              <w:left w:val="nil"/>
              <w:right w:val="nil"/>
            </w:tcBorders>
          </w:tcPr>
          <w:p>
            <w:pPr>
              <w:pStyle w:val="TableParagraph"/>
              <w:spacing w:before="55"/>
              <w:ind w:right="127"/>
              <w:rPr>
                <w:sz w:val="24"/>
              </w:rPr>
            </w:pPr>
            <w:r>
              <w:rPr>
                <w:sz w:val="24"/>
              </w:rPr>
              <w:t>0.43</w:t>
            </w:r>
          </w:p>
        </w:tc>
        <w:tc>
          <w:tcPr>
            <w:tcW w:w="921" w:type="dxa"/>
            <w:tcBorders>
              <w:top w:val="nil"/>
              <w:left w:val="nil"/>
              <w:right w:val="nil"/>
            </w:tcBorders>
          </w:tcPr>
          <w:p>
            <w:pPr>
              <w:pStyle w:val="TableParagraph"/>
              <w:spacing w:before="55"/>
              <w:ind w:right="129"/>
              <w:rPr>
                <w:sz w:val="24"/>
              </w:rPr>
            </w:pPr>
            <w:r>
              <w:rPr>
                <w:sz w:val="24"/>
              </w:rPr>
              <w:t>0.43</w:t>
            </w:r>
          </w:p>
        </w:tc>
        <w:tc>
          <w:tcPr>
            <w:tcW w:w="922" w:type="dxa"/>
            <w:tcBorders>
              <w:top w:val="nil"/>
              <w:left w:val="nil"/>
              <w:right w:val="nil"/>
            </w:tcBorders>
          </w:tcPr>
          <w:p>
            <w:pPr>
              <w:pStyle w:val="TableParagraph"/>
              <w:spacing w:before="55"/>
              <w:ind w:right="128"/>
              <w:rPr>
                <w:sz w:val="24"/>
              </w:rPr>
            </w:pPr>
            <w:r>
              <w:rPr>
                <w:sz w:val="24"/>
              </w:rPr>
              <w:t>0.45</w:t>
            </w:r>
          </w:p>
        </w:tc>
        <w:tc>
          <w:tcPr>
            <w:tcW w:w="922" w:type="dxa"/>
            <w:tcBorders>
              <w:top w:val="nil"/>
              <w:left w:val="nil"/>
              <w:right w:val="nil"/>
            </w:tcBorders>
          </w:tcPr>
          <w:p>
            <w:pPr>
              <w:pStyle w:val="TableParagraph"/>
              <w:spacing w:before="55"/>
              <w:ind w:right="128"/>
              <w:rPr>
                <w:sz w:val="24"/>
              </w:rPr>
            </w:pPr>
            <w:r>
              <w:rPr>
                <w:sz w:val="24"/>
              </w:rPr>
              <w:t>0.46</w:t>
            </w:r>
          </w:p>
        </w:tc>
        <w:tc>
          <w:tcPr>
            <w:tcW w:w="921" w:type="dxa"/>
            <w:tcBorders>
              <w:top w:val="nil"/>
              <w:left w:val="nil"/>
              <w:right w:val="nil"/>
            </w:tcBorders>
          </w:tcPr>
          <w:p>
            <w:pPr>
              <w:pStyle w:val="TableParagraph"/>
              <w:spacing w:before="55"/>
              <w:ind w:right="127"/>
              <w:rPr>
                <w:sz w:val="24"/>
              </w:rPr>
            </w:pPr>
            <w:r>
              <w:rPr>
                <w:sz w:val="24"/>
              </w:rPr>
              <w:t>0.47</w:t>
            </w:r>
          </w:p>
        </w:tc>
        <w:tc>
          <w:tcPr>
            <w:tcW w:w="921" w:type="dxa"/>
            <w:tcBorders>
              <w:top w:val="nil"/>
              <w:left w:val="nil"/>
              <w:right w:val="nil"/>
            </w:tcBorders>
          </w:tcPr>
          <w:p>
            <w:pPr>
              <w:pStyle w:val="TableParagraph"/>
              <w:spacing w:before="55"/>
              <w:ind w:right="128"/>
              <w:rPr>
                <w:sz w:val="24"/>
              </w:rPr>
            </w:pPr>
            <w:r>
              <w:rPr>
                <w:sz w:val="24"/>
              </w:rPr>
              <w:t>0.48</w:t>
            </w:r>
          </w:p>
        </w:tc>
        <w:tc>
          <w:tcPr>
            <w:tcW w:w="922" w:type="dxa"/>
            <w:tcBorders>
              <w:top w:val="nil"/>
              <w:left w:val="nil"/>
              <w:right w:val="nil"/>
            </w:tcBorders>
          </w:tcPr>
          <w:p>
            <w:pPr>
              <w:pStyle w:val="TableParagraph"/>
              <w:spacing w:before="55"/>
              <w:ind w:right="128"/>
              <w:rPr>
                <w:sz w:val="24"/>
              </w:rPr>
            </w:pPr>
            <w:r>
              <w:rPr>
                <w:sz w:val="24"/>
              </w:rPr>
              <w:t>0.50</w:t>
            </w:r>
          </w:p>
        </w:tc>
        <w:tc>
          <w:tcPr>
            <w:tcW w:w="922" w:type="dxa"/>
            <w:tcBorders>
              <w:top w:val="nil"/>
              <w:left w:val="nil"/>
              <w:right w:val="nil"/>
            </w:tcBorders>
          </w:tcPr>
          <w:p>
            <w:pPr>
              <w:pStyle w:val="TableParagraph"/>
              <w:spacing w:before="55"/>
              <w:ind w:right="128"/>
              <w:rPr>
                <w:sz w:val="24"/>
              </w:rPr>
            </w:pPr>
            <w:r>
              <w:rPr>
                <w:sz w:val="24"/>
              </w:rPr>
              <w:t>0.51</w:t>
            </w:r>
          </w:p>
        </w:tc>
        <w:tc>
          <w:tcPr>
            <w:tcW w:w="863" w:type="dxa"/>
            <w:tcBorders>
              <w:top w:val="nil"/>
              <w:left w:val="nil"/>
              <w:right w:val="nil"/>
            </w:tcBorders>
          </w:tcPr>
          <w:p>
            <w:pPr>
              <w:pStyle w:val="TableParagraph"/>
              <w:spacing w:before="55"/>
              <w:ind w:right="71"/>
              <w:rPr>
                <w:sz w:val="24"/>
              </w:rPr>
            </w:pPr>
            <w:r>
              <w:rPr>
                <w:sz w:val="24"/>
              </w:rPr>
              <w:t>0.53</w:t>
            </w:r>
          </w:p>
        </w:tc>
      </w:tr>
    </w:tbl>
    <w:p>
      <w:pPr>
        <w:spacing w:line="202" w:lineRule="exact" w:before="0"/>
        <w:ind w:left="226" w:right="0" w:firstLine="0"/>
        <w:jc w:val="both"/>
        <w:rPr>
          <w:sz w:val="20"/>
        </w:rPr>
      </w:pPr>
      <w:r>
        <w:rPr>
          <w:sz w:val="20"/>
        </w:rPr>
        <w:t>Projections obtained from the base scenario 2009-2018 (SAGARPA, 2011).</w:t>
      </w:r>
    </w:p>
    <w:p>
      <w:pPr>
        <w:spacing w:line="360" w:lineRule="auto" w:before="115"/>
        <w:ind w:left="226" w:right="187" w:firstLine="0"/>
        <w:jc w:val="both"/>
        <w:rPr>
          <w:sz w:val="20"/>
        </w:rPr>
      </w:pPr>
      <w:r>
        <w:rPr>
          <w:sz w:val="20"/>
        </w:rPr>
        <w:t>1). GDP, Growth domestic product (%); 2). Nominal exchange rate: MX$/US$; 3). Real exchange rate: MX$/US$; 4). Price of oil: US$/Barrel; 5). National index of prices for farmers: 2007=100; 6). National index of prices for consumers: 2007=100; 7). CETES (Mexican Government bonds) interest at 28 days (%); 8). Yellow maize grain: US$/kg; 9). Fresh alfalfa: US$/kg; 10). Maize silage: US$/kg; 11). Commercial compound</w:t>
      </w:r>
      <w:r>
        <w:rPr>
          <w:spacing w:val="-4"/>
          <w:sz w:val="20"/>
        </w:rPr>
        <w:t> </w:t>
      </w:r>
      <w:r>
        <w:rPr>
          <w:sz w:val="20"/>
        </w:rPr>
        <w:t>concentrate</w:t>
      </w:r>
      <w:r>
        <w:rPr>
          <w:spacing w:val="-5"/>
          <w:sz w:val="20"/>
        </w:rPr>
        <w:t> </w:t>
      </w:r>
      <w:r>
        <w:rPr>
          <w:sz w:val="20"/>
        </w:rPr>
        <w:t>for</w:t>
      </w:r>
      <w:r>
        <w:rPr>
          <w:spacing w:val="-5"/>
          <w:sz w:val="20"/>
        </w:rPr>
        <w:t> </w:t>
      </w:r>
      <w:r>
        <w:rPr>
          <w:sz w:val="20"/>
        </w:rPr>
        <w:t>cows:</w:t>
      </w:r>
      <w:r>
        <w:rPr>
          <w:spacing w:val="-6"/>
          <w:sz w:val="20"/>
        </w:rPr>
        <w:t> </w:t>
      </w:r>
      <w:r>
        <w:rPr>
          <w:sz w:val="20"/>
        </w:rPr>
        <w:t>US$/kg;</w:t>
      </w:r>
      <w:r>
        <w:rPr>
          <w:spacing w:val="-6"/>
          <w:sz w:val="20"/>
        </w:rPr>
        <w:t> </w:t>
      </w:r>
      <w:r>
        <w:rPr>
          <w:sz w:val="20"/>
        </w:rPr>
        <w:t>12).</w:t>
      </w:r>
      <w:r>
        <w:rPr>
          <w:spacing w:val="-5"/>
          <w:sz w:val="20"/>
        </w:rPr>
        <w:t> </w:t>
      </w:r>
      <w:r>
        <w:rPr>
          <w:sz w:val="20"/>
        </w:rPr>
        <w:t>Fresh</w:t>
      </w:r>
      <w:r>
        <w:rPr>
          <w:spacing w:val="-7"/>
          <w:sz w:val="20"/>
        </w:rPr>
        <w:t> </w:t>
      </w:r>
      <w:r>
        <w:rPr>
          <w:sz w:val="20"/>
        </w:rPr>
        <w:t>oat</w:t>
      </w:r>
      <w:r>
        <w:rPr>
          <w:spacing w:val="-5"/>
          <w:sz w:val="20"/>
        </w:rPr>
        <w:t> </w:t>
      </w:r>
      <w:r>
        <w:rPr>
          <w:sz w:val="20"/>
        </w:rPr>
        <w:t>forage:</w:t>
      </w:r>
      <w:r>
        <w:rPr>
          <w:spacing w:val="-5"/>
          <w:sz w:val="20"/>
        </w:rPr>
        <w:t> </w:t>
      </w:r>
      <w:r>
        <w:rPr>
          <w:sz w:val="20"/>
        </w:rPr>
        <w:t>US$/kg;</w:t>
      </w:r>
      <w:r>
        <w:rPr>
          <w:spacing w:val="-6"/>
          <w:sz w:val="20"/>
        </w:rPr>
        <w:t> </w:t>
      </w:r>
      <w:r>
        <w:rPr>
          <w:sz w:val="20"/>
        </w:rPr>
        <w:t>13).</w:t>
      </w:r>
      <w:r>
        <w:rPr>
          <w:spacing w:val="-5"/>
          <w:sz w:val="20"/>
        </w:rPr>
        <w:t> </w:t>
      </w:r>
      <w:r>
        <w:rPr>
          <w:sz w:val="20"/>
        </w:rPr>
        <w:t>Regional</w:t>
      </w:r>
      <w:r>
        <w:rPr>
          <w:spacing w:val="-5"/>
          <w:sz w:val="20"/>
        </w:rPr>
        <w:t> </w:t>
      </w:r>
      <w:r>
        <w:rPr>
          <w:sz w:val="20"/>
        </w:rPr>
        <w:t>price</w:t>
      </w:r>
      <w:r>
        <w:rPr>
          <w:spacing w:val="-5"/>
          <w:sz w:val="20"/>
        </w:rPr>
        <w:t> </w:t>
      </w:r>
      <w:r>
        <w:rPr>
          <w:spacing w:val="2"/>
          <w:sz w:val="20"/>
        </w:rPr>
        <w:t>for</w:t>
      </w:r>
      <w:r>
        <w:rPr>
          <w:spacing w:val="-5"/>
          <w:sz w:val="20"/>
        </w:rPr>
        <w:t> </w:t>
      </w:r>
      <w:r>
        <w:rPr>
          <w:sz w:val="20"/>
        </w:rPr>
        <w:t>sold</w:t>
      </w:r>
      <w:r>
        <w:rPr>
          <w:spacing w:val="-5"/>
          <w:sz w:val="20"/>
        </w:rPr>
        <w:t> </w:t>
      </w:r>
      <w:r>
        <w:rPr>
          <w:sz w:val="20"/>
        </w:rPr>
        <w:t>calves: US$/kg live-weight; 14). Regional price for culled cows US$/kg live-weight; 15) Regional price per litre of milk, average of wholesale and retail sales:</w:t>
      </w:r>
      <w:r>
        <w:rPr>
          <w:spacing w:val="-20"/>
          <w:sz w:val="20"/>
        </w:rPr>
        <w:t> </w:t>
      </w:r>
      <w:r>
        <w:rPr>
          <w:sz w:val="20"/>
        </w:rPr>
        <w:t>US$/litre.</w:t>
      </w:r>
    </w:p>
    <w:p>
      <w:pPr>
        <w:spacing w:after="0" w:line="360" w:lineRule="auto"/>
        <w:jc w:val="both"/>
        <w:rPr>
          <w:sz w:val="20"/>
        </w:rPr>
        <w:sectPr>
          <w:pgSz w:w="12240" w:h="15840"/>
          <w:pgMar w:header="0" w:footer="657" w:top="1360" w:bottom="840" w:left="1600" w:right="1580"/>
        </w:sectPr>
      </w:pPr>
    </w:p>
    <w:p>
      <w:pPr>
        <w:pStyle w:val="Heading1"/>
        <w:ind w:left="171"/>
        <w:jc w:val="left"/>
      </w:pPr>
      <w:r>
        <w:rPr/>
        <w:t>Table 2</w:t>
      </w:r>
    </w:p>
    <w:p>
      <w:pPr>
        <w:pStyle w:val="BodyText"/>
        <w:spacing w:before="135"/>
        <w:ind w:left="171"/>
      </w:pPr>
      <w:r>
        <w:rPr/>
        <w:t>Projection of the main economic indicators (thousand US$)</w:t>
      </w:r>
    </w:p>
    <w:p>
      <w:pPr>
        <w:pStyle w:val="BodyText"/>
        <w:spacing w:before="1"/>
        <w:rPr>
          <w:sz w:val="13"/>
        </w:rPr>
      </w:pP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882"/>
        <w:gridCol w:w="1073"/>
        <w:gridCol w:w="855"/>
        <w:gridCol w:w="856"/>
        <w:gridCol w:w="857"/>
        <w:gridCol w:w="856"/>
        <w:gridCol w:w="856"/>
        <w:gridCol w:w="899"/>
        <w:gridCol w:w="898"/>
        <w:gridCol w:w="810"/>
      </w:tblGrid>
      <w:tr>
        <w:trPr>
          <w:trHeight w:val="461" w:hRule="exact"/>
        </w:trPr>
        <w:tc>
          <w:tcPr>
            <w:tcW w:w="882" w:type="dxa"/>
            <w:tcBorders>
              <w:left w:val="nil"/>
              <w:right w:val="nil"/>
            </w:tcBorders>
          </w:tcPr>
          <w:p>
            <w:pPr>
              <w:pStyle w:val="TableParagraph"/>
              <w:spacing w:before="10"/>
              <w:ind w:left="69"/>
              <w:jc w:val="left"/>
              <w:rPr>
                <w:sz w:val="24"/>
              </w:rPr>
            </w:pPr>
            <w:r>
              <w:rPr>
                <w:sz w:val="24"/>
              </w:rPr>
              <w:t>Item</w:t>
            </w:r>
          </w:p>
        </w:tc>
        <w:tc>
          <w:tcPr>
            <w:tcW w:w="1073" w:type="dxa"/>
            <w:tcBorders>
              <w:left w:val="nil"/>
              <w:right w:val="nil"/>
            </w:tcBorders>
          </w:tcPr>
          <w:p>
            <w:pPr>
              <w:pStyle w:val="TableParagraph"/>
              <w:spacing w:before="10"/>
              <w:ind w:right="155"/>
              <w:rPr>
                <w:sz w:val="24"/>
              </w:rPr>
            </w:pPr>
            <w:r>
              <w:rPr>
                <w:sz w:val="24"/>
              </w:rPr>
              <w:t>2010</w:t>
            </w:r>
          </w:p>
        </w:tc>
        <w:tc>
          <w:tcPr>
            <w:tcW w:w="855" w:type="dxa"/>
            <w:tcBorders>
              <w:left w:val="nil"/>
              <w:right w:val="nil"/>
            </w:tcBorders>
          </w:tcPr>
          <w:p>
            <w:pPr>
              <w:pStyle w:val="TableParagraph"/>
              <w:spacing w:before="10"/>
              <w:ind w:left="137" w:right="77"/>
              <w:jc w:val="center"/>
              <w:rPr>
                <w:sz w:val="24"/>
              </w:rPr>
            </w:pPr>
            <w:r>
              <w:rPr>
                <w:sz w:val="24"/>
              </w:rPr>
              <w:t>2011</w:t>
            </w:r>
          </w:p>
        </w:tc>
        <w:tc>
          <w:tcPr>
            <w:tcW w:w="856" w:type="dxa"/>
            <w:tcBorders>
              <w:left w:val="nil"/>
              <w:right w:val="nil"/>
            </w:tcBorders>
          </w:tcPr>
          <w:p>
            <w:pPr>
              <w:pStyle w:val="TableParagraph"/>
              <w:spacing w:before="10"/>
              <w:ind w:left="137" w:right="79"/>
              <w:jc w:val="center"/>
              <w:rPr>
                <w:sz w:val="24"/>
              </w:rPr>
            </w:pPr>
            <w:r>
              <w:rPr>
                <w:sz w:val="24"/>
              </w:rPr>
              <w:t>2012</w:t>
            </w:r>
          </w:p>
        </w:tc>
        <w:tc>
          <w:tcPr>
            <w:tcW w:w="857" w:type="dxa"/>
            <w:tcBorders>
              <w:left w:val="nil"/>
              <w:right w:val="nil"/>
            </w:tcBorders>
          </w:tcPr>
          <w:p>
            <w:pPr>
              <w:pStyle w:val="TableParagraph"/>
              <w:spacing w:before="10"/>
              <w:ind w:right="156"/>
              <w:rPr>
                <w:sz w:val="24"/>
              </w:rPr>
            </w:pPr>
            <w:r>
              <w:rPr>
                <w:sz w:val="24"/>
              </w:rPr>
              <w:t>2013</w:t>
            </w:r>
          </w:p>
        </w:tc>
        <w:tc>
          <w:tcPr>
            <w:tcW w:w="856" w:type="dxa"/>
            <w:tcBorders>
              <w:left w:val="nil"/>
              <w:right w:val="nil"/>
            </w:tcBorders>
          </w:tcPr>
          <w:p>
            <w:pPr>
              <w:pStyle w:val="TableParagraph"/>
              <w:spacing w:before="10"/>
              <w:ind w:left="138" w:right="77"/>
              <w:jc w:val="center"/>
              <w:rPr>
                <w:sz w:val="24"/>
              </w:rPr>
            </w:pPr>
            <w:r>
              <w:rPr>
                <w:sz w:val="24"/>
              </w:rPr>
              <w:t>2014</w:t>
            </w:r>
          </w:p>
        </w:tc>
        <w:tc>
          <w:tcPr>
            <w:tcW w:w="856" w:type="dxa"/>
            <w:tcBorders>
              <w:left w:val="nil"/>
              <w:right w:val="nil"/>
            </w:tcBorders>
          </w:tcPr>
          <w:p>
            <w:pPr>
              <w:pStyle w:val="TableParagraph"/>
              <w:spacing w:before="10"/>
              <w:ind w:right="156"/>
              <w:rPr>
                <w:sz w:val="24"/>
              </w:rPr>
            </w:pPr>
            <w:r>
              <w:rPr>
                <w:sz w:val="24"/>
              </w:rPr>
              <w:t>2015</w:t>
            </w:r>
          </w:p>
        </w:tc>
        <w:tc>
          <w:tcPr>
            <w:tcW w:w="899" w:type="dxa"/>
            <w:tcBorders>
              <w:left w:val="nil"/>
              <w:right w:val="nil"/>
            </w:tcBorders>
          </w:tcPr>
          <w:p>
            <w:pPr>
              <w:pStyle w:val="TableParagraph"/>
              <w:spacing w:before="10"/>
              <w:ind w:left="179" w:right="80"/>
              <w:jc w:val="center"/>
              <w:rPr>
                <w:sz w:val="24"/>
              </w:rPr>
            </w:pPr>
            <w:r>
              <w:rPr>
                <w:sz w:val="24"/>
              </w:rPr>
              <w:t>2016</w:t>
            </w:r>
          </w:p>
        </w:tc>
        <w:tc>
          <w:tcPr>
            <w:tcW w:w="898" w:type="dxa"/>
            <w:tcBorders>
              <w:left w:val="nil"/>
              <w:right w:val="nil"/>
            </w:tcBorders>
          </w:tcPr>
          <w:p>
            <w:pPr>
              <w:pStyle w:val="TableParagraph"/>
              <w:spacing w:before="10"/>
              <w:ind w:right="155"/>
              <w:rPr>
                <w:sz w:val="24"/>
              </w:rPr>
            </w:pPr>
            <w:r>
              <w:rPr>
                <w:sz w:val="24"/>
              </w:rPr>
              <w:t>2017</w:t>
            </w:r>
          </w:p>
        </w:tc>
        <w:tc>
          <w:tcPr>
            <w:tcW w:w="810" w:type="dxa"/>
            <w:tcBorders>
              <w:left w:val="nil"/>
              <w:right w:val="nil"/>
            </w:tcBorders>
          </w:tcPr>
          <w:p>
            <w:pPr>
              <w:pStyle w:val="TableParagraph"/>
              <w:spacing w:before="10"/>
              <w:ind w:right="71"/>
              <w:rPr>
                <w:sz w:val="24"/>
              </w:rPr>
            </w:pPr>
            <w:r>
              <w:rPr>
                <w:sz w:val="24"/>
              </w:rPr>
              <w:t>2018</w:t>
            </w:r>
          </w:p>
        </w:tc>
      </w:tr>
      <w:tr>
        <w:trPr>
          <w:trHeight w:val="363" w:hRule="exact"/>
        </w:trPr>
        <w:tc>
          <w:tcPr>
            <w:tcW w:w="8841" w:type="dxa"/>
            <w:gridSpan w:val="10"/>
            <w:tcBorders>
              <w:top w:val="nil"/>
              <w:left w:val="nil"/>
              <w:bottom w:val="nil"/>
              <w:right w:val="nil"/>
            </w:tcBorders>
          </w:tcPr>
          <w:p>
            <w:pPr>
              <w:pStyle w:val="TableParagraph"/>
              <w:spacing w:before="34"/>
              <w:ind w:left="3982" w:right="3988"/>
              <w:jc w:val="center"/>
              <w:rPr>
                <w:b/>
                <w:sz w:val="24"/>
              </w:rPr>
            </w:pPr>
            <w:r>
              <w:rPr>
                <w:b/>
                <w:sz w:val="24"/>
              </w:rPr>
              <w:t>Model</w:t>
            </w:r>
            <w:r>
              <w:rPr>
                <w:b/>
                <w:spacing w:val="-3"/>
                <w:sz w:val="24"/>
              </w:rPr>
              <w:t> </w:t>
            </w:r>
            <w:r>
              <w:rPr>
                <w:b/>
                <w:sz w:val="24"/>
              </w:rPr>
              <w:t>1</w:t>
            </w:r>
          </w:p>
        </w:tc>
      </w:tr>
      <w:tr>
        <w:trPr>
          <w:trHeight w:val="412" w:hRule="exact"/>
        </w:trPr>
        <w:tc>
          <w:tcPr>
            <w:tcW w:w="882" w:type="dxa"/>
            <w:tcBorders>
              <w:top w:val="nil"/>
              <w:left w:val="nil"/>
              <w:bottom w:val="nil"/>
              <w:right w:val="nil"/>
            </w:tcBorders>
          </w:tcPr>
          <w:p>
            <w:pPr>
              <w:pStyle w:val="TableParagraph"/>
              <w:spacing w:before="65"/>
              <w:ind w:left="69"/>
              <w:jc w:val="left"/>
              <w:rPr>
                <w:sz w:val="16"/>
              </w:rPr>
            </w:pPr>
            <w:r>
              <w:rPr>
                <w:sz w:val="24"/>
              </w:rPr>
              <w:t>AV</w:t>
            </w:r>
            <w:r>
              <w:rPr>
                <w:position w:val="9"/>
                <w:sz w:val="16"/>
              </w:rPr>
              <w:t>ʺ</w:t>
            </w:r>
          </w:p>
        </w:tc>
        <w:tc>
          <w:tcPr>
            <w:tcW w:w="1073" w:type="dxa"/>
            <w:tcBorders>
              <w:top w:val="nil"/>
              <w:left w:val="nil"/>
              <w:bottom w:val="nil"/>
              <w:right w:val="nil"/>
            </w:tcBorders>
          </w:tcPr>
          <w:p>
            <w:pPr>
              <w:pStyle w:val="TableParagraph"/>
              <w:spacing w:before="81"/>
              <w:ind w:right="155"/>
              <w:rPr>
                <w:sz w:val="24"/>
              </w:rPr>
            </w:pPr>
            <w:r>
              <w:rPr>
                <w:sz w:val="24"/>
              </w:rPr>
              <w:t>61.84</w:t>
            </w:r>
          </w:p>
        </w:tc>
        <w:tc>
          <w:tcPr>
            <w:tcW w:w="855" w:type="dxa"/>
            <w:tcBorders>
              <w:top w:val="nil"/>
              <w:left w:val="nil"/>
              <w:bottom w:val="nil"/>
              <w:right w:val="nil"/>
            </w:tcBorders>
          </w:tcPr>
          <w:p>
            <w:pPr>
              <w:pStyle w:val="TableParagraph"/>
              <w:spacing w:before="81"/>
              <w:ind w:left="137" w:right="137"/>
              <w:jc w:val="center"/>
              <w:rPr>
                <w:sz w:val="24"/>
              </w:rPr>
            </w:pPr>
            <w:r>
              <w:rPr>
                <w:sz w:val="24"/>
              </w:rPr>
              <w:t>64.33</w:t>
            </w:r>
          </w:p>
        </w:tc>
        <w:tc>
          <w:tcPr>
            <w:tcW w:w="856" w:type="dxa"/>
            <w:tcBorders>
              <w:top w:val="nil"/>
              <w:left w:val="nil"/>
              <w:bottom w:val="nil"/>
              <w:right w:val="nil"/>
            </w:tcBorders>
          </w:tcPr>
          <w:p>
            <w:pPr>
              <w:pStyle w:val="TableParagraph"/>
              <w:spacing w:before="81"/>
              <w:ind w:left="137" w:right="138"/>
              <w:jc w:val="center"/>
              <w:rPr>
                <w:sz w:val="24"/>
              </w:rPr>
            </w:pPr>
            <w:r>
              <w:rPr>
                <w:sz w:val="24"/>
              </w:rPr>
              <w:t>66.55</w:t>
            </w:r>
          </w:p>
        </w:tc>
        <w:tc>
          <w:tcPr>
            <w:tcW w:w="857" w:type="dxa"/>
            <w:tcBorders>
              <w:top w:val="nil"/>
              <w:left w:val="nil"/>
              <w:bottom w:val="nil"/>
              <w:right w:val="nil"/>
            </w:tcBorders>
          </w:tcPr>
          <w:p>
            <w:pPr>
              <w:pStyle w:val="TableParagraph"/>
              <w:spacing w:before="81"/>
              <w:ind w:right="156"/>
              <w:rPr>
                <w:sz w:val="24"/>
              </w:rPr>
            </w:pPr>
            <w:r>
              <w:rPr>
                <w:sz w:val="24"/>
              </w:rPr>
              <w:t>68.43</w:t>
            </w:r>
          </w:p>
        </w:tc>
        <w:tc>
          <w:tcPr>
            <w:tcW w:w="856" w:type="dxa"/>
            <w:tcBorders>
              <w:top w:val="nil"/>
              <w:left w:val="nil"/>
              <w:bottom w:val="nil"/>
              <w:right w:val="nil"/>
            </w:tcBorders>
          </w:tcPr>
          <w:p>
            <w:pPr>
              <w:pStyle w:val="TableParagraph"/>
              <w:spacing w:before="81"/>
              <w:ind w:left="137" w:right="137"/>
              <w:jc w:val="center"/>
              <w:rPr>
                <w:sz w:val="24"/>
              </w:rPr>
            </w:pPr>
            <w:r>
              <w:rPr>
                <w:sz w:val="24"/>
              </w:rPr>
              <w:t>70.32</w:t>
            </w:r>
          </w:p>
        </w:tc>
        <w:tc>
          <w:tcPr>
            <w:tcW w:w="856" w:type="dxa"/>
            <w:tcBorders>
              <w:top w:val="nil"/>
              <w:left w:val="nil"/>
              <w:bottom w:val="nil"/>
              <w:right w:val="nil"/>
            </w:tcBorders>
          </w:tcPr>
          <w:p>
            <w:pPr>
              <w:pStyle w:val="TableParagraph"/>
              <w:spacing w:before="81"/>
              <w:ind w:right="156"/>
              <w:rPr>
                <w:sz w:val="24"/>
              </w:rPr>
            </w:pPr>
            <w:r>
              <w:rPr>
                <w:sz w:val="24"/>
              </w:rPr>
              <w:t>72.13</w:t>
            </w:r>
          </w:p>
        </w:tc>
        <w:tc>
          <w:tcPr>
            <w:tcW w:w="899" w:type="dxa"/>
            <w:tcBorders>
              <w:top w:val="nil"/>
              <w:left w:val="nil"/>
              <w:bottom w:val="nil"/>
              <w:right w:val="nil"/>
            </w:tcBorders>
          </w:tcPr>
          <w:p>
            <w:pPr>
              <w:pStyle w:val="TableParagraph"/>
              <w:spacing w:before="81"/>
              <w:ind w:left="179" w:right="140"/>
              <w:jc w:val="center"/>
              <w:rPr>
                <w:sz w:val="24"/>
              </w:rPr>
            </w:pPr>
            <w:r>
              <w:rPr>
                <w:sz w:val="24"/>
              </w:rPr>
              <w:t>74.07</w:t>
            </w:r>
          </w:p>
        </w:tc>
        <w:tc>
          <w:tcPr>
            <w:tcW w:w="898" w:type="dxa"/>
            <w:tcBorders>
              <w:top w:val="nil"/>
              <w:left w:val="nil"/>
              <w:bottom w:val="nil"/>
              <w:right w:val="nil"/>
            </w:tcBorders>
          </w:tcPr>
          <w:p>
            <w:pPr>
              <w:pStyle w:val="TableParagraph"/>
              <w:spacing w:before="81"/>
              <w:ind w:right="155"/>
              <w:rPr>
                <w:sz w:val="24"/>
              </w:rPr>
            </w:pPr>
            <w:r>
              <w:rPr>
                <w:sz w:val="24"/>
              </w:rPr>
              <w:t>76.09</w:t>
            </w:r>
          </w:p>
        </w:tc>
        <w:tc>
          <w:tcPr>
            <w:tcW w:w="810" w:type="dxa"/>
            <w:tcBorders>
              <w:top w:val="nil"/>
              <w:left w:val="nil"/>
              <w:bottom w:val="nil"/>
              <w:right w:val="nil"/>
            </w:tcBorders>
          </w:tcPr>
          <w:p>
            <w:pPr>
              <w:pStyle w:val="TableParagraph"/>
              <w:spacing w:before="81"/>
              <w:ind w:right="71"/>
              <w:rPr>
                <w:sz w:val="24"/>
              </w:rPr>
            </w:pPr>
            <w:r>
              <w:rPr>
                <w:sz w:val="24"/>
              </w:rPr>
              <w:t>78.22</w:t>
            </w:r>
          </w:p>
        </w:tc>
      </w:tr>
      <w:tr>
        <w:trPr>
          <w:trHeight w:val="414" w:hRule="exact"/>
        </w:trPr>
        <w:tc>
          <w:tcPr>
            <w:tcW w:w="882" w:type="dxa"/>
            <w:tcBorders>
              <w:top w:val="nil"/>
              <w:left w:val="nil"/>
              <w:bottom w:val="nil"/>
              <w:right w:val="nil"/>
            </w:tcBorders>
          </w:tcPr>
          <w:p>
            <w:pPr>
              <w:pStyle w:val="TableParagraph"/>
              <w:spacing w:before="67"/>
              <w:ind w:left="69"/>
              <w:jc w:val="left"/>
              <w:rPr>
                <w:sz w:val="16"/>
                <w:szCs w:val="16"/>
              </w:rPr>
            </w:pPr>
            <w:r>
              <w:rPr>
                <w:sz w:val="24"/>
                <w:szCs w:val="24"/>
              </w:rPr>
              <w:t>TI</w:t>
            </w:r>
            <w:r>
              <w:rPr>
                <w:position w:val="9"/>
                <w:sz w:val="16"/>
                <w:szCs w:val="16"/>
              </w:rPr>
              <w:t>ϐ</w:t>
            </w:r>
          </w:p>
        </w:tc>
        <w:tc>
          <w:tcPr>
            <w:tcW w:w="1073" w:type="dxa"/>
            <w:tcBorders>
              <w:top w:val="nil"/>
              <w:left w:val="nil"/>
              <w:bottom w:val="nil"/>
              <w:right w:val="nil"/>
            </w:tcBorders>
          </w:tcPr>
          <w:p>
            <w:pPr>
              <w:pStyle w:val="TableParagraph"/>
              <w:spacing w:before="82"/>
              <w:ind w:right="155"/>
              <w:rPr>
                <w:sz w:val="24"/>
              </w:rPr>
            </w:pPr>
            <w:r>
              <w:rPr>
                <w:sz w:val="24"/>
              </w:rPr>
              <w:t>19.26</w:t>
            </w:r>
          </w:p>
        </w:tc>
        <w:tc>
          <w:tcPr>
            <w:tcW w:w="855" w:type="dxa"/>
            <w:tcBorders>
              <w:top w:val="nil"/>
              <w:left w:val="nil"/>
              <w:bottom w:val="nil"/>
              <w:right w:val="nil"/>
            </w:tcBorders>
          </w:tcPr>
          <w:p>
            <w:pPr>
              <w:pStyle w:val="TableParagraph"/>
              <w:spacing w:before="82"/>
              <w:ind w:left="137" w:right="137"/>
              <w:jc w:val="center"/>
              <w:rPr>
                <w:sz w:val="24"/>
              </w:rPr>
            </w:pPr>
            <w:r>
              <w:rPr>
                <w:sz w:val="24"/>
              </w:rPr>
              <w:t>19.07</w:t>
            </w:r>
          </w:p>
        </w:tc>
        <w:tc>
          <w:tcPr>
            <w:tcW w:w="856" w:type="dxa"/>
            <w:tcBorders>
              <w:top w:val="nil"/>
              <w:left w:val="nil"/>
              <w:bottom w:val="nil"/>
              <w:right w:val="nil"/>
            </w:tcBorders>
          </w:tcPr>
          <w:p>
            <w:pPr>
              <w:pStyle w:val="TableParagraph"/>
              <w:spacing w:before="82"/>
              <w:ind w:left="137" w:right="138"/>
              <w:jc w:val="center"/>
              <w:rPr>
                <w:sz w:val="24"/>
              </w:rPr>
            </w:pPr>
            <w:r>
              <w:rPr>
                <w:sz w:val="24"/>
              </w:rPr>
              <w:t>20.10</w:t>
            </w:r>
          </w:p>
        </w:tc>
        <w:tc>
          <w:tcPr>
            <w:tcW w:w="857" w:type="dxa"/>
            <w:tcBorders>
              <w:top w:val="nil"/>
              <w:left w:val="nil"/>
              <w:bottom w:val="nil"/>
              <w:right w:val="nil"/>
            </w:tcBorders>
          </w:tcPr>
          <w:p>
            <w:pPr>
              <w:pStyle w:val="TableParagraph"/>
              <w:spacing w:before="82"/>
              <w:ind w:right="156"/>
              <w:rPr>
                <w:sz w:val="24"/>
              </w:rPr>
            </w:pPr>
            <w:r>
              <w:rPr>
                <w:sz w:val="24"/>
              </w:rPr>
              <w:t>21.31</w:t>
            </w:r>
          </w:p>
        </w:tc>
        <w:tc>
          <w:tcPr>
            <w:tcW w:w="856" w:type="dxa"/>
            <w:tcBorders>
              <w:top w:val="nil"/>
              <w:left w:val="nil"/>
              <w:bottom w:val="nil"/>
              <w:right w:val="nil"/>
            </w:tcBorders>
          </w:tcPr>
          <w:p>
            <w:pPr>
              <w:pStyle w:val="TableParagraph"/>
              <w:spacing w:before="82"/>
              <w:ind w:left="137" w:right="137"/>
              <w:jc w:val="center"/>
              <w:rPr>
                <w:sz w:val="24"/>
              </w:rPr>
            </w:pPr>
            <w:r>
              <w:rPr>
                <w:sz w:val="24"/>
              </w:rPr>
              <w:t>20.91</w:t>
            </w:r>
          </w:p>
        </w:tc>
        <w:tc>
          <w:tcPr>
            <w:tcW w:w="856" w:type="dxa"/>
            <w:tcBorders>
              <w:top w:val="nil"/>
              <w:left w:val="nil"/>
              <w:bottom w:val="nil"/>
              <w:right w:val="nil"/>
            </w:tcBorders>
          </w:tcPr>
          <w:p>
            <w:pPr>
              <w:pStyle w:val="TableParagraph"/>
              <w:spacing w:before="82"/>
              <w:ind w:right="156"/>
              <w:rPr>
                <w:sz w:val="24"/>
              </w:rPr>
            </w:pPr>
            <w:r>
              <w:rPr>
                <w:sz w:val="24"/>
              </w:rPr>
              <w:t>21.47</w:t>
            </w:r>
          </w:p>
        </w:tc>
        <w:tc>
          <w:tcPr>
            <w:tcW w:w="899" w:type="dxa"/>
            <w:tcBorders>
              <w:top w:val="nil"/>
              <w:left w:val="nil"/>
              <w:bottom w:val="nil"/>
              <w:right w:val="nil"/>
            </w:tcBorders>
          </w:tcPr>
          <w:p>
            <w:pPr>
              <w:pStyle w:val="TableParagraph"/>
              <w:spacing w:before="82"/>
              <w:ind w:left="179" w:right="140"/>
              <w:jc w:val="center"/>
              <w:rPr>
                <w:sz w:val="24"/>
              </w:rPr>
            </w:pPr>
            <w:r>
              <w:rPr>
                <w:sz w:val="24"/>
              </w:rPr>
              <w:t>21.78</w:t>
            </w:r>
          </w:p>
        </w:tc>
        <w:tc>
          <w:tcPr>
            <w:tcW w:w="898" w:type="dxa"/>
            <w:tcBorders>
              <w:top w:val="nil"/>
              <w:left w:val="nil"/>
              <w:bottom w:val="nil"/>
              <w:right w:val="nil"/>
            </w:tcBorders>
          </w:tcPr>
          <w:p>
            <w:pPr>
              <w:pStyle w:val="TableParagraph"/>
              <w:spacing w:before="82"/>
              <w:ind w:right="155"/>
              <w:rPr>
                <w:sz w:val="24"/>
              </w:rPr>
            </w:pPr>
            <w:r>
              <w:rPr>
                <w:sz w:val="24"/>
              </w:rPr>
              <w:t>22.98</w:t>
            </w:r>
          </w:p>
        </w:tc>
        <w:tc>
          <w:tcPr>
            <w:tcW w:w="810" w:type="dxa"/>
            <w:tcBorders>
              <w:top w:val="nil"/>
              <w:left w:val="nil"/>
              <w:bottom w:val="nil"/>
              <w:right w:val="nil"/>
            </w:tcBorders>
          </w:tcPr>
          <w:p>
            <w:pPr>
              <w:pStyle w:val="TableParagraph"/>
              <w:spacing w:before="82"/>
              <w:ind w:right="71"/>
              <w:rPr>
                <w:sz w:val="24"/>
              </w:rPr>
            </w:pPr>
            <w:r>
              <w:rPr>
                <w:sz w:val="24"/>
              </w:rPr>
              <w:t>23.44</w:t>
            </w:r>
          </w:p>
        </w:tc>
      </w:tr>
      <w:tr>
        <w:trPr>
          <w:trHeight w:val="414" w:hRule="exact"/>
        </w:trPr>
        <w:tc>
          <w:tcPr>
            <w:tcW w:w="882" w:type="dxa"/>
            <w:tcBorders>
              <w:top w:val="nil"/>
              <w:left w:val="nil"/>
              <w:bottom w:val="nil"/>
              <w:right w:val="nil"/>
            </w:tcBorders>
          </w:tcPr>
          <w:p>
            <w:pPr>
              <w:pStyle w:val="TableParagraph"/>
              <w:spacing w:before="68"/>
              <w:ind w:left="69"/>
              <w:jc w:val="left"/>
              <w:rPr>
                <w:sz w:val="16"/>
                <w:szCs w:val="16"/>
              </w:rPr>
            </w:pPr>
            <w:r>
              <w:rPr>
                <w:sz w:val="24"/>
                <w:szCs w:val="24"/>
              </w:rPr>
              <w:t>TC</w:t>
            </w:r>
            <w:r>
              <w:rPr>
                <w:position w:val="9"/>
                <w:sz w:val="16"/>
                <w:szCs w:val="16"/>
                <w:rtl/>
              </w:rPr>
              <w:t>٩</w:t>
            </w:r>
          </w:p>
        </w:tc>
        <w:tc>
          <w:tcPr>
            <w:tcW w:w="1073" w:type="dxa"/>
            <w:tcBorders>
              <w:top w:val="nil"/>
              <w:left w:val="nil"/>
              <w:bottom w:val="nil"/>
              <w:right w:val="nil"/>
            </w:tcBorders>
          </w:tcPr>
          <w:p>
            <w:pPr>
              <w:pStyle w:val="TableParagraph"/>
              <w:spacing w:before="83"/>
              <w:ind w:right="155"/>
              <w:rPr>
                <w:sz w:val="24"/>
              </w:rPr>
            </w:pPr>
            <w:r>
              <w:rPr>
                <w:sz w:val="24"/>
              </w:rPr>
              <w:t>10.32</w:t>
            </w:r>
          </w:p>
        </w:tc>
        <w:tc>
          <w:tcPr>
            <w:tcW w:w="855" w:type="dxa"/>
            <w:tcBorders>
              <w:top w:val="nil"/>
              <w:left w:val="nil"/>
              <w:bottom w:val="nil"/>
              <w:right w:val="nil"/>
            </w:tcBorders>
          </w:tcPr>
          <w:p>
            <w:pPr>
              <w:pStyle w:val="TableParagraph"/>
              <w:spacing w:before="83"/>
              <w:ind w:left="137" w:right="137"/>
              <w:jc w:val="center"/>
              <w:rPr>
                <w:sz w:val="24"/>
              </w:rPr>
            </w:pPr>
            <w:r>
              <w:rPr>
                <w:sz w:val="24"/>
              </w:rPr>
              <w:t>10.60</w:t>
            </w:r>
          </w:p>
        </w:tc>
        <w:tc>
          <w:tcPr>
            <w:tcW w:w="856" w:type="dxa"/>
            <w:tcBorders>
              <w:top w:val="nil"/>
              <w:left w:val="nil"/>
              <w:bottom w:val="nil"/>
              <w:right w:val="nil"/>
            </w:tcBorders>
          </w:tcPr>
          <w:p>
            <w:pPr>
              <w:pStyle w:val="TableParagraph"/>
              <w:spacing w:before="83"/>
              <w:ind w:left="137" w:right="138"/>
              <w:jc w:val="center"/>
              <w:rPr>
                <w:sz w:val="24"/>
              </w:rPr>
            </w:pPr>
            <w:r>
              <w:rPr>
                <w:sz w:val="24"/>
              </w:rPr>
              <w:t>11.09</w:t>
            </w:r>
          </w:p>
        </w:tc>
        <w:tc>
          <w:tcPr>
            <w:tcW w:w="857" w:type="dxa"/>
            <w:tcBorders>
              <w:top w:val="nil"/>
              <w:left w:val="nil"/>
              <w:bottom w:val="nil"/>
              <w:right w:val="nil"/>
            </w:tcBorders>
          </w:tcPr>
          <w:p>
            <w:pPr>
              <w:pStyle w:val="TableParagraph"/>
              <w:spacing w:before="83"/>
              <w:ind w:right="156"/>
              <w:rPr>
                <w:sz w:val="24"/>
              </w:rPr>
            </w:pPr>
            <w:r>
              <w:rPr>
                <w:sz w:val="24"/>
              </w:rPr>
              <w:t>11.42</w:t>
            </w:r>
          </w:p>
        </w:tc>
        <w:tc>
          <w:tcPr>
            <w:tcW w:w="856" w:type="dxa"/>
            <w:tcBorders>
              <w:top w:val="nil"/>
              <w:left w:val="nil"/>
              <w:bottom w:val="nil"/>
              <w:right w:val="nil"/>
            </w:tcBorders>
          </w:tcPr>
          <w:p>
            <w:pPr>
              <w:pStyle w:val="TableParagraph"/>
              <w:spacing w:before="83"/>
              <w:ind w:left="137" w:right="137"/>
              <w:jc w:val="center"/>
              <w:rPr>
                <w:sz w:val="24"/>
              </w:rPr>
            </w:pPr>
            <w:r>
              <w:rPr>
                <w:sz w:val="24"/>
              </w:rPr>
              <w:t>11.76</w:t>
            </w:r>
          </w:p>
        </w:tc>
        <w:tc>
          <w:tcPr>
            <w:tcW w:w="856" w:type="dxa"/>
            <w:tcBorders>
              <w:top w:val="nil"/>
              <w:left w:val="nil"/>
              <w:bottom w:val="nil"/>
              <w:right w:val="nil"/>
            </w:tcBorders>
          </w:tcPr>
          <w:p>
            <w:pPr>
              <w:pStyle w:val="TableParagraph"/>
              <w:spacing w:before="83"/>
              <w:ind w:right="156"/>
              <w:rPr>
                <w:sz w:val="24"/>
              </w:rPr>
            </w:pPr>
            <w:r>
              <w:rPr>
                <w:sz w:val="24"/>
              </w:rPr>
              <w:t>11.89</w:t>
            </w:r>
          </w:p>
        </w:tc>
        <w:tc>
          <w:tcPr>
            <w:tcW w:w="899" w:type="dxa"/>
            <w:tcBorders>
              <w:top w:val="nil"/>
              <w:left w:val="nil"/>
              <w:bottom w:val="nil"/>
              <w:right w:val="nil"/>
            </w:tcBorders>
          </w:tcPr>
          <w:p>
            <w:pPr>
              <w:pStyle w:val="TableParagraph"/>
              <w:spacing w:before="83"/>
              <w:ind w:left="179" w:right="140"/>
              <w:jc w:val="center"/>
              <w:rPr>
                <w:sz w:val="24"/>
              </w:rPr>
            </w:pPr>
            <w:r>
              <w:rPr>
                <w:sz w:val="24"/>
              </w:rPr>
              <w:t>12.36</w:t>
            </w:r>
          </w:p>
        </w:tc>
        <w:tc>
          <w:tcPr>
            <w:tcW w:w="898" w:type="dxa"/>
            <w:tcBorders>
              <w:top w:val="nil"/>
              <w:left w:val="nil"/>
              <w:bottom w:val="nil"/>
              <w:right w:val="nil"/>
            </w:tcBorders>
          </w:tcPr>
          <w:p>
            <w:pPr>
              <w:pStyle w:val="TableParagraph"/>
              <w:spacing w:before="83"/>
              <w:ind w:right="155"/>
              <w:rPr>
                <w:sz w:val="24"/>
              </w:rPr>
            </w:pPr>
            <w:r>
              <w:rPr>
                <w:sz w:val="24"/>
              </w:rPr>
              <w:t>12.72</w:t>
            </w:r>
          </w:p>
        </w:tc>
        <w:tc>
          <w:tcPr>
            <w:tcW w:w="810" w:type="dxa"/>
            <w:tcBorders>
              <w:top w:val="nil"/>
              <w:left w:val="nil"/>
              <w:bottom w:val="nil"/>
              <w:right w:val="nil"/>
            </w:tcBorders>
          </w:tcPr>
          <w:p>
            <w:pPr>
              <w:pStyle w:val="TableParagraph"/>
              <w:spacing w:before="83"/>
              <w:ind w:right="71"/>
              <w:rPr>
                <w:sz w:val="24"/>
              </w:rPr>
            </w:pPr>
            <w:r>
              <w:rPr>
                <w:sz w:val="24"/>
              </w:rPr>
              <w:t>12.93</w:t>
            </w:r>
          </w:p>
        </w:tc>
      </w:tr>
      <w:tr>
        <w:trPr>
          <w:trHeight w:val="340" w:hRule="exact"/>
        </w:trPr>
        <w:tc>
          <w:tcPr>
            <w:tcW w:w="882" w:type="dxa"/>
            <w:tcBorders>
              <w:top w:val="nil"/>
              <w:left w:val="nil"/>
              <w:bottom w:val="nil"/>
              <w:right w:val="nil"/>
            </w:tcBorders>
          </w:tcPr>
          <w:p>
            <w:pPr>
              <w:pStyle w:val="TableParagraph"/>
              <w:spacing w:before="67"/>
              <w:ind w:left="69"/>
              <w:jc w:val="left"/>
              <w:rPr>
                <w:sz w:val="16"/>
                <w:szCs w:val="16"/>
              </w:rPr>
            </w:pPr>
            <w:r>
              <w:rPr>
                <w:sz w:val="24"/>
                <w:szCs w:val="24"/>
              </w:rPr>
              <w:t>NI</w:t>
            </w:r>
            <w:r>
              <w:rPr>
                <w:position w:val="9"/>
                <w:sz w:val="16"/>
                <w:szCs w:val="16"/>
                <w:rtl/>
              </w:rPr>
              <w:t>ۅ</w:t>
            </w:r>
          </w:p>
        </w:tc>
        <w:tc>
          <w:tcPr>
            <w:tcW w:w="1073" w:type="dxa"/>
            <w:tcBorders>
              <w:top w:val="nil"/>
              <w:left w:val="nil"/>
              <w:bottom w:val="nil"/>
              <w:right w:val="nil"/>
            </w:tcBorders>
          </w:tcPr>
          <w:p>
            <w:pPr>
              <w:pStyle w:val="TableParagraph"/>
              <w:spacing w:before="82"/>
              <w:ind w:right="155"/>
              <w:rPr>
                <w:sz w:val="24"/>
              </w:rPr>
            </w:pPr>
            <w:r>
              <w:rPr>
                <w:sz w:val="24"/>
              </w:rPr>
              <w:t>8.94</w:t>
            </w:r>
          </w:p>
        </w:tc>
        <w:tc>
          <w:tcPr>
            <w:tcW w:w="855" w:type="dxa"/>
            <w:tcBorders>
              <w:top w:val="nil"/>
              <w:left w:val="nil"/>
              <w:bottom w:val="nil"/>
              <w:right w:val="nil"/>
            </w:tcBorders>
          </w:tcPr>
          <w:p>
            <w:pPr>
              <w:pStyle w:val="TableParagraph"/>
              <w:spacing w:before="82"/>
              <w:ind w:left="137" w:right="17"/>
              <w:jc w:val="center"/>
              <w:rPr>
                <w:sz w:val="24"/>
              </w:rPr>
            </w:pPr>
            <w:r>
              <w:rPr>
                <w:sz w:val="24"/>
              </w:rPr>
              <w:t>8.47</w:t>
            </w:r>
          </w:p>
        </w:tc>
        <w:tc>
          <w:tcPr>
            <w:tcW w:w="856" w:type="dxa"/>
            <w:tcBorders>
              <w:top w:val="nil"/>
              <w:left w:val="nil"/>
              <w:bottom w:val="nil"/>
              <w:right w:val="nil"/>
            </w:tcBorders>
          </w:tcPr>
          <w:p>
            <w:pPr>
              <w:pStyle w:val="TableParagraph"/>
              <w:spacing w:before="82"/>
              <w:ind w:left="137" w:right="19"/>
              <w:jc w:val="center"/>
              <w:rPr>
                <w:sz w:val="24"/>
              </w:rPr>
            </w:pPr>
            <w:r>
              <w:rPr>
                <w:sz w:val="24"/>
              </w:rPr>
              <w:t>9.01</w:t>
            </w:r>
          </w:p>
        </w:tc>
        <w:tc>
          <w:tcPr>
            <w:tcW w:w="857" w:type="dxa"/>
            <w:tcBorders>
              <w:top w:val="nil"/>
              <w:left w:val="nil"/>
              <w:bottom w:val="nil"/>
              <w:right w:val="nil"/>
            </w:tcBorders>
          </w:tcPr>
          <w:p>
            <w:pPr>
              <w:pStyle w:val="TableParagraph"/>
              <w:spacing w:before="82"/>
              <w:ind w:right="156"/>
              <w:rPr>
                <w:sz w:val="24"/>
              </w:rPr>
            </w:pPr>
            <w:r>
              <w:rPr>
                <w:sz w:val="24"/>
              </w:rPr>
              <w:t>9.88</w:t>
            </w:r>
          </w:p>
        </w:tc>
        <w:tc>
          <w:tcPr>
            <w:tcW w:w="856" w:type="dxa"/>
            <w:tcBorders>
              <w:top w:val="nil"/>
              <w:left w:val="nil"/>
              <w:bottom w:val="nil"/>
              <w:right w:val="nil"/>
            </w:tcBorders>
          </w:tcPr>
          <w:p>
            <w:pPr>
              <w:pStyle w:val="TableParagraph"/>
              <w:spacing w:before="82"/>
              <w:ind w:left="138" w:right="17"/>
              <w:jc w:val="center"/>
              <w:rPr>
                <w:sz w:val="24"/>
              </w:rPr>
            </w:pPr>
            <w:r>
              <w:rPr>
                <w:sz w:val="24"/>
              </w:rPr>
              <w:t>9.15</w:t>
            </w:r>
          </w:p>
        </w:tc>
        <w:tc>
          <w:tcPr>
            <w:tcW w:w="856" w:type="dxa"/>
            <w:tcBorders>
              <w:top w:val="nil"/>
              <w:left w:val="nil"/>
              <w:bottom w:val="nil"/>
              <w:right w:val="nil"/>
            </w:tcBorders>
          </w:tcPr>
          <w:p>
            <w:pPr>
              <w:pStyle w:val="TableParagraph"/>
              <w:spacing w:before="82"/>
              <w:ind w:right="156"/>
              <w:rPr>
                <w:sz w:val="24"/>
              </w:rPr>
            </w:pPr>
            <w:r>
              <w:rPr>
                <w:sz w:val="24"/>
              </w:rPr>
              <w:t>9.58</w:t>
            </w:r>
          </w:p>
        </w:tc>
        <w:tc>
          <w:tcPr>
            <w:tcW w:w="899" w:type="dxa"/>
            <w:tcBorders>
              <w:top w:val="nil"/>
              <w:left w:val="nil"/>
              <w:bottom w:val="nil"/>
              <w:right w:val="nil"/>
            </w:tcBorders>
          </w:tcPr>
          <w:p>
            <w:pPr>
              <w:pStyle w:val="TableParagraph"/>
              <w:spacing w:before="82"/>
              <w:ind w:left="179" w:right="20"/>
              <w:jc w:val="center"/>
              <w:rPr>
                <w:sz w:val="24"/>
              </w:rPr>
            </w:pPr>
            <w:r>
              <w:rPr>
                <w:sz w:val="24"/>
              </w:rPr>
              <w:t>9.42</w:t>
            </w:r>
          </w:p>
        </w:tc>
        <w:tc>
          <w:tcPr>
            <w:tcW w:w="898" w:type="dxa"/>
            <w:tcBorders>
              <w:top w:val="nil"/>
              <w:left w:val="nil"/>
              <w:bottom w:val="nil"/>
              <w:right w:val="nil"/>
            </w:tcBorders>
          </w:tcPr>
          <w:p>
            <w:pPr>
              <w:pStyle w:val="TableParagraph"/>
              <w:spacing w:before="82"/>
              <w:ind w:right="155"/>
              <w:rPr>
                <w:sz w:val="24"/>
              </w:rPr>
            </w:pPr>
            <w:r>
              <w:rPr>
                <w:sz w:val="24"/>
              </w:rPr>
              <w:t>10.26</w:t>
            </w:r>
          </w:p>
        </w:tc>
        <w:tc>
          <w:tcPr>
            <w:tcW w:w="810" w:type="dxa"/>
            <w:tcBorders>
              <w:top w:val="nil"/>
              <w:left w:val="nil"/>
              <w:bottom w:val="nil"/>
              <w:right w:val="nil"/>
            </w:tcBorders>
          </w:tcPr>
          <w:p>
            <w:pPr>
              <w:pStyle w:val="TableParagraph"/>
              <w:spacing w:before="82"/>
              <w:ind w:right="71"/>
              <w:rPr>
                <w:sz w:val="24"/>
              </w:rPr>
            </w:pPr>
            <w:r>
              <w:rPr>
                <w:sz w:val="24"/>
              </w:rPr>
              <w:t>10.51</w:t>
            </w:r>
          </w:p>
        </w:tc>
      </w:tr>
      <w:tr>
        <w:trPr>
          <w:trHeight w:val="505" w:hRule="exact"/>
        </w:trPr>
        <w:tc>
          <w:tcPr>
            <w:tcW w:w="8841" w:type="dxa"/>
            <w:gridSpan w:val="10"/>
            <w:tcBorders>
              <w:top w:val="nil"/>
              <w:left w:val="nil"/>
              <w:bottom w:val="nil"/>
              <w:right w:val="nil"/>
            </w:tcBorders>
          </w:tcPr>
          <w:p>
            <w:pPr>
              <w:pStyle w:val="TableParagraph"/>
              <w:spacing w:before="162"/>
              <w:ind w:left="3982" w:right="3988"/>
              <w:jc w:val="center"/>
              <w:rPr>
                <w:b/>
                <w:sz w:val="24"/>
              </w:rPr>
            </w:pPr>
            <w:r>
              <w:rPr>
                <w:b/>
                <w:sz w:val="24"/>
              </w:rPr>
              <w:t>Model</w:t>
            </w:r>
            <w:r>
              <w:rPr>
                <w:b/>
                <w:spacing w:val="-3"/>
                <w:sz w:val="24"/>
              </w:rPr>
              <w:t> </w:t>
            </w:r>
            <w:r>
              <w:rPr>
                <w:b/>
                <w:sz w:val="24"/>
              </w:rPr>
              <w:t>2</w:t>
            </w:r>
          </w:p>
        </w:tc>
      </w:tr>
      <w:tr>
        <w:trPr>
          <w:trHeight w:val="412" w:hRule="exact"/>
        </w:trPr>
        <w:tc>
          <w:tcPr>
            <w:tcW w:w="882" w:type="dxa"/>
            <w:tcBorders>
              <w:top w:val="nil"/>
              <w:left w:val="nil"/>
              <w:bottom w:val="nil"/>
              <w:right w:val="nil"/>
            </w:tcBorders>
          </w:tcPr>
          <w:p>
            <w:pPr>
              <w:pStyle w:val="TableParagraph"/>
              <w:spacing w:before="66"/>
              <w:ind w:left="69"/>
              <w:jc w:val="left"/>
              <w:rPr>
                <w:sz w:val="24"/>
              </w:rPr>
            </w:pPr>
            <w:r>
              <w:rPr>
                <w:sz w:val="24"/>
              </w:rPr>
              <w:t>AV</w:t>
            </w:r>
          </w:p>
        </w:tc>
        <w:tc>
          <w:tcPr>
            <w:tcW w:w="1073" w:type="dxa"/>
            <w:tcBorders>
              <w:top w:val="nil"/>
              <w:left w:val="nil"/>
              <w:bottom w:val="nil"/>
              <w:right w:val="nil"/>
            </w:tcBorders>
          </w:tcPr>
          <w:p>
            <w:pPr>
              <w:pStyle w:val="TableParagraph"/>
              <w:spacing w:before="66"/>
              <w:ind w:right="155"/>
              <w:rPr>
                <w:sz w:val="24"/>
              </w:rPr>
            </w:pPr>
            <w:r>
              <w:rPr>
                <w:sz w:val="24"/>
              </w:rPr>
              <w:t>61.84</w:t>
            </w:r>
          </w:p>
        </w:tc>
        <w:tc>
          <w:tcPr>
            <w:tcW w:w="855" w:type="dxa"/>
            <w:tcBorders>
              <w:top w:val="nil"/>
              <w:left w:val="nil"/>
              <w:bottom w:val="nil"/>
              <w:right w:val="nil"/>
            </w:tcBorders>
          </w:tcPr>
          <w:p>
            <w:pPr>
              <w:pStyle w:val="TableParagraph"/>
              <w:spacing w:before="66"/>
              <w:ind w:left="137" w:right="137"/>
              <w:jc w:val="center"/>
              <w:rPr>
                <w:sz w:val="24"/>
              </w:rPr>
            </w:pPr>
            <w:r>
              <w:rPr>
                <w:sz w:val="24"/>
              </w:rPr>
              <w:t>64.33</w:t>
            </w:r>
          </w:p>
        </w:tc>
        <w:tc>
          <w:tcPr>
            <w:tcW w:w="856" w:type="dxa"/>
            <w:tcBorders>
              <w:top w:val="nil"/>
              <w:left w:val="nil"/>
              <w:bottom w:val="nil"/>
              <w:right w:val="nil"/>
            </w:tcBorders>
          </w:tcPr>
          <w:p>
            <w:pPr>
              <w:pStyle w:val="TableParagraph"/>
              <w:spacing w:before="66"/>
              <w:ind w:left="137" w:right="138"/>
              <w:jc w:val="center"/>
              <w:rPr>
                <w:sz w:val="24"/>
              </w:rPr>
            </w:pPr>
            <w:r>
              <w:rPr>
                <w:sz w:val="24"/>
              </w:rPr>
              <w:t>66.55</w:t>
            </w:r>
          </w:p>
        </w:tc>
        <w:tc>
          <w:tcPr>
            <w:tcW w:w="857" w:type="dxa"/>
            <w:tcBorders>
              <w:top w:val="nil"/>
              <w:left w:val="nil"/>
              <w:bottom w:val="nil"/>
              <w:right w:val="nil"/>
            </w:tcBorders>
          </w:tcPr>
          <w:p>
            <w:pPr>
              <w:pStyle w:val="TableParagraph"/>
              <w:spacing w:before="66"/>
              <w:ind w:right="156"/>
              <w:rPr>
                <w:sz w:val="24"/>
              </w:rPr>
            </w:pPr>
            <w:r>
              <w:rPr>
                <w:sz w:val="24"/>
              </w:rPr>
              <w:t>68.43</w:t>
            </w:r>
          </w:p>
        </w:tc>
        <w:tc>
          <w:tcPr>
            <w:tcW w:w="856" w:type="dxa"/>
            <w:tcBorders>
              <w:top w:val="nil"/>
              <w:left w:val="nil"/>
              <w:bottom w:val="nil"/>
              <w:right w:val="nil"/>
            </w:tcBorders>
          </w:tcPr>
          <w:p>
            <w:pPr>
              <w:pStyle w:val="TableParagraph"/>
              <w:spacing w:before="66"/>
              <w:ind w:left="137" w:right="137"/>
              <w:jc w:val="center"/>
              <w:rPr>
                <w:sz w:val="24"/>
              </w:rPr>
            </w:pPr>
            <w:r>
              <w:rPr>
                <w:sz w:val="24"/>
              </w:rPr>
              <w:t>70.32</w:t>
            </w:r>
          </w:p>
        </w:tc>
        <w:tc>
          <w:tcPr>
            <w:tcW w:w="856" w:type="dxa"/>
            <w:tcBorders>
              <w:top w:val="nil"/>
              <w:left w:val="nil"/>
              <w:bottom w:val="nil"/>
              <w:right w:val="nil"/>
            </w:tcBorders>
          </w:tcPr>
          <w:p>
            <w:pPr>
              <w:pStyle w:val="TableParagraph"/>
              <w:spacing w:before="66"/>
              <w:ind w:right="156"/>
              <w:rPr>
                <w:sz w:val="24"/>
              </w:rPr>
            </w:pPr>
            <w:r>
              <w:rPr>
                <w:sz w:val="24"/>
              </w:rPr>
              <w:t>72.13</w:t>
            </w:r>
          </w:p>
        </w:tc>
        <w:tc>
          <w:tcPr>
            <w:tcW w:w="899" w:type="dxa"/>
            <w:tcBorders>
              <w:top w:val="nil"/>
              <w:left w:val="nil"/>
              <w:bottom w:val="nil"/>
              <w:right w:val="nil"/>
            </w:tcBorders>
          </w:tcPr>
          <w:p>
            <w:pPr>
              <w:pStyle w:val="TableParagraph"/>
              <w:spacing w:before="66"/>
              <w:ind w:left="179" w:right="140"/>
              <w:jc w:val="center"/>
              <w:rPr>
                <w:sz w:val="24"/>
              </w:rPr>
            </w:pPr>
            <w:r>
              <w:rPr>
                <w:sz w:val="24"/>
              </w:rPr>
              <w:t>74.07</w:t>
            </w:r>
          </w:p>
        </w:tc>
        <w:tc>
          <w:tcPr>
            <w:tcW w:w="898" w:type="dxa"/>
            <w:tcBorders>
              <w:top w:val="nil"/>
              <w:left w:val="nil"/>
              <w:bottom w:val="nil"/>
              <w:right w:val="nil"/>
            </w:tcBorders>
          </w:tcPr>
          <w:p>
            <w:pPr>
              <w:pStyle w:val="TableParagraph"/>
              <w:spacing w:before="66"/>
              <w:ind w:right="155"/>
              <w:rPr>
                <w:sz w:val="24"/>
              </w:rPr>
            </w:pPr>
            <w:r>
              <w:rPr>
                <w:sz w:val="24"/>
              </w:rPr>
              <w:t>76.09</w:t>
            </w:r>
          </w:p>
        </w:tc>
        <w:tc>
          <w:tcPr>
            <w:tcW w:w="810" w:type="dxa"/>
            <w:tcBorders>
              <w:top w:val="nil"/>
              <w:left w:val="nil"/>
              <w:bottom w:val="nil"/>
              <w:right w:val="nil"/>
            </w:tcBorders>
          </w:tcPr>
          <w:p>
            <w:pPr>
              <w:pStyle w:val="TableParagraph"/>
              <w:spacing w:before="66"/>
              <w:ind w:right="71"/>
              <w:rPr>
                <w:sz w:val="24"/>
              </w:rPr>
            </w:pPr>
            <w:r>
              <w:rPr>
                <w:sz w:val="24"/>
              </w:rPr>
              <w:t>78.22</w:t>
            </w:r>
          </w:p>
        </w:tc>
      </w:tr>
      <w:tr>
        <w:trPr>
          <w:trHeight w:val="414" w:hRule="exact"/>
        </w:trPr>
        <w:tc>
          <w:tcPr>
            <w:tcW w:w="882" w:type="dxa"/>
            <w:tcBorders>
              <w:top w:val="nil"/>
              <w:left w:val="nil"/>
              <w:bottom w:val="nil"/>
              <w:right w:val="nil"/>
            </w:tcBorders>
          </w:tcPr>
          <w:p>
            <w:pPr>
              <w:pStyle w:val="TableParagraph"/>
              <w:spacing w:before="69"/>
              <w:ind w:left="69"/>
              <w:jc w:val="left"/>
              <w:rPr>
                <w:sz w:val="24"/>
              </w:rPr>
            </w:pPr>
            <w:r>
              <w:rPr>
                <w:sz w:val="24"/>
              </w:rPr>
              <w:t>TI</w:t>
            </w:r>
          </w:p>
        </w:tc>
        <w:tc>
          <w:tcPr>
            <w:tcW w:w="1073" w:type="dxa"/>
            <w:tcBorders>
              <w:top w:val="nil"/>
              <w:left w:val="nil"/>
              <w:bottom w:val="nil"/>
              <w:right w:val="nil"/>
            </w:tcBorders>
          </w:tcPr>
          <w:p>
            <w:pPr>
              <w:pStyle w:val="TableParagraph"/>
              <w:spacing w:before="69"/>
              <w:ind w:right="155"/>
              <w:rPr>
                <w:sz w:val="24"/>
              </w:rPr>
            </w:pPr>
            <w:r>
              <w:rPr>
                <w:sz w:val="24"/>
              </w:rPr>
              <w:t>19.26</w:t>
            </w:r>
          </w:p>
        </w:tc>
        <w:tc>
          <w:tcPr>
            <w:tcW w:w="855" w:type="dxa"/>
            <w:tcBorders>
              <w:top w:val="nil"/>
              <w:left w:val="nil"/>
              <w:bottom w:val="nil"/>
              <w:right w:val="nil"/>
            </w:tcBorders>
          </w:tcPr>
          <w:p>
            <w:pPr>
              <w:pStyle w:val="TableParagraph"/>
              <w:spacing w:before="69"/>
              <w:ind w:left="137" w:right="137"/>
              <w:jc w:val="center"/>
              <w:rPr>
                <w:sz w:val="24"/>
              </w:rPr>
            </w:pPr>
            <w:r>
              <w:rPr>
                <w:sz w:val="24"/>
              </w:rPr>
              <w:t>19.07</w:t>
            </w:r>
          </w:p>
        </w:tc>
        <w:tc>
          <w:tcPr>
            <w:tcW w:w="856" w:type="dxa"/>
            <w:tcBorders>
              <w:top w:val="nil"/>
              <w:left w:val="nil"/>
              <w:bottom w:val="nil"/>
              <w:right w:val="nil"/>
            </w:tcBorders>
          </w:tcPr>
          <w:p>
            <w:pPr>
              <w:pStyle w:val="TableParagraph"/>
              <w:spacing w:before="69"/>
              <w:ind w:left="137" w:right="138"/>
              <w:jc w:val="center"/>
              <w:rPr>
                <w:sz w:val="24"/>
              </w:rPr>
            </w:pPr>
            <w:r>
              <w:rPr>
                <w:sz w:val="24"/>
              </w:rPr>
              <w:t>20.10</w:t>
            </w:r>
          </w:p>
        </w:tc>
        <w:tc>
          <w:tcPr>
            <w:tcW w:w="857" w:type="dxa"/>
            <w:tcBorders>
              <w:top w:val="nil"/>
              <w:left w:val="nil"/>
              <w:bottom w:val="nil"/>
              <w:right w:val="nil"/>
            </w:tcBorders>
          </w:tcPr>
          <w:p>
            <w:pPr>
              <w:pStyle w:val="TableParagraph"/>
              <w:spacing w:before="69"/>
              <w:ind w:right="156"/>
              <w:rPr>
                <w:sz w:val="24"/>
              </w:rPr>
            </w:pPr>
            <w:r>
              <w:rPr>
                <w:sz w:val="24"/>
              </w:rPr>
              <w:t>21.31</w:t>
            </w:r>
          </w:p>
        </w:tc>
        <w:tc>
          <w:tcPr>
            <w:tcW w:w="856" w:type="dxa"/>
            <w:tcBorders>
              <w:top w:val="nil"/>
              <w:left w:val="nil"/>
              <w:bottom w:val="nil"/>
              <w:right w:val="nil"/>
            </w:tcBorders>
          </w:tcPr>
          <w:p>
            <w:pPr>
              <w:pStyle w:val="TableParagraph"/>
              <w:spacing w:before="69"/>
              <w:ind w:left="137" w:right="137"/>
              <w:jc w:val="center"/>
              <w:rPr>
                <w:sz w:val="24"/>
              </w:rPr>
            </w:pPr>
            <w:r>
              <w:rPr>
                <w:sz w:val="24"/>
              </w:rPr>
              <w:t>20.91</w:t>
            </w:r>
          </w:p>
        </w:tc>
        <w:tc>
          <w:tcPr>
            <w:tcW w:w="856" w:type="dxa"/>
            <w:tcBorders>
              <w:top w:val="nil"/>
              <w:left w:val="nil"/>
              <w:bottom w:val="nil"/>
              <w:right w:val="nil"/>
            </w:tcBorders>
          </w:tcPr>
          <w:p>
            <w:pPr>
              <w:pStyle w:val="TableParagraph"/>
              <w:spacing w:before="69"/>
              <w:ind w:right="156"/>
              <w:rPr>
                <w:sz w:val="24"/>
              </w:rPr>
            </w:pPr>
            <w:r>
              <w:rPr>
                <w:sz w:val="24"/>
              </w:rPr>
              <w:t>21.47</w:t>
            </w:r>
          </w:p>
        </w:tc>
        <w:tc>
          <w:tcPr>
            <w:tcW w:w="899" w:type="dxa"/>
            <w:tcBorders>
              <w:top w:val="nil"/>
              <w:left w:val="nil"/>
              <w:bottom w:val="nil"/>
              <w:right w:val="nil"/>
            </w:tcBorders>
          </w:tcPr>
          <w:p>
            <w:pPr>
              <w:pStyle w:val="TableParagraph"/>
              <w:spacing w:before="69"/>
              <w:ind w:left="179" w:right="140"/>
              <w:jc w:val="center"/>
              <w:rPr>
                <w:sz w:val="24"/>
              </w:rPr>
            </w:pPr>
            <w:r>
              <w:rPr>
                <w:sz w:val="24"/>
              </w:rPr>
              <w:t>21.78</w:t>
            </w:r>
          </w:p>
        </w:tc>
        <w:tc>
          <w:tcPr>
            <w:tcW w:w="898" w:type="dxa"/>
            <w:tcBorders>
              <w:top w:val="nil"/>
              <w:left w:val="nil"/>
              <w:bottom w:val="nil"/>
              <w:right w:val="nil"/>
            </w:tcBorders>
          </w:tcPr>
          <w:p>
            <w:pPr>
              <w:pStyle w:val="TableParagraph"/>
              <w:spacing w:before="69"/>
              <w:ind w:right="155"/>
              <w:rPr>
                <w:sz w:val="24"/>
              </w:rPr>
            </w:pPr>
            <w:r>
              <w:rPr>
                <w:sz w:val="24"/>
              </w:rPr>
              <w:t>22.98</w:t>
            </w:r>
          </w:p>
        </w:tc>
        <w:tc>
          <w:tcPr>
            <w:tcW w:w="810" w:type="dxa"/>
            <w:tcBorders>
              <w:top w:val="nil"/>
              <w:left w:val="nil"/>
              <w:bottom w:val="nil"/>
              <w:right w:val="nil"/>
            </w:tcBorders>
          </w:tcPr>
          <w:p>
            <w:pPr>
              <w:pStyle w:val="TableParagraph"/>
              <w:spacing w:before="69"/>
              <w:ind w:right="71"/>
              <w:rPr>
                <w:sz w:val="24"/>
              </w:rPr>
            </w:pPr>
            <w:r>
              <w:rPr>
                <w:sz w:val="24"/>
              </w:rPr>
              <w:t>23.44</w:t>
            </w:r>
          </w:p>
        </w:tc>
      </w:tr>
      <w:tr>
        <w:trPr>
          <w:trHeight w:val="414" w:hRule="exact"/>
        </w:trPr>
        <w:tc>
          <w:tcPr>
            <w:tcW w:w="882" w:type="dxa"/>
            <w:tcBorders>
              <w:top w:val="nil"/>
              <w:left w:val="nil"/>
              <w:bottom w:val="nil"/>
              <w:right w:val="nil"/>
            </w:tcBorders>
          </w:tcPr>
          <w:p>
            <w:pPr>
              <w:pStyle w:val="TableParagraph"/>
              <w:spacing w:before="68"/>
              <w:ind w:left="69"/>
              <w:jc w:val="left"/>
              <w:rPr>
                <w:sz w:val="24"/>
              </w:rPr>
            </w:pPr>
            <w:r>
              <w:rPr>
                <w:sz w:val="24"/>
              </w:rPr>
              <w:t>TC</w:t>
            </w:r>
          </w:p>
        </w:tc>
        <w:tc>
          <w:tcPr>
            <w:tcW w:w="1073" w:type="dxa"/>
            <w:tcBorders>
              <w:top w:val="nil"/>
              <w:left w:val="nil"/>
              <w:bottom w:val="nil"/>
              <w:right w:val="nil"/>
            </w:tcBorders>
          </w:tcPr>
          <w:p>
            <w:pPr>
              <w:pStyle w:val="TableParagraph"/>
              <w:spacing w:before="68"/>
              <w:ind w:right="155"/>
              <w:rPr>
                <w:sz w:val="24"/>
              </w:rPr>
            </w:pPr>
            <w:r>
              <w:rPr>
                <w:sz w:val="24"/>
              </w:rPr>
              <w:t>8.81</w:t>
            </w:r>
          </w:p>
        </w:tc>
        <w:tc>
          <w:tcPr>
            <w:tcW w:w="855" w:type="dxa"/>
            <w:tcBorders>
              <w:top w:val="nil"/>
              <w:left w:val="nil"/>
              <w:bottom w:val="nil"/>
              <w:right w:val="nil"/>
            </w:tcBorders>
          </w:tcPr>
          <w:p>
            <w:pPr>
              <w:pStyle w:val="TableParagraph"/>
              <w:spacing w:before="68"/>
              <w:ind w:left="137" w:right="17"/>
              <w:jc w:val="center"/>
              <w:rPr>
                <w:sz w:val="24"/>
              </w:rPr>
            </w:pPr>
            <w:r>
              <w:rPr>
                <w:sz w:val="24"/>
              </w:rPr>
              <w:t>9.04</w:t>
            </w:r>
          </w:p>
        </w:tc>
        <w:tc>
          <w:tcPr>
            <w:tcW w:w="856" w:type="dxa"/>
            <w:tcBorders>
              <w:top w:val="nil"/>
              <w:left w:val="nil"/>
              <w:bottom w:val="nil"/>
              <w:right w:val="nil"/>
            </w:tcBorders>
          </w:tcPr>
          <w:p>
            <w:pPr>
              <w:pStyle w:val="TableParagraph"/>
              <w:spacing w:before="68"/>
              <w:ind w:left="137" w:right="19"/>
              <w:jc w:val="center"/>
              <w:rPr>
                <w:sz w:val="24"/>
              </w:rPr>
            </w:pPr>
            <w:r>
              <w:rPr>
                <w:sz w:val="24"/>
              </w:rPr>
              <w:t>9.42</w:t>
            </w:r>
          </w:p>
        </w:tc>
        <w:tc>
          <w:tcPr>
            <w:tcW w:w="857" w:type="dxa"/>
            <w:tcBorders>
              <w:top w:val="nil"/>
              <w:left w:val="nil"/>
              <w:bottom w:val="nil"/>
              <w:right w:val="nil"/>
            </w:tcBorders>
          </w:tcPr>
          <w:p>
            <w:pPr>
              <w:pStyle w:val="TableParagraph"/>
              <w:spacing w:before="68"/>
              <w:ind w:right="156"/>
              <w:rPr>
                <w:sz w:val="24"/>
              </w:rPr>
            </w:pPr>
            <w:r>
              <w:rPr>
                <w:sz w:val="24"/>
              </w:rPr>
              <w:t>9.68</w:t>
            </w:r>
          </w:p>
        </w:tc>
        <w:tc>
          <w:tcPr>
            <w:tcW w:w="856" w:type="dxa"/>
            <w:tcBorders>
              <w:top w:val="nil"/>
              <w:left w:val="nil"/>
              <w:bottom w:val="nil"/>
              <w:right w:val="nil"/>
            </w:tcBorders>
          </w:tcPr>
          <w:p>
            <w:pPr>
              <w:pStyle w:val="TableParagraph"/>
              <w:spacing w:before="68"/>
              <w:ind w:left="138" w:right="17"/>
              <w:jc w:val="center"/>
              <w:rPr>
                <w:sz w:val="24"/>
              </w:rPr>
            </w:pPr>
            <w:r>
              <w:rPr>
                <w:sz w:val="24"/>
              </w:rPr>
              <w:t>9.96</w:t>
            </w:r>
          </w:p>
        </w:tc>
        <w:tc>
          <w:tcPr>
            <w:tcW w:w="856" w:type="dxa"/>
            <w:tcBorders>
              <w:top w:val="nil"/>
              <w:left w:val="nil"/>
              <w:bottom w:val="nil"/>
              <w:right w:val="nil"/>
            </w:tcBorders>
          </w:tcPr>
          <w:p>
            <w:pPr>
              <w:pStyle w:val="TableParagraph"/>
              <w:spacing w:before="68"/>
              <w:ind w:right="156"/>
              <w:rPr>
                <w:sz w:val="24"/>
              </w:rPr>
            </w:pPr>
            <w:r>
              <w:rPr>
                <w:sz w:val="24"/>
              </w:rPr>
              <w:t>10.02</w:t>
            </w:r>
          </w:p>
        </w:tc>
        <w:tc>
          <w:tcPr>
            <w:tcW w:w="899" w:type="dxa"/>
            <w:tcBorders>
              <w:top w:val="nil"/>
              <w:left w:val="nil"/>
              <w:bottom w:val="nil"/>
              <w:right w:val="nil"/>
            </w:tcBorders>
          </w:tcPr>
          <w:p>
            <w:pPr>
              <w:pStyle w:val="TableParagraph"/>
              <w:spacing w:before="68"/>
              <w:ind w:left="179" w:right="140"/>
              <w:jc w:val="center"/>
              <w:rPr>
                <w:sz w:val="24"/>
              </w:rPr>
            </w:pPr>
            <w:r>
              <w:rPr>
                <w:sz w:val="24"/>
              </w:rPr>
              <w:t>10.43</w:t>
            </w:r>
          </w:p>
        </w:tc>
        <w:tc>
          <w:tcPr>
            <w:tcW w:w="898" w:type="dxa"/>
            <w:tcBorders>
              <w:top w:val="nil"/>
              <w:left w:val="nil"/>
              <w:bottom w:val="nil"/>
              <w:right w:val="nil"/>
            </w:tcBorders>
          </w:tcPr>
          <w:p>
            <w:pPr>
              <w:pStyle w:val="TableParagraph"/>
              <w:spacing w:before="68"/>
              <w:ind w:right="155"/>
              <w:rPr>
                <w:sz w:val="24"/>
              </w:rPr>
            </w:pPr>
            <w:r>
              <w:rPr>
                <w:sz w:val="24"/>
              </w:rPr>
              <w:t>10.73</w:t>
            </w:r>
          </w:p>
        </w:tc>
        <w:tc>
          <w:tcPr>
            <w:tcW w:w="810" w:type="dxa"/>
            <w:tcBorders>
              <w:top w:val="nil"/>
              <w:left w:val="nil"/>
              <w:bottom w:val="nil"/>
              <w:right w:val="nil"/>
            </w:tcBorders>
          </w:tcPr>
          <w:p>
            <w:pPr>
              <w:pStyle w:val="TableParagraph"/>
              <w:spacing w:before="68"/>
              <w:ind w:right="71"/>
              <w:rPr>
                <w:sz w:val="24"/>
              </w:rPr>
            </w:pPr>
            <w:r>
              <w:rPr>
                <w:sz w:val="24"/>
              </w:rPr>
              <w:t>10.88</w:t>
            </w:r>
          </w:p>
        </w:tc>
      </w:tr>
      <w:tr>
        <w:trPr>
          <w:trHeight w:val="328" w:hRule="exact"/>
        </w:trPr>
        <w:tc>
          <w:tcPr>
            <w:tcW w:w="882" w:type="dxa"/>
            <w:tcBorders>
              <w:top w:val="nil"/>
              <w:left w:val="nil"/>
              <w:bottom w:val="nil"/>
              <w:right w:val="nil"/>
            </w:tcBorders>
          </w:tcPr>
          <w:p>
            <w:pPr>
              <w:pStyle w:val="TableParagraph"/>
              <w:spacing w:before="69"/>
              <w:ind w:left="69"/>
              <w:jc w:val="left"/>
              <w:rPr>
                <w:sz w:val="24"/>
              </w:rPr>
            </w:pPr>
            <w:r>
              <w:rPr>
                <w:sz w:val="24"/>
              </w:rPr>
              <w:t>NI</w:t>
            </w:r>
          </w:p>
        </w:tc>
        <w:tc>
          <w:tcPr>
            <w:tcW w:w="1073" w:type="dxa"/>
            <w:tcBorders>
              <w:top w:val="nil"/>
              <w:left w:val="nil"/>
              <w:bottom w:val="nil"/>
              <w:right w:val="nil"/>
            </w:tcBorders>
          </w:tcPr>
          <w:p>
            <w:pPr>
              <w:pStyle w:val="TableParagraph"/>
              <w:spacing w:before="69"/>
              <w:ind w:right="155"/>
              <w:rPr>
                <w:sz w:val="24"/>
              </w:rPr>
            </w:pPr>
            <w:r>
              <w:rPr>
                <w:sz w:val="24"/>
              </w:rPr>
              <w:t>10.44</w:t>
            </w:r>
          </w:p>
        </w:tc>
        <w:tc>
          <w:tcPr>
            <w:tcW w:w="855" w:type="dxa"/>
            <w:tcBorders>
              <w:top w:val="nil"/>
              <w:left w:val="nil"/>
              <w:bottom w:val="nil"/>
              <w:right w:val="nil"/>
            </w:tcBorders>
          </w:tcPr>
          <w:p>
            <w:pPr>
              <w:pStyle w:val="TableParagraph"/>
              <w:spacing w:before="69"/>
              <w:ind w:left="137" w:right="137"/>
              <w:jc w:val="center"/>
              <w:rPr>
                <w:sz w:val="24"/>
              </w:rPr>
            </w:pPr>
            <w:r>
              <w:rPr>
                <w:sz w:val="24"/>
              </w:rPr>
              <w:t>10.03</w:t>
            </w:r>
          </w:p>
        </w:tc>
        <w:tc>
          <w:tcPr>
            <w:tcW w:w="856" w:type="dxa"/>
            <w:tcBorders>
              <w:top w:val="nil"/>
              <w:left w:val="nil"/>
              <w:bottom w:val="nil"/>
              <w:right w:val="nil"/>
            </w:tcBorders>
          </w:tcPr>
          <w:p>
            <w:pPr>
              <w:pStyle w:val="TableParagraph"/>
              <w:spacing w:before="69"/>
              <w:ind w:left="137" w:right="138"/>
              <w:jc w:val="center"/>
              <w:rPr>
                <w:sz w:val="24"/>
              </w:rPr>
            </w:pPr>
            <w:r>
              <w:rPr>
                <w:sz w:val="24"/>
              </w:rPr>
              <w:t>10.68</w:t>
            </w:r>
          </w:p>
        </w:tc>
        <w:tc>
          <w:tcPr>
            <w:tcW w:w="857" w:type="dxa"/>
            <w:tcBorders>
              <w:top w:val="nil"/>
              <w:left w:val="nil"/>
              <w:bottom w:val="nil"/>
              <w:right w:val="nil"/>
            </w:tcBorders>
          </w:tcPr>
          <w:p>
            <w:pPr>
              <w:pStyle w:val="TableParagraph"/>
              <w:spacing w:before="69"/>
              <w:ind w:right="156"/>
              <w:rPr>
                <w:sz w:val="24"/>
              </w:rPr>
            </w:pPr>
            <w:r>
              <w:rPr>
                <w:sz w:val="24"/>
              </w:rPr>
              <w:t>11.63</w:t>
            </w:r>
          </w:p>
        </w:tc>
        <w:tc>
          <w:tcPr>
            <w:tcW w:w="856" w:type="dxa"/>
            <w:tcBorders>
              <w:top w:val="nil"/>
              <w:left w:val="nil"/>
              <w:bottom w:val="nil"/>
              <w:right w:val="nil"/>
            </w:tcBorders>
          </w:tcPr>
          <w:p>
            <w:pPr>
              <w:pStyle w:val="TableParagraph"/>
              <w:spacing w:before="69"/>
              <w:ind w:left="137" w:right="137"/>
              <w:jc w:val="center"/>
              <w:rPr>
                <w:sz w:val="24"/>
              </w:rPr>
            </w:pPr>
            <w:r>
              <w:rPr>
                <w:sz w:val="24"/>
              </w:rPr>
              <w:t>10.95</w:t>
            </w:r>
          </w:p>
        </w:tc>
        <w:tc>
          <w:tcPr>
            <w:tcW w:w="856" w:type="dxa"/>
            <w:tcBorders>
              <w:top w:val="nil"/>
              <w:left w:val="nil"/>
              <w:bottom w:val="nil"/>
              <w:right w:val="nil"/>
            </w:tcBorders>
          </w:tcPr>
          <w:p>
            <w:pPr>
              <w:pStyle w:val="TableParagraph"/>
              <w:spacing w:before="69"/>
              <w:ind w:right="156"/>
              <w:rPr>
                <w:sz w:val="24"/>
              </w:rPr>
            </w:pPr>
            <w:r>
              <w:rPr>
                <w:sz w:val="24"/>
              </w:rPr>
              <w:t>11.44</w:t>
            </w:r>
          </w:p>
        </w:tc>
        <w:tc>
          <w:tcPr>
            <w:tcW w:w="899" w:type="dxa"/>
            <w:tcBorders>
              <w:top w:val="nil"/>
              <w:left w:val="nil"/>
              <w:bottom w:val="nil"/>
              <w:right w:val="nil"/>
            </w:tcBorders>
          </w:tcPr>
          <w:p>
            <w:pPr>
              <w:pStyle w:val="TableParagraph"/>
              <w:spacing w:before="69"/>
              <w:ind w:left="179" w:right="140"/>
              <w:jc w:val="center"/>
              <w:rPr>
                <w:sz w:val="24"/>
              </w:rPr>
            </w:pPr>
            <w:r>
              <w:rPr>
                <w:sz w:val="24"/>
              </w:rPr>
              <w:t>11.35</w:t>
            </w:r>
          </w:p>
        </w:tc>
        <w:tc>
          <w:tcPr>
            <w:tcW w:w="898" w:type="dxa"/>
            <w:tcBorders>
              <w:top w:val="nil"/>
              <w:left w:val="nil"/>
              <w:bottom w:val="nil"/>
              <w:right w:val="nil"/>
            </w:tcBorders>
          </w:tcPr>
          <w:p>
            <w:pPr>
              <w:pStyle w:val="TableParagraph"/>
              <w:spacing w:before="69"/>
              <w:ind w:right="155"/>
              <w:rPr>
                <w:sz w:val="24"/>
              </w:rPr>
            </w:pPr>
            <w:r>
              <w:rPr>
                <w:sz w:val="24"/>
              </w:rPr>
              <w:t>12.25</w:t>
            </w:r>
          </w:p>
        </w:tc>
        <w:tc>
          <w:tcPr>
            <w:tcW w:w="810" w:type="dxa"/>
            <w:tcBorders>
              <w:top w:val="nil"/>
              <w:left w:val="nil"/>
              <w:bottom w:val="nil"/>
              <w:right w:val="nil"/>
            </w:tcBorders>
          </w:tcPr>
          <w:p>
            <w:pPr>
              <w:pStyle w:val="TableParagraph"/>
              <w:spacing w:before="69"/>
              <w:ind w:right="71"/>
              <w:rPr>
                <w:sz w:val="24"/>
              </w:rPr>
            </w:pPr>
            <w:r>
              <w:rPr>
                <w:sz w:val="24"/>
              </w:rPr>
              <w:t>12.57</w:t>
            </w:r>
          </w:p>
        </w:tc>
      </w:tr>
      <w:tr>
        <w:trPr>
          <w:trHeight w:val="503" w:hRule="exact"/>
        </w:trPr>
        <w:tc>
          <w:tcPr>
            <w:tcW w:w="8841" w:type="dxa"/>
            <w:gridSpan w:val="10"/>
            <w:tcBorders>
              <w:top w:val="nil"/>
              <w:left w:val="nil"/>
              <w:bottom w:val="nil"/>
              <w:right w:val="nil"/>
            </w:tcBorders>
          </w:tcPr>
          <w:p>
            <w:pPr>
              <w:pStyle w:val="TableParagraph"/>
              <w:spacing w:before="159"/>
              <w:ind w:left="3982" w:right="3988"/>
              <w:jc w:val="center"/>
              <w:rPr>
                <w:b/>
                <w:sz w:val="24"/>
              </w:rPr>
            </w:pPr>
            <w:r>
              <w:rPr>
                <w:b/>
                <w:sz w:val="24"/>
              </w:rPr>
              <w:t>Model</w:t>
            </w:r>
            <w:r>
              <w:rPr>
                <w:b/>
                <w:spacing w:val="-3"/>
                <w:sz w:val="24"/>
              </w:rPr>
              <w:t> </w:t>
            </w:r>
            <w:r>
              <w:rPr>
                <w:b/>
                <w:sz w:val="24"/>
              </w:rPr>
              <w:t>3</w:t>
            </w:r>
          </w:p>
        </w:tc>
      </w:tr>
      <w:tr>
        <w:trPr>
          <w:trHeight w:val="412" w:hRule="exact"/>
        </w:trPr>
        <w:tc>
          <w:tcPr>
            <w:tcW w:w="882" w:type="dxa"/>
            <w:tcBorders>
              <w:top w:val="nil"/>
              <w:left w:val="nil"/>
              <w:bottom w:val="nil"/>
              <w:right w:val="nil"/>
            </w:tcBorders>
          </w:tcPr>
          <w:p>
            <w:pPr>
              <w:pStyle w:val="TableParagraph"/>
              <w:spacing w:before="67"/>
              <w:ind w:left="69"/>
              <w:jc w:val="left"/>
              <w:rPr>
                <w:sz w:val="24"/>
              </w:rPr>
            </w:pPr>
            <w:r>
              <w:rPr>
                <w:sz w:val="24"/>
              </w:rPr>
              <w:t>AV</w:t>
            </w:r>
          </w:p>
        </w:tc>
        <w:tc>
          <w:tcPr>
            <w:tcW w:w="1073" w:type="dxa"/>
            <w:tcBorders>
              <w:top w:val="nil"/>
              <w:left w:val="nil"/>
              <w:bottom w:val="nil"/>
              <w:right w:val="nil"/>
            </w:tcBorders>
          </w:tcPr>
          <w:p>
            <w:pPr>
              <w:pStyle w:val="TableParagraph"/>
              <w:spacing w:before="67"/>
              <w:ind w:right="155"/>
              <w:rPr>
                <w:sz w:val="24"/>
              </w:rPr>
            </w:pPr>
            <w:r>
              <w:rPr>
                <w:sz w:val="24"/>
              </w:rPr>
              <w:t>7.94</w:t>
            </w:r>
          </w:p>
        </w:tc>
        <w:tc>
          <w:tcPr>
            <w:tcW w:w="855" w:type="dxa"/>
            <w:tcBorders>
              <w:top w:val="nil"/>
              <w:left w:val="nil"/>
              <w:bottom w:val="nil"/>
              <w:right w:val="nil"/>
            </w:tcBorders>
          </w:tcPr>
          <w:p>
            <w:pPr>
              <w:pStyle w:val="TableParagraph"/>
              <w:spacing w:before="67"/>
              <w:ind w:left="137" w:right="17"/>
              <w:jc w:val="center"/>
              <w:rPr>
                <w:sz w:val="24"/>
              </w:rPr>
            </w:pPr>
            <w:r>
              <w:rPr>
                <w:sz w:val="24"/>
              </w:rPr>
              <w:t>8.49</w:t>
            </w:r>
          </w:p>
        </w:tc>
        <w:tc>
          <w:tcPr>
            <w:tcW w:w="856" w:type="dxa"/>
            <w:tcBorders>
              <w:top w:val="nil"/>
              <w:left w:val="nil"/>
              <w:bottom w:val="nil"/>
              <w:right w:val="nil"/>
            </w:tcBorders>
          </w:tcPr>
          <w:p>
            <w:pPr>
              <w:pStyle w:val="TableParagraph"/>
              <w:spacing w:before="67"/>
              <w:ind w:left="137" w:right="19"/>
              <w:jc w:val="center"/>
              <w:rPr>
                <w:sz w:val="24"/>
              </w:rPr>
            </w:pPr>
            <w:r>
              <w:rPr>
                <w:sz w:val="24"/>
              </w:rPr>
              <w:t>8.98</w:t>
            </w:r>
          </w:p>
        </w:tc>
        <w:tc>
          <w:tcPr>
            <w:tcW w:w="857" w:type="dxa"/>
            <w:tcBorders>
              <w:top w:val="nil"/>
              <w:left w:val="nil"/>
              <w:bottom w:val="nil"/>
              <w:right w:val="nil"/>
            </w:tcBorders>
          </w:tcPr>
          <w:p>
            <w:pPr>
              <w:pStyle w:val="TableParagraph"/>
              <w:spacing w:before="67"/>
              <w:ind w:right="156"/>
              <w:rPr>
                <w:sz w:val="24"/>
              </w:rPr>
            </w:pPr>
            <w:r>
              <w:rPr>
                <w:sz w:val="24"/>
              </w:rPr>
              <w:t>9.07</w:t>
            </w:r>
          </w:p>
        </w:tc>
        <w:tc>
          <w:tcPr>
            <w:tcW w:w="856" w:type="dxa"/>
            <w:tcBorders>
              <w:top w:val="nil"/>
              <w:left w:val="nil"/>
              <w:bottom w:val="nil"/>
              <w:right w:val="nil"/>
            </w:tcBorders>
          </w:tcPr>
          <w:p>
            <w:pPr>
              <w:pStyle w:val="TableParagraph"/>
              <w:spacing w:before="67"/>
              <w:ind w:left="138" w:right="17"/>
              <w:jc w:val="center"/>
              <w:rPr>
                <w:sz w:val="24"/>
              </w:rPr>
            </w:pPr>
            <w:r>
              <w:rPr>
                <w:sz w:val="24"/>
              </w:rPr>
              <w:t>9.12</w:t>
            </w:r>
          </w:p>
        </w:tc>
        <w:tc>
          <w:tcPr>
            <w:tcW w:w="856" w:type="dxa"/>
            <w:tcBorders>
              <w:top w:val="nil"/>
              <w:left w:val="nil"/>
              <w:bottom w:val="nil"/>
              <w:right w:val="nil"/>
            </w:tcBorders>
          </w:tcPr>
          <w:p>
            <w:pPr>
              <w:pStyle w:val="TableParagraph"/>
              <w:spacing w:before="67"/>
              <w:ind w:right="156"/>
              <w:rPr>
                <w:sz w:val="24"/>
              </w:rPr>
            </w:pPr>
            <w:r>
              <w:rPr>
                <w:sz w:val="24"/>
              </w:rPr>
              <w:t>9.04</w:t>
            </w:r>
          </w:p>
        </w:tc>
        <w:tc>
          <w:tcPr>
            <w:tcW w:w="899" w:type="dxa"/>
            <w:tcBorders>
              <w:top w:val="nil"/>
              <w:left w:val="nil"/>
              <w:bottom w:val="nil"/>
              <w:right w:val="nil"/>
            </w:tcBorders>
          </w:tcPr>
          <w:p>
            <w:pPr>
              <w:pStyle w:val="TableParagraph"/>
              <w:spacing w:before="67"/>
              <w:ind w:left="179" w:right="20"/>
              <w:jc w:val="center"/>
              <w:rPr>
                <w:sz w:val="24"/>
              </w:rPr>
            </w:pPr>
            <w:r>
              <w:rPr>
                <w:sz w:val="24"/>
              </w:rPr>
              <w:t>9.02</w:t>
            </w:r>
          </w:p>
        </w:tc>
        <w:tc>
          <w:tcPr>
            <w:tcW w:w="898" w:type="dxa"/>
            <w:tcBorders>
              <w:top w:val="nil"/>
              <w:left w:val="nil"/>
              <w:bottom w:val="nil"/>
              <w:right w:val="nil"/>
            </w:tcBorders>
          </w:tcPr>
          <w:p>
            <w:pPr>
              <w:pStyle w:val="TableParagraph"/>
              <w:spacing w:before="67"/>
              <w:ind w:right="155"/>
              <w:rPr>
                <w:sz w:val="24"/>
              </w:rPr>
            </w:pPr>
            <w:r>
              <w:rPr>
                <w:sz w:val="24"/>
              </w:rPr>
              <w:t>9.02</w:t>
            </w:r>
          </w:p>
        </w:tc>
        <w:tc>
          <w:tcPr>
            <w:tcW w:w="810" w:type="dxa"/>
            <w:tcBorders>
              <w:top w:val="nil"/>
              <w:left w:val="nil"/>
              <w:bottom w:val="nil"/>
              <w:right w:val="nil"/>
            </w:tcBorders>
          </w:tcPr>
          <w:p>
            <w:pPr>
              <w:pStyle w:val="TableParagraph"/>
              <w:spacing w:before="67"/>
              <w:ind w:right="71"/>
              <w:rPr>
                <w:sz w:val="24"/>
              </w:rPr>
            </w:pPr>
            <w:r>
              <w:rPr>
                <w:sz w:val="24"/>
              </w:rPr>
              <w:t>9.07</w:t>
            </w:r>
          </w:p>
        </w:tc>
      </w:tr>
      <w:tr>
        <w:trPr>
          <w:trHeight w:val="414" w:hRule="exact"/>
        </w:trPr>
        <w:tc>
          <w:tcPr>
            <w:tcW w:w="882" w:type="dxa"/>
            <w:tcBorders>
              <w:top w:val="nil"/>
              <w:left w:val="nil"/>
              <w:bottom w:val="nil"/>
              <w:right w:val="nil"/>
            </w:tcBorders>
          </w:tcPr>
          <w:p>
            <w:pPr>
              <w:pStyle w:val="TableParagraph"/>
              <w:spacing w:before="68"/>
              <w:ind w:left="69"/>
              <w:jc w:val="left"/>
              <w:rPr>
                <w:sz w:val="24"/>
              </w:rPr>
            </w:pPr>
            <w:r>
              <w:rPr>
                <w:sz w:val="24"/>
              </w:rPr>
              <w:t>TI</w:t>
            </w:r>
          </w:p>
        </w:tc>
        <w:tc>
          <w:tcPr>
            <w:tcW w:w="1073" w:type="dxa"/>
            <w:tcBorders>
              <w:top w:val="nil"/>
              <w:left w:val="nil"/>
              <w:bottom w:val="nil"/>
              <w:right w:val="nil"/>
            </w:tcBorders>
          </w:tcPr>
          <w:p>
            <w:pPr>
              <w:pStyle w:val="TableParagraph"/>
              <w:spacing w:before="68"/>
              <w:ind w:right="155"/>
              <w:rPr>
                <w:sz w:val="24"/>
              </w:rPr>
            </w:pPr>
            <w:r>
              <w:rPr>
                <w:sz w:val="24"/>
              </w:rPr>
              <w:t>18.79</w:t>
            </w:r>
          </w:p>
        </w:tc>
        <w:tc>
          <w:tcPr>
            <w:tcW w:w="855" w:type="dxa"/>
            <w:tcBorders>
              <w:top w:val="nil"/>
              <w:left w:val="nil"/>
              <w:bottom w:val="nil"/>
              <w:right w:val="nil"/>
            </w:tcBorders>
          </w:tcPr>
          <w:p>
            <w:pPr>
              <w:pStyle w:val="TableParagraph"/>
              <w:spacing w:before="68"/>
              <w:ind w:left="137" w:right="137"/>
              <w:jc w:val="center"/>
              <w:rPr>
                <w:sz w:val="24"/>
              </w:rPr>
            </w:pPr>
            <w:r>
              <w:rPr>
                <w:sz w:val="24"/>
              </w:rPr>
              <w:t>18.61</w:t>
            </w:r>
          </w:p>
        </w:tc>
        <w:tc>
          <w:tcPr>
            <w:tcW w:w="856" w:type="dxa"/>
            <w:tcBorders>
              <w:top w:val="nil"/>
              <w:left w:val="nil"/>
              <w:bottom w:val="nil"/>
              <w:right w:val="nil"/>
            </w:tcBorders>
          </w:tcPr>
          <w:p>
            <w:pPr>
              <w:pStyle w:val="TableParagraph"/>
              <w:spacing w:before="68"/>
              <w:ind w:left="137" w:right="138"/>
              <w:jc w:val="center"/>
              <w:rPr>
                <w:sz w:val="24"/>
              </w:rPr>
            </w:pPr>
            <w:r>
              <w:rPr>
                <w:sz w:val="24"/>
              </w:rPr>
              <w:t>19.64</w:t>
            </w:r>
          </w:p>
        </w:tc>
        <w:tc>
          <w:tcPr>
            <w:tcW w:w="857" w:type="dxa"/>
            <w:tcBorders>
              <w:top w:val="nil"/>
              <w:left w:val="nil"/>
              <w:bottom w:val="nil"/>
              <w:right w:val="nil"/>
            </w:tcBorders>
          </w:tcPr>
          <w:p>
            <w:pPr>
              <w:pStyle w:val="TableParagraph"/>
              <w:spacing w:before="68"/>
              <w:ind w:right="156"/>
              <w:rPr>
                <w:sz w:val="24"/>
              </w:rPr>
            </w:pPr>
            <w:r>
              <w:rPr>
                <w:sz w:val="24"/>
              </w:rPr>
              <w:t>20.84</w:t>
            </w:r>
          </w:p>
        </w:tc>
        <w:tc>
          <w:tcPr>
            <w:tcW w:w="856" w:type="dxa"/>
            <w:tcBorders>
              <w:top w:val="nil"/>
              <w:left w:val="nil"/>
              <w:bottom w:val="nil"/>
              <w:right w:val="nil"/>
            </w:tcBorders>
          </w:tcPr>
          <w:p>
            <w:pPr>
              <w:pStyle w:val="TableParagraph"/>
              <w:spacing w:before="68"/>
              <w:ind w:left="137" w:right="137"/>
              <w:jc w:val="center"/>
              <w:rPr>
                <w:sz w:val="24"/>
              </w:rPr>
            </w:pPr>
            <w:r>
              <w:rPr>
                <w:sz w:val="24"/>
              </w:rPr>
              <w:t>20.45</w:t>
            </w:r>
          </w:p>
        </w:tc>
        <w:tc>
          <w:tcPr>
            <w:tcW w:w="856" w:type="dxa"/>
            <w:tcBorders>
              <w:top w:val="nil"/>
              <w:left w:val="nil"/>
              <w:bottom w:val="nil"/>
              <w:right w:val="nil"/>
            </w:tcBorders>
          </w:tcPr>
          <w:p>
            <w:pPr>
              <w:pStyle w:val="TableParagraph"/>
              <w:spacing w:before="68"/>
              <w:ind w:right="156"/>
              <w:rPr>
                <w:sz w:val="24"/>
              </w:rPr>
            </w:pPr>
            <w:r>
              <w:rPr>
                <w:sz w:val="24"/>
              </w:rPr>
              <w:t>21.00</w:t>
            </w:r>
          </w:p>
        </w:tc>
        <w:tc>
          <w:tcPr>
            <w:tcW w:w="899" w:type="dxa"/>
            <w:tcBorders>
              <w:top w:val="nil"/>
              <w:left w:val="nil"/>
              <w:bottom w:val="nil"/>
              <w:right w:val="nil"/>
            </w:tcBorders>
          </w:tcPr>
          <w:p>
            <w:pPr>
              <w:pStyle w:val="TableParagraph"/>
              <w:spacing w:before="68"/>
              <w:ind w:left="179" w:right="140"/>
              <w:jc w:val="center"/>
              <w:rPr>
                <w:sz w:val="24"/>
              </w:rPr>
            </w:pPr>
            <w:r>
              <w:rPr>
                <w:sz w:val="24"/>
              </w:rPr>
              <w:t>21.31</w:t>
            </w:r>
          </w:p>
        </w:tc>
        <w:tc>
          <w:tcPr>
            <w:tcW w:w="898" w:type="dxa"/>
            <w:tcBorders>
              <w:top w:val="nil"/>
              <w:left w:val="nil"/>
              <w:bottom w:val="nil"/>
              <w:right w:val="nil"/>
            </w:tcBorders>
          </w:tcPr>
          <w:p>
            <w:pPr>
              <w:pStyle w:val="TableParagraph"/>
              <w:spacing w:before="68"/>
              <w:ind w:right="155"/>
              <w:rPr>
                <w:sz w:val="24"/>
              </w:rPr>
            </w:pPr>
            <w:r>
              <w:rPr>
                <w:sz w:val="24"/>
              </w:rPr>
              <w:t>22.52</w:t>
            </w:r>
          </w:p>
        </w:tc>
        <w:tc>
          <w:tcPr>
            <w:tcW w:w="810" w:type="dxa"/>
            <w:tcBorders>
              <w:top w:val="nil"/>
              <w:left w:val="nil"/>
              <w:bottom w:val="nil"/>
              <w:right w:val="nil"/>
            </w:tcBorders>
          </w:tcPr>
          <w:p>
            <w:pPr>
              <w:pStyle w:val="TableParagraph"/>
              <w:spacing w:before="68"/>
              <w:ind w:right="71"/>
              <w:rPr>
                <w:sz w:val="24"/>
              </w:rPr>
            </w:pPr>
            <w:r>
              <w:rPr>
                <w:sz w:val="24"/>
              </w:rPr>
              <w:t>22.98</w:t>
            </w:r>
          </w:p>
        </w:tc>
      </w:tr>
      <w:tr>
        <w:trPr>
          <w:trHeight w:val="414" w:hRule="exact"/>
        </w:trPr>
        <w:tc>
          <w:tcPr>
            <w:tcW w:w="882" w:type="dxa"/>
            <w:tcBorders>
              <w:top w:val="nil"/>
              <w:left w:val="nil"/>
              <w:bottom w:val="nil"/>
              <w:right w:val="nil"/>
            </w:tcBorders>
          </w:tcPr>
          <w:p>
            <w:pPr>
              <w:pStyle w:val="TableParagraph"/>
              <w:spacing w:before="69"/>
              <w:ind w:left="69"/>
              <w:jc w:val="left"/>
              <w:rPr>
                <w:sz w:val="24"/>
              </w:rPr>
            </w:pPr>
            <w:r>
              <w:rPr>
                <w:sz w:val="24"/>
              </w:rPr>
              <w:t>TC</w:t>
            </w:r>
          </w:p>
        </w:tc>
        <w:tc>
          <w:tcPr>
            <w:tcW w:w="1073" w:type="dxa"/>
            <w:tcBorders>
              <w:top w:val="nil"/>
              <w:left w:val="nil"/>
              <w:bottom w:val="nil"/>
              <w:right w:val="nil"/>
            </w:tcBorders>
          </w:tcPr>
          <w:p>
            <w:pPr>
              <w:pStyle w:val="TableParagraph"/>
              <w:spacing w:before="69"/>
              <w:ind w:right="155"/>
              <w:rPr>
                <w:sz w:val="24"/>
              </w:rPr>
            </w:pPr>
            <w:r>
              <w:rPr>
                <w:sz w:val="24"/>
              </w:rPr>
              <w:t>15.80</w:t>
            </w:r>
          </w:p>
        </w:tc>
        <w:tc>
          <w:tcPr>
            <w:tcW w:w="855" w:type="dxa"/>
            <w:tcBorders>
              <w:top w:val="nil"/>
              <w:left w:val="nil"/>
              <w:bottom w:val="nil"/>
              <w:right w:val="nil"/>
            </w:tcBorders>
          </w:tcPr>
          <w:p>
            <w:pPr>
              <w:pStyle w:val="TableParagraph"/>
              <w:spacing w:before="69"/>
              <w:ind w:left="137" w:right="137"/>
              <w:jc w:val="center"/>
              <w:rPr>
                <w:sz w:val="24"/>
              </w:rPr>
            </w:pPr>
            <w:r>
              <w:rPr>
                <w:sz w:val="24"/>
              </w:rPr>
              <w:t>16.26</w:t>
            </w:r>
          </w:p>
        </w:tc>
        <w:tc>
          <w:tcPr>
            <w:tcW w:w="856" w:type="dxa"/>
            <w:tcBorders>
              <w:top w:val="nil"/>
              <w:left w:val="nil"/>
              <w:bottom w:val="nil"/>
              <w:right w:val="nil"/>
            </w:tcBorders>
          </w:tcPr>
          <w:p>
            <w:pPr>
              <w:pStyle w:val="TableParagraph"/>
              <w:spacing w:before="69"/>
              <w:ind w:left="137" w:right="138"/>
              <w:jc w:val="center"/>
              <w:rPr>
                <w:sz w:val="24"/>
              </w:rPr>
            </w:pPr>
            <w:r>
              <w:rPr>
                <w:sz w:val="24"/>
              </w:rPr>
              <w:t>17.38</w:t>
            </w:r>
          </w:p>
        </w:tc>
        <w:tc>
          <w:tcPr>
            <w:tcW w:w="857" w:type="dxa"/>
            <w:tcBorders>
              <w:top w:val="nil"/>
              <w:left w:val="nil"/>
              <w:bottom w:val="nil"/>
              <w:right w:val="nil"/>
            </w:tcBorders>
          </w:tcPr>
          <w:p>
            <w:pPr>
              <w:pStyle w:val="TableParagraph"/>
              <w:spacing w:before="69"/>
              <w:ind w:right="156"/>
              <w:rPr>
                <w:sz w:val="24"/>
              </w:rPr>
            </w:pPr>
            <w:r>
              <w:rPr>
                <w:sz w:val="24"/>
              </w:rPr>
              <w:t>18.64</w:t>
            </w:r>
          </w:p>
        </w:tc>
        <w:tc>
          <w:tcPr>
            <w:tcW w:w="856" w:type="dxa"/>
            <w:tcBorders>
              <w:top w:val="nil"/>
              <w:left w:val="nil"/>
              <w:bottom w:val="nil"/>
              <w:right w:val="nil"/>
            </w:tcBorders>
          </w:tcPr>
          <w:p>
            <w:pPr>
              <w:pStyle w:val="TableParagraph"/>
              <w:spacing w:before="69"/>
              <w:ind w:left="137" w:right="137"/>
              <w:jc w:val="center"/>
              <w:rPr>
                <w:sz w:val="24"/>
              </w:rPr>
            </w:pPr>
            <w:r>
              <w:rPr>
                <w:sz w:val="24"/>
              </w:rPr>
              <w:t>19.94</w:t>
            </w:r>
          </w:p>
        </w:tc>
        <w:tc>
          <w:tcPr>
            <w:tcW w:w="856" w:type="dxa"/>
            <w:tcBorders>
              <w:top w:val="nil"/>
              <w:left w:val="nil"/>
              <w:bottom w:val="nil"/>
              <w:right w:val="nil"/>
            </w:tcBorders>
          </w:tcPr>
          <w:p>
            <w:pPr>
              <w:pStyle w:val="TableParagraph"/>
              <w:spacing w:before="69"/>
              <w:ind w:right="156"/>
              <w:rPr>
                <w:sz w:val="24"/>
              </w:rPr>
            </w:pPr>
            <w:r>
              <w:rPr>
                <w:sz w:val="24"/>
              </w:rPr>
              <w:t>20.48</w:t>
            </w:r>
          </w:p>
        </w:tc>
        <w:tc>
          <w:tcPr>
            <w:tcW w:w="899" w:type="dxa"/>
            <w:tcBorders>
              <w:top w:val="nil"/>
              <w:left w:val="nil"/>
              <w:bottom w:val="nil"/>
              <w:right w:val="nil"/>
            </w:tcBorders>
          </w:tcPr>
          <w:p>
            <w:pPr>
              <w:pStyle w:val="TableParagraph"/>
              <w:spacing w:before="69"/>
              <w:ind w:left="179" w:right="140"/>
              <w:jc w:val="center"/>
              <w:rPr>
                <w:sz w:val="24"/>
              </w:rPr>
            </w:pPr>
            <w:r>
              <w:rPr>
                <w:sz w:val="24"/>
              </w:rPr>
              <w:t>21.90</w:t>
            </w:r>
          </w:p>
        </w:tc>
        <w:tc>
          <w:tcPr>
            <w:tcW w:w="898" w:type="dxa"/>
            <w:tcBorders>
              <w:top w:val="nil"/>
              <w:left w:val="nil"/>
              <w:bottom w:val="nil"/>
              <w:right w:val="nil"/>
            </w:tcBorders>
          </w:tcPr>
          <w:p>
            <w:pPr>
              <w:pStyle w:val="TableParagraph"/>
              <w:spacing w:before="69"/>
              <w:ind w:right="155"/>
              <w:rPr>
                <w:sz w:val="24"/>
              </w:rPr>
            </w:pPr>
            <w:r>
              <w:rPr>
                <w:sz w:val="24"/>
              </w:rPr>
              <w:t>23.41</w:t>
            </w:r>
          </w:p>
        </w:tc>
        <w:tc>
          <w:tcPr>
            <w:tcW w:w="810" w:type="dxa"/>
            <w:tcBorders>
              <w:top w:val="nil"/>
              <w:left w:val="nil"/>
              <w:bottom w:val="nil"/>
              <w:right w:val="nil"/>
            </w:tcBorders>
          </w:tcPr>
          <w:p>
            <w:pPr>
              <w:pStyle w:val="TableParagraph"/>
              <w:spacing w:before="69"/>
              <w:ind w:right="71"/>
              <w:rPr>
                <w:sz w:val="24"/>
              </w:rPr>
            </w:pPr>
            <w:r>
              <w:rPr>
                <w:sz w:val="24"/>
              </w:rPr>
              <w:t>24.47</w:t>
            </w:r>
          </w:p>
        </w:tc>
      </w:tr>
      <w:tr>
        <w:trPr>
          <w:trHeight w:val="327" w:hRule="exact"/>
        </w:trPr>
        <w:tc>
          <w:tcPr>
            <w:tcW w:w="882" w:type="dxa"/>
            <w:tcBorders>
              <w:top w:val="nil"/>
              <w:left w:val="nil"/>
              <w:bottom w:val="nil"/>
              <w:right w:val="nil"/>
            </w:tcBorders>
          </w:tcPr>
          <w:p>
            <w:pPr>
              <w:pStyle w:val="TableParagraph"/>
              <w:spacing w:before="68"/>
              <w:ind w:left="69"/>
              <w:jc w:val="left"/>
              <w:rPr>
                <w:sz w:val="24"/>
              </w:rPr>
            </w:pPr>
            <w:r>
              <w:rPr>
                <w:sz w:val="24"/>
              </w:rPr>
              <w:t>NI</w:t>
            </w:r>
          </w:p>
        </w:tc>
        <w:tc>
          <w:tcPr>
            <w:tcW w:w="1073" w:type="dxa"/>
            <w:tcBorders>
              <w:top w:val="nil"/>
              <w:left w:val="nil"/>
              <w:bottom w:val="nil"/>
              <w:right w:val="nil"/>
            </w:tcBorders>
          </w:tcPr>
          <w:p>
            <w:pPr>
              <w:pStyle w:val="TableParagraph"/>
              <w:spacing w:before="68"/>
              <w:ind w:right="155"/>
              <w:rPr>
                <w:sz w:val="24"/>
              </w:rPr>
            </w:pPr>
            <w:r>
              <w:rPr>
                <w:sz w:val="24"/>
              </w:rPr>
              <w:t>3.00</w:t>
            </w:r>
          </w:p>
        </w:tc>
        <w:tc>
          <w:tcPr>
            <w:tcW w:w="855" w:type="dxa"/>
            <w:tcBorders>
              <w:top w:val="nil"/>
              <w:left w:val="nil"/>
              <w:bottom w:val="nil"/>
              <w:right w:val="nil"/>
            </w:tcBorders>
          </w:tcPr>
          <w:p>
            <w:pPr>
              <w:pStyle w:val="TableParagraph"/>
              <w:spacing w:before="68"/>
              <w:ind w:left="137" w:right="17"/>
              <w:jc w:val="center"/>
              <w:rPr>
                <w:sz w:val="24"/>
              </w:rPr>
            </w:pPr>
            <w:r>
              <w:rPr>
                <w:sz w:val="24"/>
              </w:rPr>
              <w:t>2.35</w:t>
            </w:r>
          </w:p>
        </w:tc>
        <w:tc>
          <w:tcPr>
            <w:tcW w:w="856" w:type="dxa"/>
            <w:tcBorders>
              <w:top w:val="nil"/>
              <w:left w:val="nil"/>
              <w:bottom w:val="nil"/>
              <w:right w:val="nil"/>
            </w:tcBorders>
          </w:tcPr>
          <w:p>
            <w:pPr>
              <w:pStyle w:val="TableParagraph"/>
              <w:spacing w:before="68"/>
              <w:ind w:left="137" w:right="19"/>
              <w:jc w:val="center"/>
              <w:rPr>
                <w:sz w:val="24"/>
              </w:rPr>
            </w:pPr>
            <w:r>
              <w:rPr>
                <w:sz w:val="24"/>
              </w:rPr>
              <w:t>2.26</w:t>
            </w:r>
          </w:p>
        </w:tc>
        <w:tc>
          <w:tcPr>
            <w:tcW w:w="857" w:type="dxa"/>
            <w:tcBorders>
              <w:top w:val="nil"/>
              <w:left w:val="nil"/>
              <w:bottom w:val="nil"/>
              <w:right w:val="nil"/>
            </w:tcBorders>
          </w:tcPr>
          <w:p>
            <w:pPr>
              <w:pStyle w:val="TableParagraph"/>
              <w:spacing w:before="68"/>
              <w:ind w:right="156"/>
              <w:rPr>
                <w:sz w:val="24"/>
              </w:rPr>
            </w:pPr>
            <w:r>
              <w:rPr>
                <w:sz w:val="24"/>
              </w:rPr>
              <w:t>2.21</w:t>
            </w:r>
          </w:p>
        </w:tc>
        <w:tc>
          <w:tcPr>
            <w:tcW w:w="856" w:type="dxa"/>
            <w:tcBorders>
              <w:top w:val="nil"/>
              <w:left w:val="nil"/>
              <w:bottom w:val="nil"/>
              <w:right w:val="nil"/>
            </w:tcBorders>
          </w:tcPr>
          <w:p>
            <w:pPr>
              <w:pStyle w:val="TableParagraph"/>
              <w:spacing w:before="68"/>
              <w:ind w:left="138" w:right="17"/>
              <w:jc w:val="center"/>
              <w:rPr>
                <w:sz w:val="24"/>
              </w:rPr>
            </w:pPr>
            <w:r>
              <w:rPr>
                <w:sz w:val="24"/>
              </w:rPr>
              <w:t>0.51</w:t>
            </w:r>
          </w:p>
        </w:tc>
        <w:tc>
          <w:tcPr>
            <w:tcW w:w="856" w:type="dxa"/>
            <w:tcBorders>
              <w:top w:val="nil"/>
              <w:left w:val="nil"/>
              <w:bottom w:val="nil"/>
              <w:right w:val="nil"/>
            </w:tcBorders>
          </w:tcPr>
          <w:p>
            <w:pPr>
              <w:pStyle w:val="TableParagraph"/>
              <w:spacing w:before="68"/>
              <w:ind w:right="156"/>
              <w:rPr>
                <w:sz w:val="24"/>
              </w:rPr>
            </w:pPr>
            <w:r>
              <w:rPr>
                <w:sz w:val="24"/>
              </w:rPr>
              <w:t>0.53</w:t>
            </w:r>
          </w:p>
        </w:tc>
        <w:tc>
          <w:tcPr>
            <w:tcW w:w="899" w:type="dxa"/>
            <w:tcBorders>
              <w:top w:val="nil"/>
              <w:left w:val="nil"/>
              <w:bottom w:val="nil"/>
              <w:right w:val="nil"/>
            </w:tcBorders>
          </w:tcPr>
          <w:p>
            <w:pPr>
              <w:pStyle w:val="TableParagraph"/>
              <w:spacing w:before="68"/>
              <w:ind w:left="139" w:right="140"/>
              <w:jc w:val="center"/>
              <w:rPr>
                <w:sz w:val="24"/>
              </w:rPr>
            </w:pPr>
            <w:r>
              <w:rPr>
                <w:sz w:val="24"/>
              </w:rPr>
              <w:t>(0.59)</w:t>
            </w:r>
          </w:p>
        </w:tc>
        <w:tc>
          <w:tcPr>
            <w:tcW w:w="898" w:type="dxa"/>
            <w:tcBorders>
              <w:top w:val="nil"/>
              <w:left w:val="nil"/>
              <w:bottom w:val="nil"/>
              <w:right w:val="nil"/>
            </w:tcBorders>
          </w:tcPr>
          <w:p>
            <w:pPr>
              <w:pStyle w:val="TableParagraph"/>
              <w:spacing w:before="68"/>
              <w:ind w:right="156"/>
              <w:rPr>
                <w:sz w:val="24"/>
              </w:rPr>
            </w:pPr>
            <w:r>
              <w:rPr>
                <w:sz w:val="24"/>
              </w:rPr>
              <w:t>(0.89)</w:t>
            </w:r>
          </w:p>
        </w:tc>
        <w:tc>
          <w:tcPr>
            <w:tcW w:w="810" w:type="dxa"/>
            <w:tcBorders>
              <w:top w:val="nil"/>
              <w:left w:val="nil"/>
              <w:bottom w:val="nil"/>
              <w:right w:val="nil"/>
            </w:tcBorders>
          </w:tcPr>
          <w:p>
            <w:pPr>
              <w:pStyle w:val="TableParagraph"/>
              <w:spacing w:before="68"/>
              <w:ind w:right="71"/>
              <w:rPr>
                <w:sz w:val="24"/>
              </w:rPr>
            </w:pPr>
            <w:r>
              <w:rPr>
                <w:sz w:val="24"/>
              </w:rPr>
              <w:t>(1.49)</w:t>
            </w:r>
          </w:p>
        </w:tc>
      </w:tr>
      <w:tr>
        <w:trPr>
          <w:trHeight w:val="504" w:hRule="exact"/>
        </w:trPr>
        <w:tc>
          <w:tcPr>
            <w:tcW w:w="8841" w:type="dxa"/>
            <w:gridSpan w:val="10"/>
            <w:tcBorders>
              <w:top w:val="nil"/>
              <w:left w:val="nil"/>
              <w:bottom w:val="nil"/>
              <w:right w:val="nil"/>
            </w:tcBorders>
          </w:tcPr>
          <w:p>
            <w:pPr>
              <w:pStyle w:val="TableParagraph"/>
              <w:spacing w:before="162"/>
              <w:ind w:left="3982" w:right="3988"/>
              <w:jc w:val="center"/>
              <w:rPr>
                <w:b/>
                <w:sz w:val="24"/>
              </w:rPr>
            </w:pPr>
            <w:r>
              <w:rPr>
                <w:b/>
                <w:sz w:val="24"/>
              </w:rPr>
              <w:t>Model</w:t>
            </w:r>
            <w:r>
              <w:rPr>
                <w:b/>
                <w:spacing w:val="-3"/>
                <w:sz w:val="24"/>
              </w:rPr>
              <w:t> </w:t>
            </w:r>
            <w:r>
              <w:rPr>
                <w:b/>
                <w:sz w:val="24"/>
              </w:rPr>
              <w:t>4</w:t>
            </w:r>
          </w:p>
        </w:tc>
      </w:tr>
      <w:tr>
        <w:trPr>
          <w:trHeight w:val="412" w:hRule="exact"/>
        </w:trPr>
        <w:tc>
          <w:tcPr>
            <w:tcW w:w="882" w:type="dxa"/>
            <w:tcBorders>
              <w:top w:val="nil"/>
              <w:left w:val="nil"/>
              <w:bottom w:val="nil"/>
              <w:right w:val="nil"/>
            </w:tcBorders>
          </w:tcPr>
          <w:p>
            <w:pPr>
              <w:pStyle w:val="TableParagraph"/>
              <w:spacing w:before="66"/>
              <w:ind w:left="69"/>
              <w:jc w:val="left"/>
              <w:rPr>
                <w:sz w:val="24"/>
              </w:rPr>
            </w:pPr>
            <w:r>
              <w:rPr>
                <w:sz w:val="24"/>
              </w:rPr>
              <w:t>AV</w:t>
            </w:r>
          </w:p>
        </w:tc>
        <w:tc>
          <w:tcPr>
            <w:tcW w:w="1073" w:type="dxa"/>
            <w:tcBorders>
              <w:top w:val="nil"/>
              <w:left w:val="nil"/>
              <w:bottom w:val="nil"/>
              <w:right w:val="nil"/>
            </w:tcBorders>
          </w:tcPr>
          <w:p>
            <w:pPr>
              <w:pStyle w:val="TableParagraph"/>
              <w:spacing w:before="66"/>
              <w:ind w:right="155"/>
              <w:rPr>
                <w:sz w:val="24"/>
              </w:rPr>
            </w:pPr>
            <w:r>
              <w:rPr>
                <w:sz w:val="24"/>
              </w:rPr>
              <w:t>61.84</w:t>
            </w:r>
          </w:p>
        </w:tc>
        <w:tc>
          <w:tcPr>
            <w:tcW w:w="855" w:type="dxa"/>
            <w:tcBorders>
              <w:top w:val="nil"/>
              <w:left w:val="nil"/>
              <w:bottom w:val="nil"/>
              <w:right w:val="nil"/>
            </w:tcBorders>
          </w:tcPr>
          <w:p>
            <w:pPr>
              <w:pStyle w:val="TableParagraph"/>
              <w:spacing w:before="66"/>
              <w:ind w:left="137" w:right="137"/>
              <w:jc w:val="center"/>
              <w:rPr>
                <w:sz w:val="24"/>
              </w:rPr>
            </w:pPr>
            <w:r>
              <w:rPr>
                <w:sz w:val="24"/>
              </w:rPr>
              <w:t>64.33</w:t>
            </w:r>
          </w:p>
        </w:tc>
        <w:tc>
          <w:tcPr>
            <w:tcW w:w="856" w:type="dxa"/>
            <w:tcBorders>
              <w:top w:val="nil"/>
              <w:left w:val="nil"/>
              <w:bottom w:val="nil"/>
              <w:right w:val="nil"/>
            </w:tcBorders>
          </w:tcPr>
          <w:p>
            <w:pPr>
              <w:pStyle w:val="TableParagraph"/>
              <w:spacing w:before="66"/>
              <w:ind w:left="137" w:right="138"/>
              <w:jc w:val="center"/>
              <w:rPr>
                <w:sz w:val="24"/>
              </w:rPr>
            </w:pPr>
            <w:r>
              <w:rPr>
                <w:sz w:val="24"/>
              </w:rPr>
              <w:t>66.55</w:t>
            </w:r>
          </w:p>
        </w:tc>
        <w:tc>
          <w:tcPr>
            <w:tcW w:w="857" w:type="dxa"/>
            <w:tcBorders>
              <w:top w:val="nil"/>
              <w:left w:val="nil"/>
              <w:bottom w:val="nil"/>
              <w:right w:val="nil"/>
            </w:tcBorders>
          </w:tcPr>
          <w:p>
            <w:pPr>
              <w:pStyle w:val="TableParagraph"/>
              <w:spacing w:before="66"/>
              <w:ind w:right="156"/>
              <w:rPr>
                <w:sz w:val="24"/>
              </w:rPr>
            </w:pPr>
            <w:r>
              <w:rPr>
                <w:sz w:val="24"/>
              </w:rPr>
              <w:t>68.43</w:t>
            </w:r>
          </w:p>
        </w:tc>
        <w:tc>
          <w:tcPr>
            <w:tcW w:w="856" w:type="dxa"/>
            <w:tcBorders>
              <w:top w:val="nil"/>
              <w:left w:val="nil"/>
              <w:bottom w:val="nil"/>
              <w:right w:val="nil"/>
            </w:tcBorders>
          </w:tcPr>
          <w:p>
            <w:pPr>
              <w:pStyle w:val="TableParagraph"/>
              <w:spacing w:before="66"/>
              <w:ind w:left="137" w:right="137"/>
              <w:jc w:val="center"/>
              <w:rPr>
                <w:sz w:val="24"/>
              </w:rPr>
            </w:pPr>
            <w:r>
              <w:rPr>
                <w:sz w:val="24"/>
              </w:rPr>
              <w:t>70.32</w:t>
            </w:r>
          </w:p>
        </w:tc>
        <w:tc>
          <w:tcPr>
            <w:tcW w:w="856" w:type="dxa"/>
            <w:tcBorders>
              <w:top w:val="nil"/>
              <w:left w:val="nil"/>
              <w:bottom w:val="nil"/>
              <w:right w:val="nil"/>
            </w:tcBorders>
          </w:tcPr>
          <w:p>
            <w:pPr>
              <w:pStyle w:val="TableParagraph"/>
              <w:spacing w:before="66"/>
              <w:ind w:right="156"/>
              <w:rPr>
                <w:sz w:val="24"/>
              </w:rPr>
            </w:pPr>
            <w:r>
              <w:rPr>
                <w:sz w:val="24"/>
              </w:rPr>
              <w:t>72.13</w:t>
            </w:r>
          </w:p>
        </w:tc>
        <w:tc>
          <w:tcPr>
            <w:tcW w:w="899" w:type="dxa"/>
            <w:tcBorders>
              <w:top w:val="nil"/>
              <w:left w:val="nil"/>
              <w:bottom w:val="nil"/>
              <w:right w:val="nil"/>
            </w:tcBorders>
          </w:tcPr>
          <w:p>
            <w:pPr>
              <w:pStyle w:val="TableParagraph"/>
              <w:spacing w:before="66"/>
              <w:ind w:left="179" w:right="140"/>
              <w:jc w:val="center"/>
              <w:rPr>
                <w:sz w:val="24"/>
              </w:rPr>
            </w:pPr>
            <w:r>
              <w:rPr>
                <w:sz w:val="24"/>
              </w:rPr>
              <w:t>74.07</w:t>
            </w:r>
          </w:p>
        </w:tc>
        <w:tc>
          <w:tcPr>
            <w:tcW w:w="898" w:type="dxa"/>
            <w:tcBorders>
              <w:top w:val="nil"/>
              <w:left w:val="nil"/>
              <w:bottom w:val="nil"/>
              <w:right w:val="nil"/>
            </w:tcBorders>
          </w:tcPr>
          <w:p>
            <w:pPr>
              <w:pStyle w:val="TableParagraph"/>
              <w:spacing w:before="66"/>
              <w:ind w:right="155"/>
              <w:rPr>
                <w:sz w:val="24"/>
              </w:rPr>
            </w:pPr>
            <w:r>
              <w:rPr>
                <w:sz w:val="24"/>
              </w:rPr>
              <w:t>76.09</w:t>
            </w:r>
          </w:p>
        </w:tc>
        <w:tc>
          <w:tcPr>
            <w:tcW w:w="810" w:type="dxa"/>
            <w:tcBorders>
              <w:top w:val="nil"/>
              <w:left w:val="nil"/>
              <w:bottom w:val="nil"/>
              <w:right w:val="nil"/>
            </w:tcBorders>
          </w:tcPr>
          <w:p>
            <w:pPr>
              <w:pStyle w:val="TableParagraph"/>
              <w:spacing w:before="66"/>
              <w:ind w:right="71"/>
              <w:rPr>
                <w:sz w:val="24"/>
              </w:rPr>
            </w:pPr>
            <w:r>
              <w:rPr>
                <w:sz w:val="24"/>
              </w:rPr>
              <w:t>78.22</w:t>
            </w:r>
          </w:p>
        </w:tc>
      </w:tr>
      <w:tr>
        <w:trPr>
          <w:trHeight w:val="414" w:hRule="exact"/>
        </w:trPr>
        <w:tc>
          <w:tcPr>
            <w:tcW w:w="882" w:type="dxa"/>
            <w:tcBorders>
              <w:top w:val="nil"/>
              <w:left w:val="nil"/>
              <w:bottom w:val="nil"/>
              <w:right w:val="nil"/>
            </w:tcBorders>
          </w:tcPr>
          <w:p>
            <w:pPr>
              <w:pStyle w:val="TableParagraph"/>
              <w:spacing w:before="69"/>
              <w:ind w:left="69"/>
              <w:jc w:val="left"/>
              <w:rPr>
                <w:sz w:val="24"/>
              </w:rPr>
            </w:pPr>
            <w:r>
              <w:rPr>
                <w:sz w:val="24"/>
              </w:rPr>
              <w:t>TI</w:t>
            </w:r>
          </w:p>
        </w:tc>
        <w:tc>
          <w:tcPr>
            <w:tcW w:w="1073" w:type="dxa"/>
            <w:tcBorders>
              <w:top w:val="nil"/>
              <w:left w:val="nil"/>
              <w:bottom w:val="nil"/>
              <w:right w:val="nil"/>
            </w:tcBorders>
          </w:tcPr>
          <w:p>
            <w:pPr>
              <w:pStyle w:val="TableParagraph"/>
              <w:spacing w:before="69"/>
              <w:ind w:right="155"/>
              <w:rPr>
                <w:sz w:val="24"/>
              </w:rPr>
            </w:pPr>
            <w:r>
              <w:rPr>
                <w:sz w:val="24"/>
              </w:rPr>
              <w:t>18.54</w:t>
            </w:r>
          </w:p>
        </w:tc>
        <w:tc>
          <w:tcPr>
            <w:tcW w:w="855" w:type="dxa"/>
            <w:tcBorders>
              <w:top w:val="nil"/>
              <w:left w:val="nil"/>
              <w:bottom w:val="nil"/>
              <w:right w:val="nil"/>
            </w:tcBorders>
          </w:tcPr>
          <w:p>
            <w:pPr>
              <w:pStyle w:val="TableParagraph"/>
              <w:spacing w:before="69"/>
              <w:ind w:left="137" w:right="137"/>
              <w:jc w:val="center"/>
              <w:rPr>
                <w:sz w:val="24"/>
              </w:rPr>
            </w:pPr>
            <w:r>
              <w:rPr>
                <w:sz w:val="24"/>
              </w:rPr>
              <w:t>18.35</w:t>
            </w:r>
          </w:p>
        </w:tc>
        <w:tc>
          <w:tcPr>
            <w:tcW w:w="856" w:type="dxa"/>
            <w:tcBorders>
              <w:top w:val="nil"/>
              <w:left w:val="nil"/>
              <w:bottom w:val="nil"/>
              <w:right w:val="nil"/>
            </w:tcBorders>
          </w:tcPr>
          <w:p>
            <w:pPr>
              <w:pStyle w:val="TableParagraph"/>
              <w:spacing w:before="69"/>
              <w:ind w:left="137" w:right="138"/>
              <w:jc w:val="center"/>
              <w:rPr>
                <w:sz w:val="24"/>
              </w:rPr>
            </w:pPr>
            <w:r>
              <w:rPr>
                <w:sz w:val="24"/>
              </w:rPr>
              <w:t>19.39</w:t>
            </w:r>
          </w:p>
        </w:tc>
        <w:tc>
          <w:tcPr>
            <w:tcW w:w="857" w:type="dxa"/>
            <w:tcBorders>
              <w:top w:val="nil"/>
              <w:left w:val="nil"/>
              <w:bottom w:val="nil"/>
              <w:right w:val="nil"/>
            </w:tcBorders>
          </w:tcPr>
          <w:p>
            <w:pPr>
              <w:pStyle w:val="TableParagraph"/>
              <w:spacing w:before="69"/>
              <w:ind w:right="156"/>
              <w:rPr>
                <w:sz w:val="24"/>
              </w:rPr>
            </w:pPr>
            <w:r>
              <w:rPr>
                <w:sz w:val="24"/>
              </w:rPr>
              <w:t>20.59</w:t>
            </w:r>
          </w:p>
        </w:tc>
        <w:tc>
          <w:tcPr>
            <w:tcW w:w="856" w:type="dxa"/>
            <w:tcBorders>
              <w:top w:val="nil"/>
              <w:left w:val="nil"/>
              <w:bottom w:val="nil"/>
              <w:right w:val="nil"/>
            </w:tcBorders>
          </w:tcPr>
          <w:p>
            <w:pPr>
              <w:pStyle w:val="TableParagraph"/>
              <w:spacing w:before="69"/>
              <w:ind w:left="137" w:right="137"/>
              <w:jc w:val="center"/>
              <w:rPr>
                <w:sz w:val="24"/>
              </w:rPr>
            </w:pPr>
            <w:r>
              <w:rPr>
                <w:sz w:val="24"/>
              </w:rPr>
              <w:t>20.20</w:t>
            </w:r>
          </w:p>
        </w:tc>
        <w:tc>
          <w:tcPr>
            <w:tcW w:w="856" w:type="dxa"/>
            <w:tcBorders>
              <w:top w:val="nil"/>
              <w:left w:val="nil"/>
              <w:bottom w:val="nil"/>
              <w:right w:val="nil"/>
            </w:tcBorders>
          </w:tcPr>
          <w:p>
            <w:pPr>
              <w:pStyle w:val="TableParagraph"/>
              <w:spacing w:before="69"/>
              <w:ind w:right="156"/>
              <w:rPr>
                <w:sz w:val="24"/>
              </w:rPr>
            </w:pPr>
            <w:r>
              <w:rPr>
                <w:sz w:val="24"/>
              </w:rPr>
              <w:t>20.75</w:t>
            </w:r>
          </w:p>
        </w:tc>
        <w:tc>
          <w:tcPr>
            <w:tcW w:w="899" w:type="dxa"/>
            <w:tcBorders>
              <w:top w:val="nil"/>
              <w:left w:val="nil"/>
              <w:bottom w:val="nil"/>
              <w:right w:val="nil"/>
            </w:tcBorders>
          </w:tcPr>
          <w:p>
            <w:pPr>
              <w:pStyle w:val="TableParagraph"/>
              <w:spacing w:before="69"/>
              <w:ind w:left="179" w:right="140"/>
              <w:jc w:val="center"/>
              <w:rPr>
                <w:sz w:val="24"/>
              </w:rPr>
            </w:pPr>
            <w:r>
              <w:rPr>
                <w:sz w:val="24"/>
              </w:rPr>
              <w:t>21.06</w:t>
            </w:r>
          </w:p>
        </w:tc>
        <w:tc>
          <w:tcPr>
            <w:tcW w:w="898" w:type="dxa"/>
            <w:tcBorders>
              <w:top w:val="nil"/>
              <w:left w:val="nil"/>
              <w:bottom w:val="nil"/>
              <w:right w:val="nil"/>
            </w:tcBorders>
          </w:tcPr>
          <w:p>
            <w:pPr>
              <w:pStyle w:val="TableParagraph"/>
              <w:spacing w:before="69"/>
              <w:ind w:right="155"/>
              <w:rPr>
                <w:sz w:val="24"/>
              </w:rPr>
            </w:pPr>
            <w:r>
              <w:rPr>
                <w:sz w:val="24"/>
              </w:rPr>
              <w:t>22.27</w:t>
            </w:r>
          </w:p>
        </w:tc>
        <w:tc>
          <w:tcPr>
            <w:tcW w:w="810" w:type="dxa"/>
            <w:tcBorders>
              <w:top w:val="nil"/>
              <w:left w:val="nil"/>
              <w:bottom w:val="nil"/>
              <w:right w:val="nil"/>
            </w:tcBorders>
          </w:tcPr>
          <w:p>
            <w:pPr>
              <w:pStyle w:val="TableParagraph"/>
              <w:spacing w:before="69"/>
              <w:ind w:right="71"/>
              <w:rPr>
                <w:sz w:val="24"/>
              </w:rPr>
            </w:pPr>
            <w:r>
              <w:rPr>
                <w:sz w:val="24"/>
              </w:rPr>
              <w:t>22.73</w:t>
            </w:r>
          </w:p>
        </w:tc>
      </w:tr>
      <w:tr>
        <w:trPr>
          <w:trHeight w:val="414" w:hRule="exact"/>
        </w:trPr>
        <w:tc>
          <w:tcPr>
            <w:tcW w:w="882" w:type="dxa"/>
            <w:tcBorders>
              <w:top w:val="nil"/>
              <w:left w:val="nil"/>
              <w:bottom w:val="nil"/>
              <w:right w:val="nil"/>
            </w:tcBorders>
          </w:tcPr>
          <w:p>
            <w:pPr>
              <w:pStyle w:val="TableParagraph"/>
              <w:spacing w:before="68"/>
              <w:ind w:left="69"/>
              <w:jc w:val="left"/>
              <w:rPr>
                <w:sz w:val="24"/>
              </w:rPr>
            </w:pPr>
            <w:r>
              <w:rPr>
                <w:sz w:val="24"/>
              </w:rPr>
              <w:t>TC</w:t>
            </w:r>
          </w:p>
        </w:tc>
        <w:tc>
          <w:tcPr>
            <w:tcW w:w="1073" w:type="dxa"/>
            <w:tcBorders>
              <w:top w:val="nil"/>
              <w:left w:val="nil"/>
              <w:bottom w:val="nil"/>
              <w:right w:val="nil"/>
            </w:tcBorders>
          </w:tcPr>
          <w:p>
            <w:pPr>
              <w:pStyle w:val="TableParagraph"/>
              <w:spacing w:before="68"/>
              <w:ind w:right="155"/>
              <w:rPr>
                <w:sz w:val="24"/>
              </w:rPr>
            </w:pPr>
            <w:r>
              <w:rPr>
                <w:sz w:val="24"/>
              </w:rPr>
              <w:t>10.32</w:t>
            </w:r>
          </w:p>
        </w:tc>
        <w:tc>
          <w:tcPr>
            <w:tcW w:w="855" w:type="dxa"/>
            <w:tcBorders>
              <w:top w:val="nil"/>
              <w:left w:val="nil"/>
              <w:bottom w:val="nil"/>
              <w:right w:val="nil"/>
            </w:tcBorders>
          </w:tcPr>
          <w:p>
            <w:pPr>
              <w:pStyle w:val="TableParagraph"/>
              <w:spacing w:before="68"/>
              <w:ind w:left="137" w:right="137"/>
              <w:jc w:val="center"/>
              <w:rPr>
                <w:sz w:val="24"/>
              </w:rPr>
            </w:pPr>
            <w:r>
              <w:rPr>
                <w:sz w:val="24"/>
              </w:rPr>
              <w:t>10.60</w:t>
            </w:r>
          </w:p>
        </w:tc>
        <w:tc>
          <w:tcPr>
            <w:tcW w:w="856" w:type="dxa"/>
            <w:tcBorders>
              <w:top w:val="nil"/>
              <w:left w:val="nil"/>
              <w:bottom w:val="nil"/>
              <w:right w:val="nil"/>
            </w:tcBorders>
          </w:tcPr>
          <w:p>
            <w:pPr>
              <w:pStyle w:val="TableParagraph"/>
              <w:spacing w:before="68"/>
              <w:ind w:left="137" w:right="138"/>
              <w:jc w:val="center"/>
              <w:rPr>
                <w:sz w:val="24"/>
              </w:rPr>
            </w:pPr>
            <w:r>
              <w:rPr>
                <w:sz w:val="24"/>
              </w:rPr>
              <w:t>11.13</w:t>
            </w:r>
          </w:p>
        </w:tc>
        <w:tc>
          <w:tcPr>
            <w:tcW w:w="857" w:type="dxa"/>
            <w:tcBorders>
              <w:top w:val="nil"/>
              <w:left w:val="nil"/>
              <w:bottom w:val="nil"/>
              <w:right w:val="nil"/>
            </w:tcBorders>
          </w:tcPr>
          <w:p>
            <w:pPr>
              <w:pStyle w:val="TableParagraph"/>
              <w:spacing w:before="68"/>
              <w:ind w:right="156"/>
              <w:rPr>
                <w:sz w:val="24"/>
              </w:rPr>
            </w:pPr>
            <w:r>
              <w:rPr>
                <w:sz w:val="24"/>
              </w:rPr>
              <w:t>11.49</w:t>
            </w:r>
          </w:p>
        </w:tc>
        <w:tc>
          <w:tcPr>
            <w:tcW w:w="856" w:type="dxa"/>
            <w:tcBorders>
              <w:top w:val="nil"/>
              <w:left w:val="nil"/>
              <w:bottom w:val="nil"/>
              <w:right w:val="nil"/>
            </w:tcBorders>
          </w:tcPr>
          <w:p>
            <w:pPr>
              <w:pStyle w:val="TableParagraph"/>
              <w:spacing w:before="68"/>
              <w:ind w:left="137" w:right="137"/>
              <w:jc w:val="center"/>
              <w:rPr>
                <w:sz w:val="24"/>
              </w:rPr>
            </w:pPr>
            <w:r>
              <w:rPr>
                <w:sz w:val="24"/>
              </w:rPr>
              <w:t>11.84</w:t>
            </w:r>
          </w:p>
        </w:tc>
        <w:tc>
          <w:tcPr>
            <w:tcW w:w="856" w:type="dxa"/>
            <w:tcBorders>
              <w:top w:val="nil"/>
              <w:left w:val="nil"/>
              <w:bottom w:val="nil"/>
              <w:right w:val="nil"/>
            </w:tcBorders>
          </w:tcPr>
          <w:p>
            <w:pPr>
              <w:pStyle w:val="TableParagraph"/>
              <w:spacing w:before="68"/>
              <w:ind w:right="156"/>
              <w:rPr>
                <w:sz w:val="24"/>
              </w:rPr>
            </w:pPr>
            <w:r>
              <w:rPr>
                <w:sz w:val="24"/>
              </w:rPr>
              <w:t>11.98</w:t>
            </w:r>
          </w:p>
        </w:tc>
        <w:tc>
          <w:tcPr>
            <w:tcW w:w="899" w:type="dxa"/>
            <w:tcBorders>
              <w:top w:val="nil"/>
              <w:left w:val="nil"/>
              <w:bottom w:val="nil"/>
              <w:right w:val="nil"/>
            </w:tcBorders>
          </w:tcPr>
          <w:p>
            <w:pPr>
              <w:pStyle w:val="TableParagraph"/>
              <w:spacing w:before="68"/>
              <w:ind w:left="179" w:right="140"/>
              <w:jc w:val="center"/>
              <w:rPr>
                <w:sz w:val="24"/>
              </w:rPr>
            </w:pPr>
            <w:r>
              <w:rPr>
                <w:sz w:val="24"/>
              </w:rPr>
              <w:t>12.48</w:t>
            </w:r>
          </w:p>
        </w:tc>
        <w:tc>
          <w:tcPr>
            <w:tcW w:w="898" w:type="dxa"/>
            <w:tcBorders>
              <w:top w:val="nil"/>
              <w:left w:val="nil"/>
              <w:bottom w:val="nil"/>
              <w:right w:val="nil"/>
            </w:tcBorders>
          </w:tcPr>
          <w:p>
            <w:pPr>
              <w:pStyle w:val="TableParagraph"/>
              <w:spacing w:before="68"/>
              <w:ind w:right="155"/>
              <w:rPr>
                <w:sz w:val="24"/>
              </w:rPr>
            </w:pPr>
            <w:r>
              <w:rPr>
                <w:sz w:val="24"/>
              </w:rPr>
              <w:t>12.84</w:t>
            </w:r>
          </w:p>
        </w:tc>
        <w:tc>
          <w:tcPr>
            <w:tcW w:w="810" w:type="dxa"/>
            <w:tcBorders>
              <w:top w:val="nil"/>
              <w:left w:val="nil"/>
              <w:bottom w:val="nil"/>
              <w:right w:val="nil"/>
            </w:tcBorders>
          </w:tcPr>
          <w:p>
            <w:pPr>
              <w:pStyle w:val="TableParagraph"/>
              <w:spacing w:before="68"/>
              <w:ind w:right="71"/>
              <w:rPr>
                <w:sz w:val="24"/>
              </w:rPr>
            </w:pPr>
            <w:r>
              <w:rPr>
                <w:sz w:val="24"/>
              </w:rPr>
              <w:t>13.07</w:t>
            </w:r>
          </w:p>
        </w:tc>
      </w:tr>
      <w:tr>
        <w:trPr>
          <w:trHeight w:val="497" w:hRule="exact"/>
        </w:trPr>
        <w:tc>
          <w:tcPr>
            <w:tcW w:w="882" w:type="dxa"/>
            <w:tcBorders>
              <w:top w:val="nil"/>
              <w:left w:val="nil"/>
              <w:right w:val="nil"/>
            </w:tcBorders>
          </w:tcPr>
          <w:p>
            <w:pPr>
              <w:pStyle w:val="TableParagraph"/>
              <w:spacing w:before="69"/>
              <w:ind w:left="69"/>
              <w:jc w:val="left"/>
              <w:rPr>
                <w:sz w:val="24"/>
              </w:rPr>
            </w:pPr>
            <w:r>
              <w:rPr>
                <w:sz w:val="24"/>
              </w:rPr>
              <w:t>NI</w:t>
            </w:r>
          </w:p>
        </w:tc>
        <w:tc>
          <w:tcPr>
            <w:tcW w:w="1073" w:type="dxa"/>
            <w:tcBorders>
              <w:top w:val="nil"/>
              <w:left w:val="nil"/>
              <w:right w:val="nil"/>
            </w:tcBorders>
          </w:tcPr>
          <w:p>
            <w:pPr>
              <w:pStyle w:val="TableParagraph"/>
              <w:spacing w:before="69"/>
              <w:ind w:right="155"/>
              <w:rPr>
                <w:sz w:val="24"/>
              </w:rPr>
            </w:pPr>
            <w:r>
              <w:rPr>
                <w:sz w:val="24"/>
              </w:rPr>
              <w:t>8.22</w:t>
            </w:r>
          </w:p>
        </w:tc>
        <w:tc>
          <w:tcPr>
            <w:tcW w:w="855" w:type="dxa"/>
            <w:tcBorders>
              <w:top w:val="nil"/>
              <w:left w:val="nil"/>
              <w:right w:val="nil"/>
            </w:tcBorders>
          </w:tcPr>
          <w:p>
            <w:pPr>
              <w:pStyle w:val="TableParagraph"/>
              <w:spacing w:before="69"/>
              <w:ind w:left="137" w:right="17"/>
              <w:jc w:val="center"/>
              <w:rPr>
                <w:sz w:val="24"/>
              </w:rPr>
            </w:pPr>
            <w:r>
              <w:rPr>
                <w:sz w:val="24"/>
              </w:rPr>
              <w:t>7.75</w:t>
            </w:r>
          </w:p>
        </w:tc>
        <w:tc>
          <w:tcPr>
            <w:tcW w:w="856" w:type="dxa"/>
            <w:tcBorders>
              <w:top w:val="nil"/>
              <w:left w:val="nil"/>
              <w:right w:val="nil"/>
            </w:tcBorders>
          </w:tcPr>
          <w:p>
            <w:pPr>
              <w:pStyle w:val="TableParagraph"/>
              <w:spacing w:before="69"/>
              <w:ind w:left="137" w:right="19"/>
              <w:jc w:val="center"/>
              <w:rPr>
                <w:sz w:val="24"/>
              </w:rPr>
            </w:pPr>
            <w:r>
              <w:rPr>
                <w:sz w:val="24"/>
              </w:rPr>
              <w:t>8.26</w:t>
            </w:r>
          </w:p>
        </w:tc>
        <w:tc>
          <w:tcPr>
            <w:tcW w:w="857" w:type="dxa"/>
            <w:tcBorders>
              <w:top w:val="nil"/>
              <w:left w:val="nil"/>
              <w:right w:val="nil"/>
            </w:tcBorders>
          </w:tcPr>
          <w:p>
            <w:pPr>
              <w:pStyle w:val="TableParagraph"/>
              <w:spacing w:before="69"/>
              <w:ind w:right="156"/>
              <w:rPr>
                <w:sz w:val="24"/>
              </w:rPr>
            </w:pPr>
            <w:r>
              <w:rPr>
                <w:sz w:val="24"/>
              </w:rPr>
              <w:t>9.10</w:t>
            </w:r>
          </w:p>
        </w:tc>
        <w:tc>
          <w:tcPr>
            <w:tcW w:w="856" w:type="dxa"/>
            <w:tcBorders>
              <w:top w:val="nil"/>
              <w:left w:val="nil"/>
              <w:right w:val="nil"/>
            </w:tcBorders>
          </w:tcPr>
          <w:p>
            <w:pPr>
              <w:pStyle w:val="TableParagraph"/>
              <w:spacing w:before="69"/>
              <w:ind w:left="138" w:right="17"/>
              <w:jc w:val="center"/>
              <w:rPr>
                <w:sz w:val="24"/>
              </w:rPr>
            </w:pPr>
            <w:r>
              <w:rPr>
                <w:sz w:val="24"/>
              </w:rPr>
              <w:t>8.35</w:t>
            </w:r>
          </w:p>
        </w:tc>
        <w:tc>
          <w:tcPr>
            <w:tcW w:w="856" w:type="dxa"/>
            <w:tcBorders>
              <w:top w:val="nil"/>
              <w:left w:val="nil"/>
              <w:right w:val="nil"/>
            </w:tcBorders>
          </w:tcPr>
          <w:p>
            <w:pPr>
              <w:pStyle w:val="TableParagraph"/>
              <w:spacing w:before="69"/>
              <w:ind w:right="156"/>
              <w:rPr>
                <w:sz w:val="24"/>
              </w:rPr>
            </w:pPr>
            <w:r>
              <w:rPr>
                <w:sz w:val="24"/>
              </w:rPr>
              <w:t>8.77</w:t>
            </w:r>
          </w:p>
        </w:tc>
        <w:tc>
          <w:tcPr>
            <w:tcW w:w="899" w:type="dxa"/>
            <w:tcBorders>
              <w:top w:val="nil"/>
              <w:left w:val="nil"/>
              <w:right w:val="nil"/>
            </w:tcBorders>
          </w:tcPr>
          <w:p>
            <w:pPr>
              <w:pStyle w:val="TableParagraph"/>
              <w:spacing w:before="69"/>
              <w:ind w:left="179" w:right="20"/>
              <w:jc w:val="center"/>
              <w:rPr>
                <w:sz w:val="24"/>
              </w:rPr>
            </w:pPr>
            <w:r>
              <w:rPr>
                <w:sz w:val="24"/>
              </w:rPr>
              <w:t>8.59</w:t>
            </w:r>
          </w:p>
        </w:tc>
        <w:tc>
          <w:tcPr>
            <w:tcW w:w="898" w:type="dxa"/>
            <w:tcBorders>
              <w:top w:val="nil"/>
              <w:left w:val="nil"/>
              <w:right w:val="nil"/>
            </w:tcBorders>
          </w:tcPr>
          <w:p>
            <w:pPr>
              <w:pStyle w:val="TableParagraph"/>
              <w:spacing w:before="69"/>
              <w:ind w:right="155"/>
              <w:rPr>
                <w:sz w:val="24"/>
              </w:rPr>
            </w:pPr>
            <w:r>
              <w:rPr>
                <w:sz w:val="24"/>
              </w:rPr>
              <w:t>9.42</w:t>
            </w:r>
          </w:p>
        </w:tc>
        <w:tc>
          <w:tcPr>
            <w:tcW w:w="810" w:type="dxa"/>
            <w:tcBorders>
              <w:top w:val="nil"/>
              <w:left w:val="nil"/>
              <w:right w:val="nil"/>
            </w:tcBorders>
          </w:tcPr>
          <w:p>
            <w:pPr>
              <w:pStyle w:val="TableParagraph"/>
              <w:spacing w:before="69"/>
              <w:ind w:right="71"/>
              <w:rPr>
                <w:sz w:val="24"/>
              </w:rPr>
            </w:pPr>
            <w:r>
              <w:rPr>
                <w:sz w:val="24"/>
              </w:rPr>
              <w:t>9.66</w:t>
            </w:r>
          </w:p>
        </w:tc>
      </w:tr>
    </w:tbl>
    <w:p>
      <w:pPr>
        <w:spacing w:line="217" w:lineRule="exact" w:before="0"/>
        <w:ind w:left="171" w:right="0" w:firstLine="0"/>
        <w:jc w:val="left"/>
        <w:rPr>
          <w:sz w:val="20"/>
          <w:szCs w:val="20"/>
        </w:rPr>
      </w:pPr>
      <w:r>
        <w:rPr>
          <w:i/>
          <w:sz w:val="20"/>
          <w:szCs w:val="20"/>
        </w:rPr>
        <w:t>ʺ</w:t>
      </w:r>
      <w:r>
        <w:rPr>
          <w:sz w:val="20"/>
          <w:szCs w:val="20"/>
        </w:rPr>
        <w:t>Asset value = livestock, land, buildings and machinery; </w:t>
      </w:r>
      <w:r>
        <w:rPr>
          <w:i/>
          <w:position w:val="7"/>
          <w:sz w:val="13"/>
          <w:szCs w:val="13"/>
        </w:rPr>
        <w:t>ϐ </w:t>
      </w:r>
      <w:r>
        <w:rPr>
          <w:sz w:val="20"/>
          <w:szCs w:val="20"/>
        </w:rPr>
        <w:t>Total income as by equation (1); </w:t>
      </w:r>
      <w:r>
        <w:rPr>
          <w:position w:val="7"/>
          <w:sz w:val="13"/>
          <w:szCs w:val="13"/>
          <w:rtl/>
        </w:rPr>
        <w:t>٩</w:t>
      </w:r>
      <w:r>
        <w:rPr>
          <w:position w:val="7"/>
          <w:sz w:val="13"/>
          <w:szCs w:val="13"/>
        </w:rPr>
        <w:t> </w:t>
      </w:r>
      <w:r>
        <w:rPr>
          <w:sz w:val="20"/>
          <w:szCs w:val="20"/>
        </w:rPr>
        <w:t>Total costs as b</w:t>
      </w:r>
      <w:r>
        <w:rPr>
          <w:sz w:val="20"/>
          <w:szCs w:val="20"/>
        </w:rPr>
        <w:t>y</w:t>
      </w:r>
    </w:p>
    <w:p>
      <w:pPr>
        <w:spacing w:before="111"/>
        <w:ind w:left="171" w:right="0" w:firstLine="0"/>
        <w:jc w:val="left"/>
        <w:rPr>
          <w:sz w:val="20"/>
          <w:szCs w:val="20"/>
        </w:rPr>
      </w:pPr>
      <w:r>
        <w:rPr>
          <w:sz w:val="20"/>
          <w:szCs w:val="20"/>
        </w:rPr>
        <w:t>equation (4); </w:t>
      </w:r>
      <w:r>
        <w:rPr>
          <w:position w:val="7"/>
          <w:sz w:val="13"/>
          <w:szCs w:val="13"/>
          <w:rtl/>
        </w:rPr>
        <w:t>ۅ</w:t>
      </w:r>
      <w:r>
        <w:rPr>
          <w:position w:val="7"/>
          <w:sz w:val="13"/>
          <w:szCs w:val="13"/>
        </w:rPr>
        <w:t> </w:t>
      </w:r>
      <w:r>
        <w:rPr>
          <w:sz w:val="20"/>
          <w:szCs w:val="20"/>
        </w:rPr>
        <w:t>Net income as by equation (9)</w:t>
      </w:r>
      <w:r>
        <w:rPr>
          <w:sz w:val="20"/>
          <w:szCs w:val="20"/>
        </w:rPr>
        <w:t>.</w:t>
      </w:r>
    </w:p>
    <w:p>
      <w:pPr>
        <w:spacing w:after="0"/>
        <w:jc w:val="left"/>
        <w:rPr>
          <w:sz w:val="20"/>
          <w:szCs w:val="20"/>
        </w:rPr>
        <w:sectPr>
          <w:pgSz w:w="12240" w:h="15840"/>
          <w:pgMar w:header="0" w:footer="657" w:top="1360" w:bottom="840" w:left="1600" w:right="1580"/>
        </w:sectPr>
      </w:pPr>
    </w:p>
    <w:p>
      <w:pPr>
        <w:pStyle w:val="Heading1"/>
        <w:ind w:left="250"/>
        <w:jc w:val="left"/>
      </w:pPr>
      <w:r>
        <w:rPr/>
        <w:t>Table 3</w:t>
      </w:r>
    </w:p>
    <w:p>
      <w:pPr>
        <w:pStyle w:val="BodyText"/>
        <w:spacing w:before="135"/>
        <w:ind w:left="250"/>
      </w:pPr>
      <w:r>
        <w:rPr/>
        <w:t>Results of Monte Carlo simulation for the RSSDF in central Mexico, 2010-2018</w:t>
      </w:r>
    </w:p>
    <w:p>
      <w:pPr>
        <w:pStyle w:val="BodyText"/>
        <w:spacing w:before="11"/>
        <w:rPr>
          <w:sz w:val="8"/>
        </w:rPr>
      </w:pPr>
      <w:r>
        <w:rPr/>
        <w:pict>
          <v:group style="position:absolute;margin-left:90.963997pt;margin-top:7.104297pt;width:425.2pt;height:2.2pt;mso-position-horizontal-relative:page;mso-position-vertical-relative:paragraph;z-index:6400;mso-wrap-distance-left:0;mso-wrap-distance-right:0" coordorigin="1819,142" coordsize="8504,44">
            <v:line style="position:absolute" from="1841,164" to="5410,164" stroked="true" strokeweight="2.16pt" strokecolor="#000000"/>
            <v:line style="position:absolute" from="5411,164" to="5454,164" stroked="true" strokeweight="2.16pt" strokecolor="#000000"/>
            <v:line style="position:absolute" from="5454,164" to="6736,164" stroked="true" strokeweight="2.16pt" strokecolor="#000000"/>
            <v:line style="position:absolute" from="6736,164" to="6779,164" stroked="true" strokeweight="2.16pt" strokecolor="#000000"/>
            <v:line style="position:absolute" from="6779,164" to="7919,164" stroked="true" strokeweight="2.16pt" strokecolor="#000000"/>
            <v:line style="position:absolute" from="7919,164" to="7962,164" stroked="true" strokeweight="2.16pt" strokecolor="#000000"/>
            <v:line style="position:absolute" from="7962,164" to="9175,164" stroked="true" strokeweight="2.16pt" strokecolor="#000000"/>
            <v:line style="position:absolute" from="9175,164" to="9218,164" stroked="true" strokeweight="2.16pt" strokecolor="#000000"/>
            <v:line style="position:absolute" from="9218,164" to="10300,164" stroked="true" strokeweight="2.16pt" strokecolor="#000000"/>
            <w10:wrap type="topAndBottom"/>
          </v:group>
        </w:pict>
      </w:r>
    </w:p>
    <w:p>
      <w:pPr>
        <w:tabs>
          <w:tab w:pos="4304" w:val="left" w:leader="none"/>
          <w:tab w:pos="5490" w:val="left" w:leader="none"/>
          <w:tab w:pos="6746" w:val="left" w:leader="none"/>
          <w:tab w:pos="7869" w:val="left" w:leader="none"/>
        </w:tabs>
        <w:spacing w:before="88" w:after="120"/>
        <w:ind w:left="250" w:right="0" w:firstLine="0"/>
        <w:jc w:val="left"/>
        <w:rPr>
          <w:b/>
          <w:sz w:val="20"/>
        </w:rPr>
      </w:pPr>
      <w:r>
        <w:rPr>
          <w:b/>
          <w:sz w:val="20"/>
        </w:rPr>
        <w:t>Items</w:t>
        <w:tab/>
        <w:t>Model</w:t>
      </w:r>
      <w:r>
        <w:rPr>
          <w:b/>
          <w:spacing w:val="-1"/>
          <w:sz w:val="20"/>
        </w:rPr>
        <w:t> </w:t>
      </w:r>
      <w:r>
        <w:rPr>
          <w:b/>
          <w:sz w:val="20"/>
        </w:rPr>
        <w:t>1</w:t>
        <w:tab/>
        <w:t>Model</w:t>
      </w:r>
      <w:r>
        <w:rPr>
          <w:b/>
          <w:spacing w:val="-1"/>
          <w:sz w:val="20"/>
        </w:rPr>
        <w:t> </w:t>
      </w:r>
      <w:r>
        <w:rPr>
          <w:b/>
          <w:sz w:val="20"/>
        </w:rPr>
        <w:t>2</w:t>
        <w:tab/>
        <w:t>Model</w:t>
      </w:r>
      <w:r>
        <w:rPr>
          <w:b/>
          <w:spacing w:val="-1"/>
          <w:sz w:val="20"/>
        </w:rPr>
        <w:t> </w:t>
      </w:r>
      <w:r>
        <w:rPr>
          <w:b/>
          <w:sz w:val="20"/>
        </w:rPr>
        <w:t>3</w:t>
        <w:tab/>
        <w:t>Model 4</w:t>
      </w:r>
    </w:p>
    <w:p>
      <w:pPr>
        <w:pStyle w:val="BodyText"/>
        <w:spacing w:line="44" w:lineRule="exact"/>
        <w:ind w:left="159"/>
        <w:rPr>
          <w:sz w:val="4"/>
        </w:rPr>
      </w:pPr>
      <w:r>
        <w:rPr>
          <w:position w:val="0"/>
          <w:sz w:val="4"/>
        </w:rPr>
        <w:pict>
          <v:group style="width:425.2pt;height:2.2pt;mso-position-horizontal-relative:char;mso-position-vertical-relative:line" coordorigin="0,0" coordsize="8504,44">
            <v:line style="position:absolute" from="22,22" to="3591,22" stroked="true" strokeweight="2.16pt" strokecolor="#000000"/>
            <v:line style="position:absolute" from="3591,22" to="3635,22" stroked="true" strokeweight="2.16pt" strokecolor="#000000"/>
            <v:line style="position:absolute" from="3635,22" to="4917,22" stroked="true" strokeweight="2.16pt" strokecolor="#000000"/>
            <v:line style="position:absolute" from="4917,22" to="4960,22" stroked="true" strokeweight="2.16pt" strokecolor="#000000"/>
            <v:line style="position:absolute" from="4960,22" to="6100,22" stroked="true" strokeweight="2.16pt" strokecolor="#000000"/>
            <v:line style="position:absolute" from="6100,22" to="6143,22" stroked="true" strokeweight="2.16pt" strokecolor="#000000"/>
            <v:line style="position:absolute" from="6143,22" to="7355,22" stroked="true" strokeweight="2.16pt" strokecolor="#000000"/>
            <v:line style="position:absolute" from="7356,22" to="7399,22" stroked="true" strokeweight="2.16pt" strokecolor="#000000"/>
            <v:line style="position:absolute" from="7399,22" to="8481,22" stroked="true" strokeweight="2.16pt" strokecolor="#000000"/>
          </v:group>
        </w:pict>
      </w:r>
      <w:r>
        <w:rPr>
          <w:position w:val="0"/>
          <w:sz w:val="4"/>
        </w:rPr>
      </w:r>
    </w:p>
    <w:p>
      <w:pPr>
        <w:spacing w:before="117"/>
        <w:ind w:left="3414" w:right="3516" w:firstLine="0"/>
        <w:jc w:val="center"/>
        <w:rPr>
          <w:b/>
          <w:sz w:val="20"/>
        </w:rPr>
      </w:pPr>
      <w:r>
        <w:rPr>
          <w:b/>
          <w:sz w:val="20"/>
        </w:rPr>
        <w:t>Final Reserves in Cash</w:t>
      </w:r>
    </w:p>
    <w:p>
      <w:pPr>
        <w:pStyle w:val="BodyText"/>
        <w:spacing w:before="6"/>
        <w:rPr>
          <w:b/>
          <w:sz w:val="15"/>
        </w:rPr>
      </w:pPr>
    </w:p>
    <w:tbl>
      <w:tblPr>
        <w:tblW w:w="0" w:type="auto"/>
        <w:jc w:val="left"/>
        <w:tblInd w:w="1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88"/>
        <w:gridCol w:w="1675"/>
        <w:gridCol w:w="1170"/>
        <w:gridCol w:w="1240"/>
        <w:gridCol w:w="1065"/>
      </w:tblGrid>
      <w:tr>
        <w:trPr>
          <w:trHeight w:val="454" w:hRule="exact"/>
        </w:trPr>
        <w:tc>
          <w:tcPr>
            <w:tcW w:w="3288" w:type="dxa"/>
          </w:tcPr>
          <w:p>
            <w:pPr>
              <w:pStyle w:val="TableParagraph"/>
              <w:spacing w:before="73"/>
              <w:ind w:left="84"/>
              <w:jc w:val="left"/>
              <w:rPr>
                <w:sz w:val="20"/>
              </w:rPr>
            </w:pPr>
            <w:r>
              <w:rPr>
                <w:sz w:val="20"/>
              </w:rPr>
              <w:t>Mean (US$)</w:t>
            </w:r>
          </w:p>
        </w:tc>
        <w:tc>
          <w:tcPr>
            <w:tcW w:w="1675" w:type="dxa"/>
          </w:tcPr>
          <w:p>
            <w:pPr>
              <w:pStyle w:val="TableParagraph"/>
              <w:spacing w:before="73"/>
              <w:ind w:right="124"/>
              <w:rPr>
                <w:sz w:val="20"/>
              </w:rPr>
            </w:pPr>
            <w:r>
              <w:rPr>
                <w:w w:val="95"/>
                <w:sz w:val="20"/>
              </w:rPr>
              <w:t>22,524.06</w:t>
            </w:r>
          </w:p>
        </w:tc>
        <w:tc>
          <w:tcPr>
            <w:tcW w:w="1170" w:type="dxa"/>
          </w:tcPr>
          <w:p>
            <w:pPr>
              <w:pStyle w:val="TableParagraph"/>
              <w:spacing w:before="73"/>
              <w:ind w:right="108"/>
              <w:rPr>
                <w:sz w:val="20"/>
              </w:rPr>
            </w:pPr>
            <w:r>
              <w:rPr>
                <w:w w:val="95"/>
                <w:sz w:val="20"/>
              </w:rPr>
              <w:t>31,394.47</w:t>
            </w:r>
          </w:p>
        </w:tc>
        <w:tc>
          <w:tcPr>
            <w:tcW w:w="1240" w:type="dxa"/>
          </w:tcPr>
          <w:p>
            <w:pPr>
              <w:pStyle w:val="TableParagraph"/>
              <w:spacing w:before="73"/>
              <w:ind w:right="93"/>
              <w:rPr>
                <w:sz w:val="20"/>
              </w:rPr>
            </w:pPr>
            <w:r>
              <w:rPr>
                <w:w w:val="95"/>
                <w:sz w:val="20"/>
              </w:rPr>
              <w:t>(15,856.63)</w:t>
            </w:r>
          </w:p>
        </w:tc>
        <w:tc>
          <w:tcPr>
            <w:tcW w:w="1065" w:type="dxa"/>
          </w:tcPr>
          <w:p>
            <w:pPr>
              <w:pStyle w:val="TableParagraph"/>
              <w:spacing w:before="73"/>
              <w:ind w:right="34"/>
              <w:rPr>
                <w:sz w:val="20"/>
              </w:rPr>
            </w:pPr>
            <w:r>
              <w:rPr>
                <w:w w:val="95"/>
                <w:sz w:val="20"/>
              </w:rPr>
              <w:t>18,588.59</w:t>
            </w:r>
          </w:p>
        </w:tc>
      </w:tr>
      <w:tr>
        <w:trPr>
          <w:trHeight w:val="510" w:hRule="exact"/>
        </w:trPr>
        <w:tc>
          <w:tcPr>
            <w:tcW w:w="3288" w:type="dxa"/>
          </w:tcPr>
          <w:p>
            <w:pPr>
              <w:pStyle w:val="TableParagraph"/>
              <w:spacing w:before="128"/>
              <w:ind w:left="84"/>
              <w:jc w:val="left"/>
              <w:rPr>
                <w:sz w:val="20"/>
              </w:rPr>
            </w:pPr>
            <w:r>
              <w:rPr>
                <w:sz w:val="20"/>
              </w:rPr>
              <w:t>Standard Deviation (US$)</w:t>
            </w:r>
          </w:p>
        </w:tc>
        <w:tc>
          <w:tcPr>
            <w:tcW w:w="1675" w:type="dxa"/>
          </w:tcPr>
          <w:p>
            <w:pPr>
              <w:pStyle w:val="TableParagraph"/>
              <w:spacing w:before="128"/>
              <w:ind w:right="124"/>
              <w:rPr>
                <w:sz w:val="20"/>
              </w:rPr>
            </w:pPr>
            <w:r>
              <w:rPr>
                <w:w w:val="95"/>
                <w:sz w:val="20"/>
              </w:rPr>
              <w:t>22,266.88</w:t>
            </w:r>
          </w:p>
        </w:tc>
        <w:tc>
          <w:tcPr>
            <w:tcW w:w="1170" w:type="dxa"/>
          </w:tcPr>
          <w:p>
            <w:pPr>
              <w:pStyle w:val="TableParagraph"/>
              <w:spacing w:before="128"/>
              <w:ind w:right="108"/>
              <w:rPr>
                <w:sz w:val="20"/>
              </w:rPr>
            </w:pPr>
            <w:r>
              <w:rPr>
                <w:w w:val="95"/>
                <w:sz w:val="20"/>
              </w:rPr>
              <w:t>21,887.27</w:t>
            </w:r>
          </w:p>
        </w:tc>
        <w:tc>
          <w:tcPr>
            <w:tcW w:w="1240" w:type="dxa"/>
          </w:tcPr>
          <w:p>
            <w:pPr>
              <w:pStyle w:val="TableParagraph"/>
              <w:spacing w:before="128"/>
              <w:ind w:right="93"/>
              <w:rPr>
                <w:sz w:val="20"/>
              </w:rPr>
            </w:pPr>
            <w:r>
              <w:rPr>
                <w:w w:val="95"/>
                <w:sz w:val="20"/>
              </w:rPr>
              <w:t>29,044.43</w:t>
            </w:r>
          </w:p>
        </w:tc>
        <w:tc>
          <w:tcPr>
            <w:tcW w:w="1065" w:type="dxa"/>
          </w:tcPr>
          <w:p>
            <w:pPr>
              <w:pStyle w:val="TableParagraph"/>
              <w:spacing w:before="128"/>
              <w:ind w:right="34"/>
              <w:rPr>
                <w:sz w:val="20"/>
              </w:rPr>
            </w:pPr>
            <w:r>
              <w:rPr>
                <w:w w:val="95"/>
                <w:sz w:val="20"/>
              </w:rPr>
              <w:t>22,500.96</w:t>
            </w:r>
          </w:p>
        </w:tc>
      </w:tr>
      <w:tr>
        <w:trPr>
          <w:trHeight w:val="510" w:hRule="exact"/>
        </w:trPr>
        <w:tc>
          <w:tcPr>
            <w:tcW w:w="3288" w:type="dxa"/>
          </w:tcPr>
          <w:p>
            <w:pPr>
              <w:pStyle w:val="TableParagraph"/>
              <w:spacing w:before="129"/>
              <w:ind w:left="84"/>
              <w:jc w:val="left"/>
              <w:rPr>
                <w:sz w:val="20"/>
              </w:rPr>
            </w:pPr>
            <w:r>
              <w:rPr>
                <w:sz w:val="20"/>
              </w:rPr>
              <w:t>Coefficient of Variation (%)</w:t>
            </w:r>
          </w:p>
        </w:tc>
        <w:tc>
          <w:tcPr>
            <w:tcW w:w="1675" w:type="dxa"/>
          </w:tcPr>
          <w:p>
            <w:pPr>
              <w:pStyle w:val="TableParagraph"/>
              <w:spacing w:before="129"/>
              <w:ind w:right="124"/>
              <w:rPr>
                <w:sz w:val="20"/>
              </w:rPr>
            </w:pPr>
            <w:r>
              <w:rPr>
                <w:sz w:val="20"/>
              </w:rPr>
              <w:t>98.86</w:t>
            </w:r>
          </w:p>
        </w:tc>
        <w:tc>
          <w:tcPr>
            <w:tcW w:w="1170" w:type="dxa"/>
          </w:tcPr>
          <w:p>
            <w:pPr>
              <w:pStyle w:val="TableParagraph"/>
              <w:spacing w:before="129"/>
              <w:ind w:right="108"/>
              <w:rPr>
                <w:sz w:val="20"/>
              </w:rPr>
            </w:pPr>
            <w:r>
              <w:rPr>
                <w:sz w:val="20"/>
              </w:rPr>
              <w:t>69.72</w:t>
            </w:r>
          </w:p>
        </w:tc>
        <w:tc>
          <w:tcPr>
            <w:tcW w:w="1240" w:type="dxa"/>
          </w:tcPr>
          <w:p>
            <w:pPr>
              <w:pStyle w:val="TableParagraph"/>
              <w:spacing w:before="129"/>
              <w:ind w:right="93"/>
              <w:rPr>
                <w:sz w:val="20"/>
              </w:rPr>
            </w:pPr>
            <w:r>
              <w:rPr>
                <w:w w:val="99"/>
                <w:sz w:val="20"/>
              </w:rPr>
              <w:t>-</w:t>
            </w:r>
          </w:p>
        </w:tc>
        <w:tc>
          <w:tcPr>
            <w:tcW w:w="1065" w:type="dxa"/>
          </w:tcPr>
          <w:p>
            <w:pPr>
              <w:pStyle w:val="TableParagraph"/>
              <w:spacing w:before="129"/>
              <w:ind w:right="33"/>
              <w:rPr>
                <w:sz w:val="20"/>
              </w:rPr>
            </w:pPr>
            <w:r>
              <w:rPr>
                <w:w w:val="95"/>
                <w:sz w:val="20"/>
              </w:rPr>
              <w:t>121.05</w:t>
            </w:r>
          </w:p>
        </w:tc>
      </w:tr>
      <w:tr>
        <w:trPr>
          <w:trHeight w:val="510" w:hRule="exact"/>
        </w:trPr>
        <w:tc>
          <w:tcPr>
            <w:tcW w:w="3288" w:type="dxa"/>
          </w:tcPr>
          <w:p>
            <w:pPr>
              <w:pStyle w:val="TableParagraph"/>
              <w:spacing w:before="128"/>
              <w:ind w:left="84"/>
              <w:jc w:val="left"/>
              <w:rPr>
                <w:sz w:val="20"/>
              </w:rPr>
            </w:pPr>
            <w:r>
              <w:rPr>
                <w:sz w:val="20"/>
              </w:rPr>
              <w:t>Minimum (US$)</w:t>
            </w:r>
          </w:p>
        </w:tc>
        <w:tc>
          <w:tcPr>
            <w:tcW w:w="1675" w:type="dxa"/>
          </w:tcPr>
          <w:p>
            <w:pPr>
              <w:pStyle w:val="TableParagraph"/>
              <w:spacing w:before="128"/>
              <w:ind w:right="124"/>
              <w:rPr>
                <w:sz w:val="20"/>
              </w:rPr>
            </w:pPr>
            <w:r>
              <w:rPr>
                <w:w w:val="95"/>
                <w:sz w:val="20"/>
              </w:rPr>
              <w:t>(56,249.33)</w:t>
            </w:r>
          </w:p>
        </w:tc>
        <w:tc>
          <w:tcPr>
            <w:tcW w:w="1170" w:type="dxa"/>
          </w:tcPr>
          <w:p>
            <w:pPr>
              <w:pStyle w:val="TableParagraph"/>
              <w:spacing w:before="128"/>
              <w:ind w:right="108"/>
              <w:rPr>
                <w:sz w:val="20"/>
              </w:rPr>
            </w:pPr>
            <w:r>
              <w:rPr>
                <w:w w:val="95"/>
                <w:sz w:val="20"/>
              </w:rPr>
              <w:t>(45,239.86)</w:t>
            </w:r>
          </w:p>
        </w:tc>
        <w:tc>
          <w:tcPr>
            <w:tcW w:w="1240" w:type="dxa"/>
          </w:tcPr>
          <w:p>
            <w:pPr>
              <w:pStyle w:val="TableParagraph"/>
              <w:spacing w:before="128"/>
              <w:ind w:right="93"/>
              <w:rPr>
                <w:sz w:val="20"/>
              </w:rPr>
            </w:pPr>
            <w:r>
              <w:rPr>
                <w:w w:val="95"/>
                <w:sz w:val="20"/>
              </w:rPr>
              <w:t>(117,559.87)</w:t>
            </w:r>
          </w:p>
        </w:tc>
        <w:tc>
          <w:tcPr>
            <w:tcW w:w="1065" w:type="dxa"/>
          </w:tcPr>
          <w:p>
            <w:pPr>
              <w:pStyle w:val="TableParagraph"/>
              <w:spacing w:before="128"/>
              <w:ind w:right="33"/>
              <w:rPr>
                <w:sz w:val="20"/>
              </w:rPr>
            </w:pPr>
            <w:r>
              <w:rPr>
                <w:w w:val="95"/>
                <w:sz w:val="20"/>
              </w:rPr>
              <w:t>(61,137.29)</w:t>
            </w:r>
          </w:p>
        </w:tc>
      </w:tr>
      <w:tr>
        <w:trPr>
          <w:trHeight w:val="355" w:hRule="exact"/>
        </w:trPr>
        <w:tc>
          <w:tcPr>
            <w:tcW w:w="3288" w:type="dxa"/>
          </w:tcPr>
          <w:p>
            <w:pPr>
              <w:pStyle w:val="TableParagraph"/>
              <w:spacing w:before="129"/>
              <w:ind w:left="84"/>
              <w:jc w:val="left"/>
              <w:rPr>
                <w:sz w:val="20"/>
              </w:rPr>
            </w:pPr>
            <w:r>
              <w:rPr>
                <w:sz w:val="20"/>
              </w:rPr>
              <w:t>Maximum (US$)</w:t>
            </w:r>
          </w:p>
        </w:tc>
        <w:tc>
          <w:tcPr>
            <w:tcW w:w="1675" w:type="dxa"/>
          </w:tcPr>
          <w:p>
            <w:pPr>
              <w:pStyle w:val="TableParagraph"/>
              <w:spacing w:before="129"/>
              <w:ind w:right="124"/>
              <w:rPr>
                <w:sz w:val="20"/>
              </w:rPr>
            </w:pPr>
            <w:r>
              <w:rPr>
                <w:w w:val="95"/>
                <w:sz w:val="20"/>
              </w:rPr>
              <w:t>76,075.31</w:t>
            </w:r>
          </w:p>
        </w:tc>
        <w:tc>
          <w:tcPr>
            <w:tcW w:w="1170" w:type="dxa"/>
          </w:tcPr>
          <w:p>
            <w:pPr>
              <w:pStyle w:val="TableParagraph"/>
              <w:spacing w:before="129"/>
              <w:ind w:right="108"/>
              <w:rPr>
                <w:sz w:val="20"/>
              </w:rPr>
            </w:pPr>
            <w:r>
              <w:rPr>
                <w:w w:val="95"/>
                <w:sz w:val="20"/>
              </w:rPr>
              <w:t>84,709.32</w:t>
            </w:r>
          </w:p>
        </w:tc>
        <w:tc>
          <w:tcPr>
            <w:tcW w:w="1240" w:type="dxa"/>
          </w:tcPr>
          <w:p>
            <w:pPr>
              <w:pStyle w:val="TableParagraph"/>
              <w:spacing w:before="129"/>
              <w:ind w:right="93"/>
              <w:rPr>
                <w:sz w:val="20"/>
              </w:rPr>
            </w:pPr>
            <w:r>
              <w:rPr>
                <w:w w:val="95"/>
                <w:sz w:val="20"/>
              </w:rPr>
              <w:t>54,417.49</w:t>
            </w:r>
          </w:p>
        </w:tc>
        <w:tc>
          <w:tcPr>
            <w:tcW w:w="1065" w:type="dxa"/>
          </w:tcPr>
          <w:p>
            <w:pPr>
              <w:pStyle w:val="TableParagraph"/>
              <w:spacing w:before="129"/>
              <w:ind w:right="34"/>
              <w:rPr>
                <w:sz w:val="20"/>
              </w:rPr>
            </w:pPr>
            <w:r>
              <w:rPr>
                <w:w w:val="95"/>
                <w:sz w:val="20"/>
              </w:rPr>
              <w:t>72,310.77</w:t>
            </w:r>
          </w:p>
        </w:tc>
      </w:tr>
      <w:tr>
        <w:trPr>
          <w:trHeight w:val="667" w:hRule="exact"/>
        </w:trPr>
        <w:tc>
          <w:tcPr>
            <w:tcW w:w="8438" w:type="dxa"/>
            <w:gridSpan w:val="5"/>
          </w:tcPr>
          <w:p>
            <w:pPr>
              <w:pStyle w:val="TableParagraph"/>
              <w:jc w:val="left"/>
              <w:rPr>
                <w:b/>
                <w:sz w:val="25"/>
              </w:rPr>
            </w:pPr>
          </w:p>
          <w:p>
            <w:pPr>
              <w:pStyle w:val="TableParagraph"/>
              <w:ind w:left="3156" w:right="3113"/>
              <w:jc w:val="center"/>
              <w:rPr>
                <w:b/>
                <w:sz w:val="20"/>
              </w:rPr>
            </w:pPr>
            <w:r>
              <w:rPr>
                <w:b/>
                <w:sz w:val="20"/>
              </w:rPr>
              <w:t>Net Nominal Capital</w:t>
            </w:r>
          </w:p>
        </w:tc>
      </w:tr>
      <w:tr>
        <w:trPr>
          <w:trHeight w:val="508" w:hRule="exact"/>
        </w:trPr>
        <w:tc>
          <w:tcPr>
            <w:tcW w:w="3288" w:type="dxa"/>
          </w:tcPr>
          <w:p>
            <w:pPr>
              <w:pStyle w:val="TableParagraph"/>
              <w:spacing w:before="127"/>
              <w:ind w:left="84"/>
              <w:jc w:val="left"/>
              <w:rPr>
                <w:sz w:val="20"/>
              </w:rPr>
            </w:pPr>
            <w:r>
              <w:rPr>
                <w:sz w:val="20"/>
              </w:rPr>
              <w:t>Mean (US$)</w:t>
            </w:r>
          </w:p>
        </w:tc>
        <w:tc>
          <w:tcPr>
            <w:tcW w:w="1675" w:type="dxa"/>
          </w:tcPr>
          <w:p>
            <w:pPr>
              <w:pStyle w:val="TableParagraph"/>
              <w:spacing w:before="127"/>
              <w:ind w:right="124"/>
              <w:rPr>
                <w:sz w:val="20"/>
              </w:rPr>
            </w:pPr>
            <w:r>
              <w:rPr>
                <w:w w:val="95"/>
                <w:sz w:val="20"/>
              </w:rPr>
              <w:t>92,377.76</w:t>
            </w:r>
          </w:p>
        </w:tc>
        <w:tc>
          <w:tcPr>
            <w:tcW w:w="1170" w:type="dxa"/>
          </w:tcPr>
          <w:p>
            <w:pPr>
              <w:pStyle w:val="TableParagraph"/>
              <w:spacing w:before="127"/>
              <w:ind w:right="109"/>
              <w:rPr>
                <w:sz w:val="20"/>
              </w:rPr>
            </w:pPr>
            <w:r>
              <w:rPr>
                <w:w w:val="95"/>
                <w:sz w:val="20"/>
              </w:rPr>
              <w:t>101,248.17</w:t>
            </w:r>
          </w:p>
        </w:tc>
        <w:tc>
          <w:tcPr>
            <w:tcW w:w="1240" w:type="dxa"/>
          </w:tcPr>
          <w:p>
            <w:pPr>
              <w:pStyle w:val="TableParagraph"/>
              <w:spacing w:before="127"/>
              <w:ind w:right="93"/>
              <w:rPr>
                <w:sz w:val="20"/>
              </w:rPr>
            </w:pPr>
            <w:r>
              <w:rPr>
                <w:w w:val="95"/>
                <w:sz w:val="20"/>
              </w:rPr>
              <w:t>(7,360.44)</w:t>
            </w:r>
          </w:p>
        </w:tc>
        <w:tc>
          <w:tcPr>
            <w:tcW w:w="1065" w:type="dxa"/>
          </w:tcPr>
          <w:p>
            <w:pPr>
              <w:pStyle w:val="TableParagraph"/>
              <w:spacing w:before="127"/>
              <w:ind w:right="34"/>
              <w:rPr>
                <w:sz w:val="20"/>
              </w:rPr>
            </w:pPr>
            <w:r>
              <w:rPr>
                <w:w w:val="95"/>
                <w:sz w:val="20"/>
              </w:rPr>
              <w:t>88,442.29</w:t>
            </w:r>
          </w:p>
        </w:tc>
      </w:tr>
      <w:tr>
        <w:trPr>
          <w:trHeight w:val="510" w:hRule="exact"/>
        </w:trPr>
        <w:tc>
          <w:tcPr>
            <w:tcW w:w="3288" w:type="dxa"/>
          </w:tcPr>
          <w:p>
            <w:pPr>
              <w:pStyle w:val="TableParagraph"/>
              <w:spacing w:before="128"/>
              <w:ind w:left="84"/>
              <w:jc w:val="left"/>
              <w:rPr>
                <w:sz w:val="20"/>
              </w:rPr>
            </w:pPr>
            <w:r>
              <w:rPr>
                <w:sz w:val="20"/>
              </w:rPr>
              <w:t>Standard Deviation (US$)</w:t>
            </w:r>
          </w:p>
        </w:tc>
        <w:tc>
          <w:tcPr>
            <w:tcW w:w="1675" w:type="dxa"/>
          </w:tcPr>
          <w:p>
            <w:pPr>
              <w:pStyle w:val="TableParagraph"/>
              <w:spacing w:before="128"/>
              <w:ind w:right="124"/>
              <w:rPr>
                <w:sz w:val="20"/>
              </w:rPr>
            </w:pPr>
            <w:r>
              <w:rPr>
                <w:w w:val="95"/>
                <w:sz w:val="20"/>
              </w:rPr>
              <w:t>24,036.34</w:t>
            </w:r>
          </w:p>
        </w:tc>
        <w:tc>
          <w:tcPr>
            <w:tcW w:w="1170" w:type="dxa"/>
          </w:tcPr>
          <w:p>
            <w:pPr>
              <w:pStyle w:val="TableParagraph"/>
              <w:spacing w:before="128"/>
              <w:ind w:right="108"/>
              <w:rPr>
                <w:sz w:val="20"/>
              </w:rPr>
            </w:pPr>
            <w:r>
              <w:rPr>
                <w:w w:val="95"/>
                <w:sz w:val="20"/>
              </w:rPr>
              <w:t>23,674.44</w:t>
            </w:r>
          </w:p>
        </w:tc>
        <w:tc>
          <w:tcPr>
            <w:tcW w:w="1240" w:type="dxa"/>
          </w:tcPr>
          <w:p>
            <w:pPr>
              <w:pStyle w:val="TableParagraph"/>
              <w:spacing w:before="128"/>
              <w:ind w:right="93"/>
              <w:rPr>
                <w:sz w:val="20"/>
              </w:rPr>
            </w:pPr>
            <w:r>
              <w:rPr>
                <w:w w:val="95"/>
                <w:sz w:val="20"/>
              </w:rPr>
              <w:t>30,492.03</w:t>
            </w:r>
          </w:p>
        </w:tc>
        <w:tc>
          <w:tcPr>
            <w:tcW w:w="1065" w:type="dxa"/>
          </w:tcPr>
          <w:p>
            <w:pPr>
              <w:pStyle w:val="TableParagraph"/>
              <w:spacing w:before="128"/>
              <w:ind w:right="34"/>
              <w:rPr>
                <w:sz w:val="20"/>
              </w:rPr>
            </w:pPr>
            <w:r>
              <w:rPr>
                <w:w w:val="95"/>
                <w:sz w:val="20"/>
              </w:rPr>
              <w:t>24,258.87</w:t>
            </w:r>
          </w:p>
        </w:tc>
      </w:tr>
      <w:tr>
        <w:trPr>
          <w:trHeight w:val="510" w:hRule="exact"/>
        </w:trPr>
        <w:tc>
          <w:tcPr>
            <w:tcW w:w="3288" w:type="dxa"/>
          </w:tcPr>
          <w:p>
            <w:pPr>
              <w:pStyle w:val="TableParagraph"/>
              <w:spacing w:before="129"/>
              <w:ind w:left="84"/>
              <w:jc w:val="left"/>
              <w:rPr>
                <w:sz w:val="20"/>
              </w:rPr>
            </w:pPr>
            <w:r>
              <w:rPr>
                <w:sz w:val="20"/>
              </w:rPr>
              <w:t>Coefficient of Variation (%)</w:t>
            </w:r>
          </w:p>
        </w:tc>
        <w:tc>
          <w:tcPr>
            <w:tcW w:w="1675" w:type="dxa"/>
          </w:tcPr>
          <w:p>
            <w:pPr>
              <w:pStyle w:val="TableParagraph"/>
              <w:spacing w:before="129"/>
              <w:ind w:right="124"/>
              <w:rPr>
                <w:sz w:val="20"/>
              </w:rPr>
            </w:pPr>
            <w:r>
              <w:rPr>
                <w:sz w:val="20"/>
              </w:rPr>
              <w:t>26.02</w:t>
            </w:r>
          </w:p>
        </w:tc>
        <w:tc>
          <w:tcPr>
            <w:tcW w:w="1170" w:type="dxa"/>
          </w:tcPr>
          <w:p>
            <w:pPr>
              <w:pStyle w:val="TableParagraph"/>
              <w:spacing w:before="129"/>
              <w:ind w:right="108"/>
              <w:rPr>
                <w:sz w:val="20"/>
              </w:rPr>
            </w:pPr>
            <w:r>
              <w:rPr>
                <w:sz w:val="20"/>
              </w:rPr>
              <w:t>23.38</w:t>
            </w:r>
          </w:p>
        </w:tc>
        <w:tc>
          <w:tcPr>
            <w:tcW w:w="1240" w:type="dxa"/>
          </w:tcPr>
          <w:p>
            <w:pPr>
              <w:pStyle w:val="TableParagraph"/>
              <w:spacing w:before="129"/>
              <w:ind w:right="93"/>
              <w:rPr>
                <w:sz w:val="20"/>
              </w:rPr>
            </w:pPr>
            <w:r>
              <w:rPr>
                <w:w w:val="99"/>
                <w:sz w:val="20"/>
              </w:rPr>
              <w:t>-</w:t>
            </w:r>
          </w:p>
        </w:tc>
        <w:tc>
          <w:tcPr>
            <w:tcW w:w="1065" w:type="dxa"/>
          </w:tcPr>
          <w:p>
            <w:pPr>
              <w:pStyle w:val="TableParagraph"/>
              <w:spacing w:before="129"/>
              <w:ind w:right="33"/>
              <w:rPr>
                <w:sz w:val="20"/>
              </w:rPr>
            </w:pPr>
            <w:r>
              <w:rPr>
                <w:sz w:val="20"/>
              </w:rPr>
              <w:t>27.43</w:t>
            </w:r>
          </w:p>
        </w:tc>
      </w:tr>
      <w:tr>
        <w:trPr>
          <w:trHeight w:val="510" w:hRule="exact"/>
        </w:trPr>
        <w:tc>
          <w:tcPr>
            <w:tcW w:w="3288" w:type="dxa"/>
          </w:tcPr>
          <w:p>
            <w:pPr>
              <w:pStyle w:val="TableParagraph"/>
              <w:spacing w:before="128"/>
              <w:ind w:left="84"/>
              <w:jc w:val="left"/>
              <w:rPr>
                <w:sz w:val="20"/>
              </w:rPr>
            </w:pPr>
            <w:r>
              <w:rPr>
                <w:sz w:val="20"/>
              </w:rPr>
              <w:t>Minimum (US$)</w:t>
            </w:r>
          </w:p>
        </w:tc>
        <w:tc>
          <w:tcPr>
            <w:tcW w:w="1675" w:type="dxa"/>
          </w:tcPr>
          <w:p>
            <w:pPr>
              <w:pStyle w:val="TableParagraph"/>
              <w:spacing w:before="128"/>
              <w:ind w:right="124"/>
              <w:rPr>
                <w:sz w:val="20"/>
              </w:rPr>
            </w:pPr>
            <w:r>
              <w:rPr>
                <w:w w:val="95"/>
                <w:sz w:val="20"/>
              </w:rPr>
              <w:t>9,209.98</w:t>
            </w:r>
          </w:p>
        </w:tc>
        <w:tc>
          <w:tcPr>
            <w:tcW w:w="1170" w:type="dxa"/>
          </w:tcPr>
          <w:p>
            <w:pPr>
              <w:pStyle w:val="TableParagraph"/>
              <w:spacing w:before="128"/>
              <w:ind w:right="108"/>
              <w:rPr>
                <w:sz w:val="20"/>
              </w:rPr>
            </w:pPr>
            <w:r>
              <w:rPr>
                <w:w w:val="95"/>
                <w:sz w:val="20"/>
              </w:rPr>
              <w:t>20,219.45</w:t>
            </w:r>
          </w:p>
        </w:tc>
        <w:tc>
          <w:tcPr>
            <w:tcW w:w="1240" w:type="dxa"/>
          </w:tcPr>
          <w:p>
            <w:pPr>
              <w:pStyle w:val="TableParagraph"/>
              <w:spacing w:before="128"/>
              <w:ind w:right="93"/>
              <w:rPr>
                <w:sz w:val="20"/>
              </w:rPr>
            </w:pPr>
            <w:r>
              <w:rPr>
                <w:w w:val="95"/>
                <w:sz w:val="20"/>
              </w:rPr>
              <w:t>(112,864.40)</w:t>
            </w:r>
          </w:p>
        </w:tc>
        <w:tc>
          <w:tcPr>
            <w:tcW w:w="1065" w:type="dxa"/>
          </w:tcPr>
          <w:p>
            <w:pPr>
              <w:pStyle w:val="TableParagraph"/>
              <w:spacing w:before="128"/>
              <w:ind w:right="34"/>
              <w:rPr>
                <w:sz w:val="20"/>
              </w:rPr>
            </w:pPr>
            <w:r>
              <w:rPr>
                <w:w w:val="95"/>
                <w:sz w:val="20"/>
              </w:rPr>
              <w:t>4,322.01</w:t>
            </w:r>
          </w:p>
        </w:tc>
      </w:tr>
      <w:tr>
        <w:trPr>
          <w:trHeight w:val="355" w:hRule="exact"/>
        </w:trPr>
        <w:tc>
          <w:tcPr>
            <w:tcW w:w="3288" w:type="dxa"/>
          </w:tcPr>
          <w:p>
            <w:pPr>
              <w:pStyle w:val="TableParagraph"/>
              <w:spacing w:before="129"/>
              <w:ind w:left="84"/>
              <w:jc w:val="left"/>
              <w:rPr>
                <w:sz w:val="20"/>
              </w:rPr>
            </w:pPr>
            <w:r>
              <w:rPr>
                <w:sz w:val="20"/>
              </w:rPr>
              <w:t>Maximum (US$)</w:t>
            </w:r>
          </w:p>
        </w:tc>
        <w:tc>
          <w:tcPr>
            <w:tcW w:w="1675" w:type="dxa"/>
          </w:tcPr>
          <w:p>
            <w:pPr>
              <w:pStyle w:val="TableParagraph"/>
              <w:spacing w:before="129"/>
              <w:ind w:right="124"/>
              <w:rPr>
                <w:sz w:val="20"/>
              </w:rPr>
            </w:pPr>
            <w:r>
              <w:rPr>
                <w:w w:val="95"/>
                <w:sz w:val="20"/>
              </w:rPr>
              <w:t>149,978.44</w:t>
            </w:r>
          </w:p>
        </w:tc>
        <w:tc>
          <w:tcPr>
            <w:tcW w:w="1170" w:type="dxa"/>
          </w:tcPr>
          <w:p>
            <w:pPr>
              <w:pStyle w:val="TableParagraph"/>
              <w:spacing w:before="129"/>
              <w:ind w:right="109"/>
              <w:rPr>
                <w:sz w:val="20"/>
              </w:rPr>
            </w:pPr>
            <w:r>
              <w:rPr>
                <w:w w:val="95"/>
                <w:sz w:val="20"/>
              </w:rPr>
              <w:t>158,612.46</w:t>
            </w:r>
          </w:p>
        </w:tc>
        <w:tc>
          <w:tcPr>
            <w:tcW w:w="1240" w:type="dxa"/>
          </w:tcPr>
          <w:p>
            <w:pPr>
              <w:pStyle w:val="TableParagraph"/>
              <w:spacing w:before="129"/>
              <w:ind w:right="93"/>
              <w:rPr>
                <w:sz w:val="20"/>
              </w:rPr>
            </w:pPr>
            <w:r>
              <w:rPr>
                <w:w w:val="95"/>
                <w:sz w:val="20"/>
              </w:rPr>
              <w:t>66,270.12</w:t>
            </w:r>
          </w:p>
        </w:tc>
        <w:tc>
          <w:tcPr>
            <w:tcW w:w="1065" w:type="dxa"/>
          </w:tcPr>
          <w:p>
            <w:pPr>
              <w:pStyle w:val="TableParagraph"/>
              <w:spacing w:before="129"/>
              <w:ind w:right="34"/>
              <w:rPr>
                <w:sz w:val="20"/>
              </w:rPr>
            </w:pPr>
            <w:r>
              <w:rPr>
                <w:w w:val="95"/>
                <w:sz w:val="20"/>
              </w:rPr>
              <w:t>146,213.91</w:t>
            </w:r>
          </w:p>
        </w:tc>
      </w:tr>
      <w:tr>
        <w:trPr>
          <w:trHeight w:val="667" w:hRule="exact"/>
        </w:trPr>
        <w:tc>
          <w:tcPr>
            <w:tcW w:w="8438" w:type="dxa"/>
            <w:gridSpan w:val="5"/>
          </w:tcPr>
          <w:p>
            <w:pPr>
              <w:pStyle w:val="TableParagraph"/>
              <w:jc w:val="left"/>
              <w:rPr>
                <w:b/>
                <w:sz w:val="25"/>
              </w:rPr>
            </w:pPr>
          </w:p>
          <w:p>
            <w:pPr>
              <w:pStyle w:val="TableParagraph"/>
              <w:ind w:left="3156" w:right="3113"/>
              <w:jc w:val="center"/>
              <w:rPr>
                <w:b/>
                <w:sz w:val="20"/>
              </w:rPr>
            </w:pPr>
            <w:r>
              <w:rPr>
                <w:b/>
                <w:sz w:val="20"/>
              </w:rPr>
              <w:t>Return Rate Over Assets</w:t>
            </w:r>
          </w:p>
        </w:tc>
      </w:tr>
      <w:tr>
        <w:trPr>
          <w:trHeight w:val="508" w:hRule="exact"/>
        </w:trPr>
        <w:tc>
          <w:tcPr>
            <w:tcW w:w="3288" w:type="dxa"/>
          </w:tcPr>
          <w:p>
            <w:pPr>
              <w:pStyle w:val="TableParagraph"/>
              <w:spacing w:before="127"/>
              <w:ind w:left="84"/>
              <w:jc w:val="left"/>
              <w:rPr>
                <w:sz w:val="20"/>
              </w:rPr>
            </w:pPr>
            <w:r>
              <w:rPr>
                <w:sz w:val="20"/>
              </w:rPr>
              <w:t>Mean (%)</w:t>
            </w:r>
          </w:p>
        </w:tc>
        <w:tc>
          <w:tcPr>
            <w:tcW w:w="1675" w:type="dxa"/>
          </w:tcPr>
          <w:p>
            <w:pPr>
              <w:pStyle w:val="TableParagraph"/>
              <w:spacing w:before="127"/>
              <w:ind w:right="123"/>
              <w:rPr>
                <w:sz w:val="20"/>
              </w:rPr>
            </w:pPr>
            <w:r>
              <w:rPr>
                <w:sz w:val="20"/>
              </w:rPr>
              <w:t>9.22</w:t>
            </w:r>
          </w:p>
        </w:tc>
        <w:tc>
          <w:tcPr>
            <w:tcW w:w="1170" w:type="dxa"/>
          </w:tcPr>
          <w:p>
            <w:pPr>
              <w:pStyle w:val="TableParagraph"/>
              <w:spacing w:before="127"/>
              <w:ind w:right="108"/>
              <w:rPr>
                <w:sz w:val="20"/>
              </w:rPr>
            </w:pPr>
            <w:r>
              <w:rPr>
                <w:sz w:val="20"/>
              </w:rPr>
              <w:t>5.58</w:t>
            </w:r>
          </w:p>
        </w:tc>
        <w:tc>
          <w:tcPr>
            <w:tcW w:w="1240" w:type="dxa"/>
          </w:tcPr>
          <w:p>
            <w:pPr>
              <w:pStyle w:val="TableParagraph"/>
              <w:spacing w:before="127"/>
              <w:ind w:right="93"/>
              <w:rPr>
                <w:sz w:val="20"/>
              </w:rPr>
            </w:pPr>
            <w:r>
              <w:rPr>
                <w:sz w:val="20"/>
              </w:rPr>
              <w:t>(102.31)</w:t>
            </w:r>
          </w:p>
        </w:tc>
        <w:tc>
          <w:tcPr>
            <w:tcW w:w="1065" w:type="dxa"/>
          </w:tcPr>
          <w:p>
            <w:pPr>
              <w:pStyle w:val="TableParagraph"/>
              <w:spacing w:before="127"/>
              <w:ind w:right="33"/>
              <w:rPr>
                <w:sz w:val="20"/>
              </w:rPr>
            </w:pPr>
            <w:r>
              <w:rPr>
                <w:sz w:val="20"/>
              </w:rPr>
              <w:t>8.69</w:t>
            </w:r>
          </w:p>
        </w:tc>
      </w:tr>
      <w:tr>
        <w:trPr>
          <w:trHeight w:val="510" w:hRule="exact"/>
        </w:trPr>
        <w:tc>
          <w:tcPr>
            <w:tcW w:w="3288" w:type="dxa"/>
          </w:tcPr>
          <w:p>
            <w:pPr>
              <w:pStyle w:val="TableParagraph"/>
              <w:spacing w:before="128"/>
              <w:ind w:left="84"/>
              <w:jc w:val="left"/>
              <w:rPr>
                <w:sz w:val="20"/>
              </w:rPr>
            </w:pPr>
            <w:r>
              <w:rPr>
                <w:sz w:val="20"/>
              </w:rPr>
              <w:t>Standard Deviation (%)</w:t>
            </w:r>
          </w:p>
        </w:tc>
        <w:tc>
          <w:tcPr>
            <w:tcW w:w="1675" w:type="dxa"/>
          </w:tcPr>
          <w:p>
            <w:pPr>
              <w:pStyle w:val="TableParagraph"/>
              <w:spacing w:before="128"/>
              <w:ind w:right="124"/>
              <w:rPr>
                <w:sz w:val="20"/>
              </w:rPr>
            </w:pPr>
            <w:r>
              <w:rPr>
                <w:sz w:val="20"/>
              </w:rPr>
              <w:t>10.89</w:t>
            </w:r>
          </w:p>
        </w:tc>
        <w:tc>
          <w:tcPr>
            <w:tcW w:w="1170" w:type="dxa"/>
          </w:tcPr>
          <w:p>
            <w:pPr>
              <w:pStyle w:val="TableParagraph"/>
              <w:spacing w:before="128"/>
              <w:ind w:right="108"/>
              <w:rPr>
                <w:sz w:val="20"/>
              </w:rPr>
            </w:pPr>
            <w:r>
              <w:rPr>
                <w:sz w:val="20"/>
              </w:rPr>
              <w:t>10.13</w:t>
            </w:r>
          </w:p>
        </w:tc>
        <w:tc>
          <w:tcPr>
            <w:tcW w:w="1240" w:type="dxa"/>
          </w:tcPr>
          <w:p>
            <w:pPr>
              <w:pStyle w:val="TableParagraph"/>
              <w:spacing w:before="128"/>
              <w:ind w:right="92"/>
              <w:rPr>
                <w:sz w:val="20"/>
              </w:rPr>
            </w:pPr>
            <w:r>
              <w:rPr>
                <w:w w:val="95"/>
                <w:sz w:val="20"/>
              </w:rPr>
              <w:t>353.30</w:t>
            </w:r>
          </w:p>
        </w:tc>
        <w:tc>
          <w:tcPr>
            <w:tcW w:w="1065" w:type="dxa"/>
          </w:tcPr>
          <w:p>
            <w:pPr>
              <w:pStyle w:val="TableParagraph"/>
              <w:spacing w:before="128"/>
              <w:ind w:right="33"/>
              <w:rPr>
                <w:sz w:val="20"/>
              </w:rPr>
            </w:pPr>
            <w:r>
              <w:rPr>
                <w:sz w:val="20"/>
              </w:rPr>
              <w:t>11.30</w:t>
            </w:r>
          </w:p>
        </w:tc>
      </w:tr>
      <w:tr>
        <w:trPr>
          <w:trHeight w:val="510" w:hRule="exact"/>
        </w:trPr>
        <w:tc>
          <w:tcPr>
            <w:tcW w:w="3288" w:type="dxa"/>
          </w:tcPr>
          <w:p>
            <w:pPr>
              <w:pStyle w:val="TableParagraph"/>
              <w:spacing w:before="129"/>
              <w:ind w:left="84"/>
              <w:jc w:val="left"/>
              <w:rPr>
                <w:sz w:val="20"/>
              </w:rPr>
            </w:pPr>
            <w:r>
              <w:rPr>
                <w:sz w:val="20"/>
              </w:rPr>
              <w:t>Coefficient of Variation (%)</w:t>
            </w:r>
          </w:p>
        </w:tc>
        <w:tc>
          <w:tcPr>
            <w:tcW w:w="1675" w:type="dxa"/>
          </w:tcPr>
          <w:p>
            <w:pPr>
              <w:pStyle w:val="TableParagraph"/>
              <w:spacing w:before="129"/>
              <w:ind w:right="124"/>
              <w:rPr>
                <w:sz w:val="20"/>
              </w:rPr>
            </w:pPr>
            <w:r>
              <w:rPr>
                <w:w w:val="95"/>
                <w:sz w:val="20"/>
              </w:rPr>
              <w:t>125.00</w:t>
            </w:r>
          </w:p>
        </w:tc>
        <w:tc>
          <w:tcPr>
            <w:tcW w:w="1170" w:type="dxa"/>
          </w:tcPr>
          <w:p>
            <w:pPr>
              <w:pStyle w:val="TableParagraph"/>
              <w:spacing w:before="129"/>
              <w:ind w:right="108"/>
              <w:rPr>
                <w:sz w:val="20"/>
              </w:rPr>
            </w:pPr>
            <w:r>
              <w:rPr>
                <w:w w:val="95"/>
                <w:sz w:val="20"/>
              </w:rPr>
              <w:t>126.00</w:t>
            </w:r>
          </w:p>
        </w:tc>
        <w:tc>
          <w:tcPr>
            <w:tcW w:w="1240" w:type="dxa"/>
          </w:tcPr>
          <w:p>
            <w:pPr>
              <w:pStyle w:val="TableParagraph"/>
              <w:spacing w:before="129"/>
              <w:ind w:right="93"/>
              <w:rPr>
                <w:sz w:val="20"/>
              </w:rPr>
            </w:pPr>
            <w:r>
              <w:rPr>
                <w:w w:val="99"/>
                <w:sz w:val="20"/>
              </w:rPr>
              <w:t>-</w:t>
            </w:r>
          </w:p>
        </w:tc>
        <w:tc>
          <w:tcPr>
            <w:tcW w:w="1065" w:type="dxa"/>
          </w:tcPr>
          <w:p>
            <w:pPr>
              <w:pStyle w:val="TableParagraph"/>
              <w:spacing w:before="129"/>
              <w:ind w:right="33"/>
              <w:rPr>
                <w:sz w:val="20"/>
              </w:rPr>
            </w:pPr>
            <w:r>
              <w:rPr>
                <w:w w:val="95"/>
                <w:sz w:val="20"/>
              </w:rPr>
              <w:t>137.00</w:t>
            </w:r>
          </w:p>
        </w:tc>
      </w:tr>
      <w:tr>
        <w:trPr>
          <w:trHeight w:val="510" w:hRule="exact"/>
        </w:trPr>
        <w:tc>
          <w:tcPr>
            <w:tcW w:w="3288" w:type="dxa"/>
          </w:tcPr>
          <w:p>
            <w:pPr>
              <w:pStyle w:val="TableParagraph"/>
              <w:spacing w:before="128"/>
              <w:ind w:left="84"/>
              <w:jc w:val="left"/>
              <w:rPr>
                <w:sz w:val="20"/>
              </w:rPr>
            </w:pPr>
            <w:r>
              <w:rPr>
                <w:sz w:val="20"/>
              </w:rPr>
              <w:t>Minimum (%)</w:t>
            </w:r>
          </w:p>
        </w:tc>
        <w:tc>
          <w:tcPr>
            <w:tcW w:w="1675" w:type="dxa"/>
          </w:tcPr>
          <w:p>
            <w:pPr>
              <w:pStyle w:val="TableParagraph"/>
              <w:spacing w:before="128"/>
              <w:ind w:right="124"/>
              <w:rPr>
                <w:sz w:val="20"/>
              </w:rPr>
            </w:pPr>
            <w:r>
              <w:rPr>
                <w:w w:val="95"/>
                <w:sz w:val="20"/>
              </w:rPr>
              <w:t>(17.50)</w:t>
            </w:r>
          </w:p>
        </w:tc>
        <w:tc>
          <w:tcPr>
            <w:tcW w:w="1170" w:type="dxa"/>
          </w:tcPr>
          <w:p>
            <w:pPr>
              <w:pStyle w:val="TableParagraph"/>
              <w:spacing w:before="128"/>
              <w:ind w:right="108"/>
              <w:rPr>
                <w:sz w:val="20"/>
              </w:rPr>
            </w:pPr>
            <w:r>
              <w:rPr>
                <w:w w:val="95"/>
                <w:sz w:val="20"/>
              </w:rPr>
              <w:t>(17.26)</w:t>
            </w:r>
          </w:p>
        </w:tc>
        <w:tc>
          <w:tcPr>
            <w:tcW w:w="1240" w:type="dxa"/>
          </w:tcPr>
          <w:p>
            <w:pPr>
              <w:pStyle w:val="TableParagraph"/>
              <w:spacing w:before="128"/>
              <w:ind w:right="93"/>
              <w:rPr>
                <w:sz w:val="20"/>
              </w:rPr>
            </w:pPr>
            <w:r>
              <w:rPr>
                <w:sz w:val="20"/>
              </w:rPr>
              <w:t>(1533.38)</w:t>
            </w:r>
          </w:p>
        </w:tc>
        <w:tc>
          <w:tcPr>
            <w:tcW w:w="1065" w:type="dxa"/>
          </w:tcPr>
          <w:p>
            <w:pPr>
              <w:pStyle w:val="TableParagraph"/>
              <w:spacing w:before="128"/>
              <w:ind w:right="33"/>
              <w:rPr>
                <w:sz w:val="20"/>
              </w:rPr>
            </w:pPr>
            <w:r>
              <w:rPr>
                <w:w w:val="95"/>
                <w:sz w:val="20"/>
              </w:rPr>
              <w:t>(18.60)</w:t>
            </w:r>
          </w:p>
        </w:tc>
      </w:tr>
      <w:tr>
        <w:trPr>
          <w:trHeight w:val="355" w:hRule="exact"/>
        </w:trPr>
        <w:tc>
          <w:tcPr>
            <w:tcW w:w="3288" w:type="dxa"/>
          </w:tcPr>
          <w:p>
            <w:pPr>
              <w:pStyle w:val="TableParagraph"/>
              <w:spacing w:before="129"/>
              <w:ind w:left="84"/>
              <w:jc w:val="left"/>
              <w:rPr>
                <w:sz w:val="20"/>
              </w:rPr>
            </w:pPr>
            <w:r>
              <w:rPr>
                <w:sz w:val="20"/>
              </w:rPr>
              <w:t>Maximum (%)</w:t>
            </w:r>
          </w:p>
        </w:tc>
        <w:tc>
          <w:tcPr>
            <w:tcW w:w="1675" w:type="dxa"/>
          </w:tcPr>
          <w:p>
            <w:pPr>
              <w:pStyle w:val="TableParagraph"/>
              <w:spacing w:before="129"/>
              <w:ind w:right="124"/>
              <w:rPr>
                <w:sz w:val="20"/>
              </w:rPr>
            </w:pPr>
            <w:r>
              <w:rPr>
                <w:sz w:val="20"/>
              </w:rPr>
              <w:t>32.58</w:t>
            </w:r>
          </w:p>
        </w:tc>
        <w:tc>
          <w:tcPr>
            <w:tcW w:w="1170" w:type="dxa"/>
          </w:tcPr>
          <w:p>
            <w:pPr>
              <w:pStyle w:val="TableParagraph"/>
              <w:spacing w:before="129"/>
              <w:ind w:right="108"/>
              <w:rPr>
                <w:sz w:val="20"/>
              </w:rPr>
            </w:pPr>
            <w:r>
              <w:rPr>
                <w:sz w:val="20"/>
              </w:rPr>
              <w:t>31.46</w:t>
            </w:r>
          </w:p>
        </w:tc>
        <w:tc>
          <w:tcPr>
            <w:tcW w:w="1240" w:type="dxa"/>
          </w:tcPr>
          <w:p>
            <w:pPr>
              <w:pStyle w:val="TableParagraph"/>
              <w:spacing w:before="129"/>
              <w:ind w:right="92"/>
              <w:rPr>
                <w:sz w:val="20"/>
              </w:rPr>
            </w:pPr>
            <w:r>
              <w:rPr>
                <w:w w:val="95"/>
                <w:sz w:val="20"/>
              </w:rPr>
              <w:t>197.66</w:t>
            </w:r>
          </w:p>
        </w:tc>
        <w:tc>
          <w:tcPr>
            <w:tcW w:w="1065" w:type="dxa"/>
          </w:tcPr>
          <w:p>
            <w:pPr>
              <w:pStyle w:val="TableParagraph"/>
              <w:spacing w:before="129"/>
              <w:ind w:right="33"/>
              <w:rPr>
                <w:sz w:val="20"/>
              </w:rPr>
            </w:pPr>
            <w:r>
              <w:rPr>
                <w:sz w:val="20"/>
              </w:rPr>
              <w:t>32.20</w:t>
            </w:r>
          </w:p>
        </w:tc>
      </w:tr>
      <w:tr>
        <w:trPr>
          <w:trHeight w:val="668" w:hRule="exact"/>
        </w:trPr>
        <w:tc>
          <w:tcPr>
            <w:tcW w:w="8438" w:type="dxa"/>
            <w:gridSpan w:val="5"/>
          </w:tcPr>
          <w:p>
            <w:pPr>
              <w:pStyle w:val="TableParagraph"/>
              <w:spacing w:before="1"/>
              <w:jc w:val="left"/>
              <w:rPr>
                <w:b/>
                <w:sz w:val="25"/>
              </w:rPr>
            </w:pPr>
          </w:p>
          <w:p>
            <w:pPr>
              <w:pStyle w:val="TableParagraph"/>
              <w:ind w:left="2789"/>
              <w:jc w:val="left"/>
              <w:rPr>
                <w:b/>
                <w:sz w:val="20"/>
              </w:rPr>
            </w:pPr>
            <w:r>
              <w:rPr>
                <w:b/>
                <w:sz w:val="20"/>
              </w:rPr>
              <w:t>Probabilities of Economic Events</w:t>
            </w:r>
          </w:p>
        </w:tc>
      </w:tr>
      <w:tr>
        <w:trPr>
          <w:trHeight w:val="508" w:hRule="exact"/>
        </w:trPr>
        <w:tc>
          <w:tcPr>
            <w:tcW w:w="3288" w:type="dxa"/>
          </w:tcPr>
          <w:p>
            <w:pPr>
              <w:pStyle w:val="TableParagraph"/>
              <w:spacing w:before="127"/>
              <w:ind w:left="84"/>
              <w:jc w:val="left"/>
              <w:rPr>
                <w:sz w:val="20"/>
              </w:rPr>
            </w:pPr>
            <w:r>
              <w:rPr>
                <w:sz w:val="20"/>
              </w:rPr>
              <w:t>P (Final Cash Reserves &lt; 0)</w:t>
            </w:r>
          </w:p>
        </w:tc>
        <w:tc>
          <w:tcPr>
            <w:tcW w:w="1675" w:type="dxa"/>
          </w:tcPr>
          <w:p>
            <w:pPr>
              <w:pStyle w:val="TableParagraph"/>
              <w:spacing w:before="127"/>
              <w:ind w:right="261"/>
              <w:rPr>
                <w:sz w:val="20"/>
              </w:rPr>
            </w:pPr>
            <w:r>
              <w:rPr>
                <w:sz w:val="20"/>
              </w:rPr>
              <w:t>16.70%</w:t>
            </w:r>
          </w:p>
        </w:tc>
        <w:tc>
          <w:tcPr>
            <w:tcW w:w="1170" w:type="dxa"/>
          </w:tcPr>
          <w:p>
            <w:pPr>
              <w:pStyle w:val="TableParagraph"/>
              <w:spacing w:before="127"/>
              <w:ind w:left="303"/>
              <w:jc w:val="left"/>
              <w:rPr>
                <w:sz w:val="20"/>
              </w:rPr>
            </w:pPr>
            <w:r>
              <w:rPr>
                <w:sz w:val="20"/>
              </w:rPr>
              <w:t>10.60%</w:t>
            </w:r>
          </w:p>
        </w:tc>
        <w:tc>
          <w:tcPr>
            <w:tcW w:w="1240" w:type="dxa"/>
          </w:tcPr>
          <w:p>
            <w:pPr>
              <w:pStyle w:val="TableParagraph"/>
              <w:spacing w:before="127"/>
              <w:ind w:left="388"/>
              <w:jc w:val="left"/>
              <w:rPr>
                <w:sz w:val="20"/>
              </w:rPr>
            </w:pPr>
            <w:r>
              <w:rPr>
                <w:sz w:val="20"/>
              </w:rPr>
              <w:t>65.60%</w:t>
            </w:r>
          </w:p>
        </w:tc>
        <w:tc>
          <w:tcPr>
            <w:tcW w:w="1065" w:type="dxa"/>
          </w:tcPr>
          <w:p>
            <w:pPr>
              <w:pStyle w:val="TableParagraph"/>
              <w:spacing w:before="127"/>
              <w:ind w:left="332"/>
              <w:jc w:val="left"/>
              <w:rPr>
                <w:sz w:val="20"/>
              </w:rPr>
            </w:pPr>
            <w:r>
              <w:rPr>
                <w:sz w:val="20"/>
              </w:rPr>
              <w:t>20.40%</w:t>
            </w:r>
          </w:p>
        </w:tc>
      </w:tr>
      <w:tr>
        <w:trPr>
          <w:trHeight w:val="510" w:hRule="exact"/>
        </w:trPr>
        <w:tc>
          <w:tcPr>
            <w:tcW w:w="3288" w:type="dxa"/>
          </w:tcPr>
          <w:p>
            <w:pPr>
              <w:pStyle w:val="TableParagraph"/>
              <w:spacing w:before="128"/>
              <w:ind w:left="84"/>
              <w:jc w:val="left"/>
              <w:rPr>
                <w:sz w:val="20"/>
              </w:rPr>
            </w:pPr>
            <w:r>
              <w:rPr>
                <w:sz w:val="20"/>
              </w:rPr>
              <w:t>P (Net Nominal Capital &lt; 0)</w:t>
            </w:r>
          </w:p>
        </w:tc>
        <w:tc>
          <w:tcPr>
            <w:tcW w:w="1675" w:type="dxa"/>
          </w:tcPr>
          <w:p>
            <w:pPr>
              <w:pStyle w:val="TableParagraph"/>
              <w:spacing w:before="128"/>
              <w:ind w:right="261"/>
              <w:rPr>
                <w:sz w:val="20"/>
              </w:rPr>
            </w:pPr>
            <w:r>
              <w:rPr>
                <w:sz w:val="20"/>
              </w:rPr>
              <w:t>26.40%</w:t>
            </w:r>
          </w:p>
        </w:tc>
        <w:tc>
          <w:tcPr>
            <w:tcW w:w="1170" w:type="dxa"/>
          </w:tcPr>
          <w:p>
            <w:pPr>
              <w:pStyle w:val="TableParagraph"/>
              <w:spacing w:before="128"/>
              <w:ind w:left="303"/>
              <w:jc w:val="left"/>
              <w:rPr>
                <w:sz w:val="20"/>
              </w:rPr>
            </w:pPr>
            <w:r>
              <w:rPr>
                <w:sz w:val="20"/>
              </w:rPr>
              <w:t>17.50%</w:t>
            </w:r>
          </w:p>
        </w:tc>
        <w:tc>
          <w:tcPr>
            <w:tcW w:w="1240" w:type="dxa"/>
          </w:tcPr>
          <w:p>
            <w:pPr>
              <w:pStyle w:val="TableParagraph"/>
              <w:spacing w:before="128"/>
              <w:ind w:left="388"/>
              <w:jc w:val="left"/>
              <w:rPr>
                <w:sz w:val="20"/>
              </w:rPr>
            </w:pPr>
            <w:r>
              <w:rPr>
                <w:sz w:val="20"/>
              </w:rPr>
              <w:t>68.00%</w:t>
            </w:r>
          </w:p>
        </w:tc>
        <w:tc>
          <w:tcPr>
            <w:tcW w:w="1065" w:type="dxa"/>
          </w:tcPr>
          <w:p>
            <w:pPr>
              <w:pStyle w:val="TableParagraph"/>
              <w:spacing w:before="128"/>
              <w:ind w:left="332"/>
              <w:jc w:val="left"/>
              <w:rPr>
                <w:sz w:val="20"/>
              </w:rPr>
            </w:pPr>
            <w:r>
              <w:rPr>
                <w:sz w:val="20"/>
              </w:rPr>
              <w:t>30.90%</w:t>
            </w:r>
          </w:p>
        </w:tc>
      </w:tr>
      <w:tr>
        <w:trPr>
          <w:trHeight w:val="530" w:hRule="exact"/>
        </w:trPr>
        <w:tc>
          <w:tcPr>
            <w:tcW w:w="3288" w:type="dxa"/>
            <w:tcBorders>
              <w:bottom w:val="single" w:sz="17" w:space="0" w:color="000000"/>
            </w:tcBorders>
          </w:tcPr>
          <w:p>
            <w:pPr>
              <w:pStyle w:val="TableParagraph"/>
              <w:spacing w:before="129"/>
              <w:ind w:left="84"/>
              <w:jc w:val="left"/>
              <w:rPr>
                <w:sz w:val="20"/>
              </w:rPr>
            </w:pPr>
            <w:r>
              <w:rPr>
                <w:sz w:val="20"/>
              </w:rPr>
              <w:t>P (Return Rate Over Assets &lt; 0)</w:t>
            </w:r>
          </w:p>
        </w:tc>
        <w:tc>
          <w:tcPr>
            <w:tcW w:w="1675" w:type="dxa"/>
            <w:tcBorders>
              <w:bottom w:val="single" w:sz="17" w:space="0" w:color="000000"/>
            </w:tcBorders>
          </w:tcPr>
          <w:p>
            <w:pPr>
              <w:pStyle w:val="TableParagraph"/>
              <w:spacing w:before="129"/>
              <w:ind w:right="261"/>
              <w:rPr>
                <w:sz w:val="20"/>
              </w:rPr>
            </w:pPr>
            <w:r>
              <w:rPr>
                <w:sz w:val="20"/>
              </w:rPr>
              <w:t>19.30%</w:t>
            </w:r>
          </w:p>
        </w:tc>
        <w:tc>
          <w:tcPr>
            <w:tcW w:w="1170" w:type="dxa"/>
            <w:tcBorders>
              <w:bottom w:val="single" w:sz="17" w:space="0" w:color="000000"/>
            </w:tcBorders>
          </w:tcPr>
          <w:p>
            <w:pPr>
              <w:pStyle w:val="TableParagraph"/>
              <w:spacing w:before="129"/>
              <w:ind w:left="303"/>
              <w:jc w:val="left"/>
              <w:rPr>
                <w:sz w:val="20"/>
              </w:rPr>
            </w:pPr>
            <w:r>
              <w:rPr>
                <w:sz w:val="20"/>
              </w:rPr>
              <w:t>19.30%</w:t>
            </w:r>
          </w:p>
        </w:tc>
        <w:tc>
          <w:tcPr>
            <w:tcW w:w="1240" w:type="dxa"/>
            <w:tcBorders>
              <w:bottom w:val="single" w:sz="17" w:space="0" w:color="000000"/>
            </w:tcBorders>
          </w:tcPr>
          <w:p>
            <w:pPr>
              <w:pStyle w:val="TableParagraph"/>
              <w:spacing w:before="129"/>
              <w:ind w:left="388"/>
              <w:jc w:val="left"/>
              <w:rPr>
                <w:sz w:val="20"/>
              </w:rPr>
            </w:pPr>
            <w:r>
              <w:rPr>
                <w:sz w:val="20"/>
              </w:rPr>
              <w:t>38.70%</w:t>
            </w:r>
          </w:p>
        </w:tc>
        <w:tc>
          <w:tcPr>
            <w:tcW w:w="1065" w:type="dxa"/>
            <w:tcBorders>
              <w:bottom w:val="single" w:sz="17" w:space="0" w:color="000000"/>
            </w:tcBorders>
          </w:tcPr>
          <w:p>
            <w:pPr>
              <w:pStyle w:val="TableParagraph"/>
              <w:spacing w:before="129"/>
              <w:ind w:left="332"/>
              <w:jc w:val="left"/>
              <w:rPr>
                <w:sz w:val="20"/>
              </w:rPr>
            </w:pPr>
            <w:r>
              <w:rPr>
                <w:sz w:val="20"/>
              </w:rPr>
              <w:t>19.70%</w:t>
            </w:r>
          </w:p>
        </w:tc>
      </w:tr>
    </w:tbl>
    <w:p>
      <w:pPr>
        <w:spacing w:after="0"/>
        <w:jc w:val="left"/>
        <w:rPr>
          <w:sz w:val="20"/>
        </w:rPr>
        <w:sectPr>
          <w:footerReference w:type="default" r:id="rId158"/>
          <w:pgSz w:w="12240" w:h="15840"/>
          <w:pgMar w:footer="657" w:header="0" w:top="1360" w:bottom="840" w:left="1660" w:right="1660"/>
          <w:pgNumType w:start="190"/>
        </w:sectPr>
      </w:pPr>
    </w:p>
    <w:p>
      <w:pPr>
        <w:pStyle w:val="Heading1"/>
        <w:ind w:left="171"/>
        <w:jc w:val="left"/>
      </w:pPr>
      <w:r>
        <w:rPr/>
        <w:t>Table 4</w:t>
      </w:r>
    </w:p>
    <w:p>
      <w:pPr>
        <w:pStyle w:val="BodyText"/>
        <w:spacing w:before="135"/>
        <w:ind w:left="171"/>
      </w:pPr>
      <w:r>
        <w:rPr/>
        <w:t>Financial viability and general economic situation, 2010-2018</w:t>
      </w:r>
    </w:p>
    <w:p>
      <w:pPr>
        <w:pStyle w:val="BodyText"/>
        <w:spacing w:before="3"/>
        <w:rPr>
          <w:sz w:val="14"/>
        </w:rPr>
      </w:pP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593"/>
        <w:gridCol w:w="1297"/>
        <w:gridCol w:w="956"/>
        <w:gridCol w:w="1047"/>
        <w:gridCol w:w="1741"/>
        <w:gridCol w:w="1206"/>
      </w:tblGrid>
      <w:tr>
        <w:trPr>
          <w:trHeight w:val="682" w:hRule="exact"/>
        </w:trPr>
        <w:tc>
          <w:tcPr>
            <w:tcW w:w="2593" w:type="dxa"/>
            <w:tcBorders>
              <w:left w:val="nil"/>
              <w:right w:val="nil"/>
            </w:tcBorders>
          </w:tcPr>
          <w:p>
            <w:pPr>
              <w:pStyle w:val="TableParagraph"/>
              <w:ind w:left="69"/>
              <w:jc w:val="left"/>
              <w:rPr>
                <w:b/>
                <w:sz w:val="20"/>
              </w:rPr>
            </w:pPr>
            <w:r>
              <w:rPr>
                <w:b/>
                <w:sz w:val="20"/>
              </w:rPr>
              <w:t>Indicator</w:t>
            </w:r>
          </w:p>
        </w:tc>
        <w:tc>
          <w:tcPr>
            <w:tcW w:w="1297" w:type="dxa"/>
            <w:tcBorders>
              <w:left w:val="nil"/>
              <w:right w:val="nil"/>
            </w:tcBorders>
          </w:tcPr>
          <w:p>
            <w:pPr>
              <w:pStyle w:val="TableParagraph"/>
              <w:spacing w:line="307" w:lineRule="auto"/>
              <w:ind w:left="699" w:right="88" w:firstLine="79"/>
              <w:jc w:val="left"/>
              <w:rPr>
                <w:b/>
                <w:sz w:val="20"/>
              </w:rPr>
            </w:pPr>
            <w:r>
              <w:rPr>
                <w:b/>
                <w:sz w:val="20"/>
              </w:rPr>
              <w:t>NPV (US$)</w:t>
            </w:r>
          </w:p>
        </w:tc>
        <w:tc>
          <w:tcPr>
            <w:tcW w:w="956" w:type="dxa"/>
            <w:tcBorders>
              <w:left w:val="nil"/>
              <w:right w:val="nil"/>
            </w:tcBorders>
          </w:tcPr>
          <w:p>
            <w:pPr>
              <w:pStyle w:val="TableParagraph"/>
              <w:spacing w:line="307" w:lineRule="auto"/>
              <w:ind w:left="456" w:right="146" w:hanging="101"/>
              <w:jc w:val="left"/>
              <w:rPr>
                <w:b/>
                <w:sz w:val="20"/>
              </w:rPr>
            </w:pPr>
            <w:r>
              <w:rPr>
                <w:b/>
                <w:sz w:val="20"/>
              </w:rPr>
              <w:t>RRR (%)</w:t>
            </w:r>
          </w:p>
        </w:tc>
        <w:tc>
          <w:tcPr>
            <w:tcW w:w="1047" w:type="dxa"/>
            <w:tcBorders>
              <w:left w:val="nil"/>
              <w:right w:val="nil"/>
            </w:tcBorders>
          </w:tcPr>
          <w:p>
            <w:pPr>
              <w:pStyle w:val="TableParagraph"/>
              <w:spacing w:line="307" w:lineRule="auto"/>
              <w:ind w:left="530" w:right="163"/>
              <w:jc w:val="left"/>
              <w:rPr>
                <w:b/>
                <w:sz w:val="20"/>
              </w:rPr>
            </w:pPr>
            <w:r>
              <w:rPr>
                <w:b/>
                <w:sz w:val="20"/>
              </w:rPr>
              <w:t>C/B (%)</w:t>
            </w:r>
          </w:p>
        </w:tc>
        <w:tc>
          <w:tcPr>
            <w:tcW w:w="1741" w:type="dxa"/>
            <w:tcBorders>
              <w:left w:val="nil"/>
              <w:right w:val="nil"/>
            </w:tcBorders>
          </w:tcPr>
          <w:p>
            <w:pPr>
              <w:pStyle w:val="TableParagraph"/>
              <w:spacing w:line="226" w:lineRule="exact"/>
              <w:ind w:left="182"/>
              <w:jc w:val="left"/>
              <w:rPr>
                <w:sz w:val="20"/>
                <w:szCs w:val="20"/>
              </w:rPr>
            </w:pPr>
            <w:r>
              <w:rPr>
                <w:b/>
                <w:bCs/>
                <w:sz w:val="20"/>
                <w:szCs w:val="20"/>
              </w:rPr>
              <w:t>P(FIC negative)</w:t>
            </w:r>
            <w:r>
              <w:rPr>
                <w:sz w:val="20"/>
                <w:szCs w:val="20"/>
                <w:rtl/>
              </w:rPr>
              <w:t>۶</w:t>
            </w:r>
          </w:p>
          <w:p>
            <w:pPr>
              <w:pStyle w:val="TableParagraph"/>
              <w:spacing w:before="70"/>
              <w:ind w:left="282" w:right="417"/>
              <w:jc w:val="center"/>
              <w:rPr>
                <w:b/>
                <w:sz w:val="20"/>
              </w:rPr>
            </w:pPr>
            <w:r>
              <w:rPr>
                <w:b/>
                <w:sz w:val="20"/>
              </w:rPr>
              <w:t>(%)</w:t>
            </w:r>
          </w:p>
        </w:tc>
        <w:tc>
          <w:tcPr>
            <w:tcW w:w="1206" w:type="dxa"/>
            <w:tcBorders>
              <w:left w:val="nil"/>
              <w:right w:val="nil"/>
            </w:tcBorders>
          </w:tcPr>
          <w:p>
            <w:pPr>
              <w:pStyle w:val="TableParagraph"/>
              <w:spacing w:line="312" w:lineRule="auto"/>
              <w:ind w:left="424" w:right="51" w:hanging="183"/>
              <w:jc w:val="left"/>
              <w:rPr>
                <w:b/>
                <w:bCs/>
                <w:sz w:val="20"/>
                <w:szCs w:val="20"/>
              </w:rPr>
            </w:pPr>
            <w:r>
              <w:rPr>
                <w:b/>
                <w:bCs/>
                <w:sz w:val="20"/>
                <w:szCs w:val="20"/>
              </w:rPr>
              <w:t>P(Decap)</w:t>
            </w:r>
            <w:r>
              <w:rPr>
                <w:sz w:val="20"/>
                <w:szCs w:val="20"/>
                <w:rtl/>
              </w:rPr>
              <w:t>٩</w:t>
            </w:r>
            <w:r>
              <w:rPr>
                <w:sz w:val="20"/>
                <w:szCs w:val="20"/>
              </w:rPr>
              <w:t> </w:t>
            </w:r>
            <w:r>
              <w:rPr>
                <w:b/>
                <w:bCs/>
                <w:sz w:val="20"/>
                <w:szCs w:val="20"/>
              </w:rPr>
              <w:t>(%</w:t>
            </w:r>
            <w:r>
              <w:rPr>
                <w:b/>
                <w:bCs/>
                <w:sz w:val="20"/>
                <w:szCs w:val="20"/>
              </w:rPr>
              <w:t>)</w:t>
            </w:r>
          </w:p>
        </w:tc>
      </w:tr>
      <w:tr>
        <w:trPr>
          <w:trHeight w:val="291" w:hRule="exact"/>
        </w:trPr>
        <w:tc>
          <w:tcPr>
            <w:tcW w:w="2593" w:type="dxa"/>
            <w:tcBorders>
              <w:top w:val="nil"/>
              <w:left w:val="nil"/>
              <w:bottom w:val="nil"/>
              <w:right w:val="nil"/>
            </w:tcBorders>
          </w:tcPr>
          <w:p>
            <w:pPr/>
          </w:p>
        </w:tc>
        <w:tc>
          <w:tcPr>
            <w:tcW w:w="1297" w:type="dxa"/>
            <w:tcBorders>
              <w:top w:val="nil"/>
              <w:left w:val="nil"/>
              <w:bottom w:val="nil"/>
              <w:right w:val="nil"/>
            </w:tcBorders>
          </w:tcPr>
          <w:p>
            <w:pPr/>
          </w:p>
        </w:tc>
        <w:tc>
          <w:tcPr>
            <w:tcW w:w="956" w:type="dxa"/>
            <w:tcBorders>
              <w:top w:val="nil"/>
              <w:left w:val="nil"/>
              <w:bottom w:val="nil"/>
              <w:right w:val="nil"/>
            </w:tcBorders>
          </w:tcPr>
          <w:p>
            <w:pPr>
              <w:pStyle w:val="TableParagraph"/>
              <w:spacing w:before="19"/>
              <w:ind w:right="79"/>
              <w:rPr>
                <w:b/>
                <w:sz w:val="20"/>
              </w:rPr>
            </w:pPr>
            <w:r>
              <w:rPr>
                <w:b/>
                <w:sz w:val="20"/>
              </w:rPr>
              <w:t>Model 1</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16" w:hRule="exact"/>
        </w:trPr>
        <w:tc>
          <w:tcPr>
            <w:tcW w:w="2593" w:type="dxa"/>
            <w:tcBorders>
              <w:top w:val="nil"/>
              <w:left w:val="nil"/>
              <w:bottom w:val="nil"/>
              <w:right w:val="nil"/>
            </w:tcBorders>
          </w:tcPr>
          <w:p>
            <w:pPr>
              <w:pStyle w:val="TableParagraph"/>
              <w:spacing w:before="19"/>
              <w:ind w:left="69"/>
              <w:jc w:val="left"/>
              <w:rPr>
                <w:sz w:val="20"/>
              </w:rPr>
            </w:pPr>
            <w:r>
              <w:rPr>
                <w:sz w:val="20"/>
              </w:rPr>
              <w:t>Mean</w:t>
            </w:r>
          </w:p>
        </w:tc>
        <w:tc>
          <w:tcPr>
            <w:tcW w:w="1297" w:type="dxa"/>
            <w:tcBorders>
              <w:top w:val="nil"/>
              <w:left w:val="nil"/>
              <w:bottom w:val="nil"/>
              <w:right w:val="nil"/>
            </w:tcBorders>
          </w:tcPr>
          <w:p>
            <w:pPr>
              <w:pStyle w:val="TableParagraph"/>
              <w:spacing w:before="19"/>
              <w:ind w:right="105"/>
              <w:rPr>
                <w:sz w:val="20"/>
              </w:rPr>
            </w:pPr>
            <w:r>
              <w:rPr>
                <w:w w:val="95"/>
                <w:sz w:val="20"/>
              </w:rPr>
              <w:t>16,860.71</w:t>
            </w:r>
          </w:p>
        </w:tc>
        <w:tc>
          <w:tcPr>
            <w:tcW w:w="956" w:type="dxa"/>
            <w:tcBorders>
              <w:top w:val="nil"/>
              <w:left w:val="nil"/>
              <w:bottom w:val="nil"/>
              <w:right w:val="nil"/>
            </w:tcBorders>
          </w:tcPr>
          <w:p>
            <w:pPr>
              <w:pStyle w:val="TableParagraph"/>
              <w:spacing w:before="19"/>
              <w:ind w:left="439"/>
              <w:jc w:val="left"/>
              <w:rPr>
                <w:sz w:val="20"/>
              </w:rPr>
            </w:pPr>
            <w:r>
              <w:rPr>
                <w:sz w:val="20"/>
              </w:rPr>
              <w:t>9.22</w:t>
            </w:r>
          </w:p>
        </w:tc>
        <w:tc>
          <w:tcPr>
            <w:tcW w:w="1047" w:type="dxa"/>
            <w:tcBorders>
              <w:top w:val="nil"/>
              <w:left w:val="nil"/>
              <w:bottom w:val="nil"/>
              <w:right w:val="nil"/>
            </w:tcBorders>
          </w:tcPr>
          <w:p>
            <w:pPr>
              <w:pStyle w:val="TableParagraph"/>
              <w:spacing w:before="19"/>
              <w:ind w:right="180"/>
              <w:rPr>
                <w:sz w:val="20"/>
              </w:rPr>
            </w:pPr>
            <w:r>
              <w:rPr>
                <w:sz w:val="20"/>
              </w:rPr>
              <w:t>84.50</w:t>
            </w:r>
          </w:p>
        </w:tc>
        <w:tc>
          <w:tcPr>
            <w:tcW w:w="1741" w:type="dxa"/>
            <w:tcBorders>
              <w:top w:val="nil"/>
              <w:left w:val="nil"/>
              <w:bottom w:val="nil"/>
              <w:right w:val="nil"/>
            </w:tcBorders>
          </w:tcPr>
          <w:p>
            <w:pPr>
              <w:pStyle w:val="TableParagraph"/>
              <w:spacing w:before="19"/>
              <w:ind w:left="284" w:right="417"/>
              <w:jc w:val="center"/>
              <w:rPr>
                <w:sz w:val="20"/>
              </w:rPr>
            </w:pPr>
            <w:r>
              <w:rPr>
                <w:sz w:val="20"/>
              </w:rPr>
              <w:t>2011 – 2018</w:t>
            </w:r>
          </w:p>
        </w:tc>
        <w:tc>
          <w:tcPr>
            <w:tcW w:w="1206" w:type="dxa"/>
            <w:tcBorders>
              <w:top w:val="nil"/>
              <w:left w:val="nil"/>
              <w:bottom w:val="nil"/>
              <w:right w:val="nil"/>
            </w:tcBorders>
          </w:tcPr>
          <w:p>
            <w:pPr>
              <w:pStyle w:val="TableParagraph"/>
              <w:spacing w:before="19"/>
              <w:ind w:left="71" w:right="94"/>
              <w:jc w:val="center"/>
              <w:rPr>
                <w:sz w:val="20"/>
              </w:rPr>
            </w:pPr>
            <w:r>
              <w:rPr>
                <w:sz w:val="20"/>
              </w:rPr>
              <w:t>2011 – 2018</w:t>
            </w: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Standard Deviation</w:t>
            </w:r>
          </w:p>
        </w:tc>
        <w:tc>
          <w:tcPr>
            <w:tcW w:w="1297" w:type="dxa"/>
            <w:tcBorders>
              <w:top w:val="nil"/>
              <w:left w:val="nil"/>
              <w:bottom w:val="nil"/>
              <w:right w:val="nil"/>
            </w:tcBorders>
          </w:tcPr>
          <w:p>
            <w:pPr>
              <w:pStyle w:val="TableParagraph"/>
              <w:spacing w:before="44"/>
              <w:ind w:right="105"/>
              <w:rPr>
                <w:sz w:val="20"/>
              </w:rPr>
            </w:pPr>
            <w:r>
              <w:rPr>
                <w:w w:val="95"/>
                <w:sz w:val="20"/>
              </w:rPr>
              <w:t>17,022.41</w:t>
            </w:r>
          </w:p>
        </w:tc>
        <w:tc>
          <w:tcPr>
            <w:tcW w:w="956" w:type="dxa"/>
            <w:tcBorders>
              <w:top w:val="nil"/>
              <w:left w:val="nil"/>
              <w:bottom w:val="nil"/>
              <w:right w:val="nil"/>
            </w:tcBorders>
          </w:tcPr>
          <w:p>
            <w:pPr>
              <w:pStyle w:val="TableParagraph"/>
              <w:spacing w:before="44"/>
              <w:ind w:left="439"/>
              <w:jc w:val="left"/>
              <w:rPr>
                <w:sz w:val="20"/>
              </w:rPr>
            </w:pPr>
            <w:r>
              <w:rPr>
                <w:sz w:val="20"/>
              </w:rPr>
              <w:t>3.05</w:t>
            </w:r>
          </w:p>
        </w:tc>
        <w:tc>
          <w:tcPr>
            <w:tcW w:w="1047" w:type="dxa"/>
            <w:tcBorders>
              <w:top w:val="nil"/>
              <w:left w:val="nil"/>
              <w:bottom w:val="nil"/>
              <w:right w:val="nil"/>
            </w:tcBorders>
          </w:tcPr>
          <w:p>
            <w:pPr>
              <w:pStyle w:val="TableParagraph"/>
              <w:spacing w:before="44"/>
              <w:ind w:right="180"/>
              <w:rPr>
                <w:sz w:val="20"/>
              </w:rPr>
            </w:pPr>
            <w:r>
              <w:rPr>
                <w:sz w:val="20"/>
              </w:rPr>
              <w:t>33.80</w:t>
            </w:r>
          </w:p>
        </w:tc>
        <w:tc>
          <w:tcPr>
            <w:tcW w:w="1741" w:type="dxa"/>
            <w:tcBorders>
              <w:top w:val="nil"/>
              <w:left w:val="nil"/>
              <w:bottom w:val="nil"/>
              <w:right w:val="nil"/>
            </w:tcBorders>
          </w:tcPr>
          <w:p>
            <w:pPr>
              <w:pStyle w:val="TableParagraph"/>
              <w:spacing w:before="44"/>
              <w:ind w:left="284" w:right="415"/>
              <w:jc w:val="center"/>
              <w:rPr>
                <w:sz w:val="20"/>
              </w:rPr>
            </w:pPr>
            <w:r>
              <w:rPr>
                <w:sz w:val="20"/>
              </w:rPr>
              <w:t>23.30</w:t>
            </w:r>
          </w:p>
        </w:tc>
        <w:tc>
          <w:tcPr>
            <w:tcW w:w="1206" w:type="dxa"/>
            <w:tcBorders>
              <w:top w:val="nil"/>
              <w:left w:val="nil"/>
              <w:bottom w:val="nil"/>
              <w:right w:val="nil"/>
            </w:tcBorders>
          </w:tcPr>
          <w:p>
            <w:pPr>
              <w:pStyle w:val="TableParagraph"/>
              <w:spacing w:before="44"/>
              <w:ind w:left="70" w:right="94"/>
              <w:jc w:val="center"/>
              <w:rPr>
                <w:sz w:val="20"/>
              </w:rPr>
            </w:pPr>
            <w:r>
              <w:rPr>
                <w:sz w:val="20"/>
              </w:rPr>
              <w:t>25.20</w:t>
            </w:r>
          </w:p>
        </w:tc>
      </w:tr>
      <w:tr>
        <w:trPr>
          <w:trHeight w:val="340" w:hRule="exact"/>
        </w:trPr>
        <w:tc>
          <w:tcPr>
            <w:tcW w:w="2593" w:type="dxa"/>
            <w:tcBorders>
              <w:top w:val="nil"/>
              <w:left w:val="nil"/>
              <w:bottom w:val="nil"/>
              <w:right w:val="nil"/>
            </w:tcBorders>
          </w:tcPr>
          <w:p>
            <w:pPr>
              <w:pStyle w:val="TableParagraph"/>
              <w:spacing w:before="44"/>
              <w:ind w:left="69"/>
              <w:jc w:val="left"/>
              <w:rPr>
                <w:sz w:val="20"/>
              </w:rPr>
            </w:pPr>
            <w:r>
              <w:rPr>
                <w:sz w:val="20"/>
              </w:rPr>
              <w:t>Coefficient of Variation (%)</w:t>
            </w:r>
          </w:p>
        </w:tc>
        <w:tc>
          <w:tcPr>
            <w:tcW w:w="1297" w:type="dxa"/>
            <w:tcBorders>
              <w:top w:val="nil"/>
              <w:left w:val="nil"/>
              <w:bottom w:val="nil"/>
              <w:right w:val="nil"/>
            </w:tcBorders>
          </w:tcPr>
          <w:p>
            <w:pPr>
              <w:pStyle w:val="TableParagraph"/>
              <w:spacing w:before="44"/>
              <w:ind w:right="105"/>
              <w:rPr>
                <w:sz w:val="20"/>
              </w:rPr>
            </w:pPr>
            <w:r>
              <w:rPr>
                <w:w w:val="95"/>
                <w:sz w:val="20"/>
              </w:rPr>
              <w:t>100.96</w:t>
            </w:r>
          </w:p>
        </w:tc>
        <w:tc>
          <w:tcPr>
            <w:tcW w:w="956" w:type="dxa"/>
            <w:tcBorders>
              <w:top w:val="nil"/>
              <w:left w:val="nil"/>
              <w:bottom w:val="nil"/>
              <w:right w:val="nil"/>
            </w:tcBorders>
          </w:tcPr>
          <w:p>
            <w:pPr>
              <w:pStyle w:val="TableParagraph"/>
              <w:spacing w:before="44"/>
              <w:ind w:left="338"/>
              <w:jc w:val="left"/>
              <w:rPr>
                <w:sz w:val="20"/>
              </w:rPr>
            </w:pPr>
            <w:r>
              <w:rPr>
                <w:sz w:val="20"/>
              </w:rPr>
              <w:t>33.10</w:t>
            </w:r>
          </w:p>
        </w:tc>
        <w:tc>
          <w:tcPr>
            <w:tcW w:w="1047" w:type="dxa"/>
            <w:tcBorders>
              <w:top w:val="nil"/>
              <w:left w:val="nil"/>
              <w:bottom w:val="nil"/>
              <w:right w:val="nil"/>
            </w:tcBorders>
          </w:tcPr>
          <w:p>
            <w:pPr>
              <w:pStyle w:val="TableParagraph"/>
              <w:spacing w:before="44"/>
              <w:ind w:right="180"/>
              <w:rPr>
                <w:sz w:val="20"/>
              </w:rPr>
            </w:pPr>
            <w:r>
              <w:rPr>
                <w:sz w:val="20"/>
              </w:rPr>
              <w:t>40.10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Style w:val="TableParagraph"/>
              <w:spacing w:before="43"/>
              <w:ind w:left="69"/>
              <w:jc w:val="left"/>
              <w:rPr>
                <w:sz w:val="20"/>
              </w:rPr>
            </w:pPr>
            <w:r>
              <w:rPr>
                <w:sz w:val="20"/>
              </w:rPr>
              <w:t>Minimum</w:t>
            </w:r>
          </w:p>
        </w:tc>
        <w:tc>
          <w:tcPr>
            <w:tcW w:w="1297" w:type="dxa"/>
            <w:tcBorders>
              <w:top w:val="nil"/>
              <w:left w:val="nil"/>
              <w:bottom w:val="nil"/>
              <w:right w:val="nil"/>
            </w:tcBorders>
          </w:tcPr>
          <w:p>
            <w:pPr>
              <w:pStyle w:val="TableParagraph"/>
              <w:spacing w:before="43"/>
              <w:ind w:right="105"/>
              <w:rPr>
                <w:sz w:val="20"/>
              </w:rPr>
            </w:pPr>
            <w:r>
              <w:rPr>
                <w:w w:val="95"/>
                <w:sz w:val="20"/>
              </w:rPr>
              <w:t>(50,300.30)</w:t>
            </w:r>
          </w:p>
        </w:tc>
        <w:tc>
          <w:tcPr>
            <w:tcW w:w="956" w:type="dxa"/>
            <w:tcBorders>
              <w:top w:val="nil"/>
              <w:left w:val="nil"/>
              <w:bottom w:val="nil"/>
              <w:right w:val="nil"/>
            </w:tcBorders>
          </w:tcPr>
          <w:p>
            <w:pPr>
              <w:pStyle w:val="TableParagraph"/>
              <w:spacing w:before="43"/>
              <w:ind w:left="307"/>
              <w:jc w:val="left"/>
              <w:rPr>
                <w:sz w:val="20"/>
              </w:rPr>
            </w:pPr>
            <w:r>
              <w:rPr>
                <w:sz w:val="20"/>
              </w:rPr>
              <w:t>(5.22)</w:t>
            </w:r>
          </w:p>
        </w:tc>
        <w:tc>
          <w:tcPr>
            <w:tcW w:w="1047" w:type="dxa"/>
            <w:tcBorders>
              <w:top w:val="nil"/>
              <w:left w:val="nil"/>
              <w:bottom w:val="nil"/>
              <w:right w:val="nil"/>
            </w:tcBorders>
          </w:tcPr>
          <w:p>
            <w:pPr>
              <w:pStyle w:val="TableParagraph"/>
              <w:spacing w:before="43"/>
              <w:ind w:right="180"/>
              <w:rPr>
                <w:sz w:val="20"/>
              </w:rPr>
            </w:pPr>
            <w:r>
              <w:rPr>
                <w:sz w:val="20"/>
              </w:rPr>
              <w:t>50.50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Maximum</w:t>
            </w:r>
          </w:p>
        </w:tc>
        <w:tc>
          <w:tcPr>
            <w:tcW w:w="1297" w:type="dxa"/>
            <w:tcBorders>
              <w:top w:val="nil"/>
              <w:left w:val="nil"/>
              <w:bottom w:val="nil"/>
              <w:right w:val="nil"/>
            </w:tcBorders>
          </w:tcPr>
          <w:p>
            <w:pPr>
              <w:pStyle w:val="TableParagraph"/>
              <w:spacing w:before="44"/>
              <w:ind w:right="105"/>
              <w:rPr>
                <w:sz w:val="20"/>
              </w:rPr>
            </w:pPr>
            <w:r>
              <w:rPr>
                <w:w w:val="95"/>
                <w:sz w:val="20"/>
              </w:rPr>
              <w:t>61,791.79</w:t>
            </w:r>
          </w:p>
        </w:tc>
        <w:tc>
          <w:tcPr>
            <w:tcW w:w="956" w:type="dxa"/>
            <w:tcBorders>
              <w:top w:val="nil"/>
              <w:left w:val="nil"/>
              <w:bottom w:val="nil"/>
              <w:right w:val="nil"/>
            </w:tcBorders>
          </w:tcPr>
          <w:p>
            <w:pPr>
              <w:pStyle w:val="TableParagraph"/>
              <w:spacing w:before="44"/>
              <w:ind w:left="338"/>
              <w:jc w:val="left"/>
              <w:rPr>
                <w:sz w:val="20"/>
              </w:rPr>
            </w:pPr>
            <w:r>
              <w:rPr>
                <w:sz w:val="20"/>
              </w:rPr>
              <w:t>14.61</w:t>
            </w:r>
          </w:p>
        </w:tc>
        <w:tc>
          <w:tcPr>
            <w:tcW w:w="1047" w:type="dxa"/>
            <w:tcBorders>
              <w:top w:val="nil"/>
              <w:left w:val="nil"/>
              <w:bottom w:val="nil"/>
              <w:right w:val="nil"/>
            </w:tcBorders>
          </w:tcPr>
          <w:p>
            <w:pPr>
              <w:pStyle w:val="TableParagraph"/>
              <w:spacing w:before="44"/>
              <w:ind w:right="180"/>
              <w:rPr>
                <w:sz w:val="20"/>
              </w:rPr>
            </w:pPr>
            <w:r>
              <w:rPr>
                <w:w w:val="95"/>
                <w:sz w:val="20"/>
              </w:rPr>
              <w:t>496.60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2" w:hRule="exact"/>
        </w:trPr>
        <w:tc>
          <w:tcPr>
            <w:tcW w:w="2593" w:type="dxa"/>
            <w:tcBorders>
              <w:top w:val="nil"/>
              <w:left w:val="nil"/>
              <w:bottom w:val="nil"/>
              <w:right w:val="nil"/>
            </w:tcBorders>
          </w:tcPr>
          <w:p>
            <w:pPr>
              <w:pStyle w:val="TableParagraph"/>
              <w:spacing w:before="44"/>
              <w:ind w:left="69"/>
              <w:jc w:val="left"/>
              <w:rPr>
                <w:sz w:val="20"/>
              </w:rPr>
            </w:pPr>
            <w:r>
              <w:rPr>
                <w:sz w:val="20"/>
              </w:rPr>
              <w:t>P(NPV &gt; 0)</w:t>
            </w:r>
          </w:p>
        </w:tc>
        <w:tc>
          <w:tcPr>
            <w:tcW w:w="1297" w:type="dxa"/>
            <w:tcBorders>
              <w:top w:val="nil"/>
              <w:left w:val="nil"/>
              <w:bottom w:val="nil"/>
              <w:right w:val="nil"/>
            </w:tcBorders>
          </w:tcPr>
          <w:p>
            <w:pPr>
              <w:pStyle w:val="TableParagraph"/>
              <w:spacing w:before="44"/>
              <w:ind w:right="103"/>
              <w:rPr>
                <w:sz w:val="20"/>
              </w:rPr>
            </w:pPr>
            <w:r>
              <w:rPr>
                <w:sz w:val="20"/>
              </w:rPr>
              <w:t>84.90%</w:t>
            </w:r>
          </w:p>
        </w:tc>
        <w:tc>
          <w:tcPr>
            <w:tcW w:w="956" w:type="dxa"/>
            <w:tcBorders>
              <w:top w:val="nil"/>
              <w:left w:val="nil"/>
              <w:bottom w:val="nil"/>
              <w:right w:val="nil"/>
            </w:tcBorders>
          </w:tcPr>
          <w:p>
            <w:pPr>
              <w:pStyle w:val="TableParagraph"/>
              <w:spacing w:before="44"/>
              <w:ind w:left="173"/>
              <w:jc w:val="left"/>
              <w:rPr>
                <w:sz w:val="20"/>
              </w:rPr>
            </w:pPr>
            <w:r>
              <w:rPr>
                <w:sz w:val="20"/>
              </w:rPr>
              <w:t>98.30%</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
        </w:tc>
        <w:tc>
          <w:tcPr>
            <w:tcW w:w="1297" w:type="dxa"/>
            <w:tcBorders>
              <w:top w:val="nil"/>
              <w:left w:val="nil"/>
              <w:bottom w:val="nil"/>
              <w:right w:val="nil"/>
            </w:tcBorders>
          </w:tcPr>
          <w:p>
            <w:pPr/>
          </w:p>
        </w:tc>
        <w:tc>
          <w:tcPr>
            <w:tcW w:w="956" w:type="dxa"/>
            <w:tcBorders>
              <w:top w:val="nil"/>
              <w:left w:val="nil"/>
              <w:bottom w:val="nil"/>
              <w:right w:val="nil"/>
            </w:tcBorders>
          </w:tcPr>
          <w:p>
            <w:pPr>
              <w:pStyle w:val="TableParagraph"/>
              <w:spacing w:before="45"/>
              <w:ind w:right="79"/>
              <w:rPr>
                <w:b/>
                <w:sz w:val="20"/>
              </w:rPr>
            </w:pPr>
            <w:r>
              <w:rPr>
                <w:b/>
                <w:sz w:val="20"/>
              </w:rPr>
              <w:t>Model 2</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38" w:hRule="exact"/>
        </w:trPr>
        <w:tc>
          <w:tcPr>
            <w:tcW w:w="2593" w:type="dxa"/>
            <w:tcBorders>
              <w:top w:val="nil"/>
              <w:left w:val="nil"/>
              <w:bottom w:val="nil"/>
              <w:right w:val="nil"/>
            </w:tcBorders>
          </w:tcPr>
          <w:p>
            <w:pPr>
              <w:pStyle w:val="TableParagraph"/>
              <w:spacing w:before="42"/>
              <w:ind w:left="69"/>
              <w:jc w:val="left"/>
              <w:rPr>
                <w:sz w:val="20"/>
              </w:rPr>
            </w:pPr>
            <w:r>
              <w:rPr>
                <w:sz w:val="20"/>
              </w:rPr>
              <w:t>Mean</w:t>
            </w:r>
          </w:p>
        </w:tc>
        <w:tc>
          <w:tcPr>
            <w:tcW w:w="1297" w:type="dxa"/>
            <w:tcBorders>
              <w:top w:val="nil"/>
              <w:left w:val="nil"/>
              <w:bottom w:val="nil"/>
              <w:right w:val="nil"/>
            </w:tcBorders>
          </w:tcPr>
          <w:p>
            <w:pPr>
              <w:pStyle w:val="TableParagraph"/>
              <w:spacing w:before="42"/>
              <w:ind w:right="105"/>
              <w:rPr>
                <w:sz w:val="20"/>
              </w:rPr>
            </w:pPr>
            <w:r>
              <w:rPr>
                <w:w w:val="95"/>
                <w:sz w:val="20"/>
              </w:rPr>
              <w:t>24,169.55</w:t>
            </w:r>
          </w:p>
        </w:tc>
        <w:tc>
          <w:tcPr>
            <w:tcW w:w="956" w:type="dxa"/>
            <w:tcBorders>
              <w:top w:val="nil"/>
              <w:left w:val="nil"/>
              <w:bottom w:val="nil"/>
              <w:right w:val="nil"/>
            </w:tcBorders>
          </w:tcPr>
          <w:p>
            <w:pPr>
              <w:pStyle w:val="TableParagraph"/>
              <w:spacing w:before="42"/>
              <w:ind w:left="439"/>
              <w:jc w:val="left"/>
              <w:rPr>
                <w:sz w:val="20"/>
              </w:rPr>
            </w:pPr>
            <w:r>
              <w:rPr>
                <w:sz w:val="20"/>
              </w:rPr>
              <w:t>8.58</w:t>
            </w:r>
          </w:p>
        </w:tc>
        <w:tc>
          <w:tcPr>
            <w:tcW w:w="1047" w:type="dxa"/>
            <w:tcBorders>
              <w:top w:val="nil"/>
              <w:left w:val="nil"/>
              <w:bottom w:val="nil"/>
              <w:right w:val="nil"/>
            </w:tcBorders>
          </w:tcPr>
          <w:p>
            <w:pPr>
              <w:pStyle w:val="TableParagraph"/>
              <w:spacing w:before="42"/>
              <w:ind w:right="180"/>
              <w:rPr>
                <w:sz w:val="20"/>
              </w:rPr>
            </w:pPr>
            <w:r>
              <w:rPr>
                <w:sz w:val="20"/>
              </w:rPr>
              <w:t>75.70</w:t>
            </w:r>
          </w:p>
        </w:tc>
        <w:tc>
          <w:tcPr>
            <w:tcW w:w="1741" w:type="dxa"/>
            <w:tcBorders>
              <w:top w:val="nil"/>
              <w:left w:val="nil"/>
              <w:bottom w:val="nil"/>
              <w:right w:val="nil"/>
            </w:tcBorders>
          </w:tcPr>
          <w:p>
            <w:pPr>
              <w:pStyle w:val="TableParagraph"/>
              <w:spacing w:before="42"/>
              <w:ind w:left="284" w:right="417"/>
              <w:jc w:val="center"/>
              <w:rPr>
                <w:sz w:val="20"/>
              </w:rPr>
            </w:pPr>
            <w:r>
              <w:rPr>
                <w:sz w:val="20"/>
              </w:rPr>
              <w:t>2011 – 2018</w:t>
            </w:r>
          </w:p>
        </w:tc>
        <w:tc>
          <w:tcPr>
            <w:tcW w:w="1206" w:type="dxa"/>
            <w:tcBorders>
              <w:top w:val="nil"/>
              <w:left w:val="nil"/>
              <w:bottom w:val="nil"/>
              <w:right w:val="nil"/>
            </w:tcBorders>
          </w:tcPr>
          <w:p>
            <w:pPr>
              <w:pStyle w:val="TableParagraph"/>
              <w:spacing w:before="42"/>
              <w:ind w:left="71" w:right="94"/>
              <w:jc w:val="center"/>
              <w:rPr>
                <w:sz w:val="20"/>
              </w:rPr>
            </w:pPr>
            <w:r>
              <w:rPr>
                <w:sz w:val="20"/>
              </w:rPr>
              <w:t>2011 – 2018</w:t>
            </w:r>
          </w:p>
        </w:tc>
      </w:tr>
      <w:tr>
        <w:trPr>
          <w:trHeight w:val="340" w:hRule="exact"/>
        </w:trPr>
        <w:tc>
          <w:tcPr>
            <w:tcW w:w="2593" w:type="dxa"/>
            <w:tcBorders>
              <w:top w:val="nil"/>
              <w:left w:val="nil"/>
              <w:bottom w:val="nil"/>
              <w:right w:val="nil"/>
            </w:tcBorders>
          </w:tcPr>
          <w:p>
            <w:pPr>
              <w:pStyle w:val="TableParagraph"/>
              <w:spacing w:before="44"/>
              <w:ind w:left="69"/>
              <w:jc w:val="left"/>
              <w:rPr>
                <w:sz w:val="20"/>
              </w:rPr>
            </w:pPr>
            <w:r>
              <w:rPr>
                <w:sz w:val="20"/>
              </w:rPr>
              <w:t>Standard Deviation</w:t>
            </w:r>
          </w:p>
        </w:tc>
        <w:tc>
          <w:tcPr>
            <w:tcW w:w="1297" w:type="dxa"/>
            <w:tcBorders>
              <w:top w:val="nil"/>
              <w:left w:val="nil"/>
              <w:bottom w:val="nil"/>
              <w:right w:val="nil"/>
            </w:tcBorders>
          </w:tcPr>
          <w:p>
            <w:pPr>
              <w:pStyle w:val="TableParagraph"/>
              <w:spacing w:before="44"/>
              <w:ind w:right="105"/>
              <w:rPr>
                <w:sz w:val="20"/>
              </w:rPr>
            </w:pPr>
            <w:r>
              <w:rPr>
                <w:w w:val="95"/>
                <w:sz w:val="20"/>
              </w:rPr>
              <w:t>16,575.81</w:t>
            </w:r>
          </w:p>
        </w:tc>
        <w:tc>
          <w:tcPr>
            <w:tcW w:w="956" w:type="dxa"/>
            <w:tcBorders>
              <w:top w:val="nil"/>
              <w:left w:val="nil"/>
              <w:bottom w:val="nil"/>
              <w:right w:val="nil"/>
            </w:tcBorders>
          </w:tcPr>
          <w:p>
            <w:pPr>
              <w:pStyle w:val="TableParagraph"/>
              <w:spacing w:before="44"/>
              <w:ind w:left="439"/>
              <w:jc w:val="left"/>
              <w:rPr>
                <w:sz w:val="20"/>
              </w:rPr>
            </w:pPr>
            <w:r>
              <w:rPr>
                <w:sz w:val="20"/>
              </w:rPr>
              <w:t>2.88</w:t>
            </w:r>
          </w:p>
        </w:tc>
        <w:tc>
          <w:tcPr>
            <w:tcW w:w="1047" w:type="dxa"/>
            <w:tcBorders>
              <w:top w:val="nil"/>
              <w:left w:val="nil"/>
              <w:bottom w:val="nil"/>
              <w:right w:val="nil"/>
            </w:tcBorders>
          </w:tcPr>
          <w:p>
            <w:pPr>
              <w:pStyle w:val="TableParagraph"/>
              <w:spacing w:before="44"/>
              <w:ind w:right="180"/>
              <w:rPr>
                <w:sz w:val="20"/>
              </w:rPr>
            </w:pPr>
            <w:r>
              <w:rPr>
                <w:sz w:val="20"/>
              </w:rPr>
              <w:t>20.60</w:t>
            </w:r>
          </w:p>
        </w:tc>
        <w:tc>
          <w:tcPr>
            <w:tcW w:w="1741" w:type="dxa"/>
            <w:tcBorders>
              <w:top w:val="nil"/>
              <w:left w:val="nil"/>
              <w:bottom w:val="nil"/>
              <w:right w:val="nil"/>
            </w:tcBorders>
          </w:tcPr>
          <w:p>
            <w:pPr>
              <w:pStyle w:val="TableParagraph"/>
              <w:spacing w:before="44"/>
              <w:ind w:left="284" w:right="415"/>
              <w:jc w:val="center"/>
              <w:rPr>
                <w:sz w:val="20"/>
              </w:rPr>
            </w:pPr>
            <w:r>
              <w:rPr>
                <w:sz w:val="20"/>
              </w:rPr>
              <w:t>23.24</w:t>
            </w:r>
          </w:p>
        </w:tc>
        <w:tc>
          <w:tcPr>
            <w:tcW w:w="1206" w:type="dxa"/>
            <w:tcBorders>
              <w:top w:val="nil"/>
              <w:left w:val="nil"/>
              <w:bottom w:val="nil"/>
              <w:right w:val="nil"/>
            </w:tcBorders>
          </w:tcPr>
          <w:p>
            <w:pPr>
              <w:pStyle w:val="TableParagraph"/>
              <w:spacing w:before="44"/>
              <w:ind w:left="70" w:right="94"/>
              <w:jc w:val="center"/>
              <w:rPr>
                <w:sz w:val="20"/>
              </w:rPr>
            </w:pPr>
            <w:r>
              <w:rPr>
                <w:sz w:val="20"/>
              </w:rPr>
              <w:t>23.10</w:t>
            </w:r>
          </w:p>
        </w:tc>
      </w:tr>
      <w:tr>
        <w:trPr>
          <w:trHeight w:val="340" w:hRule="exact"/>
        </w:trPr>
        <w:tc>
          <w:tcPr>
            <w:tcW w:w="2593" w:type="dxa"/>
            <w:tcBorders>
              <w:top w:val="nil"/>
              <w:left w:val="nil"/>
              <w:bottom w:val="nil"/>
              <w:right w:val="nil"/>
            </w:tcBorders>
          </w:tcPr>
          <w:p>
            <w:pPr>
              <w:pStyle w:val="TableParagraph"/>
              <w:spacing w:before="43"/>
              <w:ind w:left="69"/>
              <w:jc w:val="left"/>
              <w:rPr>
                <w:sz w:val="20"/>
              </w:rPr>
            </w:pPr>
            <w:r>
              <w:rPr>
                <w:sz w:val="20"/>
              </w:rPr>
              <w:t>Coefficient of Variation (%)</w:t>
            </w:r>
          </w:p>
        </w:tc>
        <w:tc>
          <w:tcPr>
            <w:tcW w:w="1297" w:type="dxa"/>
            <w:tcBorders>
              <w:top w:val="nil"/>
              <w:left w:val="nil"/>
              <w:bottom w:val="nil"/>
              <w:right w:val="nil"/>
            </w:tcBorders>
          </w:tcPr>
          <w:p>
            <w:pPr>
              <w:pStyle w:val="TableParagraph"/>
              <w:spacing w:before="43"/>
              <w:ind w:right="105"/>
              <w:rPr>
                <w:sz w:val="20"/>
              </w:rPr>
            </w:pPr>
            <w:r>
              <w:rPr>
                <w:sz w:val="20"/>
              </w:rPr>
              <w:t>68.58</w:t>
            </w:r>
          </w:p>
        </w:tc>
        <w:tc>
          <w:tcPr>
            <w:tcW w:w="956" w:type="dxa"/>
            <w:tcBorders>
              <w:top w:val="nil"/>
              <w:left w:val="nil"/>
              <w:bottom w:val="nil"/>
              <w:right w:val="nil"/>
            </w:tcBorders>
          </w:tcPr>
          <w:p>
            <w:pPr>
              <w:pStyle w:val="TableParagraph"/>
              <w:spacing w:before="43"/>
              <w:ind w:left="338"/>
              <w:jc w:val="left"/>
              <w:rPr>
                <w:sz w:val="20"/>
              </w:rPr>
            </w:pPr>
            <w:r>
              <w:rPr>
                <w:sz w:val="20"/>
              </w:rPr>
              <w:t>33.55</w:t>
            </w:r>
          </w:p>
        </w:tc>
        <w:tc>
          <w:tcPr>
            <w:tcW w:w="1047" w:type="dxa"/>
            <w:tcBorders>
              <w:top w:val="nil"/>
              <w:left w:val="nil"/>
              <w:bottom w:val="nil"/>
              <w:right w:val="nil"/>
            </w:tcBorders>
          </w:tcPr>
          <w:p>
            <w:pPr>
              <w:pStyle w:val="TableParagraph"/>
              <w:spacing w:before="43"/>
              <w:ind w:right="180"/>
              <w:rPr>
                <w:sz w:val="20"/>
              </w:rPr>
            </w:pPr>
            <w:r>
              <w:rPr>
                <w:sz w:val="20"/>
              </w:rPr>
              <w:t>27.30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Minimum</w:t>
            </w:r>
          </w:p>
        </w:tc>
        <w:tc>
          <w:tcPr>
            <w:tcW w:w="1297" w:type="dxa"/>
            <w:tcBorders>
              <w:top w:val="nil"/>
              <w:left w:val="nil"/>
              <w:bottom w:val="nil"/>
              <w:right w:val="nil"/>
            </w:tcBorders>
          </w:tcPr>
          <w:p>
            <w:pPr>
              <w:pStyle w:val="TableParagraph"/>
              <w:spacing w:before="44"/>
              <w:ind w:right="105"/>
              <w:rPr>
                <w:sz w:val="20"/>
              </w:rPr>
            </w:pPr>
            <w:r>
              <w:rPr>
                <w:w w:val="95"/>
                <w:sz w:val="20"/>
              </w:rPr>
              <w:t>(40,135.52)</w:t>
            </w:r>
          </w:p>
        </w:tc>
        <w:tc>
          <w:tcPr>
            <w:tcW w:w="956" w:type="dxa"/>
            <w:tcBorders>
              <w:top w:val="nil"/>
              <w:left w:val="nil"/>
              <w:bottom w:val="nil"/>
              <w:right w:val="nil"/>
            </w:tcBorders>
          </w:tcPr>
          <w:p>
            <w:pPr>
              <w:pStyle w:val="TableParagraph"/>
              <w:spacing w:before="44"/>
              <w:ind w:left="307"/>
              <w:jc w:val="left"/>
              <w:rPr>
                <w:sz w:val="20"/>
              </w:rPr>
            </w:pPr>
            <w:r>
              <w:rPr>
                <w:sz w:val="20"/>
              </w:rPr>
              <w:t>(5.25)</w:t>
            </w:r>
          </w:p>
        </w:tc>
        <w:tc>
          <w:tcPr>
            <w:tcW w:w="1047" w:type="dxa"/>
            <w:tcBorders>
              <w:top w:val="nil"/>
              <w:left w:val="nil"/>
              <w:bottom w:val="nil"/>
              <w:right w:val="nil"/>
            </w:tcBorders>
          </w:tcPr>
          <w:p>
            <w:pPr>
              <w:pStyle w:val="TableParagraph"/>
              <w:spacing w:before="44"/>
              <w:ind w:right="180"/>
              <w:rPr>
                <w:sz w:val="20"/>
              </w:rPr>
            </w:pPr>
            <w:r>
              <w:rPr>
                <w:sz w:val="20"/>
              </w:rPr>
              <w:t>47.80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Style w:val="TableParagraph"/>
              <w:spacing w:before="44"/>
              <w:ind w:left="69"/>
              <w:jc w:val="left"/>
              <w:rPr>
                <w:sz w:val="20"/>
              </w:rPr>
            </w:pPr>
            <w:r>
              <w:rPr>
                <w:sz w:val="20"/>
              </w:rPr>
              <w:t>Maximum</w:t>
            </w:r>
          </w:p>
        </w:tc>
        <w:tc>
          <w:tcPr>
            <w:tcW w:w="1297" w:type="dxa"/>
            <w:tcBorders>
              <w:top w:val="nil"/>
              <w:left w:val="nil"/>
              <w:bottom w:val="nil"/>
              <w:right w:val="nil"/>
            </w:tcBorders>
          </w:tcPr>
          <w:p>
            <w:pPr>
              <w:pStyle w:val="TableParagraph"/>
              <w:spacing w:before="44"/>
              <w:ind w:right="105"/>
              <w:rPr>
                <w:sz w:val="20"/>
              </w:rPr>
            </w:pPr>
            <w:r>
              <w:rPr>
                <w:w w:val="95"/>
                <w:sz w:val="20"/>
              </w:rPr>
              <w:t>68,818.05</w:t>
            </w:r>
          </w:p>
        </w:tc>
        <w:tc>
          <w:tcPr>
            <w:tcW w:w="956" w:type="dxa"/>
            <w:tcBorders>
              <w:top w:val="nil"/>
              <w:left w:val="nil"/>
              <w:bottom w:val="nil"/>
              <w:right w:val="nil"/>
            </w:tcBorders>
          </w:tcPr>
          <w:p>
            <w:pPr>
              <w:pStyle w:val="TableParagraph"/>
              <w:spacing w:before="44"/>
              <w:ind w:left="338"/>
              <w:jc w:val="left"/>
              <w:rPr>
                <w:sz w:val="20"/>
              </w:rPr>
            </w:pPr>
            <w:r>
              <w:rPr>
                <w:sz w:val="20"/>
              </w:rPr>
              <w:t>13.74</w:t>
            </w:r>
          </w:p>
        </w:tc>
        <w:tc>
          <w:tcPr>
            <w:tcW w:w="1047" w:type="dxa"/>
            <w:tcBorders>
              <w:top w:val="nil"/>
              <w:left w:val="nil"/>
              <w:bottom w:val="nil"/>
              <w:right w:val="nil"/>
            </w:tcBorders>
          </w:tcPr>
          <w:p>
            <w:pPr>
              <w:pStyle w:val="TableParagraph"/>
              <w:spacing w:before="44"/>
              <w:ind w:right="180"/>
              <w:rPr>
                <w:sz w:val="20"/>
              </w:rPr>
            </w:pPr>
            <w:r>
              <w:rPr>
                <w:w w:val="95"/>
                <w:sz w:val="20"/>
              </w:rPr>
              <w:t>275.70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2" w:hRule="exact"/>
        </w:trPr>
        <w:tc>
          <w:tcPr>
            <w:tcW w:w="2593" w:type="dxa"/>
            <w:tcBorders>
              <w:top w:val="nil"/>
              <w:left w:val="nil"/>
              <w:bottom w:val="nil"/>
              <w:right w:val="nil"/>
            </w:tcBorders>
          </w:tcPr>
          <w:p>
            <w:pPr>
              <w:pStyle w:val="TableParagraph"/>
              <w:spacing w:before="43"/>
              <w:ind w:left="69"/>
              <w:jc w:val="left"/>
              <w:rPr>
                <w:sz w:val="20"/>
              </w:rPr>
            </w:pPr>
            <w:r>
              <w:rPr>
                <w:sz w:val="20"/>
              </w:rPr>
              <w:t>P(NPV &gt; 0)</w:t>
            </w:r>
          </w:p>
        </w:tc>
        <w:tc>
          <w:tcPr>
            <w:tcW w:w="1297" w:type="dxa"/>
            <w:tcBorders>
              <w:top w:val="nil"/>
              <w:left w:val="nil"/>
              <w:bottom w:val="nil"/>
              <w:right w:val="nil"/>
            </w:tcBorders>
          </w:tcPr>
          <w:p>
            <w:pPr>
              <w:pStyle w:val="TableParagraph"/>
              <w:spacing w:before="43"/>
              <w:ind w:right="103"/>
              <w:rPr>
                <w:sz w:val="20"/>
              </w:rPr>
            </w:pPr>
            <w:r>
              <w:rPr>
                <w:sz w:val="20"/>
              </w:rPr>
              <w:t>93.00%</w:t>
            </w:r>
          </w:p>
        </w:tc>
        <w:tc>
          <w:tcPr>
            <w:tcW w:w="956" w:type="dxa"/>
            <w:tcBorders>
              <w:top w:val="nil"/>
              <w:left w:val="nil"/>
              <w:bottom w:val="nil"/>
              <w:right w:val="nil"/>
            </w:tcBorders>
          </w:tcPr>
          <w:p>
            <w:pPr>
              <w:pStyle w:val="TableParagraph"/>
              <w:spacing w:before="43"/>
              <w:ind w:left="173"/>
              <w:jc w:val="left"/>
              <w:rPr>
                <w:sz w:val="20"/>
              </w:rPr>
            </w:pPr>
            <w:r>
              <w:rPr>
                <w:sz w:val="20"/>
              </w:rPr>
              <w:t>98.30%</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1" w:hRule="exact"/>
        </w:trPr>
        <w:tc>
          <w:tcPr>
            <w:tcW w:w="2593" w:type="dxa"/>
            <w:tcBorders>
              <w:top w:val="nil"/>
              <w:left w:val="nil"/>
              <w:bottom w:val="nil"/>
              <w:right w:val="nil"/>
            </w:tcBorders>
          </w:tcPr>
          <w:p>
            <w:pPr/>
          </w:p>
        </w:tc>
        <w:tc>
          <w:tcPr>
            <w:tcW w:w="1297" w:type="dxa"/>
            <w:tcBorders>
              <w:top w:val="nil"/>
              <w:left w:val="nil"/>
              <w:bottom w:val="nil"/>
              <w:right w:val="nil"/>
            </w:tcBorders>
          </w:tcPr>
          <w:p>
            <w:pPr/>
          </w:p>
        </w:tc>
        <w:tc>
          <w:tcPr>
            <w:tcW w:w="956" w:type="dxa"/>
            <w:tcBorders>
              <w:top w:val="nil"/>
              <w:left w:val="nil"/>
              <w:bottom w:val="nil"/>
              <w:right w:val="nil"/>
            </w:tcBorders>
          </w:tcPr>
          <w:p>
            <w:pPr>
              <w:pStyle w:val="TableParagraph"/>
              <w:spacing w:before="46"/>
              <w:ind w:right="79"/>
              <w:rPr>
                <w:b/>
                <w:sz w:val="20"/>
              </w:rPr>
            </w:pPr>
            <w:r>
              <w:rPr>
                <w:b/>
                <w:sz w:val="20"/>
              </w:rPr>
              <w:t>Model 3</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37" w:hRule="exact"/>
        </w:trPr>
        <w:tc>
          <w:tcPr>
            <w:tcW w:w="2593" w:type="dxa"/>
            <w:tcBorders>
              <w:top w:val="nil"/>
              <w:left w:val="nil"/>
              <w:bottom w:val="nil"/>
              <w:right w:val="nil"/>
            </w:tcBorders>
          </w:tcPr>
          <w:p>
            <w:pPr>
              <w:pStyle w:val="TableParagraph"/>
              <w:spacing w:before="42"/>
              <w:ind w:left="69"/>
              <w:jc w:val="left"/>
              <w:rPr>
                <w:sz w:val="20"/>
              </w:rPr>
            </w:pPr>
            <w:r>
              <w:rPr>
                <w:sz w:val="20"/>
              </w:rPr>
              <w:t>Mean</w:t>
            </w:r>
          </w:p>
        </w:tc>
        <w:tc>
          <w:tcPr>
            <w:tcW w:w="1297" w:type="dxa"/>
            <w:tcBorders>
              <w:top w:val="nil"/>
              <w:left w:val="nil"/>
              <w:bottom w:val="nil"/>
              <w:right w:val="nil"/>
            </w:tcBorders>
          </w:tcPr>
          <w:p>
            <w:pPr>
              <w:pStyle w:val="TableParagraph"/>
              <w:spacing w:before="42"/>
              <w:ind w:right="105"/>
              <w:rPr>
                <w:sz w:val="20"/>
              </w:rPr>
            </w:pPr>
            <w:r>
              <w:rPr>
                <w:w w:val="95"/>
                <w:sz w:val="20"/>
              </w:rPr>
              <w:t>7,786.25</w:t>
            </w:r>
          </w:p>
        </w:tc>
        <w:tc>
          <w:tcPr>
            <w:tcW w:w="956" w:type="dxa"/>
            <w:tcBorders>
              <w:top w:val="nil"/>
              <w:left w:val="nil"/>
              <w:bottom w:val="nil"/>
              <w:right w:val="nil"/>
            </w:tcBorders>
          </w:tcPr>
          <w:p>
            <w:pPr>
              <w:pStyle w:val="TableParagraph"/>
              <w:spacing w:before="42"/>
              <w:ind w:left="105"/>
              <w:jc w:val="left"/>
              <w:rPr>
                <w:sz w:val="20"/>
              </w:rPr>
            </w:pPr>
            <w:r>
              <w:rPr>
                <w:sz w:val="20"/>
              </w:rPr>
              <w:t>(102.30)</w:t>
            </w:r>
          </w:p>
        </w:tc>
        <w:tc>
          <w:tcPr>
            <w:tcW w:w="1047" w:type="dxa"/>
            <w:tcBorders>
              <w:top w:val="nil"/>
              <w:left w:val="nil"/>
              <w:bottom w:val="nil"/>
              <w:right w:val="nil"/>
            </w:tcBorders>
          </w:tcPr>
          <w:p>
            <w:pPr>
              <w:pStyle w:val="TableParagraph"/>
              <w:spacing w:before="42"/>
              <w:ind w:right="180"/>
              <w:rPr>
                <w:sz w:val="20"/>
              </w:rPr>
            </w:pPr>
            <w:r>
              <w:rPr>
                <w:sz w:val="20"/>
              </w:rPr>
              <w:t>54.60</w:t>
            </w:r>
          </w:p>
        </w:tc>
        <w:tc>
          <w:tcPr>
            <w:tcW w:w="1741" w:type="dxa"/>
            <w:tcBorders>
              <w:top w:val="nil"/>
              <w:left w:val="nil"/>
              <w:bottom w:val="nil"/>
              <w:right w:val="nil"/>
            </w:tcBorders>
          </w:tcPr>
          <w:p>
            <w:pPr>
              <w:pStyle w:val="TableParagraph"/>
              <w:spacing w:before="42"/>
              <w:ind w:left="284" w:right="417"/>
              <w:jc w:val="center"/>
              <w:rPr>
                <w:sz w:val="20"/>
              </w:rPr>
            </w:pPr>
            <w:r>
              <w:rPr>
                <w:sz w:val="20"/>
              </w:rPr>
              <w:t>2011 – 2018</w:t>
            </w:r>
          </w:p>
        </w:tc>
        <w:tc>
          <w:tcPr>
            <w:tcW w:w="1206" w:type="dxa"/>
            <w:tcBorders>
              <w:top w:val="nil"/>
              <w:left w:val="nil"/>
              <w:bottom w:val="nil"/>
              <w:right w:val="nil"/>
            </w:tcBorders>
          </w:tcPr>
          <w:p>
            <w:pPr>
              <w:pStyle w:val="TableParagraph"/>
              <w:spacing w:before="42"/>
              <w:ind w:left="71" w:right="94"/>
              <w:jc w:val="center"/>
              <w:rPr>
                <w:sz w:val="20"/>
              </w:rPr>
            </w:pPr>
            <w:r>
              <w:rPr>
                <w:sz w:val="20"/>
              </w:rPr>
              <w:t>2011 – 2018</w:t>
            </w:r>
          </w:p>
        </w:tc>
      </w:tr>
      <w:tr>
        <w:trPr>
          <w:trHeight w:val="340" w:hRule="exact"/>
        </w:trPr>
        <w:tc>
          <w:tcPr>
            <w:tcW w:w="2593" w:type="dxa"/>
            <w:tcBorders>
              <w:top w:val="nil"/>
              <w:left w:val="nil"/>
              <w:bottom w:val="nil"/>
              <w:right w:val="nil"/>
            </w:tcBorders>
          </w:tcPr>
          <w:p>
            <w:pPr>
              <w:pStyle w:val="TableParagraph"/>
              <w:spacing w:before="43"/>
              <w:ind w:left="69"/>
              <w:jc w:val="left"/>
              <w:rPr>
                <w:sz w:val="20"/>
              </w:rPr>
            </w:pPr>
            <w:r>
              <w:rPr>
                <w:sz w:val="20"/>
              </w:rPr>
              <w:t>Standard Deviation</w:t>
            </w:r>
          </w:p>
        </w:tc>
        <w:tc>
          <w:tcPr>
            <w:tcW w:w="1297" w:type="dxa"/>
            <w:tcBorders>
              <w:top w:val="nil"/>
              <w:left w:val="nil"/>
              <w:bottom w:val="nil"/>
              <w:right w:val="nil"/>
            </w:tcBorders>
          </w:tcPr>
          <w:p>
            <w:pPr>
              <w:pStyle w:val="TableParagraph"/>
              <w:spacing w:before="43"/>
              <w:ind w:right="105"/>
              <w:rPr>
                <w:sz w:val="20"/>
              </w:rPr>
            </w:pPr>
            <w:r>
              <w:rPr>
                <w:w w:val="95"/>
                <w:sz w:val="20"/>
              </w:rPr>
              <w:t>23,472.70</w:t>
            </w:r>
          </w:p>
        </w:tc>
        <w:tc>
          <w:tcPr>
            <w:tcW w:w="956" w:type="dxa"/>
            <w:tcBorders>
              <w:top w:val="nil"/>
              <w:left w:val="nil"/>
              <w:bottom w:val="nil"/>
              <w:right w:val="nil"/>
            </w:tcBorders>
          </w:tcPr>
          <w:p>
            <w:pPr>
              <w:pStyle w:val="TableParagraph"/>
              <w:spacing w:before="43"/>
              <w:ind w:left="240"/>
              <w:jc w:val="left"/>
              <w:rPr>
                <w:sz w:val="20"/>
              </w:rPr>
            </w:pPr>
            <w:r>
              <w:rPr>
                <w:sz w:val="20"/>
              </w:rPr>
              <w:t>130.59</w:t>
            </w:r>
          </w:p>
        </w:tc>
        <w:tc>
          <w:tcPr>
            <w:tcW w:w="1047" w:type="dxa"/>
            <w:tcBorders>
              <w:top w:val="nil"/>
              <w:left w:val="nil"/>
              <w:bottom w:val="nil"/>
              <w:right w:val="nil"/>
            </w:tcBorders>
          </w:tcPr>
          <w:p>
            <w:pPr>
              <w:pStyle w:val="TableParagraph"/>
              <w:spacing w:before="43"/>
              <w:ind w:right="180"/>
              <w:rPr>
                <w:sz w:val="20"/>
              </w:rPr>
            </w:pPr>
            <w:r>
              <w:rPr>
                <w:w w:val="95"/>
                <w:sz w:val="20"/>
              </w:rPr>
              <w:t>424.70</w:t>
            </w:r>
          </w:p>
        </w:tc>
        <w:tc>
          <w:tcPr>
            <w:tcW w:w="1741" w:type="dxa"/>
            <w:tcBorders>
              <w:top w:val="nil"/>
              <w:left w:val="nil"/>
              <w:bottom w:val="nil"/>
              <w:right w:val="nil"/>
            </w:tcBorders>
          </w:tcPr>
          <w:p>
            <w:pPr>
              <w:pStyle w:val="TableParagraph"/>
              <w:spacing w:before="43"/>
              <w:ind w:left="284" w:right="413"/>
              <w:jc w:val="center"/>
              <w:rPr>
                <w:sz w:val="20"/>
              </w:rPr>
            </w:pPr>
            <w:r>
              <w:rPr>
                <w:sz w:val="20"/>
              </w:rPr>
              <w:t>57-85</w:t>
            </w:r>
          </w:p>
        </w:tc>
        <w:tc>
          <w:tcPr>
            <w:tcW w:w="1206" w:type="dxa"/>
            <w:tcBorders>
              <w:top w:val="nil"/>
              <w:left w:val="nil"/>
              <w:bottom w:val="nil"/>
              <w:right w:val="nil"/>
            </w:tcBorders>
          </w:tcPr>
          <w:p>
            <w:pPr>
              <w:pStyle w:val="TableParagraph"/>
              <w:spacing w:before="43"/>
              <w:ind w:left="71" w:right="93"/>
              <w:jc w:val="center"/>
              <w:rPr>
                <w:sz w:val="20"/>
              </w:rPr>
            </w:pPr>
            <w:r>
              <w:rPr>
                <w:sz w:val="20"/>
              </w:rPr>
              <w:t>58-77</w:t>
            </w: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Coefficient of Variation (%)</w:t>
            </w:r>
          </w:p>
        </w:tc>
        <w:tc>
          <w:tcPr>
            <w:tcW w:w="1297" w:type="dxa"/>
            <w:tcBorders>
              <w:top w:val="nil"/>
              <w:left w:val="nil"/>
              <w:bottom w:val="nil"/>
              <w:right w:val="nil"/>
            </w:tcBorders>
          </w:tcPr>
          <w:p>
            <w:pPr>
              <w:pStyle w:val="TableParagraph"/>
              <w:spacing w:before="44"/>
              <w:ind w:right="105"/>
              <w:rPr>
                <w:sz w:val="20"/>
              </w:rPr>
            </w:pPr>
            <w:r>
              <w:rPr>
                <w:w w:val="95"/>
                <w:sz w:val="20"/>
              </w:rPr>
              <w:t>301.46</w:t>
            </w:r>
          </w:p>
        </w:tc>
        <w:tc>
          <w:tcPr>
            <w:tcW w:w="956" w:type="dxa"/>
            <w:tcBorders>
              <w:top w:val="nil"/>
              <w:left w:val="nil"/>
              <w:bottom w:val="nil"/>
              <w:right w:val="nil"/>
            </w:tcBorders>
          </w:tcPr>
          <w:p>
            <w:pPr>
              <w:pStyle w:val="TableParagraph"/>
              <w:spacing w:before="44"/>
              <w:ind w:right="164"/>
              <w:rPr>
                <w:sz w:val="20"/>
              </w:rPr>
            </w:pPr>
            <w:r>
              <w:rPr>
                <w:w w:val="99"/>
                <w:sz w:val="20"/>
              </w:rPr>
              <w:t>-</w:t>
            </w:r>
          </w:p>
        </w:tc>
        <w:tc>
          <w:tcPr>
            <w:tcW w:w="1047" w:type="dxa"/>
            <w:tcBorders>
              <w:top w:val="nil"/>
              <w:left w:val="nil"/>
              <w:bottom w:val="nil"/>
              <w:right w:val="nil"/>
            </w:tcBorders>
          </w:tcPr>
          <w:p>
            <w:pPr>
              <w:pStyle w:val="TableParagraph"/>
              <w:spacing w:before="44"/>
              <w:ind w:right="180"/>
              <w:rPr>
                <w:sz w:val="20"/>
              </w:rPr>
            </w:pPr>
            <w:r>
              <w:rPr>
                <w:w w:val="95"/>
                <w:sz w:val="20"/>
              </w:rPr>
              <w:t>778.20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Style w:val="TableParagraph"/>
              <w:spacing w:before="44"/>
              <w:ind w:left="69"/>
              <w:jc w:val="left"/>
              <w:rPr>
                <w:sz w:val="20"/>
              </w:rPr>
            </w:pPr>
            <w:r>
              <w:rPr>
                <w:sz w:val="20"/>
              </w:rPr>
              <w:t>Minimum</w:t>
            </w:r>
          </w:p>
        </w:tc>
        <w:tc>
          <w:tcPr>
            <w:tcW w:w="1297" w:type="dxa"/>
            <w:tcBorders>
              <w:top w:val="nil"/>
              <w:left w:val="nil"/>
              <w:bottom w:val="nil"/>
              <w:right w:val="nil"/>
            </w:tcBorders>
          </w:tcPr>
          <w:p>
            <w:pPr>
              <w:pStyle w:val="TableParagraph"/>
              <w:spacing w:before="44"/>
              <w:ind w:right="105"/>
              <w:rPr>
                <w:sz w:val="20"/>
              </w:rPr>
            </w:pPr>
            <w:r>
              <w:rPr>
                <w:w w:val="95"/>
                <w:sz w:val="20"/>
              </w:rPr>
              <w:t>(77,473.63)</w:t>
            </w:r>
          </w:p>
        </w:tc>
        <w:tc>
          <w:tcPr>
            <w:tcW w:w="956" w:type="dxa"/>
            <w:tcBorders>
              <w:top w:val="nil"/>
              <w:left w:val="nil"/>
              <w:bottom w:val="nil"/>
              <w:right w:val="nil"/>
            </w:tcBorders>
          </w:tcPr>
          <w:p>
            <w:pPr>
              <w:pStyle w:val="TableParagraph"/>
              <w:spacing w:before="44"/>
              <w:ind w:left="105"/>
              <w:jc w:val="left"/>
              <w:rPr>
                <w:sz w:val="20"/>
              </w:rPr>
            </w:pPr>
            <w:r>
              <w:rPr>
                <w:sz w:val="20"/>
              </w:rPr>
              <w:t>(644.80)</w:t>
            </w:r>
          </w:p>
        </w:tc>
        <w:tc>
          <w:tcPr>
            <w:tcW w:w="1047" w:type="dxa"/>
            <w:tcBorders>
              <w:top w:val="nil"/>
              <w:left w:val="nil"/>
              <w:bottom w:val="nil"/>
              <w:right w:val="nil"/>
            </w:tcBorders>
          </w:tcPr>
          <w:p>
            <w:pPr>
              <w:pStyle w:val="TableParagraph"/>
              <w:spacing w:before="44"/>
              <w:ind w:right="180"/>
              <w:rPr>
                <w:sz w:val="20"/>
              </w:rPr>
            </w:pPr>
            <w:r>
              <w:rPr>
                <w:w w:val="95"/>
                <w:sz w:val="20"/>
              </w:rPr>
              <w:t>(1681.10)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Style w:val="TableParagraph"/>
              <w:spacing w:before="43"/>
              <w:ind w:left="69"/>
              <w:jc w:val="left"/>
              <w:rPr>
                <w:sz w:val="20"/>
              </w:rPr>
            </w:pPr>
            <w:r>
              <w:rPr>
                <w:sz w:val="20"/>
              </w:rPr>
              <w:t>Maximum</w:t>
            </w:r>
          </w:p>
        </w:tc>
        <w:tc>
          <w:tcPr>
            <w:tcW w:w="1297" w:type="dxa"/>
            <w:tcBorders>
              <w:top w:val="nil"/>
              <w:left w:val="nil"/>
              <w:bottom w:val="nil"/>
              <w:right w:val="nil"/>
            </w:tcBorders>
          </w:tcPr>
          <w:p>
            <w:pPr>
              <w:pStyle w:val="TableParagraph"/>
              <w:spacing w:before="43"/>
              <w:ind w:right="105"/>
              <w:rPr>
                <w:sz w:val="20"/>
              </w:rPr>
            </w:pPr>
            <w:r>
              <w:rPr>
                <w:w w:val="95"/>
                <w:sz w:val="20"/>
              </w:rPr>
              <w:t>68,611.69</w:t>
            </w:r>
          </w:p>
        </w:tc>
        <w:tc>
          <w:tcPr>
            <w:tcW w:w="956" w:type="dxa"/>
            <w:tcBorders>
              <w:top w:val="nil"/>
              <w:left w:val="nil"/>
              <w:bottom w:val="nil"/>
              <w:right w:val="nil"/>
            </w:tcBorders>
          </w:tcPr>
          <w:p>
            <w:pPr>
              <w:pStyle w:val="TableParagraph"/>
              <w:spacing w:before="43"/>
              <w:ind w:left="338"/>
              <w:jc w:val="left"/>
              <w:rPr>
                <w:sz w:val="20"/>
              </w:rPr>
            </w:pPr>
            <w:r>
              <w:rPr>
                <w:sz w:val="20"/>
              </w:rPr>
              <w:t>55.03</w:t>
            </w:r>
          </w:p>
        </w:tc>
        <w:tc>
          <w:tcPr>
            <w:tcW w:w="1047" w:type="dxa"/>
            <w:tcBorders>
              <w:top w:val="nil"/>
              <w:left w:val="nil"/>
              <w:bottom w:val="nil"/>
              <w:right w:val="nil"/>
            </w:tcBorders>
          </w:tcPr>
          <w:p>
            <w:pPr>
              <w:pStyle w:val="TableParagraph"/>
              <w:spacing w:before="43"/>
              <w:ind w:right="180"/>
              <w:rPr>
                <w:sz w:val="20"/>
              </w:rPr>
            </w:pPr>
            <w:r>
              <w:rPr>
                <w:sz w:val="20"/>
              </w:rPr>
              <w:t>6063.31</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3" w:hRule="exact"/>
        </w:trPr>
        <w:tc>
          <w:tcPr>
            <w:tcW w:w="2593" w:type="dxa"/>
            <w:tcBorders>
              <w:top w:val="nil"/>
              <w:left w:val="nil"/>
              <w:bottom w:val="nil"/>
              <w:right w:val="nil"/>
            </w:tcBorders>
          </w:tcPr>
          <w:p>
            <w:pPr>
              <w:pStyle w:val="TableParagraph"/>
              <w:spacing w:before="44"/>
              <w:ind w:left="69"/>
              <w:jc w:val="left"/>
              <w:rPr>
                <w:sz w:val="20"/>
              </w:rPr>
            </w:pPr>
            <w:r>
              <w:rPr>
                <w:sz w:val="20"/>
              </w:rPr>
              <w:t>P(NPV &gt; 0)</w:t>
            </w:r>
          </w:p>
        </w:tc>
        <w:tc>
          <w:tcPr>
            <w:tcW w:w="1297" w:type="dxa"/>
            <w:tcBorders>
              <w:top w:val="nil"/>
              <w:left w:val="nil"/>
              <w:bottom w:val="nil"/>
              <w:right w:val="nil"/>
            </w:tcBorders>
          </w:tcPr>
          <w:p>
            <w:pPr>
              <w:pStyle w:val="TableParagraph"/>
              <w:spacing w:before="44"/>
              <w:ind w:right="103"/>
              <w:rPr>
                <w:sz w:val="20"/>
              </w:rPr>
            </w:pPr>
            <w:r>
              <w:rPr>
                <w:sz w:val="20"/>
              </w:rPr>
              <w:t>64.60%</w:t>
            </w:r>
          </w:p>
        </w:tc>
        <w:tc>
          <w:tcPr>
            <w:tcW w:w="956" w:type="dxa"/>
            <w:tcBorders>
              <w:top w:val="nil"/>
              <w:left w:val="nil"/>
              <w:bottom w:val="nil"/>
              <w:right w:val="nil"/>
            </w:tcBorders>
          </w:tcPr>
          <w:p>
            <w:pPr>
              <w:pStyle w:val="TableParagraph"/>
              <w:spacing w:before="44"/>
              <w:ind w:left="173"/>
              <w:jc w:val="left"/>
              <w:rPr>
                <w:sz w:val="20"/>
              </w:rPr>
            </w:pPr>
            <w:r>
              <w:rPr>
                <w:sz w:val="20"/>
              </w:rPr>
              <w:t>29.10%</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
        </w:tc>
        <w:tc>
          <w:tcPr>
            <w:tcW w:w="1297" w:type="dxa"/>
            <w:tcBorders>
              <w:top w:val="nil"/>
              <w:left w:val="nil"/>
              <w:bottom w:val="nil"/>
              <w:right w:val="nil"/>
            </w:tcBorders>
          </w:tcPr>
          <w:p>
            <w:pPr/>
          </w:p>
        </w:tc>
        <w:tc>
          <w:tcPr>
            <w:tcW w:w="956" w:type="dxa"/>
            <w:tcBorders>
              <w:top w:val="nil"/>
              <w:left w:val="nil"/>
              <w:bottom w:val="nil"/>
              <w:right w:val="nil"/>
            </w:tcBorders>
          </w:tcPr>
          <w:p>
            <w:pPr>
              <w:pStyle w:val="TableParagraph"/>
              <w:spacing w:before="46"/>
              <w:ind w:right="79"/>
              <w:rPr>
                <w:b/>
                <w:sz w:val="20"/>
              </w:rPr>
            </w:pPr>
            <w:r>
              <w:rPr>
                <w:b/>
                <w:sz w:val="20"/>
              </w:rPr>
              <w:t>Model 4</w:t>
            </w:r>
          </w:p>
        </w:tc>
        <w:tc>
          <w:tcPr>
            <w:tcW w:w="1047" w:type="dxa"/>
            <w:tcBorders>
              <w:top w:val="nil"/>
              <w:left w:val="nil"/>
              <w:bottom w:val="nil"/>
              <w:right w:val="nil"/>
            </w:tcBorders>
          </w:tcPr>
          <w:p>
            <w:pP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37" w:hRule="exact"/>
        </w:trPr>
        <w:tc>
          <w:tcPr>
            <w:tcW w:w="2593" w:type="dxa"/>
            <w:tcBorders>
              <w:top w:val="nil"/>
              <w:left w:val="nil"/>
              <w:bottom w:val="nil"/>
              <w:right w:val="nil"/>
            </w:tcBorders>
          </w:tcPr>
          <w:p>
            <w:pPr>
              <w:pStyle w:val="TableParagraph"/>
              <w:spacing w:before="40"/>
              <w:ind w:left="69"/>
              <w:jc w:val="left"/>
              <w:rPr>
                <w:sz w:val="20"/>
              </w:rPr>
            </w:pPr>
            <w:r>
              <w:rPr>
                <w:sz w:val="20"/>
              </w:rPr>
              <w:t>Mean</w:t>
            </w:r>
          </w:p>
        </w:tc>
        <w:tc>
          <w:tcPr>
            <w:tcW w:w="1297" w:type="dxa"/>
            <w:tcBorders>
              <w:top w:val="nil"/>
              <w:left w:val="nil"/>
              <w:bottom w:val="nil"/>
              <w:right w:val="nil"/>
            </w:tcBorders>
          </w:tcPr>
          <w:p>
            <w:pPr>
              <w:pStyle w:val="TableParagraph"/>
              <w:spacing w:before="40"/>
              <w:ind w:right="105"/>
              <w:rPr>
                <w:sz w:val="20"/>
              </w:rPr>
            </w:pPr>
            <w:r>
              <w:rPr>
                <w:w w:val="95"/>
                <w:sz w:val="20"/>
              </w:rPr>
              <w:t>13,700.62</w:t>
            </w:r>
          </w:p>
        </w:tc>
        <w:tc>
          <w:tcPr>
            <w:tcW w:w="956" w:type="dxa"/>
            <w:tcBorders>
              <w:top w:val="nil"/>
              <w:left w:val="nil"/>
              <w:bottom w:val="nil"/>
              <w:right w:val="nil"/>
            </w:tcBorders>
          </w:tcPr>
          <w:p>
            <w:pPr>
              <w:pStyle w:val="TableParagraph"/>
              <w:spacing w:before="40"/>
              <w:ind w:left="439"/>
              <w:jc w:val="left"/>
              <w:rPr>
                <w:sz w:val="20"/>
              </w:rPr>
            </w:pPr>
            <w:r>
              <w:rPr>
                <w:sz w:val="20"/>
              </w:rPr>
              <w:t>8.69</w:t>
            </w:r>
          </w:p>
        </w:tc>
        <w:tc>
          <w:tcPr>
            <w:tcW w:w="1047" w:type="dxa"/>
            <w:tcBorders>
              <w:top w:val="nil"/>
              <w:left w:val="nil"/>
              <w:bottom w:val="nil"/>
              <w:right w:val="nil"/>
            </w:tcBorders>
          </w:tcPr>
          <w:p>
            <w:pPr>
              <w:pStyle w:val="TableParagraph"/>
              <w:spacing w:before="40"/>
              <w:ind w:right="180"/>
              <w:rPr>
                <w:sz w:val="20"/>
              </w:rPr>
            </w:pPr>
            <w:r>
              <w:rPr>
                <w:sz w:val="20"/>
              </w:rPr>
              <w:t>89.60</w:t>
            </w:r>
          </w:p>
        </w:tc>
        <w:tc>
          <w:tcPr>
            <w:tcW w:w="1741" w:type="dxa"/>
            <w:tcBorders>
              <w:top w:val="nil"/>
              <w:left w:val="nil"/>
              <w:bottom w:val="nil"/>
              <w:right w:val="nil"/>
            </w:tcBorders>
          </w:tcPr>
          <w:p>
            <w:pPr>
              <w:pStyle w:val="TableParagraph"/>
              <w:spacing w:before="40"/>
              <w:ind w:left="284" w:right="417"/>
              <w:jc w:val="center"/>
              <w:rPr>
                <w:sz w:val="20"/>
              </w:rPr>
            </w:pPr>
            <w:r>
              <w:rPr>
                <w:sz w:val="20"/>
              </w:rPr>
              <w:t>2011 – 2018</w:t>
            </w:r>
          </w:p>
        </w:tc>
        <w:tc>
          <w:tcPr>
            <w:tcW w:w="1206" w:type="dxa"/>
            <w:tcBorders>
              <w:top w:val="nil"/>
              <w:left w:val="nil"/>
              <w:bottom w:val="nil"/>
              <w:right w:val="nil"/>
            </w:tcBorders>
          </w:tcPr>
          <w:p>
            <w:pPr>
              <w:pStyle w:val="TableParagraph"/>
              <w:spacing w:before="40"/>
              <w:ind w:left="71" w:right="94"/>
              <w:jc w:val="center"/>
              <w:rPr>
                <w:sz w:val="20"/>
              </w:rPr>
            </w:pPr>
            <w:r>
              <w:rPr>
                <w:sz w:val="20"/>
              </w:rPr>
              <w:t>2011 – 2018</w:t>
            </w: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Standard Deviation</w:t>
            </w:r>
          </w:p>
        </w:tc>
        <w:tc>
          <w:tcPr>
            <w:tcW w:w="1297" w:type="dxa"/>
            <w:tcBorders>
              <w:top w:val="nil"/>
              <w:left w:val="nil"/>
              <w:bottom w:val="nil"/>
              <w:right w:val="nil"/>
            </w:tcBorders>
          </w:tcPr>
          <w:p>
            <w:pPr>
              <w:pStyle w:val="TableParagraph"/>
              <w:spacing w:before="44"/>
              <w:ind w:right="105"/>
              <w:rPr>
                <w:sz w:val="20"/>
              </w:rPr>
            </w:pPr>
            <w:r>
              <w:rPr>
                <w:w w:val="95"/>
                <w:sz w:val="20"/>
              </w:rPr>
              <w:t>17,297.30</w:t>
            </w:r>
          </w:p>
        </w:tc>
        <w:tc>
          <w:tcPr>
            <w:tcW w:w="956" w:type="dxa"/>
            <w:tcBorders>
              <w:top w:val="nil"/>
              <w:left w:val="nil"/>
              <w:bottom w:val="nil"/>
              <w:right w:val="nil"/>
            </w:tcBorders>
          </w:tcPr>
          <w:p>
            <w:pPr>
              <w:pStyle w:val="TableParagraph"/>
              <w:spacing w:before="44"/>
              <w:ind w:left="439"/>
              <w:jc w:val="left"/>
              <w:rPr>
                <w:sz w:val="20"/>
              </w:rPr>
            </w:pPr>
            <w:r>
              <w:rPr>
                <w:sz w:val="20"/>
              </w:rPr>
              <w:t>3.24</w:t>
            </w:r>
          </w:p>
        </w:tc>
        <w:tc>
          <w:tcPr>
            <w:tcW w:w="1047" w:type="dxa"/>
            <w:tcBorders>
              <w:top w:val="nil"/>
              <w:left w:val="nil"/>
              <w:bottom w:val="nil"/>
              <w:right w:val="nil"/>
            </w:tcBorders>
          </w:tcPr>
          <w:p>
            <w:pPr>
              <w:pStyle w:val="TableParagraph"/>
              <w:spacing w:before="44"/>
              <w:ind w:right="180"/>
              <w:rPr>
                <w:sz w:val="20"/>
              </w:rPr>
            </w:pPr>
            <w:r>
              <w:rPr>
                <w:sz w:val="20"/>
              </w:rPr>
              <w:t>48.70</w:t>
            </w:r>
          </w:p>
        </w:tc>
        <w:tc>
          <w:tcPr>
            <w:tcW w:w="1741" w:type="dxa"/>
            <w:tcBorders>
              <w:top w:val="nil"/>
              <w:left w:val="nil"/>
              <w:bottom w:val="nil"/>
              <w:right w:val="nil"/>
            </w:tcBorders>
          </w:tcPr>
          <w:p>
            <w:pPr>
              <w:pStyle w:val="TableParagraph"/>
              <w:spacing w:before="44"/>
              <w:ind w:left="284" w:right="413"/>
              <w:jc w:val="center"/>
              <w:rPr>
                <w:sz w:val="20"/>
              </w:rPr>
            </w:pPr>
            <w:r>
              <w:rPr>
                <w:sz w:val="20"/>
              </w:rPr>
              <w:t>27-34</w:t>
            </w:r>
          </w:p>
        </w:tc>
        <w:tc>
          <w:tcPr>
            <w:tcW w:w="1206" w:type="dxa"/>
            <w:tcBorders>
              <w:top w:val="nil"/>
              <w:left w:val="nil"/>
              <w:bottom w:val="nil"/>
              <w:right w:val="nil"/>
            </w:tcBorders>
          </w:tcPr>
          <w:p>
            <w:pPr>
              <w:pStyle w:val="TableParagraph"/>
              <w:spacing w:before="44"/>
              <w:ind w:left="71" w:right="93"/>
              <w:jc w:val="center"/>
              <w:rPr>
                <w:sz w:val="20"/>
              </w:rPr>
            </w:pPr>
            <w:r>
              <w:rPr>
                <w:sz w:val="20"/>
              </w:rPr>
              <w:t>27-26</w:t>
            </w:r>
          </w:p>
        </w:tc>
      </w:tr>
      <w:tr>
        <w:trPr>
          <w:trHeight w:val="340" w:hRule="exact"/>
        </w:trPr>
        <w:tc>
          <w:tcPr>
            <w:tcW w:w="2593" w:type="dxa"/>
            <w:tcBorders>
              <w:top w:val="nil"/>
              <w:left w:val="nil"/>
              <w:bottom w:val="nil"/>
              <w:right w:val="nil"/>
            </w:tcBorders>
          </w:tcPr>
          <w:p>
            <w:pPr>
              <w:pStyle w:val="TableParagraph"/>
              <w:spacing w:before="44"/>
              <w:ind w:left="69"/>
              <w:jc w:val="left"/>
              <w:rPr>
                <w:sz w:val="20"/>
              </w:rPr>
            </w:pPr>
            <w:r>
              <w:rPr>
                <w:sz w:val="20"/>
              </w:rPr>
              <w:t>Coefficient of Variation (%)</w:t>
            </w:r>
          </w:p>
        </w:tc>
        <w:tc>
          <w:tcPr>
            <w:tcW w:w="1297" w:type="dxa"/>
            <w:tcBorders>
              <w:top w:val="nil"/>
              <w:left w:val="nil"/>
              <w:bottom w:val="nil"/>
              <w:right w:val="nil"/>
            </w:tcBorders>
          </w:tcPr>
          <w:p>
            <w:pPr>
              <w:pStyle w:val="TableParagraph"/>
              <w:spacing w:before="44"/>
              <w:ind w:right="105"/>
              <w:rPr>
                <w:sz w:val="20"/>
              </w:rPr>
            </w:pPr>
            <w:r>
              <w:rPr>
                <w:w w:val="95"/>
                <w:sz w:val="20"/>
              </w:rPr>
              <w:t>126.25</w:t>
            </w:r>
          </w:p>
        </w:tc>
        <w:tc>
          <w:tcPr>
            <w:tcW w:w="956" w:type="dxa"/>
            <w:tcBorders>
              <w:top w:val="nil"/>
              <w:left w:val="nil"/>
              <w:bottom w:val="nil"/>
              <w:right w:val="nil"/>
            </w:tcBorders>
          </w:tcPr>
          <w:p>
            <w:pPr>
              <w:pStyle w:val="TableParagraph"/>
              <w:spacing w:before="44"/>
              <w:ind w:left="338"/>
              <w:jc w:val="left"/>
              <w:rPr>
                <w:sz w:val="20"/>
              </w:rPr>
            </w:pPr>
            <w:r>
              <w:rPr>
                <w:sz w:val="20"/>
              </w:rPr>
              <w:t>37.24</w:t>
            </w:r>
          </w:p>
        </w:tc>
        <w:tc>
          <w:tcPr>
            <w:tcW w:w="1047" w:type="dxa"/>
            <w:tcBorders>
              <w:top w:val="nil"/>
              <w:left w:val="nil"/>
              <w:bottom w:val="nil"/>
              <w:right w:val="nil"/>
            </w:tcBorders>
          </w:tcPr>
          <w:p>
            <w:pPr>
              <w:pStyle w:val="TableParagraph"/>
              <w:spacing w:before="44"/>
              <w:ind w:right="180"/>
              <w:rPr>
                <w:sz w:val="20"/>
              </w:rPr>
            </w:pPr>
            <w:r>
              <w:rPr>
                <w:sz w:val="20"/>
              </w:rPr>
              <w:t>54.40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0" w:hRule="exact"/>
        </w:trPr>
        <w:tc>
          <w:tcPr>
            <w:tcW w:w="2593" w:type="dxa"/>
            <w:tcBorders>
              <w:top w:val="nil"/>
              <w:left w:val="nil"/>
              <w:bottom w:val="nil"/>
              <w:right w:val="nil"/>
            </w:tcBorders>
          </w:tcPr>
          <w:p>
            <w:pPr>
              <w:pStyle w:val="TableParagraph"/>
              <w:spacing w:before="43"/>
              <w:ind w:left="69"/>
              <w:jc w:val="left"/>
              <w:rPr>
                <w:sz w:val="20"/>
              </w:rPr>
            </w:pPr>
            <w:r>
              <w:rPr>
                <w:sz w:val="20"/>
              </w:rPr>
              <w:t>Minimum</w:t>
            </w:r>
          </w:p>
        </w:tc>
        <w:tc>
          <w:tcPr>
            <w:tcW w:w="1297" w:type="dxa"/>
            <w:tcBorders>
              <w:top w:val="nil"/>
              <w:left w:val="nil"/>
              <w:bottom w:val="nil"/>
              <w:right w:val="nil"/>
            </w:tcBorders>
          </w:tcPr>
          <w:p>
            <w:pPr>
              <w:pStyle w:val="TableParagraph"/>
              <w:spacing w:before="43"/>
              <w:ind w:right="105"/>
              <w:rPr>
                <w:sz w:val="20"/>
              </w:rPr>
            </w:pPr>
            <w:r>
              <w:rPr>
                <w:w w:val="95"/>
                <w:sz w:val="20"/>
              </w:rPr>
              <w:t>(54,707.01)</w:t>
            </w:r>
          </w:p>
        </w:tc>
        <w:tc>
          <w:tcPr>
            <w:tcW w:w="956" w:type="dxa"/>
            <w:tcBorders>
              <w:top w:val="nil"/>
              <w:left w:val="nil"/>
              <w:bottom w:val="nil"/>
              <w:right w:val="nil"/>
            </w:tcBorders>
          </w:tcPr>
          <w:p>
            <w:pPr>
              <w:pStyle w:val="TableParagraph"/>
              <w:spacing w:before="43"/>
              <w:ind w:left="307"/>
              <w:jc w:val="left"/>
              <w:rPr>
                <w:sz w:val="20"/>
              </w:rPr>
            </w:pPr>
            <w:r>
              <w:rPr>
                <w:sz w:val="20"/>
              </w:rPr>
              <w:t>(6.29)</w:t>
            </w:r>
          </w:p>
        </w:tc>
        <w:tc>
          <w:tcPr>
            <w:tcW w:w="1047" w:type="dxa"/>
            <w:tcBorders>
              <w:top w:val="nil"/>
              <w:left w:val="nil"/>
              <w:bottom w:val="nil"/>
              <w:right w:val="nil"/>
            </w:tcBorders>
          </w:tcPr>
          <w:p>
            <w:pPr>
              <w:pStyle w:val="TableParagraph"/>
              <w:spacing w:before="43"/>
              <w:ind w:right="180"/>
              <w:rPr>
                <w:sz w:val="20"/>
              </w:rPr>
            </w:pPr>
            <w:r>
              <w:rPr>
                <w:sz w:val="20"/>
              </w:rPr>
              <w:t>51.70</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341" w:hRule="exact"/>
        </w:trPr>
        <w:tc>
          <w:tcPr>
            <w:tcW w:w="2593" w:type="dxa"/>
            <w:tcBorders>
              <w:top w:val="nil"/>
              <w:left w:val="nil"/>
              <w:bottom w:val="nil"/>
              <w:right w:val="nil"/>
            </w:tcBorders>
          </w:tcPr>
          <w:p>
            <w:pPr>
              <w:pStyle w:val="TableParagraph"/>
              <w:spacing w:before="44"/>
              <w:ind w:left="69"/>
              <w:jc w:val="left"/>
              <w:rPr>
                <w:sz w:val="20"/>
              </w:rPr>
            </w:pPr>
            <w:r>
              <w:rPr>
                <w:sz w:val="20"/>
              </w:rPr>
              <w:t>Maximum</w:t>
            </w:r>
          </w:p>
        </w:tc>
        <w:tc>
          <w:tcPr>
            <w:tcW w:w="1297" w:type="dxa"/>
            <w:tcBorders>
              <w:top w:val="nil"/>
              <w:left w:val="nil"/>
              <w:bottom w:val="nil"/>
              <w:right w:val="nil"/>
            </w:tcBorders>
          </w:tcPr>
          <w:p>
            <w:pPr>
              <w:pStyle w:val="TableParagraph"/>
              <w:spacing w:before="44"/>
              <w:ind w:right="105"/>
              <w:rPr>
                <w:sz w:val="20"/>
              </w:rPr>
            </w:pPr>
            <w:r>
              <w:rPr>
                <w:w w:val="95"/>
                <w:sz w:val="20"/>
              </w:rPr>
              <w:t>58,836.53</w:t>
            </w:r>
          </w:p>
        </w:tc>
        <w:tc>
          <w:tcPr>
            <w:tcW w:w="956" w:type="dxa"/>
            <w:tcBorders>
              <w:top w:val="nil"/>
              <w:left w:val="nil"/>
              <w:bottom w:val="nil"/>
              <w:right w:val="nil"/>
            </w:tcBorders>
          </w:tcPr>
          <w:p>
            <w:pPr>
              <w:pStyle w:val="TableParagraph"/>
              <w:spacing w:before="44"/>
              <w:ind w:left="338"/>
              <w:jc w:val="left"/>
              <w:rPr>
                <w:sz w:val="20"/>
              </w:rPr>
            </w:pPr>
            <w:r>
              <w:rPr>
                <w:sz w:val="20"/>
              </w:rPr>
              <w:t>14.35</w:t>
            </w:r>
          </w:p>
        </w:tc>
        <w:tc>
          <w:tcPr>
            <w:tcW w:w="1047" w:type="dxa"/>
            <w:tcBorders>
              <w:top w:val="nil"/>
              <w:left w:val="nil"/>
              <w:bottom w:val="nil"/>
              <w:right w:val="nil"/>
            </w:tcBorders>
          </w:tcPr>
          <w:p>
            <w:pPr>
              <w:pStyle w:val="TableParagraph"/>
              <w:spacing w:before="44"/>
              <w:ind w:right="180"/>
              <w:rPr>
                <w:sz w:val="20"/>
              </w:rPr>
            </w:pPr>
            <w:r>
              <w:rPr>
                <w:w w:val="95"/>
                <w:sz w:val="20"/>
              </w:rPr>
              <w:t>761.07</w:t>
            </w:r>
          </w:p>
        </w:tc>
        <w:tc>
          <w:tcPr>
            <w:tcW w:w="1741" w:type="dxa"/>
            <w:tcBorders>
              <w:top w:val="nil"/>
              <w:left w:val="nil"/>
              <w:bottom w:val="nil"/>
              <w:right w:val="nil"/>
            </w:tcBorders>
          </w:tcPr>
          <w:p>
            <w:pPr/>
          </w:p>
        </w:tc>
        <w:tc>
          <w:tcPr>
            <w:tcW w:w="1206" w:type="dxa"/>
            <w:tcBorders>
              <w:top w:val="nil"/>
              <w:left w:val="nil"/>
              <w:bottom w:val="nil"/>
              <w:right w:val="nil"/>
            </w:tcBorders>
          </w:tcPr>
          <w:p>
            <w:pPr/>
          </w:p>
        </w:tc>
      </w:tr>
      <w:tr>
        <w:trPr>
          <w:trHeight w:val="411" w:hRule="exact"/>
        </w:trPr>
        <w:tc>
          <w:tcPr>
            <w:tcW w:w="2593" w:type="dxa"/>
            <w:tcBorders>
              <w:top w:val="nil"/>
              <w:left w:val="nil"/>
              <w:right w:val="nil"/>
            </w:tcBorders>
          </w:tcPr>
          <w:p>
            <w:pPr>
              <w:pStyle w:val="TableParagraph"/>
              <w:spacing w:before="44"/>
              <w:ind w:left="69"/>
              <w:jc w:val="left"/>
              <w:rPr>
                <w:sz w:val="20"/>
              </w:rPr>
            </w:pPr>
            <w:r>
              <w:rPr>
                <w:sz w:val="20"/>
              </w:rPr>
              <w:t>P(NPV &gt; 0)</w:t>
            </w:r>
          </w:p>
        </w:tc>
        <w:tc>
          <w:tcPr>
            <w:tcW w:w="1297" w:type="dxa"/>
            <w:tcBorders>
              <w:top w:val="nil"/>
              <w:left w:val="nil"/>
              <w:right w:val="nil"/>
            </w:tcBorders>
          </w:tcPr>
          <w:p>
            <w:pPr>
              <w:pStyle w:val="TableParagraph"/>
              <w:spacing w:before="44"/>
              <w:ind w:right="103"/>
              <w:rPr>
                <w:sz w:val="20"/>
              </w:rPr>
            </w:pPr>
            <w:r>
              <w:rPr>
                <w:sz w:val="20"/>
              </w:rPr>
              <w:t>81.10%</w:t>
            </w:r>
          </w:p>
        </w:tc>
        <w:tc>
          <w:tcPr>
            <w:tcW w:w="956" w:type="dxa"/>
            <w:tcBorders>
              <w:top w:val="nil"/>
              <w:left w:val="nil"/>
              <w:right w:val="nil"/>
            </w:tcBorders>
          </w:tcPr>
          <w:p>
            <w:pPr>
              <w:pStyle w:val="TableParagraph"/>
              <w:spacing w:before="44"/>
              <w:ind w:left="173"/>
              <w:jc w:val="left"/>
              <w:rPr>
                <w:sz w:val="20"/>
              </w:rPr>
            </w:pPr>
            <w:r>
              <w:rPr>
                <w:sz w:val="20"/>
              </w:rPr>
              <w:t>97.50%</w:t>
            </w:r>
          </w:p>
        </w:tc>
        <w:tc>
          <w:tcPr>
            <w:tcW w:w="1047" w:type="dxa"/>
            <w:tcBorders>
              <w:top w:val="nil"/>
              <w:left w:val="nil"/>
              <w:right w:val="nil"/>
            </w:tcBorders>
          </w:tcPr>
          <w:p>
            <w:pPr/>
          </w:p>
        </w:tc>
        <w:tc>
          <w:tcPr>
            <w:tcW w:w="1741" w:type="dxa"/>
            <w:tcBorders>
              <w:top w:val="nil"/>
              <w:left w:val="nil"/>
              <w:right w:val="nil"/>
            </w:tcBorders>
          </w:tcPr>
          <w:p>
            <w:pPr/>
          </w:p>
        </w:tc>
        <w:tc>
          <w:tcPr>
            <w:tcW w:w="1206" w:type="dxa"/>
            <w:tcBorders>
              <w:top w:val="nil"/>
              <w:left w:val="nil"/>
              <w:right w:val="nil"/>
            </w:tcBorders>
          </w:tcPr>
          <w:p>
            <w:pPr/>
          </w:p>
        </w:tc>
      </w:tr>
    </w:tbl>
    <w:p>
      <w:pPr>
        <w:spacing w:line="204" w:lineRule="exact" w:before="0"/>
        <w:ind w:left="171" w:right="0" w:firstLine="0"/>
        <w:jc w:val="left"/>
        <w:rPr>
          <w:sz w:val="20"/>
          <w:szCs w:val="20"/>
        </w:rPr>
      </w:pPr>
      <w:r>
        <w:rPr>
          <w:sz w:val="20"/>
          <w:szCs w:val="20"/>
          <w:rtl/>
        </w:rPr>
        <w:t>٩</w:t>
      </w:r>
      <w:r>
        <w:rPr>
          <w:sz w:val="20"/>
          <w:szCs w:val="20"/>
        </w:rPr>
        <w:t>De-capitalisation; </w:t>
      </w:r>
      <w:r>
        <w:rPr>
          <w:sz w:val="20"/>
          <w:szCs w:val="20"/>
          <w:rtl/>
        </w:rPr>
        <w:t>۶</w:t>
      </w:r>
      <w:r>
        <w:rPr>
          <w:sz w:val="20"/>
          <w:szCs w:val="20"/>
        </w:rPr>
        <w:t>Probability of obtaining negative final income in cash</w:t>
      </w:r>
      <w:r>
        <w:rPr>
          <w:sz w:val="20"/>
          <w:szCs w:val="20"/>
        </w:rPr>
        <w:t>.</w:t>
      </w:r>
    </w:p>
    <w:p>
      <w:pPr>
        <w:spacing w:after="0" w:line="204" w:lineRule="exact"/>
        <w:jc w:val="left"/>
        <w:rPr>
          <w:sz w:val="20"/>
          <w:szCs w:val="20"/>
        </w:rPr>
        <w:sectPr>
          <w:pgSz w:w="12240" w:h="15840"/>
          <w:pgMar w:header="0" w:footer="657" w:top="1360" w:bottom="840" w:left="1600" w:right="1580"/>
        </w:sectPr>
      </w:pP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
        <w:gridCol w:w="3571"/>
        <w:gridCol w:w="138"/>
        <w:gridCol w:w="440"/>
        <w:gridCol w:w="428"/>
        <w:gridCol w:w="397"/>
        <w:gridCol w:w="397"/>
        <w:gridCol w:w="1231"/>
        <w:gridCol w:w="358"/>
        <w:gridCol w:w="397"/>
        <w:gridCol w:w="480"/>
      </w:tblGrid>
      <w:tr>
        <w:trPr>
          <w:trHeight w:val="547" w:hRule="exact"/>
        </w:trPr>
        <w:tc>
          <w:tcPr>
            <w:tcW w:w="4145" w:type="dxa"/>
            <w:gridSpan w:val="3"/>
          </w:tcPr>
          <w:p>
            <w:pPr>
              <w:pStyle w:val="TableParagraph"/>
              <w:spacing w:line="274" w:lineRule="exact"/>
              <w:ind w:left="1630" w:right="1631"/>
              <w:jc w:val="center"/>
              <w:rPr>
                <w:b/>
                <w:sz w:val="24"/>
              </w:rPr>
            </w:pPr>
            <w:r>
              <w:rPr>
                <w:b/>
                <w:sz w:val="24"/>
              </w:rPr>
              <w:t>Model 1</w:t>
            </w:r>
          </w:p>
        </w:tc>
        <w:tc>
          <w:tcPr>
            <w:tcW w:w="4128" w:type="dxa"/>
            <w:gridSpan w:val="8"/>
          </w:tcPr>
          <w:p>
            <w:pPr>
              <w:pStyle w:val="TableParagraph"/>
              <w:spacing w:line="274" w:lineRule="exact"/>
              <w:ind w:left="1647" w:right="1597"/>
              <w:jc w:val="center"/>
              <w:rPr>
                <w:b/>
                <w:sz w:val="24"/>
              </w:rPr>
            </w:pPr>
            <w:r>
              <w:rPr>
                <w:b/>
                <w:sz w:val="24"/>
              </w:rPr>
              <w:t>Model 3</w:t>
            </w:r>
          </w:p>
        </w:tc>
      </w:tr>
      <w:tr>
        <w:trPr>
          <w:trHeight w:val="3113" w:hRule="exact"/>
        </w:trPr>
        <w:tc>
          <w:tcPr>
            <w:tcW w:w="436" w:type="dxa"/>
            <w:tcBorders>
              <w:right w:val="nil"/>
            </w:tcBorders>
          </w:tcPr>
          <w:p>
            <w:pPr>
              <w:pStyle w:val="TableParagraph"/>
              <w:spacing w:before="5"/>
              <w:ind w:left="156"/>
              <w:jc w:val="left"/>
              <w:rPr>
                <w:sz w:val="14"/>
              </w:rPr>
            </w:pPr>
            <w:r>
              <w:rPr>
                <w:sz w:val="14"/>
              </w:rPr>
              <w:t>35</w:t>
            </w:r>
          </w:p>
          <w:p>
            <w:pPr>
              <w:pStyle w:val="TableParagraph"/>
              <w:spacing w:before="113"/>
              <w:ind w:left="156"/>
              <w:jc w:val="left"/>
              <w:rPr>
                <w:sz w:val="14"/>
              </w:rPr>
            </w:pPr>
            <w:r>
              <w:rPr>
                <w:sz w:val="14"/>
              </w:rPr>
              <w:t>30</w:t>
            </w:r>
          </w:p>
          <w:p>
            <w:pPr>
              <w:pStyle w:val="TableParagraph"/>
              <w:spacing w:before="113"/>
              <w:ind w:left="156"/>
              <w:jc w:val="left"/>
              <w:rPr>
                <w:sz w:val="14"/>
              </w:rPr>
            </w:pPr>
            <w:r>
              <w:rPr>
                <w:sz w:val="14"/>
              </w:rPr>
              <w:t>25</w:t>
            </w:r>
          </w:p>
          <w:p>
            <w:pPr>
              <w:pStyle w:val="TableParagraph"/>
              <w:spacing w:before="113"/>
              <w:ind w:left="156"/>
              <w:jc w:val="left"/>
              <w:rPr>
                <w:sz w:val="14"/>
              </w:rPr>
            </w:pPr>
            <w:r>
              <w:rPr>
                <w:sz w:val="14"/>
              </w:rPr>
              <w:t>20</w:t>
            </w:r>
          </w:p>
          <w:p>
            <w:pPr>
              <w:pStyle w:val="TableParagraph"/>
              <w:spacing w:before="113"/>
              <w:ind w:left="156"/>
              <w:jc w:val="left"/>
              <w:rPr>
                <w:sz w:val="14"/>
              </w:rPr>
            </w:pPr>
            <w:r>
              <w:rPr>
                <w:sz w:val="14"/>
              </w:rPr>
              <w:t>15</w:t>
            </w:r>
          </w:p>
          <w:p>
            <w:pPr>
              <w:pStyle w:val="TableParagraph"/>
              <w:spacing w:before="113"/>
              <w:ind w:left="156"/>
              <w:jc w:val="left"/>
              <w:rPr>
                <w:sz w:val="14"/>
              </w:rPr>
            </w:pPr>
            <w:r>
              <w:rPr>
                <w:sz w:val="14"/>
              </w:rPr>
              <w:t>10</w:t>
            </w:r>
          </w:p>
          <w:p>
            <w:pPr>
              <w:pStyle w:val="TableParagraph"/>
              <w:spacing w:before="113"/>
              <w:ind w:left="91"/>
              <w:jc w:val="center"/>
              <w:rPr>
                <w:sz w:val="14"/>
              </w:rPr>
            </w:pPr>
            <w:r>
              <w:rPr>
                <w:w w:val="99"/>
                <w:sz w:val="14"/>
              </w:rPr>
              <w:t>5</w:t>
            </w:r>
          </w:p>
          <w:p>
            <w:pPr>
              <w:pStyle w:val="TableParagraph"/>
              <w:spacing w:before="113"/>
              <w:ind w:left="91"/>
              <w:jc w:val="center"/>
              <w:rPr>
                <w:sz w:val="14"/>
              </w:rPr>
            </w:pPr>
            <w:r>
              <w:rPr>
                <w:w w:val="99"/>
                <w:sz w:val="14"/>
              </w:rPr>
              <w:t>0</w:t>
            </w:r>
          </w:p>
          <w:p>
            <w:pPr>
              <w:pStyle w:val="TableParagraph"/>
              <w:spacing w:before="113"/>
              <w:ind w:left="180"/>
              <w:jc w:val="left"/>
              <w:rPr>
                <w:sz w:val="14"/>
              </w:rPr>
            </w:pPr>
            <w:r>
              <w:rPr>
                <w:sz w:val="14"/>
              </w:rPr>
              <w:t>-5</w:t>
            </w:r>
          </w:p>
          <w:p>
            <w:pPr>
              <w:pStyle w:val="TableParagraph"/>
              <w:spacing w:before="113"/>
              <w:ind w:left="91" w:right="113"/>
              <w:jc w:val="center"/>
              <w:rPr>
                <w:sz w:val="14"/>
              </w:rPr>
            </w:pPr>
            <w:r>
              <w:rPr>
                <w:sz w:val="14"/>
              </w:rPr>
              <w:t>-10</w:t>
            </w:r>
          </w:p>
          <w:p>
            <w:pPr>
              <w:pStyle w:val="TableParagraph"/>
              <w:spacing w:before="113"/>
              <w:ind w:left="91" w:right="113"/>
              <w:jc w:val="center"/>
              <w:rPr>
                <w:sz w:val="14"/>
              </w:rPr>
            </w:pPr>
            <w:r>
              <w:rPr>
                <w:sz w:val="14"/>
              </w:rPr>
              <w:t>-15</w:t>
            </w:r>
          </w:p>
        </w:tc>
        <w:tc>
          <w:tcPr>
            <w:tcW w:w="3571" w:type="dxa"/>
            <w:tcBorders>
              <w:left w:val="nil"/>
            </w:tcBorders>
          </w:tcPr>
          <w:p>
            <w:pPr>
              <w:pStyle w:val="TableParagraph"/>
              <w:jc w:val="left"/>
              <w:rPr>
                <w:sz w:val="14"/>
              </w:rPr>
            </w:pPr>
          </w:p>
          <w:p>
            <w:pPr>
              <w:pStyle w:val="TableParagraph"/>
              <w:spacing w:before="6"/>
              <w:jc w:val="left"/>
              <w:rPr>
                <w:sz w:val="14"/>
              </w:rPr>
            </w:pPr>
          </w:p>
          <w:p>
            <w:pPr>
              <w:pStyle w:val="TableParagraph"/>
              <w:ind w:left="1482" w:right="1091"/>
              <w:jc w:val="center"/>
              <w:rPr>
                <w:sz w:val="14"/>
              </w:rPr>
            </w:pPr>
            <w:r>
              <w:rPr>
                <w:sz w:val="14"/>
              </w:rPr>
              <w:t>95th Percentile</w:t>
            </w:r>
          </w:p>
          <w:p>
            <w:pPr>
              <w:pStyle w:val="TableParagraph"/>
              <w:jc w:val="left"/>
              <w:rPr>
                <w:sz w:val="14"/>
              </w:rPr>
            </w:pPr>
          </w:p>
          <w:p>
            <w:pPr>
              <w:pStyle w:val="TableParagraph"/>
              <w:spacing w:before="9"/>
              <w:jc w:val="left"/>
              <w:rPr>
                <w:sz w:val="15"/>
              </w:rPr>
            </w:pPr>
          </w:p>
          <w:p>
            <w:pPr>
              <w:pStyle w:val="TableParagraph"/>
              <w:spacing w:line="614" w:lineRule="auto"/>
              <w:ind w:left="1482" w:right="1088"/>
              <w:jc w:val="center"/>
              <w:rPr>
                <w:sz w:val="14"/>
              </w:rPr>
            </w:pPr>
            <w:r>
              <w:rPr>
                <w:sz w:val="14"/>
              </w:rPr>
              <w:t>75th Percentile Average</w:t>
            </w:r>
          </w:p>
          <w:p>
            <w:pPr>
              <w:pStyle w:val="TableParagraph"/>
              <w:spacing w:before="8"/>
              <w:jc w:val="left"/>
              <w:rPr>
                <w:sz w:val="14"/>
              </w:rPr>
            </w:pPr>
          </w:p>
          <w:p>
            <w:pPr>
              <w:pStyle w:val="TableParagraph"/>
              <w:ind w:left="1482" w:right="1070"/>
              <w:jc w:val="center"/>
              <w:rPr>
                <w:sz w:val="14"/>
              </w:rPr>
            </w:pPr>
            <w:r>
              <w:rPr>
                <w:sz w:val="14"/>
              </w:rPr>
              <w:t>25th Percentile</w:t>
            </w:r>
          </w:p>
          <w:p>
            <w:pPr>
              <w:pStyle w:val="TableParagraph"/>
              <w:jc w:val="left"/>
              <w:rPr>
                <w:sz w:val="14"/>
              </w:rPr>
            </w:pPr>
          </w:p>
          <w:p>
            <w:pPr>
              <w:pStyle w:val="TableParagraph"/>
              <w:spacing w:before="9"/>
              <w:jc w:val="left"/>
              <w:rPr>
                <w:sz w:val="20"/>
              </w:rPr>
            </w:pPr>
          </w:p>
          <w:p>
            <w:pPr>
              <w:pStyle w:val="TableParagraph"/>
              <w:ind w:left="1482" w:right="1097"/>
              <w:jc w:val="center"/>
              <w:rPr>
                <w:sz w:val="14"/>
              </w:rPr>
            </w:pPr>
            <w:r>
              <w:rPr>
                <w:sz w:val="14"/>
              </w:rPr>
              <w:t>5th Percentile</w:t>
            </w:r>
          </w:p>
          <w:p>
            <w:pPr>
              <w:pStyle w:val="TableParagraph"/>
              <w:jc w:val="left"/>
              <w:rPr>
                <w:sz w:val="14"/>
              </w:rPr>
            </w:pPr>
          </w:p>
          <w:p>
            <w:pPr>
              <w:pStyle w:val="TableParagraph"/>
              <w:spacing w:before="6"/>
              <w:jc w:val="left"/>
              <w:rPr>
                <w:sz w:val="18"/>
              </w:rPr>
            </w:pPr>
          </w:p>
          <w:p>
            <w:pPr>
              <w:pStyle w:val="TableParagraph"/>
              <w:ind w:left="41"/>
              <w:jc w:val="left"/>
              <w:rPr>
                <w:sz w:val="14"/>
              </w:rPr>
            </w:pPr>
            <w:r>
              <w:rPr>
                <w:sz w:val="14"/>
              </w:rPr>
              <w:t>2010   2011   2012   2013   2014   2015   2016   2017    2018</w:t>
            </w:r>
          </w:p>
        </w:tc>
        <w:tc>
          <w:tcPr>
            <w:tcW w:w="138" w:type="dxa"/>
            <w:tcBorders>
              <w:bottom w:val="nil"/>
            </w:tcBorders>
          </w:tcPr>
          <w:p>
            <w:pPr/>
          </w:p>
        </w:tc>
        <w:tc>
          <w:tcPr>
            <w:tcW w:w="440" w:type="dxa"/>
            <w:tcBorders>
              <w:right w:val="nil"/>
            </w:tcBorders>
          </w:tcPr>
          <w:p>
            <w:pPr>
              <w:pStyle w:val="TableParagraph"/>
              <w:jc w:val="left"/>
              <w:rPr>
                <w:sz w:val="11"/>
              </w:rPr>
            </w:pPr>
          </w:p>
          <w:p>
            <w:pPr>
              <w:pStyle w:val="TableParagraph"/>
              <w:ind w:left="185"/>
              <w:jc w:val="left"/>
              <w:rPr>
                <w:sz w:val="14"/>
              </w:rPr>
            </w:pPr>
            <w:r>
              <w:rPr>
                <w:sz w:val="14"/>
              </w:rPr>
              <w:t>30</w:t>
            </w:r>
          </w:p>
          <w:p>
            <w:pPr>
              <w:pStyle w:val="TableParagraph"/>
              <w:spacing w:before="3"/>
              <w:jc w:val="left"/>
              <w:rPr>
                <w:sz w:val="17"/>
              </w:rPr>
            </w:pPr>
          </w:p>
          <w:p>
            <w:pPr>
              <w:pStyle w:val="TableParagraph"/>
              <w:ind w:left="185"/>
              <w:jc w:val="left"/>
              <w:rPr>
                <w:sz w:val="14"/>
              </w:rPr>
            </w:pPr>
            <w:r>
              <w:rPr>
                <w:sz w:val="14"/>
              </w:rPr>
              <w:t>20</w:t>
            </w:r>
          </w:p>
          <w:p>
            <w:pPr>
              <w:pStyle w:val="TableParagraph"/>
              <w:spacing w:before="4"/>
              <w:jc w:val="left"/>
              <w:rPr>
                <w:sz w:val="17"/>
              </w:rPr>
            </w:pPr>
          </w:p>
          <w:p>
            <w:pPr>
              <w:pStyle w:val="TableParagraph"/>
              <w:ind w:left="185"/>
              <w:jc w:val="left"/>
              <w:rPr>
                <w:sz w:val="14"/>
              </w:rPr>
            </w:pPr>
            <w:r>
              <w:rPr>
                <w:sz w:val="14"/>
              </w:rPr>
              <w:t>10</w:t>
            </w:r>
          </w:p>
          <w:p>
            <w:pPr>
              <w:pStyle w:val="TableParagraph"/>
              <w:spacing w:before="3"/>
              <w:jc w:val="left"/>
              <w:rPr>
                <w:sz w:val="17"/>
              </w:rPr>
            </w:pPr>
          </w:p>
          <w:p>
            <w:pPr>
              <w:pStyle w:val="TableParagraph"/>
              <w:spacing w:before="1"/>
              <w:ind w:left="144"/>
              <w:jc w:val="center"/>
              <w:rPr>
                <w:sz w:val="14"/>
              </w:rPr>
            </w:pPr>
            <w:r>
              <w:rPr>
                <w:w w:val="99"/>
                <w:sz w:val="14"/>
              </w:rPr>
              <w:t>0</w:t>
            </w:r>
          </w:p>
          <w:p>
            <w:pPr>
              <w:pStyle w:val="TableParagraph"/>
              <w:spacing w:before="3"/>
              <w:jc w:val="left"/>
              <w:rPr>
                <w:sz w:val="17"/>
              </w:rPr>
            </w:pPr>
          </w:p>
          <w:p>
            <w:pPr>
              <w:pStyle w:val="TableParagraph"/>
              <w:ind w:left="76" w:right="48"/>
              <w:jc w:val="center"/>
              <w:rPr>
                <w:sz w:val="14"/>
              </w:rPr>
            </w:pPr>
            <w:r>
              <w:rPr>
                <w:sz w:val="14"/>
              </w:rPr>
              <w:t>-10</w:t>
            </w:r>
          </w:p>
          <w:p>
            <w:pPr>
              <w:pStyle w:val="TableParagraph"/>
              <w:spacing w:before="4"/>
              <w:jc w:val="left"/>
              <w:rPr>
                <w:sz w:val="17"/>
              </w:rPr>
            </w:pPr>
          </w:p>
          <w:p>
            <w:pPr>
              <w:pStyle w:val="TableParagraph"/>
              <w:ind w:left="76" w:right="48"/>
              <w:jc w:val="center"/>
              <w:rPr>
                <w:sz w:val="14"/>
              </w:rPr>
            </w:pPr>
            <w:r>
              <w:rPr>
                <w:sz w:val="14"/>
              </w:rPr>
              <w:t>-20</w:t>
            </w:r>
          </w:p>
          <w:p>
            <w:pPr>
              <w:pStyle w:val="TableParagraph"/>
              <w:spacing w:before="3"/>
              <w:jc w:val="left"/>
              <w:rPr>
                <w:sz w:val="17"/>
              </w:rPr>
            </w:pPr>
          </w:p>
          <w:p>
            <w:pPr>
              <w:pStyle w:val="TableParagraph"/>
              <w:spacing w:before="1"/>
              <w:ind w:left="76" w:right="48"/>
              <w:jc w:val="center"/>
              <w:rPr>
                <w:sz w:val="14"/>
              </w:rPr>
            </w:pPr>
            <w:r>
              <w:rPr>
                <w:sz w:val="14"/>
              </w:rPr>
              <w:t>-30</w:t>
            </w:r>
          </w:p>
          <w:p>
            <w:pPr>
              <w:pStyle w:val="TableParagraph"/>
              <w:spacing w:before="3"/>
              <w:jc w:val="left"/>
              <w:rPr>
                <w:sz w:val="17"/>
              </w:rPr>
            </w:pPr>
          </w:p>
          <w:p>
            <w:pPr>
              <w:pStyle w:val="TableParagraph"/>
              <w:ind w:left="76" w:right="48"/>
              <w:jc w:val="center"/>
              <w:rPr>
                <w:sz w:val="14"/>
              </w:rPr>
            </w:pPr>
            <w:r>
              <w:rPr>
                <w:sz w:val="14"/>
              </w:rPr>
              <w:t>-40</w:t>
            </w:r>
          </w:p>
        </w:tc>
        <w:tc>
          <w:tcPr>
            <w:tcW w:w="428" w:type="dxa"/>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68"/>
              <w:jc w:val="left"/>
              <w:rPr>
                <w:sz w:val="14"/>
              </w:rPr>
            </w:pPr>
            <w:r>
              <w:rPr>
                <w:sz w:val="14"/>
              </w:rPr>
              <w:t>2010</w:t>
            </w:r>
          </w:p>
        </w:tc>
        <w:tc>
          <w:tcPr>
            <w:tcW w:w="397" w:type="dxa"/>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39"/>
              <w:jc w:val="left"/>
              <w:rPr>
                <w:sz w:val="14"/>
              </w:rPr>
            </w:pPr>
            <w:r>
              <w:rPr>
                <w:sz w:val="14"/>
              </w:rPr>
              <w:t>2011</w:t>
            </w:r>
          </w:p>
        </w:tc>
        <w:tc>
          <w:tcPr>
            <w:tcW w:w="397" w:type="dxa"/>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41"/>
              <w:jc w:val="left"/>
              <w:rPr>
                <w:sz w:val="14"/>
              </w:rPr>
            </w:pPr>
            <w:r>
              <w:rPr>
                <w:sz w:val="14"/>
              </w:rPr>
              <w:t>2012</w:t>
            </w:r>
          </w:p>
        </w:tc>
        <w:tc>
          <w:tcPr>
            <w:tcW w:w="1231" w:type="dxa"/>
            <w:tcBorders>
              <w:left w:val="nil"/>
              <w:right w:val="nil"/>
            </w:tcBorders>
          </w:tcPr>
          <w:p>
            <w:pPr>
              <w:pStyle w:val="TableParagraph"/>
              <w:spacing w:line="420" w:lineRule="atLeast" w:before="47"/>
              <w:ind w:left="355" w:right="12" w:hanging="10"/>
              <w:jc w:val="left"/>
              <w:rPr>
                <w:sz w:val="14"/>
              </w:rPr>
            </w:pPr>
            <w:r>
              <w:rPr>
                <w:sz w:val="14"/>
              </w:rPr>
              <w:t>95th Percentile 75th Percentile</w:t>
            </w:r>
          </w:p>
          <w:p>
            <w:pPr>
              <w:pStyle w:val="TableParagraph"/>
              <w:spacing w:before="11"/>
              <w:jc w:val="left"/>
              <w:rPr>
                <w:sz w:val="15"/>
              </w:rPr>
            </w:pPr>
          </w:p>
          <w:p>
            <w:pPr>
              <w:pStyle w:val="TableParagraph"/>
              <w:ind w:left="137"/>
              <w:jc w:val="center"/>
              <w:rPr>
                <w:sz w:val="14"/>
              </w:rPr>
            </w:pPr>
            <w:r>
              <w:rPr>
                <w:sz w:val="14"/>
              </w:rPr>
              <w:t>Avera</w:t>
            </w:r>
          </w:p>
          <w:p>
            <w:pPr>
              <w:pStyle w:val="TableParagraph"/>
              <w:spacing w:before="103"/>
              <w:ind w:left="395" w:right="-7" w:hanging="21"/>
              <w:jc w:val="left"/>
              <w:rPr>
                <w:sz w:val="14"/>
              </w:rPr>
            </w:pPr>
            <w:r>
              <w:rPr>
                <w:sz w:val="14"/>
              </w:rPr>
              <w:t>25th Percentile</w:t>
            </w:r>
          </w:p>
          <w:p>
            <w:pPr>
              <w:pStyle w:val="TableParagraph"/>
              <w:jc w:val="left"/>
              <w:rPr>
                <w:sz w:val="14"/>
              </w:rPr>
            </w:pPr>
          </w:p>
          <w:p>
            <w:pPr>
              <w:pStyle w:val="TableParagraph"/>
              <w:spacing w:before="9"/>
              <w:jc w:val="left"/>
              <w:rPr>
                <w:sz w:val="15"/>
              </w:rPr>
            </w:pPr>
          </w:p>
          <w:p>
            <w:pPr>
              <w:pStyle w:val="TableParagraph"/>
              <w:spacing w:before="1"/>
              <w:ind w:left="42" w:right="12" w:firstLine="352"/>
              <w:jc w:val="left"/>
              <w:rPr>
                <w:sz w:val="14"/>
              </w:rPr>
            </w:pPr>
            <w:r>
              <w:rPr>
                <w:sz w:val="14"/>
              </w:rPr>
              <w:t>5th Percentile</w:t>
            </w: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2"/>
              <w:jc w:val="left"/>
              <w:rPr>
                <w:sz w:val="14"/>
              </w:rPr>
            </w:pPr>
          </w:p>
          <w:p>
            <w:pPr>
              <w:pStyle w:val="TableParagraph"/>
              <w:ind w:left="42" w:right="12"/>
              <w:jc w:val="left"/>
              <w:rPr>
                <w:sz w:val="14"/>
              </w:rPr>
            </w:pPr>
            <w:r>
              <w:rPr>
                <w:sz w:val="14"/>
              </w:rPr>
              <w:t>2013   2014   2015</w:t>
            </w:r>
          </w:p>
        </w:tc>
        <w:tc>
          <w:tcPr>
            <w:tcW w:w="358" w:type="dxa"/>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9"/>
              <w:jc w:val="left"/>
              <w:rPr>
                <w:sz w:val="14"/>
              </w:rPr>
            </w:pPr>
            <w:r>
              <w:rPr>
                <w:sz w:val="14"/>
              </w:rPr>
              <w:t>2016</w:t>
            </w:r>
          </w:p>
        </w:tc>
        <w:tc>
          <w:tcPr>
            <w:tcW w:w="397" w:type="dxa"/>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50"/>
              <w:jc w:val="left"/>
              <w:rPr>
                <w:sz w:val="14"/>
              </w:rPr>
            </w:pPr>
            <w:r>
              <w:rPr>
                <w:sz w:val="14"/>
              </w:rPr>
              <w:t>2017</w:t>
            </w:r>
          </w:p>
        </w:tc>
        <w:tc>
          <w:tcPr>
            <w:tcW w:w="480" w:type="dxa"/>
            <w:tcBorders>
              <w:lef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7"/>
              <w:jc w:val="left"/>
              <w:rPr>
                <w:sz w:val="20"/>
              </w:rPr>
            </w:pPr>
          </w:p>
          <w:p>
            <w:pPr>
              <w:pStyle w:val="TableParagraph"/>
              <w:spacing w:before="1"/>
              <w:ind w:left="52"/>
              <w:jc w:val="left"/>
              <w:rPr>
                <w:sz w:val="14"/>
              </w:rPr>
            </w:pPr>
            <w:r>
              <w:rPr>
                <w:sz w:val="14"/>
              </w:rPr>
              <w:t>2018</w:t>
            </w:r>
          </w:p>
        </w:tc>
      </w:tr>
      <w:tr>
        <w:trPr>
          <w:trHeight w:val="275" w:hRule="exact"/>
        </w:trPr>
        <w:tc>
          <w:tcPr>
            <w:tcW w:w="4145" w:type="dxa"/>
            <w:gridSpan w:val="3"/>
          </w:tcPr>
          <w:p>
            <w:pPr/>
          </w:p>
        </w:tc>
        <w:tc>
          <w:tcPr>
            <w:tcW w:w="4128" w:type="dxa"/>
            <w:gridSpan w:val="8"/>
          </w:tcPr>
          <w:p>
            <w:pPr/>
          </w:p>
        </w:tc>
      </w:tr>
      <w:tr>
        <w:trPr>
          <w:trHeight w:val="546" w:hRule="exact"/>
        </w:trPr>
        <w:tc>
          <w:tcPr>
            <w:tcW w:w="4145" w:type="dxa"/>
            <w:gridSpan w:val="3"/>
          </w:tcPr>
          <w:p>
            <w:pPr>
              <w:pStyle w:val="TableParagraph"/>
              <w:spacing w:line="271" w:lineRule="exact"/>
              <w:ind w:left="1630" w:right="1631"/>
              <w:jc w:val="center"/>
              <w:rPr>
                <w:b/>
                <w:sz w:val="24"/>
              </w:rPr>
            </w:pPr>
            <w:r>
              <w:rPr>
                <w:b/>
                <w:sz w:val="24"/>
              </w:rPr>
              <w:t>Model 2</w:t>
            </w:r>
          </w:p>
        </w:tc>
        <w:tc>
          <w:tcPr>
            <w:tcW w:w="4128" w:type="dxa"/>
            <w:gridSpan w:val="8"/>
          </w:tcPr>
          <w:p>
            <w:pPr>
              <w:pStyle w:val="TableParagraph"/>
              <w:spacing w:line="271" w:lineRule="exact"/>
              <w:ind w:left="1647" w:right="1597"/>
              <w:jc w:val="center"/>
              <w:rPr>
                <w:b/>
                <w:sz w:val="24"/>
              </w:rPr>
            </w:pPr>
            <w:r>
              <w:rPr>
                <w:b/>
                <w:sz w:val="24"/>
              </w:rPr>
              <w:t>Model 4</w:t>
            </w:r>
          </w:p>
        </w:tc>
      </w:tr>
      <w:tr>
        <w:trPr>
          <w:trHeight w:val="232" w:hRule="exact"/>
        </w:trPr>
        <w:tc>
          <w:tcPr>
            <w:tcW w:w="436" w:type="dxa"/>
            <w:tcBorders>
              <w:bottom w:val="nil"/>
              <w:right w:val="nil"/>
            </w:tcBorders>
          </w:tcPr>
          <w:p>
            <w:pPr>
              <w:pStyle w:val="TableParagraph"/>
              <w:spacing w:before="8"/>
              <w:ind w:right="40"/>
              <w:rPr>
                <w:sz w:val="14"/>
              </w:rPr>
            </w:pPr>
            <w:r>
              <w:rPr>
                <w:w w:val="95"/>
                <w:sz w:val="14"/>
              </w:rPr>
              <w:t>35</w:t>
            </w:r>
          </w:p>
        </w:tc>
        <w:tc>
          <w:tcPr>
            <w:tcW w:w="3571" w:type="dxa"/>
            <w:tcBorders>
              <w:left w:val="nil"/>
              <w:bottom w:val="nil"/>
            </w:tcBorders>
          </w:tcPr>
          <w:p>
            <w:pPr/>
          </w:p>
        </w:tc>
        <w:tc>
          <w:tcPr>
            <w:tcW w:w="138" w:type="dxa"/>
            <w:vMerge w:val="restart"/>
          </w:tcPr>
          <w:p>
            <w:pPr/>
          </w:p>
        </w:tc>
        <w:tc>
          <w:tcPr>
            <w:tcW w:w="440" w:type="dxa"/>
            <w:vMerge w:val="restart"/>
            <w:tcBorders>
              <w:right w:val="nil"/>
            </w:tcBorders>
          </w:tcPr>
          <w:p>
            <w:pPr>
              <w:pStyle w:val="TableParagraph"/>
              <w:spacing w:before="24"/>
              <w:ind w:left="226"/>
              <w:jc w:val="left"/>
              <w:rPr>
                <w:sz w:val="14"/>
              </w:rPr>
            </w:pPr>
            <w:r>
              <w:rPr>
                <w:sz w:val="14"/>
              </w:rPr>
              <w:t>35</w:t>
            </w:r>
          </w:p>
          <w:p>
            <w:pPr>
              <w:pStyle w:val="TableParagraph"/>
              <w:spacing w:before="89"/>
              <w:ind w:left="226"/>
              <w:jc w:val="left"/>
              <w:rPr>
                <w:sz w:val="14"/>
              </w:rPr>
            </w:pPr>
            <w:r>
              <w:rPr>
                <w:sz w:val="14"/>
              </w:rPr>
              <w:t>30</w:t>
            </w:r>
          </w:p>
          <w:p>
            <w:pPr>
              <w:pStyle w:val="TableParagraph"/>
              <w:spacing w:before="89"/>
              <w:ind w:left="226"/>
              <w:jc w:val="left"/>
              <w:rPr>
                <w:sz w:val="14"/>
              </w:rPr>
            </w:pPr>
            <w:r>
              <w:rPr>
                <w:sz w:val="14"/>
              </w:rPr>
              <w:t>25</w:t>
            </w:r>
          </w:p>
          <w:p>
            <w:pPr>
              <w:pStyle w:val="TableParagraph"/>
              <w:spacing w:before="88"/>
              <w:ind w:left="226"/>
              <w:jc w:val="left"/>
              <w:rPr>
                <w:sz w:val="14"/>
              </w:rPr>
            </w:pPr>
            <w:r>
              <w:rPr>
                <w:sz w:val="14"/>
              </w:rPr>
              <w:t>20</w:t>
            </w:r>
          </w:p>
          <w:p>
            <w:pPr>
              <w:pStyle w:val="TableParagraph"/>
              <w:spacing w:before="89"/>
              <w:ind w:left="226"/>
              <w:jc w:val="left"/>
              <w:rPr>
                <w:sz w:val="14"/>
              </w:rPr>
            </w:pPr>
            <w:r>
              <w:rPr>
                <w:sz w:val="14"/>
              </w:rPr>
              <w:t>15</w:t>
            </w:r>
          </w:p>
          <w:p>
            <w:pPr>
              <w:pStyle w:val="TableParagraph"/>
              <w:spacing w:before="89"/>
              <w:ind w:left="226"/>
              <w:jc w:val="left"/>
              <w:rPr>
                <w:sz w:val="14"/>
              </w:rPr>
            </w:pPr>
            <w:r>
              <w:rPr>
                <w:sz w:val="14"/>
              </w:rPr>
              <w:t>10</w:t>
            </w:r>
          </w:p>
          <w:p>
            <w:pPr>
              <w:pStyle w:val="TableParagraph"/>
              <w:spacing w:before="89"/>
              <w:ind w:right="67"/>
              <w:rPr>
                <w:sz w:val="14"/>
              </w:rPr>
            </w:pPr>
            <w:r>
              <w:rPr>
                <w:w w:val="99"/>
                <w:sz w:val="14"/>
              </w:rPr>
              <w:t>5</w:t>
            </w:r>
          </w:p>
          <w:p>
            <w:pPr>
              <w:pStyle w:val="TableParagraph"/>
              <w:spacing w:before="88"/>
              <w:ind w:right="67"/>
              <w:rPr>
                <w:sz w:val="14"/>
              </w:rPr>
            </w:pPr>
            <w:r>
              <w:rPr>
                <w:w w:val="99"/>
                <w:sz w:val="14"/>
              </w:rPr>
              <w:t>0</w:t>
            </w:r>
          </w:p>
          <w:p>
            <w:pPr>
              <w:pStyle w:val="TableParagraph"/>
              <w:spacing w:before="89"/>
              <w:ind w:left="249"/>
              <w:jc w:val="left"/>
              <w:rPr>
                <w:sz w:val="14"/>
              </w:rPr>
            </w:pPr>
            <w:r>
              <w:rPr>
                <w:sz w:val="14"/>
              </w:rPr>
              <w:t>-5</w:t>
            </w:r>
          </w:p>
          <w:p>
            <w:pPr>
              <w:pStyle w:val="TableParagraph"/>
              <w:spacing w:before="89"/>
              <w:ind w:left="118" w:right="7"/>
              <w:jc w:val="center"/>
              <w:rPr>
                <w:sz w:val="14"/>
              </w:rPr>
            </w:pPr>
            <w:r>
              <w:rPr>
                <w:sz w:val="14"/>
              </w:rPr>
              <w:t>-10</w:t>
            </w:r>
          </w:p>
          <w:p>
            <w:pPr>
              <w:pStyle w:val="TableParagraph"/>
              <w:spacing w:before="89"/>
              <w:ind w:left="118" w:right="7"/>
              <w:jc w:val="center"/>
              <w:rPr>
                <w:sz w:val="14"/>
              </w:rPr>
            </w:pPr>
            <w:r>
              <w:rPr>
                <w:sz w:val="14"/>
              </w:rPr>
              <w:t>-15</w:t>
            </w:r>
          </w:p>
          <w:p>
            <w:pPr>
              <w:pStyle w:val="TableParagraph"/>
              <w:spacing w:before="88"/>
              <w:ind w:left="118" w:right="7"/>
              <w:jc w:val="center"/>
              <w:rPr>
                <w:sz w:val="14"/>
              </w:rPr>
            </w:pPr>
            <w:r>
              <w:rPr>
                <w:sz w:val="14"/>
              </w:rPr>
              <w:t>-20</w:t>
            </w:r>
          </w:p>
        </w:tc>
        <w:tc>
          <w:tcPr>
            <w:tcW w:w="428"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107"/>
              <w:jc w:val="left"/>
              <w:rPr>
                <w:sz w:val="14"/>
              </w:rPr>
            </w:pPr>
            <w:r>
              <w:rPr>
                <w:sz w:val="14"/>
              </w:rPr>
              <w:t>2010</w:t>
            </w:r>
          </w:p>
        </w:tc>
        <w:tc>
          <w:tcPr>
            <w:tcW w:w="397"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75"/>
              <w:jc w:val="left"/>
              <w:rPr>
                <w:sz w:val="14"/>
              </w:rPr>
            </w:pPr>
            <w:r>
              <w:rPr>
                <w:sz w:val="14"/>
              </w:rPr>
              <w:t>2011</w:t>
            </w:r>
          </w:p>
        </w:tc>
        <w:tc>
          <w:tcPr>
            <w:tcW w:w="397"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73"/>
              <w:jc w:val="left"/>
              <w:rPr>
                <w:sz w:val="14"/>
              </w:rPr>
            </w:pPr>
            <w:r>
              <w:rPr>
                <w:sz w:val="14"/>
              </w:rPr>
              <w:t>2012</w:t>
            </w:r>
          </w:p>
        </w:tc>
        <w:tc>
          <w:tcPr>
            <w:tcW w:w="1231" w:type="dxa"/>
            <w:vMerge w:val="restart"/>
            <w:tcBorders>
              <w:left w:val="nil"/>
              <w:right w:val="nil"/>
            </w:tcBorders>
          </w:tcPr>
          <w:p>
            <w:pPr>
              <w:pStyle w:val="TableParagraph"/>
              <w:jc w:val="left"/>
              <w:rPr>
                <w:sz w:val="14"/>
              </w:rPr>
            </w:pPr>
          </w:p>
          <w:p>
            <w:pPr>
              <w:pStyle w:val="TableParagraph"/>
              <w:spacing w:before="8"/>
              <w:jc w:val="left"/>
              <w:rPr>
                <w:sz w:val="17"/>
              </w:rPr>
            </w:pPr>
          </w:p>
          <w:p>
            <w:pPr>
              <w:pStyle w:val="TableParagraph"/>
              <w:ind w:left="370"/>
              <w:jc w:val="center"/>
              <w:rPr>
                <w:sz w:val="14"/>
              </w:rPr>
            </w:pPr>
            <w:r>
              <w:rPr>
                <w:sz w:val="14"/>
              </w:rPr>
              <w:t>95th Percentile</w:t>
            </w:r>
          </w:p>
          <w:p>
            <w:pPr>
              <w:pStyle w:val="TableParagraph"/>
              <w:jc w:val="left"/>
              <w:rPr>
                <w:sz w:val="14"/>
              </w:rPr>
            </w:pPr>
          </w:p>
          <w:p>
            <w:pPr>
              <w:pStyle w:val="TableParagraph"/>
              <w:jc w:val="left"/>
              <w:rPr>
                <w:sz w:val="13"/>
              </w:rPr>
            </w:pPr>
          </w:p>
          <w:p>
            <w:pPr>
              <w:pStyle w:val="TableParagraph"/>
              <w:spacing w:line="600" w:lineRule="auto"/>
              <w:ind w:left="362"/>
              <w:jc w:val="center"/>
              <w:rPr>
                <w:sz w:val="14"/>
              </w:rPr>
            </w:pPr>
            <w:r>
              <w:rPr>
                <w:sz w:val="14"/>
              </w:rPr>
              <w:t>75th Percentile Averag</w:t>
            </w:r>
          </w:p>
          <w:p>
            <w:pPr>
              <w:pStyle w:val="TableParagraph"/>
              <w:spacing w:before="56"/>
              <w:ind w:left="360"/>
              <w:jc w:val="center"/>
              <w:rPr>
                <w:sz w:val="14"/>
              </w:rPr>
            </w:pPr>
            <w:r>
              <w:rPr>
                <w:sz w:val="14"/>
              </w:rPr>
              <w:t>25th Percentile</w:t>
            </w:r>
          </w:p>
          <w:p>
            <w:pPr>
              <w:pStyle w:val="TableParagraph"/>
              <w:jc w:val="left"/>
              <w:rPr>
                <w:sz w:val="14"/>
              </w:rPr>
            </w:pPr>
          </w:p>
          <w:p>
            <w:pPr>
              <w:pStyle w:val="TableParagraph"/>
              <w:spacing w:before="5"/>
              <w:jc w:val="left"/>
              <w:rPr>
                <w:sz w:val="19"/>
              </w:rPr>
            </w:pPr>
          </w:p>
          <w:p>
            <w:pPr>
              <w:pStyle w:val="TableParagraph"/>
              <w:ind w:left="430" w:right="-7"/>
              <w:jc w:val="left"/>
              <w:rPr>
                <w:sz w:val="14"/>
              </w:rPr>
            </w:pPr>
            <w:r>
              <w:rPr>
                <w:sz w:val="14"/>
              </w:rPr>
              <w:t>5th Percentile</w:t>
            </w:r>
          </w:p>
          <w:p>
            <w:pPr>
              <w:pStyle w:val="TableParagraph"/>
              <w:jc w:val="left"/>
              <w:rPr>
                <w:sz w:val="14"/>
              </w:rPr>
            </w:pPr>
          </w:p>
          <w:p>
            <w:pPr>
              <w:pStyle w:val="TableParagraph"/>
              <w:jc w:val="left"/>
              <w:rPr>
                <w:sz w:val="14"/>
              </w:rPr>
            </w:pPr>
          </w:p>
          <w:p>
            <w:pPr>
              <w:pStyle w:val="TableParagraph"/>
              <w:spacing w:before="2"/>
              <w:jc w:val="left"/>
              <w:rPr>
                <w:sz w:val="19"/>
              </w:rPr>
            </w:pPr>
          </w:p>
          <w:p>
            <w:pPr>
              <w:pStyle w:val="TableParagraph"/>
              <w:ind w:left="71" w:right="12"/>
              <w:jc w:val="left"/>
              <w:rPr>
                <w:sz w:val="14"/>
              </w:rPr>
            </w:pPr>
            <w:r>
              <w:rPr>
                <w:sz w:val="14"/>
              </w:rPr>
              <w:t>2013   2014   2015</w:t>
            </w:r>
          </w:p>
        </w:tc>
        <w:tc>
          <w:tcPr>
            <w:tcW w:w="358"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26"/>
              <w:jc w:val="left"/>
              <w:rPr>
                <w:sz w:val="14"/>
              </w:rPr>
            </w:pPr>
            <w:r>
              <w:rPr>
                <w:sz w:val="14"/>
              </w:rPr>
              <w:t>2016</w:t>
            </w:r>
          </w:p>
        </w:tc>
        <w:tc>
          <w:tcPr>
            <w:tcW w:w="397" w:type="dxa"/>
            <w:vMerge w:val="restart"/>
            <w:tcBorders>
              <w:left w:val="nil"/>
              <w:right w:val="nil"/>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64"/>
              <w:jc w:val="left"/>
              <w:rPr>
                <w:sz w:val="14"/>
              </w:rPr>
            </w:pPr>
            <w:r>
              <w:rPr>
                <w:sz w:val="14"/>
              </w:rPr>
              <w:t>2017</w:t>
            </w:r>
          </w:p>
        </w:tc>
        <w:tc>
          <w:tcPr>
            <w:tcW w:w="480" w:type="dxa"/>
            <w:vMerge w:val="restart"/>
            <w:tcBorders>
              <w:left w:val="nil"/>
              <w:right w:val="double" w:sz="11" w:space="0" w:color="000000"/>
            </w:tcBorders>
          </w:tcPr>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62"/>
              <w:jc w:val="left"/>
              <w:rPr>
                <w:sz w:val="14"/>
              </w:rPr>
            </w:pPr>
            <w:r>
              <w:rPr>
                <w:sz w:val="14"/>
              </w:rPr>
              <w:t>2018</w:t>
            </w:r>
          </w:p>
        </w:tc>
      </w:tr>
      <w:tr>
        <w:trPr>
          <w:trHeight w:val="298" w:hRule="exact"/>
        </w:trPr>
        <w:tc>
          <w:tcPr>
            <w:tcW w:w="436" w:type="dxa"/>
            <w:tcBorders>
              <w:top w:val="nil"/>
              <w:bottom w:val="nil"/>
              <w:right w:val="nil"/>
            </w:tcBorders>
          </w:tcPr>
          <w:p>
            <w:pPr>
              <w:pStyle w:val="TableParagraph"/>
              <w:spacing w:before="64"/>
              <w:ind w:right="40"/>
              <w:rPr>
                <w:sz w:val="14"/>
              </w:rPr>
            </w:pPr>
            <w:r>
              <w:rPr>
                <w:w w:val="95"/>
                <w:sz w:val="14"/>
              </w:rPr>
              <w:t>30</w:t>
            </w:r>
          </w:p>
        </w:tc>
        <w:tc>
          <w:tcPr>
            <w:tcW w:w="3571" w:type="dxa"/>
            <w:tcBorders>
              <w:top w:val="nil"/>
              <w:left w:val="nil"/>
              <w:bottom w:val="nil"/>
            </w:tcBorders>
          </w:tcPr>
          <w:p>
            <w:pPr>
              <w:pStyle w:val="TableParagraph"/>
              <w:spacing w:before="34"/>
              <w:ind w:left="1417" w:right="1135"/>
              <w:jc w:val="center"/>
              <w:rPr>
                <w:sz w:val="14"/>
              </w:rPr>
            </w:pPr>
            <w:r>
              <w:rPr>
                <w:sz w:val="14"/>
              </w:rPr>
              <w:t>95th Percentile</w:t>
            </w: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51" w:hRule="exact"/>
        </w:trPr>
        <w:tc>
          <w:tcPr>
            <w:tcW w:w="436" w:type="dxa"/>
            <w:tcBorders>
              <w:top w:val="nil"/>
              <w:bottom w:val="nil"/>
              <w:right w:val="nil"/>
            </w:tcBorders>
          </w:tcPr>
          <w:p>
            <w:pPr>
              <w:pStyle w:val="TableParagraph"/>
              <w:spacing w:before="49"/>
              <w:ind w:right="40"/>
              <w:rPr>
                <w:sz w:val="14"/>
              </w:rPr>
            </w:pPr>
            <w:r>
              <w:rPr>
                <w:w w:val="95"/>
                <w:sz w:val="14"/>
              </w:rPr>
              <w:t>25</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315" w:hRule="exact"/>
        </w:trPr>
        <w:tc>
          <w:tcPr>
            <w:tcW w:w="436" w:type="dxa"/>
            <w:tcBorders>
              <w:top w:val="nil"/>
              <w:bottom w:val="nil"/>
              <w:right w:val="nil"/>
            </w:tcBorders>
          </w:tcPr>
          <w:p>
            <w:pPr>
              <w:pStyle w:val="TableParagraph"/>
              <w:spacing w:before="81"/>
              <w:ind w:right="40"/>
              <w:rPr>
                <w:sz w:val="14"/>
              </w:rPr>
            </w:pPr>
            <w:r>
              <w:rPr>
                <w:w w:val="95"/>
                <w:sz w:val="14"/>
              </w:rPr>
              <w:t>20</w:t>
            </w:r>
          </w:p>
        </w:tc>
        <w:tc>
          <w:tcPr>
            <w:tcW w:w="3571" w:type="dxa"/>
            <w:tcBorders>
              <w:top w:val="nil"/>
              <w:left w:val="nil"/>
              <w:bottom w:val="nil"/>
            </w:tcBorders>
          </w:tcPr>
          <w:p>
            <w:pPr>
              <w:pStyle w:val="TableParagraph"/>
              <w:spacing w:before="17"/>
              <w:ind w:left="836" w:right="1135"/>
              <w:jc w:val="center"/>
              <w:rPr>
                <w:sz w:val="14"/>
              </w:rPr>
            </w:pPr>
            <w:r>
              <w:rPr>
                <w:sz w:val="14"/>
              </w:rPr>
              <w:t>75th</w:t>
            </w: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329" w:hRule="exact"/>
        </w:trPr>
        <w:tc>
          <w:tcPr>
            <w:tcW w:w="436" w:type="dxa"/>
            <w:tcBorders>
              <w:top w:val="nil"/>
              <w:bottom w:val="nil"/>
              <w:right w:val="nil"/>
            </w:tcBorders>
          </w:tcPr>
          <w:p>
            <w:pPr>
              <w:pStyle w:val="TableParagraph"/>
              <w:spacing w:before="49"/>
              <w:ind w:right="40"/>
              <w:rPr>
                <w:sz w:val="14"/>
              </w:rPr>
            </w:pPr>
            <w:r>
              <w:rPr>
                <w:w w:val="95"/>
                <w:sz w:val="14"/>
              </w:rPr>
              <w:t>15</w:t>
            </w:r>
          </w:p>
        </w:tc>
        <w:tc>
          <w:tcPr>
            <w:tcW w:w="3571" w:type="dxa"/>
            <w:tcBorders>
              <w:top w:val="nil"/>
              <w:left w:val="nil"/>
              <w:bottom w:val="nil"/>
            </w:tcBorders>
          </w:tcPr>
          <w:p>
            <w:pPr>
              <w:pStyle w:val="TableParagraph"/>
              <w:spacing w:before="2"/>
              <w:jc w:val="left"/>
              <w:rPr>
                <w:sz w:val="12"/>
              </w:rPr>
            </w:pPr>
          </w:p>
          <w:p>
            <w:pPr>
              <w:pStyle w:val="TableParagraph"/>
              <w:ind w:left="1482" w:right="1133"/>
              <w:jc w:val="center"/>
              <w:rPr>
                <w:sz w:val="14"/>
              </w:rPr>
            </w:pPr>
            <w:r>
              <w:rPr>
                <w:sz w:val="14"/>
              </w:rPr>
              <w:t>Average</w:t>
            </w: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37" w:hRule="exact"/>
        </w:trPr>
        <w:tc>
          <w:tcPr>
            <w:tcW w:w="436" w:type="dxa"/>
            <w:tcBorders>
              <w:top w:val="nil"/>
              <w:bottom w:val="nil"/>
              <w:right w:val="nil"/>
            </w:tcBorders>
          </w:tcPr>
          <w:p>
            <w:pPr>
              <w:pStyle w:val="TableParagraph"/>
              <w:spacing w:before="3"/>
              <w:ind w:right="40"/>
              <w:rPr>
                <w:sz w:val="14"/>
              </w:rPr>
            </w:pPr>
            <w:r>
              <w:rPr>
                <w:w w:val="95"/>
                <w:sz w:val="14"/>
              </w:rPr>
              <w:t>10</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94" w:hRule="exact"/>
        </w:trPr>
        <w:tc>
          <w:tcPr>
            <w:tcW w:w="436" w:type="dxa"/>
            <w:tcBorders>
              <w:top w:val="nil"/>
              <w:bottom w:val="nil"/>
              <w:right w:val="nil"/>
            </w:tcBorders>
          </w:tcPr>
          <w:p>
            <w:pPr>
              <w:pStyle w:val="TableParagraph"/>
              <w:spacing w:before="49"/>
              <w:ind w:right="39"/>
              <w:rPr>
                <w:sz w:val="14"/>
              </w:rPr>
            </w:pPr>
            <w:r>
              <w:rPr>
                <w:w w:val="99"/>
                <w:sz w:val="14"/>
              </w:rPr>
              <w:t>5</w:t>
            </w:r>
          </w:p>
        </w:tc>
        <w:tc>
          <w:tcPr>
            <w:tcW w:w="3571" w:type="dxa"/>
            <w:tcBorders>
              <w:top w:val="nil"/>
              <w:left w:val="nil"/>
              <w:bottom w:val="nil"/>
            </w:tcBorders>
          </w:tcPr>
          <w:p>
            <w:pPr>
              <w:pStyle w:val="TableParagraph"/>
              <w:spacing w:before="71"/>
              <w:ind w:left="1460" w:right="1135"/>
              <w:jc w:val="center"/>
              <w:rPr>
                <w:sz w:val="14"/>
              </w:rPr>
            </w:pPr>
            <w:r>
              <w:rPr>
                <w:sz w:val="14"/>
              </w:rPr>
              <w:t>25th Percentile</w:t>
            </w: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72" w:hRule="exact"/>
        </w:trPr>
        <w:tc>
          <w:tcPr>
            <w:tcW w:w="436" w:type="dxa"/>
            <w:tcBorders>
              <w:top w:val="nil"/>
              <w:bottom w:val="nil"/>
              <w:right w:val="nil"/>
            </w:tcBorders>
          </w:tcPr>
          <w:p>
            <w:pPr>
              <w:pStyle w:val="TableParagraph"/>
              <w:spacing w:before="38"/>
              <w:ind w:right="39"/>
              <w:rPr>
                <w:sz w:val="14"/>
              </w:rPr>
            </w:pPr>
            <w:r>
              <w:rPr>
                <w:w w:val="99"/>
                <w:sz w:val="14"/>
              </w:rPr>
              <w:t>0</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193" w:hRule="exact"/>
        </w:trPr>
        <w:tc>
          <w:tcPr>
            <w:tcW w:w="436" w:type="dxa"/>
            <w:tcBorders>
              <w:top w:val="nil"/>
              <w:bottom w:val="nil"/>
              <w:right w:val="nil"/>
            </w:tcBorders>
          </w:tcPr>
          <w:p>
            <w:pPr>
              <w:pStyle w:val="TableParagraph"/>
              <w:spacing w:before="49"/>
              <w:ind w:right="41"/>
              <w:rPr>
                <w:sz w:val="14"/>
              </w:rPr>
            </w:pPr>
            <w:r>
              <w:rPr>
                <w:sz w:val="14"/>
              </w:rPr>
              <w:t>-5</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141" w:hRule="exact"/>
        </w:trPr>
        <w:tc>
          <w:tcPr>
            <w:tcW w:w="436" w:type="dxa"/>
            <w:tcBorders>
              <w:top w:val="nil"/>
              <w:bottom w:val="nil"/>
              <w:right w:val="nil"/>
            </w:tcBorders>
          </w:tcPr>
          <w:p>
            <w:pPr/>
          </w:p>
        </w:tc>
        <w:tc>
          <w:tcPr>
            <w:tcW w:w="3571" w:type="dxa"/>
            <w:tcBorders>
              <w:top w:val="nil"/>
              <w:left w:val="nil"/>
              <w:bottom w:val="nil"/>
            </w:tcBorders>
          </w:tcPr>
          <w:p>
            <w:pPr>
              <w:pStyle w:val="TableParagraph"/>
              <w:spacing w:line="120" w:lineRule="exact"/>
              <w:ind w:left="939" w:right="1135"/>
              <w:jc w:val="center"/>
              <w:rPr>
                <w:sz w:val="14"/>
              </w:rPr>
            </w:pPr>
            <w:r>
              <w:rPr>
                <w:sz w:val="14"/>
              </w:rPr>
              <w:t>5th</w:t>
            </w: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31" w:hRule="exact"/>
        </w:trPr>
        <w:tc>
          <w:tcPr>
            <w:tcW w:w="436" w:type="dxa"/>
            <w:tcBorders>
              <w:top w:val="nil"/>
              <w:bottom w:val="nil"/>
              <w:right w:val="nil"/>
            </w:tcBorders>
          </w:tcPr>
          <w:p>
            <w:pPr>
              <w:pStyle w:val="TableParagraph"/>
              <w:spacing w:line="158" w:lineRule="exact"/>
              <w:ind w:right="39"/>
              <w:rPr>
                <w:sz w:val="14"/>
              </w:rPr>
            </w:pPr>
            <w:r>
              <w:rPr>
                <w:w w:val="95"/>
                <w:sz w:val="14"/>
              </w:rPr>
              <w:t>-10</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23" w:hRule="exact"/>
        </w:trPr>
        <w:tc>
          <w:tcPr>
            <w:tcW w:w="436" w:type="dxa"/>
            <w:tcBorders>
              <w:top w:val="nil"/>
              <w:bottom w:val="nil"/>
              <w:right w:val="nil"/>
            </w:tcBorders>
          </w:tcPr>
          <w:p>
            <w:pPr>
              <w:pStyle w:val="TableParagraph"/>
              <w:spacing w:before="49"/>
              <w:ind w:right="39"/>
              <w:rPr>
                <w:sz w:val="14"/>
              </w:rPr>
            </w:pPr>
            <w:r>
              <w:rPr>
                <w:w w:val="95"/>
                <w:sz w:val="14"/>
              </w:rPr>
              <w:t>-15</w:t>
            </w:r>
          </w:p>
        </w:tc>
        <w:tc>
          <w:tcPr>
            <w:tcW w:w="3571" w:type="dxa"/>
            <w:tcBorders>
              <w:top w:val="nil"/>
              <w:left w:val="nil"/>
              <w:bottom w:val="nil"/>
            </w:tcBorders>
          </w:tcPr>
          <w:p>
            <w:pPr/>
          </w:p>
        </w:tc>
        <w:tc>
          <w:tcPr>
            <w:tcW w:w="138" w:type="dxa"/>
            <w:vMerge/>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46" w:hRule="exact"/>
        </w:trPr>
        <w:tc>
          <w:tcPr>
            <w:tcW w:w="436" w:type="dxa"/>
            <w:tcBorders>
              <w:top w:val="nil"/>
              <w:right w:val="nil"/>
            </w:tcBorders>
          </w:tcPr>
          <w:p>
            <w:pPr/>
          </w:p>
        </w:tc>
        <w:tc>
          <w:tcPr>
            <w:tcW w:w="3571" w:type="dxa"/>
            <w:tcBorders>
              <w:top w:val="nil"/>
              <w:left w:val="nil"/>
            </w:tcBorders>
          </w:tcPr>
          <w:p>
            <w:pPr>
              <w:pStyle w:val="TableParagraph"/>
              <w:spacing w:line="151" w:lineRule="exact"/>
              <w:ind w:left="127"/>
              <w:jc w:val="left"/>
              <w:rPr>
                <w:sz w:val="14"/>
              </w:rPr>
            </w:pPr>
            <w:r>
              <w:rPr>
                <w:sz w:val="14"/>
              </w:rPr>
              <w:t>2010   2011   2012   2013   2014   2015   2016   2017 2018</w:t>
            </w:r>
          </w:p>
        </w:tc>
        <w:tc>
          <w:tcPr>
            <w:tcW w:w="138" w:type="dxa"/>
            <w:vMerge/>
            <w:tcBorders>
              <w:bottom w:val="nil"/>
            </w:tcBorders>
          </w:tcPr>
          <w:p>
            <w:pPr/>
          </w:p>
        </w:tc>
        <w:tc>
          <w:tcPr>
            <w:tcW w:w="440" w:type="dxa"/>
            <w:vMerge/>
            <w:tcBorders>
              <w:right w:val="nil"/>
            </w:tcBorders>
          </w:tcPr>
          <w:p>
            <w:pPr/>
          </w:p>
        </w:tc>
        <w:tc>
          <w:tcPr>
            <w:tcW w:w="428" w:type="dxa"/>
            <w:vMerge/>
            <w:tcBorders>
              <w:left w:val="nil"/>
              <w:right w:val="nil"/>
            </w:tcBorders>
          </w:tcPr>
          <w:p>
            <w:pPr/>
          </w:p>
        </w:tc>
        <w:tc>
          <w:tcPr>
            <w:tcW w:w="397" w:type="dxa"/>
            <w:vMerge/>
            <w:tcBorders>
              <w:left w:val="nil"/>
              <w:right w:val="nil"/>
            </w:tcBorders>
          </w:tcPr>
          <w:p>
            <w:pPr/>
          </w:p>
        </w:tc>
        <w:tc>
          <w:tcPr>
            <w:tcW w:w="397" w:type="dxa"/>
            <w:vMerge/>
            <w:tcBorders>
              <w:left w:val="nil"/>
              <w:right w:val="nil"/>
            </w:tcBorders>
          </w:tcPr>
          <w:p>
            <w:pPr/>
          </w:p>
        </w:tc>
        <w:tc>
          <w:tcPr>
            <w:tcW w:w="1231" w:type="dxa"/>
            <w:vMerge/>
            <w:tcBorders>
              <w:left w:val="nil"/>
              <w:right w:val="nil"/>
            </w:tcBorders>
          </w:tcPr>
          <w:p>
            <w:pPr/>
          </w:p>
        </w:tc>
        <w:tc>
          <w:tcPr>
            <w:tcW w:w="358" w:type="dxa"/>
            <w:vMerge/>
            <w:tcBorders>
              <w:left w:val="nil"/>
              <w:right w:val="nil"/>
            </w:tcBorders>
          </w:tcPr>
          <w:p>
            <w:pPr/>
          </w:p>
        </w:tc>
        <w:tc>
          <w:tcPr>
            <w:tcW w:w="397" w:type="dxa"/>
            <w:vMerge/>
            <w:tcBorders>
              <w:left w:val="nil"/>
              <w:right w:val="nil"/>
            </w:tcBorders>
          </w:tcPr>
          <w:p>
            <w:pPr/>
          </w:p>
        </w:tc>
        <w:tc>
          <w:tcPr>
            <w:tcW w:w="480" w:type="dxa"/>
            <w:vMerge/>
            <w:tcBorders>
              <w:left w:val="nil"/>
              <w:right w:val="double" w:sz="11" w:space="0" w:color="000000"/>
            </w:tcBorders>
          </w:tcPr>
          <w:p>
            <w:pPr/>
          </w:p>
        </w:tc>
      </w:tr>
      <w:tr>
        <w:trPr>
          <w:trHeight w:val="277" w:hRule="exact"/>
        </w:trPr>
        <w:tc>
          <w:tcPr>
            <w:tcW w:w="4145" w:type="dxa"/>
            <w:gridSpan w:val="3"/>
          </w:tcPr>
          <w:p>
            <w:pPr/>
          </w:p>
        </w:tc>
        <w:tc>
          <w:tcPr>
            <w:tcW w:w="4128" w:type="dxa"/>
            <w:gridSpan w:val="8"/>
          </w:tcPr>
          <w:p>
            <w:pPr/>
          </w:p>
        </w:tc>
      </w:tr>
    </w:tbl>
    <w:p>
      <w:pPr>
        <w:pStyle w:val="BodyText"/>
        <w:rPr>
          <w:sz w:val="20"/>
        </w:rPr>
      </w:pPr>
      <w:r>
        <w:rPr/>
        <w:pict>
          <v:group style="position:absolute;margin-left:109.305pt;margin-top:103.065002pt;width:179.95pt;height:137.950pt;mso-position-horizontal-relative:page;mso-position-vertical-relative:page;z-index:-457312" coordorigin="2186,2061" coordsize="3599,2759">
            <v:shape style="position:absolute;left:2194;top:2069;width:3584;height:2744" coordorigin="2194,2069" coordsize="3584,2744" path="m2234,4812l2234,2069m2194,4812l2234,4812m2194,4538l2234,4538m2194,4265l2234,4265m2194,3989l2234,3989m2194,3715l2234,3715m2194,3442l2234,3442m2194,3168l2234,3168m2194,2892l2234,2892m2194,2618l2234,2618m2194,2345l2234,2345m2194,2069l2234,2069m2234,3989l5777,3989m2234,3989l2234,4032m2628,3989l2628,4032m3022,3989l3022,4032m3415,3989l3415,4032m3809,3989l3809,4032m4202,3989l4202,4032m4596,3989l4596,4032m4990,3989l4990,4032m5383,3989l5383,4032m5777,3989l5777,4032e" filled="false" stroked="true" strokeweight=".72pt" strokecolor="#858585">
              <v:path arrowok="t"/>
            </v:shape>
            <v:shape style="position:absolute;left:2432;top:3414;width:3147;height:111" coordorigin="2432,3414" coordsize="3147,111" path="m2432,3500l2826,3524,3220,3496,3613,3448,4004,3488,4398,3464,4792,3474,5185,3426,5579,3414e" filled="false" stroked="true" strokeweight="3pt" strokecolor="#000000">
              <v:path arrowok="t"/>
            </v:shape>
            <v:shape style="position:absolute;left:2432;top:3500;width:3147;height:1179" coordorigin="2432,3500" coordsize="3147,1179" path="m2432,3500l2826,4547,3220,4595,3613,4624,4004,4578,4398,4609,4792,4614,5185,4679,5579,4669e" filled="false" stroked="true" strokeweight="3pt" strokecolor="#938953">
              <v:path arrowok="t"/>
              <v:stroke dashstyle="longDash"/>
            </v:shape>
            <v:shape style="position:absolute;left:2432;top:2968;width:3147;height:766" coordorigin="2432,2968" coordsize="3147,766" path="m2432,3500l2826,3733,3220,3714,3613,3671,4004,3704,4398,3685,4792,3712,5185,3664,5579,3647m2432,3500l2826,3121,3220,3095,3613,3004,4004,3102,4398,3061,4792,3042,5185,2972,5579,2968e" filled="false" stroked="true" strokeweight="3.48pt" strokecolor="#938953">
              <v:path arrowok="t"/>
              <v:stroke dashstyle="dash"/>
            </v:shape>
            <v:shape style="position:absolute;left:2432;top:2399;width:3147;height:1102" coordorigin="2432,2399" coordsize="3147,1102" path="m2432,3500l2826,2665,3220,2641,3613,2593,4004,2572,4398,2524,4792,2468,5185,2459,5579,2399e" filled="false" stroked="true" strokeweight="3pt" strokecolor="#938953">
              <v:path arrowok="t"/>
              <v:stroke dashstyle="longDash"/>
            </v:shape>
            <v:shape style="position:absolute;left:2429;top:3499;width:5;height:490" type="#_x0000_t75" stroked="false">
              <v:imagedata r:id="rId159" o:title=""/>
            </v:shape>
            <v:shape style="position:absolute;left:2822;top:2664;width:5;height:1884" type="#_x0000_t75" stroked="false">
              <v:imagedata r:id="rId160" o:title=""/>
            </v:shape>
            <v:shape style="position:absolute;left:3216;top:2642;width:5;height:1951" type="#_x0000_t75" stroked="false">
              <v:imagedata r:id="rId161" o:title=""/>
            </v:shape>
            <v:shape style="position:absolute;left:3610;top:2594;width:5;height:2028" type="#_x0000_t75" stroked="false">
              <v:imagedata r:id="rId162" o:title=""/>
            </v:shape>
            <v:shape style="position:absolute;left:4003;top:2570;width:5;height:2009" type="#_x0000_t75" stroked="false">
              <v:imagedata r:id="rId163" o:title=""/>
            </v:shape>
            <v:shape style="position:absolute;left:4397;top:2522;width:5;height:2086" type="#_x0000_t75" stroked="false">
              <v:imagedata r:id="rId164" o:title=""/>
            </v:shape>
            <v:shape style="position:absolute;left:4790;top:2467;width:5;height:2148" type="#_x0000_t75" stroked="false">
              <v:imagedata r:id="rId165" o:title=""/>
            </v:shape>
            <v:shape style="position:absolute;left:5184;top:2458;width:5;height:2222" type="#_x0000_t75" stroked="false">
              <v:imagedata r:id="rId166" o:title=""/>
            </v:shape>
            <v:shape style="position:absolute;left:5578;top:2400;width:5;height:2268" type="#_x0000_t75" stroked="false">
              <v:imagedata r:id="rId167" o:title=""/>
            </v:shape>
            <w10:wrap type="none"/>
          </v:group>
        </w:pict>
      </w:r>
      <w:r>
        <w:rPr/>
        <w:pict>
          <v:group style="position:absolute;margin-left:317.984985pt;margin-top:109.184998pt;width:182.35pt;height:126.9pt;mso-position-horizontal-relative:page;mso-position-vertical-relative:page;z-index:-457288" coordorigin="6360,2184" coordsize="3647,2538">
            <v:shape style="position:absolute;left:6367;top:2191;width:3632;height:2523" coordorigin="6367,2191" coordsize="3632,2523" path="m6408,4714l6408,2191m6367,4714l6408,4714m6367,4354l6408,4354m6367,3991l6408,3991m6367,3631l6408,3631m6367,3271l6408,3271m6367,2911l6408,2911m6367,2551l6408,2551m6367,2191l6408,2191m6408,3271l9998,3271m6408,3271l6408,3314m6806,3271l6806,3314m7207,3271l7207,3314m7606,3271l7606,3314m8004,3271l8004,3314m8402,3271l8402,3314m8801,3271l8801,3314m9202,3271l9202,3314m9600,3271l9600,3314m9998,3271l9998,3314e" filled="false" stroked="true" strokeweight=".72pt" strokecolor="#858585">
              <v:path arrowok="t"/>
            </v:shape>
            <v:shape style="position:absolute;left:6608;top:3164;width:3190;height:161" coordorigin="6608,3164" coordsize="3190,161" path="m6608,3164l7007,3186,7405,3191,7804,3193,8204,3253,8603,3253,9001,3294,9400,3304,9798,3325e" filled="false" stroked="true" strokeweight="3pt" strokecolor="#000000">
              <v:path arrowok="t"/>
            </v:shape>
            <v:shape style="position:absolute;left:6608;top:3164;width:3190;height:1174" coordorigin="6608,3164" coordsize="3190,1174" path="m6608,3164l7007,3956,7405,3973,7804,4069,8204,4052,8603,4136,9001,4127,9400,4314,9798,4338e" filled="false" stroked="true" strokeweight="3pt" strokecolor="#938953">
              <v:path arrowok="t"/>
              <v:stroke dashstyle="longDash"/>
            </v:shape>
            <v:shape style="position:absolute;left:6608;top:2845;width:3190;height:852" coordorigin="6608,2845" coordsize="3190,852" path="m6608,3164l7007,3455,7405,3491,7804,3445,8204,3536,8603,3556,9001,3611,9400,3623,9798,3697m6608,3164l7007,2855,7405,2845,7804,2852,8204,2927,8603,2879,9001,2953,9400,2903,9798,2929e" filled="false" stroked="true" strokeweight="3.48pt" strokecolor="#938953">
              <v:path arrowok="t"/>
              <v:stroke dashstyle="dash"/>
            </v:shape>
            <v:shape style="position:absolute;left:6608;top:2449;width:3190;height:716" coordorigin="6608,2449" coordsize="3190,716" path="m6608,3164l7007,2538,7405,2514,7804,2480,8204,2449,8603,2473,9001,2500,9400,2552,9798,2464e" filled="false" stroked="true" strokeweight="3.0pt" strokecolor="#938953">
              <v:path arrowok="t"/>
              <v:stroke dashstyle="longDash"/>
            </v:shape>
            <v:shape style="position:absolute;left:6605;top:3163;width:5;height:108" type="#_x0000_t75" stroked="false">
              <v:imagedata r:id="rId168" o:title=""/>
            </v:shape>
            <v:shape style="position:absolute;left:7003;top:2539;width:5;height:1416" type="#_x0000_t75" stroked="false">
              <v:imagedata r:id="rId169" o:title=""/>
            </v:shape>
            <v:shape style="position:absolute;left:7404;top:2515;width:5;height:1457" type="#_x0000_t75" stroked="false">
              <v:imagedata r:id="rId170" o:title=""/>
            </v:shape>
            <v:shape style="position:absolute;left:7802;top:2479;width:5;height:1589" type="#_x0000_t75" stroked="false">
              <v:imagedata r:id="rId171" o:title=""/>
            </v:shape>
            <v:shape style="position:absolute;left:8201;top:2448;width:5;height:1606" type="#_x0000_t75" stroked="false">
              <v:imagedata r:id="rId172" o:title=""/>
            </v:shape>
            <v:shape style="position:absolute;left:8599;top:2472;width:5;height:1666" type="#_x0000_t75" stroked="false">
              <v:imagedata r:id="rId173" o:title=""/>
            </v:shape>
            <v:shape style="position:absolute;left:8998;top:2501;width:5;height:1627" type="#_x0000_t75" stroked="false">
              <v:imagedata r:id="rId174" o:title=""/>
            </v:shape>
            <v:shape style="position:absolute;left:9398;top:2554;width:5;height:1759" type="#_x0000_t75" stroked="false">
              <v:imagedata r:id="rId175" o:title=""/>
            </v:shape>
            <v:shape style="position:absolute;left:9797;top:2465;width:5;height:1872" type="#_x0000_t75" stroked="false">
              <v:imagedata r:id="rId176" o:title=""/>
            </v:shape>
            <w10:wrap type="none"/>
          </v:group>
        </w:pict>
      </w:r>
      <w:r>
        <w:rPr/>
        <w:pict>
          <v:group style="position:absolute;margin-left:113.985001pt;margin-top:299.864990pt;width:173.35pt;height:142pt;mso-position-horizontal-relative:page;mso-position-vertical-relative:page;z-index:-457264" coordorigin="2280,5997" coordsize="3467,2840">
            <v:shape style="position:absolute;left:2287;top:6005;width:3452;height:2825" coordorigin="2287,6005" coordsize="3452,2825" path="m2328,8830l2328,6005m2287,8830l2328,8830m2287,8549l2328,8549m2287,8266l2328,8266m2287,7982l2328,7982m2287,7699l2328,7699m2287,7418l2328,7418m2287,7135l2328,7135m2287,6852l2328,6852m2287,6569l2328,6569m2287,6286l2328,6286m2287,6005l2328,6005m2328,7982l5738,7982m2328,7982l2328,8023m2707,7982l2707,8023m3086,7982l3086,8023m3466,7982l3466,8023m3842,7982l3842,8023m4222,7982l4222,8023m4601,7982l4601,8023m4980,7982l4980,8023m5359,7982l5359,8023m5738,7982l5738,8023e" filled="false" stroked="true" strokeweight=".72pt" strokecolor="#858585">
              <v:path arrowok="t"/>
            </v:shape>
            <v:shape style="position:absolute;left:2516;top:7273;width:3032;height:142" coordorigin="2516,7273" coordsize="3032,142" path="m2516,7393l2896,7415,3275,7379,3654,7326,4033,7364,4412,7336,4792,7340,5168,7290,5548,7273e" filled="false" stroked="true" strokeweight="3.0pt" strokecolor="#000000">
              <v:path arrowok="t"/>
            </v:shape>
            <v:shape style="position:absolute;left:2516;top:7393;width:3032;height:1193" coordorigin="2516,7393" coordsize="3032,1193" path="m2516,7393l2896,8468,3275,8495,3654,8528,4033,8490,4412,8514,4792,8526,5168,8586,5548,8552e" filled="false" stroked="true" strokeweight="3pt" strokecolor="#938953">
              <v:path arrowok="t"/>
              <v:stroke dashstyle="longDash"/>
            </v:shape>
            <v:shape style="position:absolute;left:2516;top:6815;width:3032;height:814" coordorigin="2516,6815" coordsize="3032,814" path="m2516,7393l2896,7628,3275,7600,3654,7556,4033,7576,4412,7559,4792,7590,5168,7525,5548,7501m2516,7393l2896,7000,3275,6968,3654,6875,4033,6944,4412,6928,4792,6899,5168,6822,5548,6815e" filled="false" stroked="true" strokeweight="3.48pt" strokecolor="#938953">
              <v:path arrowok="t"/>
              <v:stroke dashstyle="dash"/>
            </v:shape>
            <v:shape style="position:absolute;left:2516;top:6227;width:3032;height:1167" coordorigin="2516,6227" coordsize="3032,1167" path="m2516,7393l2896,6529,3275,6498,3654,6438,4033,6421,4412,6364,4792,6301,5168,6294,5548,6227e" filled="false" stroked="true" strokeweight="3pt" strokecolor="#938953">
              <v:path arrowok="t"/>
              <v:stroke dashstyle="longDash"/>
            </v:shape>
            <v:shape style="position:absolute;left:2515;top:7392;width:5;height:590" type="#_x0000_t75" stroked="false">
              <v:imagedata r:id="rId177" o:title=""/>
            </v:shape>
            <v:shape style="position:absolute;left:2894;top:6528;width:5;height:1942" type="#_x0000_t75" stroked="false">
              <v:imagedata r:id="rId178" o:title=""/>
            </v:shape>
            <v:shape style="position:absolute;left:3274;top:6499;width:5;height:1997" type="#_x0000_t75" stroked="false">
              <v:imagedata r:id="rId179" o:title=""/>
            </v:shape>
            <v:shape style="position:absolute;left:3650;top:6437;width:5;height:2093" type="#_x0000_t75" stroked="false">
              <v:imagedata r:id="rId180" o:title=""/>
            </v:shape>
            <v:shape style="position:absolute;left:4030;top:6420;width:5;height:2069" type="#_x0000_t75" stroked="false">
              <v:imagedata r:id="rId181" o:title=""/>
            </v:shape>
            <v:shape style="position:absolute;left:4409;top:6365;width:5;height:2148" type="#_x0000_t75" stroked="false">
              <v:imagedata r:id="rId182" o:title=""/>
            </v:shape>
            <v:shape style="position:absolute;left:4788;top:6302;width:5;height:2225" type="#_x0000_t75" stroked="false">
              <v:imagedata r:id="rId183" o:title=""/>
            </v:shape>
            <v:shape style="position:absolute;left:5167;top:6295;width:5;height:2290" type="#_x0000_t75" stroked="false">
              <v:imagedata r:id="rId184" o:title=""/>
            </v:shape>
            <v:shape style="position:absolute;left:5546;top:6228;width:5;height:2326" type="#_x0000_t75" stroked="false">
              <v:imagedata r:id="rId185" o:title=""/>
            </v:shape>
            <w10:wrap type="none"/>
          </v:group>
        </w:pict>
      </w:r>
      <w:r>
        <w:rPr/>
        <w:pict>
          <v:group style="position:absolute;margin-left:320.024994pt;margin-top:300.704987pt;width:180.65pt;height:138.15pt;mso-position-horizontal-relative:page;mso-position-vertical-relative:page;z-index:-457240" coordorigin="6400,6014" coordsize="3613,2763">
            <v:shape style="position:absolute;left:6408;top:6022;width:3598;height:2748" coordorigin="6408,6022" coordsize="3598,2748" path="m6449,8770l6449,6022m6408,8770l6449,8770m6408,8520l6449,8520m6408,8270l6449,8270m6408,8021l6449,8021m6408,7771l6449,7771m6408,7522l6449,7522m6408,7270l6449,7270m6408,7020l6449,7020m6408,6770l6449,6770m6408,6521l6449,6521m6408,6271l6449,6271m6408,6022l6449,6022m6449,7771l10006,7771m6449,7771l6449,7812m6845,7771l6845,7812m7241,7771l7241,7812m7634,7771l7634,7812m8030,7771l8030,7812m8426,7771l8426,7812m8820,7771l8820,7812m9216,7771l9216,7812m9612,7771l9612,7812m10006,7771l10006,7812e" filled="false" stroked="true" strokeweight=".72pt" strokecolor="#858585">
              <v:path arrowok="t"/>
            </v:shape>
            <v:shape style="position:absolute;left:6647;top:7288;width:3164;height:96" coordorigin="6647,7288" coordsize="3164,96" path="m6647,7360l7043,7384,7439,7357,7832,7316,8228,7352,8624,7333,9018,7340,9414,7300,9810,7288e" filled="false" stroked="true" strokeweight="3pt" strokecolor="#000000">
              <v:path arrowok="t"/>
            </v:shape>
            <v:shape style="position:absolute;left:6647;top:7360;width:3164;height:1083" coordorigin="6647,7360" coordsize="3164,1083" path="m6647,7360l7043,8315,7439,8360,7832,8384,8228,8348,8624,8370,9018,8377,9414,8442,9810,8442e" filled="false" stroked="true" strokeweight="3pt" strokecolor="#938953">
              <v:path arrowok="t"/>
              <v:stroke dashstyle="longDash"/>
            </v:shape>
            <v:shape style="position:absolute;left:6647;top:6877;width:3164;height:696" coordorigin="6647,6877" coordsize="3164,696" path="m6647,7360l7043,7571,7439,7556,7832,7516,8228,7561,8624,7542,9018,7573,9414,7516,9810,7511m6647,7360l7043,7014,7439,6990,7832,6908,8228,6997,8624,6961,9018,6942,9414,6880,9810,6877e" filled="false" stroked="true" strokeweight="3.48pt" strokecolor="#938953">
              <v:path arrowok="t"/>
              <v:stroke dashstyle="dash"/>
            </v:shape>
            <v:shape style="position:absolute;left:6647;top:6356;width:3164;height:1004" coordorigin="6647,6356" coordsize="3164,1004" path="m6647,7360l7043,6599,7439,6577,7832,6536,8228,6512,8624,6474,9018,6433,9414,6412,9810,6356e" filled="false" stroked="true" strokeweight="3pt" strokecolor="#938953">
              <v:path arrowok="t"/>
              <v:stroke dashstyle="longDash"/>
            </v:shape>
            <v:shape style="position:absolute;left:6646;top:7358;width:5;height:413" type="#_x0000_t75" stroked="false">
              <v:imagedata r:id="rId186" o:title=""/>
            </v:shape>
            <v:shape style="position:absolute;left:7039;top:6598;width:5;height:1716" type="#_x0000_t75" stroked="false">
              <v:imagedata r:id="rId187" o:title=""/>
            </v:shape>
            <v:shape style="position:absolute;left:7435;top:6578;width:5;height:1781" type="#_x0000_t75" stroked="false">
              <v:imagedata r:id="rId188" o:title=""/>
            </v:shape>
            <v:shape style="position:absolute;left:7831;top:6538;width:5;height:1846" type="#_x0000_t75" stroked="false">
              <v:imagedata r:id="rId189" o:title=""/>
            </v:shape>
            <v:shape style="position:absolute;left:8225;top:6514;width:5;height:1836" type="#_x0000_t75" stroked="false">
              <v:imagedata r:id="rId190" o:title=""/>
            </v:shape>
            <v:shape style="position:absolute;left:8621;top:6473;width:5;height:1898" type="#_x0000_t75" stroked="false">
              <v:imagedata r:id="rId191" o:title=""/>
            </v:shape>
            <v:shape style="position:absolute;left:9017;top:6432;width:5;height:1944" type="#_x0000_t75" stroked="false">
              <v:imagedata r:id="rId192" o:title=""/>
            </v:shape>
            <v:shape style="position:absolute;left:9410;top:6410;width:5;height:2030" type="#_x0000_t75" stroked="false">
              <v:imagedata r:id="rId193" o:title=""/>
            </v:shape>
            <v:shape style="position:absolute;left:9806;top:6358;width:5;height:2083" type="#_x0000_t75" stroked="false">
              <v:imagedata r:id="rId194" o:title=""/>
            </v:shape>
            <w10:wrap type="none"/>
          </v:group>
        </w:pict>
      </w:r>
    </w:p>
    <w:p>
      <w:pPr>
        <w:pStyle w:val="BodyText"/>
        <w:spacing w:before="8"/>
        <w:rPr>
          <w:sz w:val="14"/>
        </w:rPr>
      </w:pPr>
      <w:r>
        <w:rPr/>
        <w:pict>
          <v:line style="position:absolute;mso-position-horizontal-relative:page;mso-position-vertical-relative:paragraph;z-index:6448;mso-wrap-distance-left:0;mso-wrap-distance-right:0" from="85.139999pt,11.450976pt" to="526.789999pt,11.450976pt" stroked="true" strokeweight="2.04pt" strokecolor="#000000">
            <w10:wrap type="topAndBottom"/>
          </v:line>
        </w:pict>
      </w:r>
    </w:p>
    <w:p>
      <w:pPr>
        <w:spacing w:line="174" w:lineRule="exact" w:before="0"/>
        <w:ind w:left="122" w:right="504" w:firstLine="0"/>
        <w:jc w:val="left"/>
        <w:rPr>
          <w:sz w:val="20"/>
        </w:rPr>
      </w:pPr>
      <w:r>
        <w:rPr>
          <w:b/>
          <w:sz w:val="20"/>
        </w:rPr>
        <w:t>Figure 1.  </w:t>
      </w:r>
      <w:r>
        <w:rPr>
          <w:sz w:val="20"/>
        </w:rPr>
        <w:t>Net incomes in cash (thousand US$).</w:t>
      </w:r>
    </w:p>
    <w:p>
      <w:pPr>
        <w:spacing w:after="0" w:line="174" w:lineRule="exact"/>
        <w:jc w:val="left"/>
        <w:rPr>
          <w:sz w:val="20"/>
        </w:rPr>
        <w:sectPr>
          <w:pgSz w:w="12240" w:h="15840"/>
          <w:pgMar w:header="0" w:footer="657" w:top="1420" w:bottom="840" w:left="1580" w:right="1580"/>
        </w:sectPr>
      </w:pPr>
    </w:p>
    <w:p>
      <w:pPr>
        <w:pStyle w:val="Heading1"/>
        <w:spacing w:before="15"/>
        <w:ind w:left="7" w:right="26"/>
        <w:jc w:val="center"/>
        <w:rPr>
          <w:sz w:val="50"/>
        </w:rPr>
      </w:pPr>
      <w:r>
        <w:rPr/>
        <w:t>CAPÍTULO </w:t>
      </w:r>
      <w:r>
        <w:rPr>
          <w:sz w:val="50"/>
        </w:rPr>
        <w:t>6</w:t>
      </w:r>
    </w:p>
    <w:p>
      <w:pPr>
        <w:spacing w:before="200"/>
        <w:ind w:left="8" w:right="26" w:firstLine="0"/>
        <w:jc w:val="center"/>
        <w:rPr>
          <w:b/>
          <w:sz w:val="24"/>
        </w:rPr>
      </w:pPr>
      <w:r>
        <w:rPr>
          <w:b/>
          <w:sz w:val="24"/>
        </w:rPr>
        <w:t>OTROS RESULTADOS</w:t>
      </w:r>
    </w:p>
    <w:p>
      <w:pPr>
        <w:pStyle w:val="BodyText"/>
        <w:rPr>
          <w:b/>
        </w:rPr>
      </w:pPr>
    </w:p>
    <w:p>
      <w:pPr>
        <w:pStyle w:val="BodyText"/>
        <w:rPr>
          <w:b/>
        </w:rPr>
      </w:pPr>
    </w:p>
    <w:p>
      <w:pPr>
        <w:pStyle w:val="ListParagraph"/>
        <w:numPr>
          <w:ilvl w:val="1"/>
          <w:numId w:val="26"/>
        </w:numPr>
        <w:tabs>
          <w:tab w:pos="462" w:val="left" w:leader="none"/>
        </w:tabs>
        <w:spacing w:line="240" w:lineRule="auto" w:before="0" w:after="0"/>
        <w:ind w:left="462" w:right="0" w:hanging="360"/>
        <w:jc w:val="both"/>
        <w:rPr>
          <w:b/>
          <w:sz w:val="24"/>
        </w:rPr>
      </w:pPr>
      <w:r>
        <w:rPr>
          <w:b/>
          <w:sz w:val="24"/>
        </w:rPr>
        <w:t>Análisis de la cadena agroalimentaria productora de leche de pequeña</w:t>
      </w:r>
      <w:r>
        <w:rPr>
          <w:b/>
          <w:spacing w:val="-18"/>
          <w:sz w:val="24"/>
        </w:rPr>
        <w:t> </w:t>
      </w:r>
      <w:r>
        <w:rPr>
          <w:b/>
          <w:sz w:val="24"/>
        </w:rPr>
        <w:t>escala</w:t>
      </w:r>
    </w:p>
    <w:p>
      <w:pPr>
        <w:pStyle w:val="BodyText"/>
        <w:rPr>
          <w:b/>
        </w:rPr>
      </w:pPr>
    </w:p>
    <w:p>
      <w:pPr>
        <w:pStyle w:val="BodyText"/>
        <w:spacing w:before="6"/>
        <w:rPr>
          <w:b/>
          <w:sz w:val="23"/>
        </w:rPr>
      </w:pPr>
    </w:p>
    <w:p>
      <w:pPr>
        <w:pStyle w:val="BodyText"/>
        <w:spacing w:line="360" w:lineRule="auto"/>
        <w:ind w:left="102" w:right="116"/>
        <w:jc w:val="both"/>
      </w:pPr>
      <w:r>
        <w:rPr/>
        <w:t>El</w:t>
      </w:r>
      <w:r>
        <w:rPr>
          <w:spacing w:val="-12"/>
        </w:rPr>
        <w:t> </w:t>
      </w:r>
      <w:r>
        <w:rPr/>
        <w:t>estudio</w:t>
      </w:r>
      <w:r>
        <w:rPr>
          <w:spacing w:val="-12"/>
        </w:rPr>
        <w:t> </w:t>
      </w:r>
      <w:r>
        <w:rPr/>
        <w:t>de</w:t>
      </w:r>
      <w:r>
        <w:rPr>
          <w:spacing w:val="-13"/>
        </w:rPr>
        <w:t> </w:t>
      </w:r>
      <w:r>
        <w:rPr/>
        <w:t>la</w:t>
      </w:r>
      <w:r>
        <w:rPr>
          <w:spacing w:val="-13"/>
        </w:rPr>
        <w:t> </w:t>
      </w:r>
      <w:r>
        <w:rPr/>
        <w:t>cadena</w:t>
      </w:r>
      <w:r>
        <w:rPr>
          <w:spacing w:val="-13"/>
        </w:rPr>
        <w:t> </w:t>
      </w:r>
      <w:r>
        <w:rPr/>
        <w:t>agroalimentaria</w:t>
      </w:r>
      <w:r>
        <w:rPr>
          <w:spacing w:val="-10"/>
        </w:rPr>
        <w:t> </w:t>
      </w:r>
      <w:r>
        <w:rPr/>
        <w:t>productora</w:t>
      </w:r>
      <w:r>
        <w:rPr>
          <w:spacing w:val="-11"/>
        </w:rPr>
        <w:t> </w:t>
      </w:r>
      <w:r>
        <w:rPr/>
        <w:t>de</w:t>
      </w:r>
      <w:r>
        <w:rPr>
          <w:spacing w:val="-13"/>
        </w:rPr>
        <w:t> </w:t>
      </w:r>
      <w:r>
        <w:rPr/>
        <w:t>leche</w:t>
      </w:r>
      <w:r>
        <w:rPr>
          <w:spacing w:val="-13"/>
        </w:rPr>
        <w:t> </w:t>
      </w:r>
      <w:r>
        <w:rPr/>
        <w:t>de</w:t>
      </w:r>
      <w:r>
        <w:rPr>
          <w:spacing w:val="-13"/>
        </w:rPr>
        <w:t> </w:t>
      </w:r>
      <w:r>
        <w:rPr/>
        <w:t>pequeña</w:t>
      </w:r>
      <w:r>
        <w:rPr>
          <w:spacing w:val="-11"/>
        </w:rPr>
        <w:t> </w:t>
      </w:r>
      <w:r>
        <w:rPr/>
        <w:t>escala</w:t>
      </w:r>
      <w:r>
        <w:rPr>
          <w:spacing w:val="-11"/>
        </w:rPr>
        <w:t> </w:t>
      </w:r>
      <w:r>
        <w:rPr/>
        <w:t>se</w:t>
      </w:r>
      <w:r>
        <w:rPr>
          <w:spacing w:val="-11"/>
        </w:rPr>
        <w:t> </w:t>
      </w:r>
      <w:r>
        <w:rPr/>
        <w:t>llevó</w:t>
      </w:r>
      <w:r>
        <w:rPr>
          <w:spacing w:val="-12"/>
        </w:rPr>
        <w:t> </w:t>
      </w:r>
      <w:r>
        <w:rPr/>
        <w:t>a</w:t>
      </w:r>
      <w:r>
        <w:rPr>
          <w:spacing w:val="-11"/>
        </w:rPr>
        <w:t> </w:t>
      </w:r>
      <w:r>
        <w:rPr/>
        <w:t>cabo en el periodo 2010-2013, en siete comunidades; San Miguel Coatlinchan, Sta. Cruz, Cuahutlalpan, Tocuila, Huexotla, Palmillas y La Trinidad, ubicadas en el DDRT, situado al noreste del Estado de México y el noreste de la ciudad de</w:t>
      </w:r>
      <w:r>
        <w:rPr>
          <w:spacing w:val="-11"/>
        </w:rPr>
        <w:t> </w:t>
      </w:r>
      <w:r>
        <w:rPr/>
        <w:t>México.</w:t>
      </w:r>
    </w:p>
    <w:p>
      <w:pPr>
        <w:pStyle w:val="BodyText"/>
      </w:pPr>
    </w:p>
    <w:p>
      <w:pPr>
        <w:pStyle w:val="BodyText"/>
        <w:spacing w:line="360" w:lineRule="auto" w:before="143"/>
        <w:ind w:left="102" w:right="117"/>
        <w:jc w:val="both"/>
      </w:pPr>
      <w:r>
        <w:rPr/>
        <w:t>Los eslabones estudiados fueron: producción de insumos, sistemas de producción</w:t>
      </w:r>
      <w:r>
        <w:rPr>
          <w:spacing w:val="-39"/>
        </w:rPr>
        <w:t> </w:t>
      </w:r>
      <w:r>
        <w:rPr/>
        <w:t>primarios, acopio, procesamiento y distribución. El trabajo de campo, se diseñó de acuerdo al eslabón estudiado, para la producción de insumos y leche se aplicó un muestreo estratificado mediante asignación de Neyman a 37 productores, la cédula de entrevista comprendió para la producción de insumos, superficie sembrada, rendimiento, costo de producción y manejo técnico. Para la producción de leche se consideró información de productividad, infraestructura,</w:t>
      </w:r>
      <w:r>
        <w:rPr>
          <w:spacing w:val="-9"/>
        </w:rPr>
        <w:t> </w:t>
      </w:r>
      <w:r>
        <w:rPr/>
        <w:t>manejo</w:t>
      </w:r>
      <w:r>
        <w:rPr>
          <w:spacing w:val="-11"/>
        </w:rPr>
        <w:t> </w:t>
      </w:r>
      <w:r>
        <w:rPr/>
        <w:t>técnico,</w:t>
      </w:r>
      <w:r>
        <w:rPr>
          <w:spacing w:val="-11"/>
        </w:rPr>
        <w:t> </w:t>
      </w:r>
      <w:r>
        <w:rPr/>
        <w:t>comercialización,</w:t>
      </w:r>
      <w:r>
        <w:rPr>
          <w:spacing w:val="-11"/>
        </w:rPr>
        <w:t> </w:t>
      </w:r>
      <w:r>
        <w:rPr/>
        <w:t>los</w:t>
      </w:r>
      <w:r>
        <w:rPr>
          <w:spacing w:val="-11"/>
        </w:rPr>
        <w:t> </w:t>
      </w:r>
      <w:r>
        <w:rPr/>
        <w:t>gastos</w:t>
      </w:r>
      <w:r>
        <w:rPr>
          <w:spacing w:val="-10"/>
        </w:rPr>
        <w:t> </w:t>
      </w:r>
      <w:r>
        <w:rPr/>
        <w:t>derivados</w:t>
      </w:r>
      <w:r>
        <w:rPr>
          <w:spacing w:val="-11"/>
        </w:rPr>
        <w:t> </w:t>
      </w:r>
      <w:r>
        <w:rPr/>
        <w:t>para</w:t>
      </w:r>
      <w:r>
        <w:rPr>
          <w:spacing w:val="-11"/>
        </w:rPr>
        <w:t> </w:t>
      </w:r>
      <w:r>
        <w:rPr/>
        <w:t>la</w:t>
      </w:r>
      <w:r>
        <w:rPr>
          <w:spacing w:val="-12"/>
        </w:rPr>
        <w:t> </w:t>
      </w:r>
      <w:r>
        <w:rPr/>
        <w:t>producción</w:t>
      </w:r>
      <w:r>
        <w:rPr>
          <w:spacing w:val="-11"/>
        </w:rPr>
        <w:t> </w:t>
      </w:r>
      <w:r>
        <w:rPr/>
        <w:t>de leche y los ingresos por su</w:t>
      </w:r>
      <w:r>
        <w:rPr>
          <w:spacing w:val="-6"/>
        </w:rPr>
        <w:t> </w:t>
      </w:r>
      <w:r>
        <w:rPr/>
        <w:t>venta.</w:t>
      </w:r>
    </w:p>
    <w:p>
      <w:pPr>
        <w:pStyle w:val="BodyText"/>
      </w:pPr>
    </w:p>
    <w:p>
      <w:pPr>
        <w:pStyle w:val="BodyText"/>
        <w:spacing w:line="360" w:lineRule="auto" w:before="143"/>
        <w:ind w:left="102" w:right="115"/>
        <w:jc w:val="both"/>
      </w:pPr>
      <w:r>
        <w:rPr/>
        <w:t>Para el análisis del eslabón de trasformación, se entrevistaron a seis queserías del municipio de Texcoco seleccionadas por intención (Cochran, 1984). Se obtuvieron datos de; volumen de producción recolectado, manejo técnico, costos de producción, comercialización, precio de venta del producto y tipo de queso elaborado.</w:t>
      </w:r>
    </w:p>
    <w:p>
      <w:pPr>
        <w:pStyle w:val="BodyText"/>
      </w:pPr>
    </w:p>
    <w:p>
      <w:pPr>
        <w:pStyle w:val="BodyText"/>
        <w:spacing w:line="360" w:lineRule="auto" w:before="141"/>
        <w:ind w:left="102" w:right="116"/>
        <w:jc w:val="both"/>
      </w:pPr>
      <w:r>
        <w:rPr/>
        <w:t>Para la caracterización del eslabón de distribución se aplicó una encuesta a 10</w:t>
      </w:r>
      <w:r>
        <w:rPr>
          <w:spacing w:val="-31"/>
        </w:rPr>
        <w:t> </w:t>
      </w:r>
      <w:r>
        <w:rPr/>
        <w:t>distribuidores en mercados, tianguis y cremerías del municipio de Nezahualcóyotl, principal destino de venta de las queserías analizadas y 15 distribuidores en mercados</w:t>
      </w:r>
      <w:r>
        <w:rPr>
          <w:spacing w:val="-11"/>
        </w:rPr>
        <w:t> </w:t>
      </w:r>
      <w:r>
        <w:rPr/>
        <w:t>regionales.</w:t>
      </w:r>
    </w:p>
    <w:p>
      <w:pPr>
        <w:spacing w:after="0" w:line="360" w:lineRule="auto"/>
        <w:jc w:val="both"/>
        <w:sectPr>
          <w:pgSz w:w="12240" w:h="15840"/>
          <w:pgMar w:header="0" w:footer="657" w:top="1400" w:bottom="840" w:left="1600" w:right="1580"/>
        </w:sectPr>
      </w:pPr>
    </w:p>
    <w:p>
      <w:pPr>
        <w:pStyle w:val="Heading1"/>
        <w:numPr>
          <w:ilvl w:val="1"/>
          <w:numId w:val="26"/>
        </w:numPr>
        <w:tabs>
          <w:tab w:pos="522" w:val="left" w:leader="none"/>
        </w:tabs>
        <w:spacing w:line="240" w:lineRule="auto" w:before="55" w:after="0"/>
        <w:ind w:left="522" w:right="0" w:hanging="360"/>
        <w:jc w:val="both"/>
      </w:pPr>
      <w:r>
        <w:rPr/>
        <w:t>Estructura de la cadena</w:t>
      </w:r>
      <w:r>
        <w:rPr>
          <w:spacing w:val="-13"/>
        </w:rPr>
        <w:t> </w:t>
      </w:r>
      <w:r>
        <w:rPr/>
        <w:t>agroalimentaria</w:t>
      </w:r>
    </w:p>
    <w:p>
      <w:pPr>
        <w:pStyle w:val="BodyText"/>
        <w:rPr>
          <w:b/>
        </w:rPr>
      </w:pPr>
    </w:p>
    <w:p>
      <w:pPr>
        <w:pStyle w:val="BodyText"/>
        <w:spacing w:before="7"/>
        <w:rPr>
          <w:b/>
          <w:sz w:val="23"/>
        </w:rPr>
      </w:pPr>
    </w:p>
    <w:p>
      <w:pPr>
        <w:pStyle w:val="BodyText"/>
        <w:spacing w:line="360" w:lineRule="auto"/>
        <w:ind w:left="162" w:right="118"/>
        <w:jc w:val="both"/>
      </w:pPr>
      <w:r>
        <w:rPr/>
        <w:pict>
          <v:group style="position:absolute;margin-left:320.505005pt;margin-top:129.368103pt;width:201.55pt;height:257.45pt;mso-position-horizontal-relative:page;mso-position-vertical-relative:paragraph;z-index:-456616" coordorigin="6410,2587" coordsize="4031,5149">
            <v:shape style="position:absolute;left:7073;top:2595;width:2175;height:1349" coordorigin="7073,2595" coordsize="2175,1349" path="m7073,3944l8114,3944,8114,3068,7073,3068,7073,3944xm8196,2972l9247,2972,9247,2595,8196,2595,8196,2972xe" filled="false" stroked="true" strokeweight=".72pt" strokecolor="#000000">
              <v:path arrowok="t"/>
            </v:shape>
            <v:shape style="position:absolute;left:7601;top:2748;width:536;height:120" coordorigin="7601,2748" coordsize="536,120" path="m8017,2748l8017,2868,8117,2818,8037,2818,8037,2798,8117,2798,8017,2748xm8017,2798l7601,2798,7601,2818,8017,2818,8017,2798xm8117,2798l8037,2798,8037,2818,8117,2818,8137,2808,8117,2798xe" filled="true" fillcolor="#000000" stroked="false">
              <v:path arrowok="t"/>
              <v:fill type="solid"/>
            </v:shape>
            <v:shape style="position:absolute;left:9247;top:2808;width:1186;height:4696" coordorigin="9247,2808" coordsize="1186,4696" path="m9247,2808l10431,2809m10433,2808l10433,7504e" filled="false" stroked="true" strokeweight=".72pt" strokecolor="#000000">
              <v:path arrowok="t"/>
            </v:shape>
            <v:rect style="position:absolute;left:9012;top:4673;width:1051;height:622" filled="false" stroked="true" strokeweight=".72pt" strokecolor="#000000"/>
            <v:shape style="position:absolute;left:10106;top:4858;width:325;height:120" type="#_x0000_t75" stroked="false">
              <v:imagedata r:id="rId195" o:title=""/>
            </v:shape>
            <v:rect style="position:absolute;left:9012;top:5477;width:1051;height:622" filled="false" stroked="true" strokeweight=".72pt" strokecolor="#000000"/>
            <v:shape style="position:absolute;left:10106;top:5713;width:325;height:120" type="#_x0000_t75" stroked="false">
              <v:imagedata r:id="rId195" o:title=""/>
            </v:shape>
            <v:rect style="position:absolute;left:9010;top:6281;width:1054;height:595" filled="false" stroked="true" strokeweight=".72pt" strokecolor="#000000"/>
            <v:shape style="position:absolute;left:10106;top:6462;width:325;height:120" type="#_x0000_t75" stroked="false">
              <v:imagedata r:id="rId195" o:title=""/>
            </v:shape>
            <v:shape style="position:absolute;left:10106;top:7443;width:325;height:120" type="#_x0000_t75" stroked="false">
              <v:imagedata r:id="rId195" o:title=""/>
            </v:shape>
            <v:shape style="position:absolute;left:8424;top:3108;width:1952;height:1272" coordorigin="8424,3108" coordsize="1952,1272" path="m9115,3684l10375,3684,10375,3108,9115,3108,9115,3684xm8424,4380l9475,4380,9475,4006,8424,4006,8424,4380xe" filled="false" stroked="true" strokeweight=".72pt" strokecolor="#000000">
              <v:path arrowok="t"/>
            </v:shape>
            <v:line style="position:absolute" from="8880,4014" to="8880,3447" stroked="true" strokeweight=".72pt" strokecolor="#000000"/>
            <v:shape style="position:absolute;left:8880;top:3382;width:213;height:120" type="#_x0000_t75" stroked="false">
              <v:imagedata r:id="rId196" o:title=""/>
            </v:shape>
            <v:shape style="position:absolute;left:8304;top:4973;width:708;height:2341" coordorigin="8304,4973" coordsize="708,2341" path="m9011,4973l8306,4973m8304,4973l8304,7314e" filled="false" stroked="true" strokeweight=".72pt" strokecolor="#000000">
              <v:path arrowok="t"/>
            </v:shape>
            <v:shape style="position:absolute;left:7903;top:7253;width:412;height:120" coordorigin="7903,7253" coordsize="412,120" path="m8023,7253l7903,7313,8023,7373,8023,7323,8003,7323,8003,7303,8023,7303,8023,7253xm8023,7303l8003,7303,8003,7323,8023,7323,8023,7303xm8315,7303l8023,7303,8023,7323,8315,7323,8315,7303xe" filled="true" fillcolor="#000000" stroked="false">
              <v:path arrowok="t"/>
              <v:fill type="solid"/>
            </v:shape>
            <v:shape style="position:absolute;left:8453;top:5801;width:558;height:1605" coordorigin="8453,5801" coordsize="558,1605" path="m9011,5801l8453,5801m8453,5804l8453,7406e" filled="false" stroked="true" strokeweight=".72pt" strokecolor="#000000">
              <v:path arrowok="t"/>
            </v:shape>
            <v:shape style="position:absolute;left:7841;top:7354;width:613;height:120" coordorigin="7841,7354" coordsize="613,120" path="m7961,7354l7841,7414,7961,7474,7961,7424,7941,7424,7941,7404,7961,7404,7961,7354xm7961,7404l7941,7404,7941,7424,7961,7424,7961,7404xm8454,7404l7961,7404,7961,7424,8454,7424,8454,7404xe" filled="true" fillcolor="#000000" stroked="false">
              <v:path arrowok="t"/>
              <v:fill type="solid"/>
            </v:shape>
            <v:shape style="position:absolute;left:8568;top:6567;width:432;height:967" coordorigin="8568,6567" coordsize="432,967" path="m9000,6567l8568,6567m8580,6569l8580,7533e" filled="false" stroked="true" strokeweight=".72pt" strokecolor="#000000">
              <v:path arrowok="t"/>
            </v:shape>
            <v:shape style="position:absolute;left:7591;top:4179;width:1421;height:3526" coordorigin="7591,4179" coordsize="1421,3526" path="m8127,4239l8107,4229,8007,4179,8007,4229,7591,4229,7591,4249,8007,4249,8007,4299,8107,4249,8127,4239m8583,7522l7980,7522,7980,7472,7860,7532,7980,7592,7980,7542,8583,7542,8583,7522m9012,7634l7961,7634,7961,7584,7841,7644,7961,7704,7961,7654,9012,7654,9012,7634e" filled="true" fillcolor="#000000" stroked="false">
              <v:path arrowok="t"/>
              <v:fill type="solid"/>
            </v:shape>
            <v:shape style="position:absolute;left:7591;top:2808;width:10;height:1444" coordorigin="7591,2808" coordsize="10,1444" path="m7601,2808l7601,3067m7591,4252l7591,3932e" filled="false" stroked="true" strokeweight=".72pt" strokecolor="#000000">
              <v:path arrowok="t"/>
            </v:shape>
            <v:shape style="position:absolute;left:8424;top:4006;width:1052;height:375" type="#_x0000_t202" filled="false" stroked="false">
              <v:textbox inset="0,0,0,0">
                <w:txbxContent>
                  <w:p>
                    <w:pPr>
                      <w:spacing w:before="75"/>
                      <w:ind w:left="186" w:right="135" w:firstLine="0"/>
                      <w:jc w:val="left"/>
                      <w:rPr>
                        <w:sz w:val="18"/>
                      </w:rPr>
                    </w:pPr>
                    <w:r>
                      <w:rPr>
                        <w:sz w:val="18"/>
                      </w:rPr>
                      <w:t>Menudeo</w:t>
                    </w:r>
                  </w:p>
                </w:txbxContent>
              </v:textbox>
              <w10:wrap type="none"/>
            </v:shape>
            <v:shape style="position:absolute;left:9012;top:4673;width:1052;height:622" type="#_x0000_t202" filled="false" stroked="false">
              <v:textbox inset="0,0,0,0">
                <w:txbxContent>
                  <w:p>
                    <w:pPr>
                      <w:spacing w:line="276" w:lineRule="auto" w:before="75"/>
                      <w:ind w:left="157" w:right="135" w:firstLine="14"/>
                      <w:jc w:val="left"/>
                      <w:rPr>
                        <w:sz w:val="18"/>
                      </w:rPr>
                    </w:pPr>
                    <w:r>
                      <w:rPr>
                        <w:sz w:val="18"/>
                      </w:rPr>
                      <w:t>Mercados regionales</w:t>
                    </w:r>
                  </w:p>
                </w:txbxContent>
              </v:textbox>
              <w10:wrap type="none"/>
            </v:shape>
            <v:shape style="position:absolute;left:9012;top:5477;width:1052;height:622" type="#_x0000_t202" filled="false" stroked="false">
              <v:textbox inset="0,0,0,0">
                <w:txbxContent>
                  <w:p>
                    <w:pPr>
                      <w:spacing w:line="276" w:lineRule="auto" w:before="75"/>
                      <w:ind w:left="222" w:right="151" w:hanging="51"/>
                      <w:jc w:val="left"/>
                      <w:rPr>
                        <w:sz w:val="18"/>
                      </w:rPr>
                    </w:pPr>
                    <w:r>
                      <w:rPr>
                        <w:sz w:val="18"/>
                      </w:rPr>
                      <w:t>Mercados estatales</w:t>
                    </w:r>
                  </w:p>
                </w:txbxContent>
              </v:textbox>
              <w10:wrap type="none"/>
            </v:shape>
            <v:shape style="position:absolute;left:8196;top:2595;width:1052;height:377" type="#_x0000_t202" filled="false" stroked="false">
              <v:textbox inset="0,0,0,0">
                <w:txbxContent>
                  <w:p>
                    <w:pPr>
                      <w:spacing w:before="75"/>
                      <w:ind w:left="202" w:right="135" w:firstLine="0"/>
                      <w:jc w:val="left"/>
                      <w:rPr>
                        <w:sz w:val="18"/>
                      </w:rPr>
                    </w:pPr>
                    <w:r>
                      <w:rPr>
                        <w:sz w:val="18"/>
                      </w:rPr>
                      <w:t>Mayoreo</w:t>
                    </w:r>
                  </w:p>
                </w:txbxContent>
              </v:textbox>
              <w10:wrap type="none"/>
            </v:shape>
            <v:shape style="position:absolute;left:7073;top:3068;width:1042;height:876" type="#_x0000_t202" filled="false" stroked="false">
              <v:textbox inset="0,0,0,0">
                <w:txbxContent>
                  <w:p>
                    <w:pPr>
                      <w:spacing w:line="276" w:lineRule="auto" w:before="77"/>
                      <w:ind w:left="176" w:right="147" w:hanging="24"/>
                      <w:jc w:val="both"/>
                      <w:rPr>
                        <w:sz w:val="18"/>
                      </w:rPr>
                    </w:pPr>
                    <w:r>
                      <w:rPr>
                        <w:sz w:val="18"/>
                      </w:rPr>
                      <w:t>Derivados lácteos se venden a</w:t>
                    </w:r>
                  </w:p>
                </w:txbxContent>
              </v:textbox>
              <w10:wrap type="none"/>
            </v:shape>
            <v:shape style="position:absolute;left:9010;top:6281;width:1054;height:596" type="#_x0000_t202" filled="false" stroked="false">
              <v:textbox inset="0,0,0,0">
                <w:txbxContent>
                  <w:p>
                    <w:pPr>
                      <w:spacing w:line="276" w:lineRule="auto" w:before="75"/>
                      <w:ind w:left="157" w:right="135" w:firstLine="2"/>
                      <w:jc w:val="left"/>
                      <w:rPr>
                        <w:sz w:val="18"/>
                      </w:rPr>
                    </w:pPr>
                    <w:r>
                      <w:rPr>
                        <w:sz w:val="18"/>
                      </w:rPr>
                      <w:t>Cremerías regionales</w:t>
                    </w:r>
                  </w:p>
                </w:txbxContent>
              </v:textbox>
              <w10:wrap type="none"/>
            </v:shape>
            <v:shape style="position:absolute;left:9302;top:3207;width:892;height:418" type="#_x0000_t202" filled="false" stroked="false">
              <v:textbox inset="0,0,0,0">
                <w:txbxContent>
                  <w:p>
                    <w:pPr>
                      <w:spacing w:line="184" w:lineRule="exact" w:before="0"/>
                      <w:ind w:left="-1" w:right="0" w:firstLine="0"/>
                      <w:jc w:val="center"/>
                      <w:rPr>
                        <w:sz w:val="18"/>
                      </w:rPr>
                    </w:pPr>
                    <w:r>
                      <w:rPr>
                        <w:sz w:val="18"/>
                      </w:rPr>
                      <w:t>Consumidor</w:t>
                    </w:r>
                  </w:p>
                  <w:p>
                    <w:pPr>
                      <w:spacing w:line="203" w:lineRule="exact" w:before="30"/>
                      <w:ind w:left="0" w:right="0" w:firstLine="0"/>
                      <w:jc w:val="center"/>
                      <w:rPr>
                        <w:sz w:val="18"/>
                      </w:rPr>
                    </w:pPr>
                    <w:r>
                      <w:rPr>
                        <w:sz w:val="18"/>
                      </w:rPr>
                      <w:t>final</w:t>
                    </w:r>
                  </w:p>
                </w:txbxContent>
              </v:textbox>
              <w10:wrap type="none"/>
            </v:shape>
            <v:shape style="position:absolute;left:6418;top:6008;width:1486;height:591" type="#_x0000_t202" filled="false" stroked="true" strokeweight=".72pt" strokecolor="#000000">
              <v:textbox inset="0,0,0,0">
                <w:txbxContent>
                  <w:p>
                    <w:pPr>
                      <w:spacing w:line="276" w:lineRule="auto" w:before="68"/>
                      <w:ind w:left="260" w:right="144" w:hanging="113"/>
                      <w:jc w:val="left"/>
                      <w:rPr>
                        <w:sz w:val="18"/>
                      </w:rPr>
                    </w:pPr>
                    <w:r>
                      <w:rPr>
                        <w:sz w:val="18"/>
                      </w:rPr>
                      <w:t>Vende menudeo leche cruda a</w:t>
                    </w:r>
                  </w:p>
                </w:txbxContent>
              </v:textbox>
              <w10:wrap type="none"/>
            </v:shape>
            <v:shape style="position:absolute;left:9012;top:7078;width:1052;height:576" type="#_x0000_t202" filled="false" stroked="true" strokeweight=".72pt" strokecolor="#000000">
              <v:textbox inset="0,0,0,0">
                <w:txbxContent>
                  <w:p>
                    <w:pPr>
                      <w:spacing w:line="276" w:lineRule="auto" w:before="68"/>
                      <w:ind w:left="215" w:right="140" w:hanging="63"/>
                      <w:jc w:val="left"/>
                      <w:rPr>
                        <w:sz w:val="18"/>
                      </w:rPr>
                    </w:pPr>
                    <w:r>
                      <w:rPr>
                        <w:sz w:val="18"/>
                      </w:rPr>
                      <w:t>Cremerías estatales</w:t>
                    </w:r>
                  </w:p>
                </w:txbxContent>
              </v:textbox>
              <w10:wrap type="none"/>
            </v:shape>
            <v:shape style="position:absolute;left:6516;top:7152;width:1349;height:576" type="#_x0000_t202" filled="false" stroked="true" strokeweight=".72pt" strokecolor="#000000">
              <v:textbox inset="0,0,0,0">
                <w:txbxContent>
                  <w:p>
                    <w:pPr>
                      <w:spacing w:line="276" w:lineRule="auto" w:before="68"/>
                      <w:ind w:left="502" w:right="217" w:hanging="281"/>
                      <w:jc w:val="left"/>
                      <w:rPr>
                        <w:sz w:val="18"/>
                      </w:rPr>
                    </w:pPr>
                    <w:r>
                      <w:rPr>
                        <w:sz w:val="18"/>
                      </w:rPr>
                      <w:t>Consumidor final</w:t>
                    </w:r>
                  </w:p>
                </w:txbxContent>
              </v:textbox>
              <w10:wrap type="none"/>
            </v:shape>
            <w10:wrap type="none"/>
          </v:group>
        </w:pict>
      </w:r>
      <w:r>
        <w:rPr/>
        <w:drawing>
          <wp:anchor distT="0" distB="0" distL="0" distR="0" allowOverlap="1" layoutInCell="1" locked="0" behindDoc="1" simplePos="0" relativeHeight="267978935">
            <wp:simplePos x="0" y="0"/>
            <wp:positionH relativeFrom="page">
              <wp:posOffset>1976627</wp:posOffset>
            </wp:positionH>
            <wp:positionV relativeFrom="paragraph">
              <wp:posOffset>3997745</wp:posOffset>
            </wp:positionV>
            <wp:extent cx="133155" cy="111728"/>
            <wp:effectExtent l="0" t="0" r="0" b="0"/>
            <wp:wrapNone/>
            <wp:docPr id="7" name="image143.png" descr=""/>
            <wp:cNvGraphicFramePr>
              <a:graphicFrameLocks noChangeAspect="1"/>
            </wp:cNvGraphicFramePr>
            <a:graphic>
              <a:graphicData uri="http://schemas.openxmlformats.org/drawingml/2006/picture">
                <pic:pic>
                  <pic:nvPicPr>
                    <pic:cNvPr id="8" name="image143.png"/>
                    <pic:cNvPicPr/>
                  </pic:nvPicPr>
                  <pic:blipFill>
                    <a:blip r:embed="rId197" cstate="print"/>
                    <a:stretch>
                      <a:fillRect/>
                    </a:stretch>
                  </pic:blipFill>
                  <pic:spPr>
                    <a:xfrm>
                      <a:off x="0" y="0"/>
                      <a:ext cx="133155" cy="111728"/>
                    </a:xfrm>
                    <a:prstGeom prst="rect">
                      <a:avLst/>
                    </a:prstGeom>
                  </pic:spPr>
                </pic:pic>
              </a:graphicData>
            </a:graphic>
          </wp:anchor>
        </w:drawing>
      </w:r>
      <w:r>
        <w:rPr/>
        <w:t>La cadena de leche, está estructurada por siete eslabones, todos unidos e interrelacionados entre sí: producción de insumos, proveedores de insumos agropecuarios, sistemas productivos, centro de acopio, industria de procesamiento (queserías), distribuidores de productos</w:t>
      </w:r>
      <w:r>
        <w:rPr>
          <w:spacing w:val="-6"/>
        </w:rPr>
        <w:t> </w:t>
      </w:r>
      <w:r>
        <w:rPr/>
        <w:t>lácteos</w:t>
      </w:r>
      <w:r>
        <w:rPr>
          <w:spacing w:val="-1"/>
        </w:rPr>
        <w:t> </w:t>
      </w:r>
      <w:r>
        <w:rPr/>
        <w:t>y</w:t>
      </w:r>
      <w:r>
        <w:rPr>
          <w:spacing w:val="-8"/>
        </w:rPr>
        <w:t> </w:t>
      </w:r>
      <w:r>
        <w:rPr/>
        <w:t>finalmente,</w:t>
      </w:r>
      <w:r>
        <w:rPr>
          <w:spacing w:val="-6"/>
        </w:rPr>
        <w:t> </w:t>
      </w:r>
      <w:r>
        <w:rPr/>
        <w:t>el</w:t>
      </w:r>
      <w:r>
        <w:rPr>
          <w:spacing w:val="-3"/>
        </w:rPr>
        <w:t> </w:t>
      </w:r>
      <w:r>
        <w:rPr/>
        <w:t>consumidor</w:t>
      </w:r>
      <w:r>
        <w:rPr>
          <w:spacing w:val="-7"/>
        </w:rPr>
        <w:t> </w:t>
      </w:r>
      <w:r>
        <w:rPr/>
        <w:t>final;</w:t>
      </w:r>
      <w:r>
        <w:rPr>
          <w:spacing w:val="-5"/>
        </w:rPr>
        <w:t> </w:t>
      </w:r>
      <w:r>
        <w:rPr/>
        <w:t>cada</w:t>
      </w:r>
      <w:r>
        <w:rPr>
          <w:spacing w:val="-7"/>
        </w:rPr>
        <w:t> </w:t>
      </w:r>
      <w:r>
        <w:rPr/>
        <w:t>uno</w:t>
      </w:r>
      <w:r>
        <w:rPr>
          <w:spacing w:val="-4"/>
        </w:rPr>
        <w:t> </w:t>
      </w:r>
      <w:r>
        <w:rPr/>
        <w:t>de</w:t>
      </w:r>
      <w:r>
        <w:rPr>
          <w:spacing w:val="-5"/>
        </w:rPr>
        <w:t> </w:t>
      </w:r>
      <w:r>
        <w:rPr/>
        <w:t>éstos</w:t>
      </w:r>
      <w:r>
        <w:rPr>
          <w:spacing w:val="-6"/>
        </w:rPr>
        <w:t> </w:t>
      </w:r>
      <w:r>
        <w:rPr/>
        <w:t>a</w:t>
      </w:r>
      <w:r>
        <w:rPr>
          <w:spacing w:val="-5"/>
        </w:rPr>
        <w:t> </w:t>
      </w:r>
      <w:r>
        <w:rPr/>
        <w:t>su</w:t>
      </w:r>
      <w:r>
        <w:rPr>
          <w:spacing w:val="-4"/>
        </w:rPr>
        <w:t> </w:t>
      </w:r>
      <w:r>
        <w:rPr/>
        <w:t>vez</w:t>
      </w:r>
      <w:r>
        <w:rPr>
          <w:spacing w:val="-5"/>
        </w:rPr>
        <w:t> </w:t>
      </w:r>
      <w:r>
        <w:rPr/>
        <w:t>se</w:t>
      </w:r>
      <w:r>
        <w:rPr>
          <w:spacing w:val="-7"/>
        </w:rPr>
        <w:t> </w:t>
      </w:r>
      <w:r>
        <w:rPr/>
        <w:t>dividen</w:t>
      </w:r>
      <w:r>
        <w:rPr>
          <w:spacing w:val="-4"/>
        </w:rPr>
        <w:t> </w:t>
      </w:r>
      <w:r>
        <w:rPr/>
        <w:t>en segmentos como se aprecia en la Figura</w:t>
      </w:r>
      <w:r>
        <w:rPr>
          <w:spacing w:val="-8"/>
        </w:rPr>
        <w:t> </w:t>
      </w:r>
      <w:r>
        <w:rPr/>
        <w:t>17.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r>
        <w:rPr/>
        <w:pict>
          <v:group style="position:absolute;margin-left:82.425003pt;margin-top:15.528669pt;width:283.25pt;height:329.45pt;mso-position-horizontal-relative:page;mso-position-vertical-relative:paragraph;z-index:6904;mso-wrap-distance-left:0;mso-wrap-distance-right:0" coordorigin="1649,311" coordsize="5665,6589">
            <v:rect style="position:absolute;left:3456;top:4280;width:1416;height:559" filled="false" stroked="true" strokeweight=".72pt" strokecolor="#000000"/>
            <v:line style="position:absolute" from="4879,930" to="4879,4319" stroked="true" strokeweight=".72pt" strokecolor="#000000"/>
            <v:shape style="position:absolute;left:3996;top:3757;width:144;height:464" coordorigin="3996,3757" coordsize="144,464" path="m3996,4104l4032,4104,4032,3757,4104,3757,4104,4104,4140,4104,4068,4220,3996,4104xe" filled="false" stroked="true" strokeweight=".72pt" strokecolor="#000000">
              <v:path arrowok="t"/>
            </v:shape>
            <v:line style="position:absolute" from="4157,4856" to="4158,6348" stroked="true" strokeweight=".72pt" strokecolor="#000000"/>
            <v:rect style="position:absolute;left:1702;top:1756;width:1416;height:401" filled="false" stroked="true" strokeweight=".72pt" strokecolor="#000000"/>
            <v:shape style="position:absolute;left:2302;top:1396;width:156;height:341" type="#_x0000_t75" stroked="false">
              <v:imagedata r:id="rId198" o:title=""/>
            </v:shape>
            <v:line style="position:absolute" from="3118,1967" to="4158,1967" stroked="true" strokeweight=".72pt" strokecolor="#000000"/>
            <v:shape style="position:absolute;left:4097;top:1967;width:120;height:1037" coordorigin="4097,1967" coordsize="120,1037" path="m4147,2884l4097,2884,4157,3004,4207,2904,4147,2904,4147,2884xm4167,1967l4147,1967,4147,2904,4167,2904,4167,1967xm4217,2884l4167,2884,4167,2904,4207,2904,4217,2884xe" filled="true" fillcolor="#000000" stroked="false">
              <v:path arrowok="t"/>
              <v:fill type="solid"/>
            </v:shape>
            <v:line style="position:absolute" from="4157,6349" to="7254,6349" stroked="true" strokeweight=".72pt" strokecolor="#000000"/>
            <v:shape style="position:absolute;left:7193;top:4823;width:120;height:1526" coordorigin="7193,4823" coordsize="120,1526" path="m7263,4923l7243,4923,7243,6349,7263,6349,7263,4923xm7253,4823l7193,4943,7243,4943,7243,4923,7303,4923,7253,4823xm7303,4923l7263,4923,7263,4943,7313,4943,7303,4923xe" filled="true" fillcolor="#000000" stroked="false">
              <v:path arrowok="t"/>
              <v:fill type="solid"/>
            </v:shape>
            <v:line style="position:absolute" from="4872,4588" to="5588,4588" stroked="true" strokeweight=".72pt" strokecolor="#000000"/>
            <v:rect style="position:absolute;left:4966;top:3044;width:1164;height:614" filled="false" stroked="true" strokeweight=".72pt" strokecolor="#000000"/>
            <v:shape style="position:absolute;left:6127;top:3256;width:226;height:190" type="#_x0000_t75" stroked="false">
              <v:imagedata r:id="rId199" o:title=""/>
            </v:shape>
            <v:shape style="position:absolute;left:5527;top:3707;width:120;height:881" coordorigin="5527,3707" coordsize="120,881" path="m5597,3807l5577,3807,5577,4588,5597,4588,5597,3807xm5587,3707l5527,3827,5577,3827,5577,3807,5637,3807,5587,3707xm5637,3807l5597,3807,5597,3827,5647,3827,5637,3807xe" filled="true" fillcolor="#000000" stroked="false">
              <v:path arrowok="t"/>
              <v:fill type="solid"/>
            </v:shape>
            <v:rect style="position:absolute;left:4558;top:318;width:1150;height:612" filled="false" stroked="true" strokeweight=".72pt" strokecolor="#000000"/>
            <v:shape style="position:absolute;left:5707;top:616;width:1279;height:120" coordorigin="5707,616" coordsize="1279,120" path="m6866,616l6866,736,6966,686,6886,686,6886,666,6966,666,6866,616xm6866,666l5707,666,5707,686,6866,686,6866,666xm6966,666l6886,666,6886,686,6966,686,6986,676,6966,666xe" filled="true" fillcolor="#000000" stroked="false">
              <v:path arrowok="t"/>
              <v:fill type="solid"/>
            </v:shape>
            <v:line style="position:absolute" from="5287,940" to="5287,3046" stroked="true" strokeweight=".72pt" strokecolor="#000000"/>
            <v:shape style="position:absolute;left:4558;top:318;width:1150;height:612" type="#_x0000_t202" filled="false" stroked="false">
              <v:textbox inset="0,0,0,0">
                <w:txbxContent>
                  <w:p>
                    <w:pPr>
                      <w:spacing w:line="276" w:lineRule="auto" w:before="77"/>
                      <w:ind w:left="205" w:right="185" w:firstLine="16"/>
                      <w:jc w:val="left"/>
                      <w:rPr>
                        <w:sz w:val="18"/>
                      </w:rPr>
                    </w:pPr>
                    <w:r>
                      <w:rPr>
                        <w:sz w:val="18"/>
                      </w:rPr>
                      <w:t>Queserías regionales</w:t>
                    </w:r>
                  </w:p>
                </w:txbxContent>
              </v:textbox>
              <w10:wrap type="none"/>
            </v:shape>
            <v:shape style="position:absolute;left:4922;top:3044;width:1208;height:615" type="#_x0000_t202" filled="false" stroked="false">
              <v:textbox inset="0,0,0,0">
                <w:txbxContent>
                  <w:p>
                    <w:pPr>
                      <w:spacing w:line="276" w:lineRule="auto" w:before="75"/>
                      <w:ind w:left="387" w:right="209" w:hanging="113"/>
                      <w:jc w:val="left"/>
                      <w:rPr>
                        <w:sz w:val="18"/>
                      </w:rPr>
                    </w:pPr>
                    <w:r>
                      <w:rPr>
                        <w:sz w:val="18"/>
                      </w:rPr>
                      <w:t>Centro de acopio</w:t>
                    </w:r>
                  </w:p>
                </w:txbxContent>
              </v:textbox>
              <w10:wrap type="none"/>
            </v:shape>
            <v:shape style="position:absolute;left:3456;top:4280;width:1467;height:560" type="#_x0000_t202" filled="false" stroked="false">
              <v:textbox inset="0,0,0,0">
                <w:txbxContent>
                  <w:p>
                    <w:pPr>
                      <w:spacing w:before="75"/>
                      <w:ind w:left="173" w:right="189" w:hanging="20"/>
                      <w:jc w:val="left"/>
                      <w:rPr>
                        <w:sz w:val="18"/>
                      </w:rPr>
                    </w:pPr>
                    <w:r>
                      <w:rPr>
                        <w:sz w:val="18"/>
                      </w:rPr>
                      <w:t>Producen leche cruda  se ven a</w:t>
                    </w:r>
                  </w:p>
                </w:txbxContent>
              </v:textbox>
              <w10:wrap type="none"/>
            </v:shape>
            <v:shape style="position:absolute;left:1702;top:1756;width:1416;height:401" type="#_x0000_t202" filled="false" stroked="false">
              <v:textbox inset="0,0,0,0">
                <w:txbxContent>
                  <w:p>
                    <w:pPr>
                      <w:spacing w:before="75"/>
                      <w:ind w:left="367" w:right="270" w:firstLine="0"/>
                      <w:jc w:val="left"/>
                      <w:rPr>
                        <w:sz w:val="18"/>
                      </w:rPr>
                    </w:pPr>
                    <w:r>
                      <w:rPr>
                        <w:sz w:val="18"/>
                      </w:rPr>
                      <w:t>Alimento</w:t>
                    </w:r>
                  </w:p>
                </w:txbxContent>
              </v:textbox>
              <w10:wrap type="none"/>
            </v:shape>
            <v:shape style="position:absolute;left:5727;top:484;width:1109;height:180" type="#_x0000_t202" filled="false" stroked="false">
              <v:textbox inset="0,0,0,0">
                <w:txbxContent>
                  <w:p>
                    <w:pPr>
                      <w:spacing w:line="180" w:lineRule="exact" w:before="0"/>
                      <w:ind w:left="0" w:right="-17" w:firstLine="0"/>
                      <w:jc w:val="left"/>
                      <w:rPr>
                        <w:sz w:val="18"/>
                      </w:rPr>
                    </w:pPr>
                    <w:r>
                      <w:rPr>
                        <w:sz w:val="18"/>
                      </w:rPr>
                      <w:t>Se convierte</w:t>
                    </w:r>
                    <w:r>
                      <w:rPr>
                        <w:spacing w:val="-4"/>
                        <w:sz w:val="18"/>
                      </w:rPr>
                      <w:t> </w:t>
                    </w:r>
                    <w:r>
                      <w:rPr>
                        <w:sz w:val="18"/>
                      </w:rPr>
                      <w:t>en</w:t>
                    </w:r>
                  </w:p>
                </w:txbxContent>
              </v:textbox>
              <w10:wrap type="none"/>
            </v:shape>
            <v:shape style="position:absolute;left:5324;top:2855;width:647;height:180" type="#_x0000_t202" filled="false" stroked="false">
              <v:textbox inset="0,0,0,0">
                <w:txbxContent>
                  <w:p>
                    <w:pPr>
                      <w:spacing w:line="180" w:lineRule="exact" w:before="0"/>
                      <w:ind w:left="0" w:right="-16" w:firstLine="0"/>
                      <w:jc w:val="left"/>
                      <w:rPr>
                        <w:sz w:val="18"/>
                      </w:rPr>
                    </w:pPr>
                    <w:r>
                      <w:rPr>
                        <w:spacing w:val="-1"/>
                        <w:sz w:val="18"/>
                      </w:rPr>
                      <w:t>Mayoreo</w:t>
                    </w:r>
                  </w:p>
                </w:txbxContent>
              </v:textbox>
              <w10:wrap type="none"/>
            </v:shape>
            <v:shape style="position:absolute;left:4928;top:4639;width:647;height:180" type="#_x0000_t202" filled="false" stroked="false">
              <v:textbox inset="0,0,0,0">
                <w:txbxContent>
                  <w:p>
                    <w:pPr>
                      <w:spacing w:line="180" w:lineRule="exact" w:before="0"/>
                      <w:ind w:left="0" w:right="-16" w:firstLine="0"/>
                      <w:jc w:val="left"/>
                      <w:rPr>
                        <w:sz w:val="18"/>
                      </w:rPr>
                    </w:pPr>
                    <w:r>
                      <w:rPr>
                        <w:spacing w:val="-1"/>
                        <w:sz w:val="18"/>
                      </w:rPr>
                      <w:t>Mayoreo</w:t>
                    </w:r>
                  </w:p>
                </w:txbxContent>
              </v:textbox>
              <w10:wrap type="none"/>
            </v:shape>
            <v:shape style="position:absolute;left:5324;top:5975;width:680;height:180" type="#_x0000_t202" filled="false" stroked="false">
              <v:textbox inset="0,0,0,0">
                <w:txbxContent>
                  <w:p>
                    <w:pPr>
                      <w:spacing w:line="180" w:lineRule="exact" w:before="0"/>
                      <w:ind w:left="0" w:right="-20" w:firstLine="0"/>
                      <w:jc w:val="left"/>
                      <w:rPr>
                        <w:sz w:val="18"/>
                      </w:rPr>
                    </w:pPr>
                    <w:r>
                      <w:rPr>
                        <w:sz w:val="18"/>
                      </w:rPr>
                      <w:t>Menudeo</w:t>
                    </w:r>
                  </w:p>
                </w:txbxContent>
              </v:textbox>
              <w10:wrap type="none"/>
            </v:shape>
            <v:shape style="position:absolute;left:1687;top:536;width:1498;height:831" type="#_x0000_t202" filled="false" stroked="true" strokeweight=".72pt" strokecolor="#000000">
              <v:textbox inset="0,0,0,0">
                <w:txbxContent>
                  <w:p>
                    <w:pPr>
                      <w:spacing w:line="276" w:lineRule="auto" w:before="68"/>
                      <w:ind w:left="223" w:right="221" w:firstLine="0"/>
                      <w:jc w:val="center"/>
                      <w:rPr>
                        <w:sz w:val="18"/>
                      </w:rPr>
                    </w:pPr>
                    <w:r>
                      <w:rPr>
                        <w:sz w:val="18"/>
                      </w:rPr>
                      <w:t>Producción de insumos en la unidad</w:t>
                    </w:r>
                  </w:p>
                </w:txbxContent>
              </v:textbox>
              <w10:wrap type="none"/>
            </v:shape>
            <v:shape style="position:absolute;left:1702;top:3023;width:1416;height:843" type="#_x0000_t202" filled="false" stroked="true" strokeweight=".72pt" strokecolor="#000000">
              <v:textbox inset="0,0,0,0">
                <w:txbxContent>
                  <w:p>
                    <w:pPr>
                      <w:spacing w:line="276" w:lineRule="auto" w:before="68"/>
                      <w:ind w:left="182" w:right="180" w:firstLine="0"/>
                      <w:jc w:val="center"/>
                      <w:rPr>
                        <w:sz w:val="18"/>
                      </w:rPr>
                    </w:pPr>
                    <w:r>
                      <w:rPr>
                        <w:sz w:val="18"/>
                      </w:rPr>
                      <w:t>Proveedora de insumos agropecuarios</w:t>
                    </w:r>
                  </w:p>
                </w:txbxContent>
              </v:textbox>
              <w10:wrap type="none"/>
            </v:shape>
            <v:shape style="position:absolute;left:3341;top:3080;width:1416;height:627" type="#_x0000_t202" filled="false" stroked="true" strokeweight=".72pt" strokecolor="#000000">
              <v:textbox inset="0,0,0,0">
                <w:txbxContent>
                  <w:p>
                    <w:pPr>
                      <w:spacing w:line="278" w:lineRule="auto" w:before="68"/>
                      <w:ind w:left="276" w:right="270" w:firstLine="105"/>
                      <w:jc w:val="left"/>
                      <w:rPr>
                        <w:sz w:val="18"/>
                      </w:rPr>
                    </w:pPr>
                    <w:r>
                      <w:rPr>
                        <w:sz w:val="18"/>
                      </w:rPr>
                      <w:t>Sistemas productivos</w:t>
                    </w:r>
                  </w:p>
                </w:txbxContent>
              </v:textbox>
              <w10:wrap type="none"/>
            </v:shape>
            <v:shape style="position:absolute;left:1721;top:4427;width:1416;height:401" type="#_x0000_t202" filled="false" stroked="true" strokeweight=".72pt" strokecolor="#000000">
              <v:textbox inset="0,0,0,0">
                <w:txbxContent>
                  <w:p>
                    <w:pPr>
                      <w:spacing w:before="68"/>
                      <w:ind w:left="360" w:right="270" w:firstLine="0"/>
                      <w:jc w:val="left"/>
                      <w:rPr>
                        <w:sz w:val="18"/>
                      </w:rPr>
                    </w:pPr>
                    <w:r>
                      <w:rPr>
                        <w:sz w:val="18"/>
                      </w:rPr>
                      <w:t>Alimento</w:t>
                    </w:r>
                  </w:p>
                </w:txbxContent>
              </v:textbox>
              <w10:wrap type="none"/>
            </v:shape>
            <v:shape style="position:absolute;left:1682;top:5231;width:1414;height:375" type="#_x0000_t202" filled="false" stroked="true" strokeweight=".72pt" strokecolor="#000000">
              <v:textbox inset="0,0,0,0">
                <w:txbxContent>
                  <w:p>
                    <w:pPr>
                      <w:spacing w:before="66"/>
                      <w:ind w:left="170" w:right="0" w:firstLine="0"/>
                      <w:jc w:val="left"/>
                      <w:rPr>
                        <w:sz w:val="18"/>
                      </w:rPr>
                    </w:pPr>
                    <w:r>
                      <w:rPr>
                        <w:sz w:val="18"/>
                      </w:rPr>
                      <w:t>Medicamentos</w:t>
                    </w:r>
                  </w:p>
                </w:txbxContent>
              </v:textbox>
              <w10:wrap type="none"/>
            </v:shape>
            <v:shape style="position:absolute;left:1656;top:6054;width:1414;height:838" type="#_x0000_t202" filled="false" stroked="true" strokeweight=".72pt" strokecolor="#000000">
              <v:textbox inset="0,0,0,0">
                <w:txbxContent>
                  <w:p>
                    <w:pPr>
                      <w:spacing w:line="276" w:lineRule="auto" w:before="68"/>
                      <w:ind w:left="235" w:right="232" w:firstLine="0"/>
                      <w:jc w:val="center"/>
                      <w:rPr>
                        <w:sz w:val="18"/>
                      </w:rPr>
                    </w:pPr>
                    <w:r>
                      <w:rPr>
                        <w:sz w:val="18"/>
                      </w:rPr>
                      <w:t>Equipo e implementos agrícolas</w:t>
                    </w:r>
                  </w:p>
                </w:txbxContent>
              </v:textbox>
              <w10:wrap type="none"/>
            </v:shape>
            <w10:wrap type="topAndBottom"/>
          </v:group>
        </w:pict>
      </w:r>
    </w:p>
    <w:p>
      <w:pPr>
        <w:spacing w:before="206"/>
        <w:ind w:left="4633" w:right="0" w:firstLine="0"/>
        <w:jc w:val="left"/>
        <w:rPr>
          <w:sz w:val="20"/>
        </w:rPr>
      </w:pPr>
      <w:r>
        <w:rPr>
          <w:sz w:val="20"/>
        </w:rPr>
        <w:t>Fuente: Elaboración propia con información de campo</w:t>
      </w:r>
    </w:p>
    <w:p>
      <w:pPr>
        <w:pStyle w:val="BodyText"/>
        <w:rPr>
          <w:sz w:val="20"/>
        </w:rPr>
      </w:pPr>
    </w:p>
    <w:p>
      <w:pPr>
        <w:pStyle w:val="BodyText"/>
        <w:spacing w:before="11"/>
        <w:rPr>
          <w:sz w:val="19"/>
        </w:rPr>
      </w:pPr>
    </w:p>
    <w:p>
      <w:pPr>
        <w:pStyle w:val="BodyText"/>
        <w:spacing w:line="360" w:lineRule="auto"/>
        <w:ind w:left="162" w:right="116"/>
        <w:jc w:val="both"/>
      </w:pPr>
      <w:r>
        <w:rPr/>
        <w:drawing>
          <wp:anchor distT="0" distB="0" distL="0" distR="0" allowOverlap="1" layoutInCell="1" locked="0" behindDoc="1" simplePos="0" relativeHeight="267978863">
            <wp:simplePos x="0" y="0"/>
            <wp:positionH relativeFrom="page">
              <wp:posOffset>1498091</wp:posOffset>
            </wp:positionH>
            <wp:positionV relativeFrom="paragraph">
              <wp:posOffset>-2401022</wp:posOffset>
            </wp:positionV>
            <wp:extent cx="99610" cy="214312"/>
            <wp:effectExtent l="0" t="0" r="0" b="0"/>
            <wp:wrapNone/>
            <wp:docPr id="9" name="image146.png" descr=""/>
            <wp:cNvGraphicFramePr>
              <a:graphicFrameLocks noChangeAspect="1"/>
            </wp:cNvGraphicFramePr>
            <a:graphic>
              <a:graphicData uri="http://schemas.openxmlformats.org/drawingml/2006/picture">
                <pic:pic>
                  <pic:nvPicPr>
                    <pic:cNvPr id="10" name="image146.png"/>
                    <pic:cNvPicPr/>
                  </pic:nvPicPr>
                  <pic:blipFill>
                    <a:blip r:embed="rId200" cstate="print"/>
                    <a:stretch>
                      <a:fillRect/>
                    </a:stretch>
                  </pic:blipFill>
                  <pic:spPr>
                    <a:xfrm>
                      <a:off x="0" y="0"/>
                      <a:ext cx="99610" cy="214312"/>
                    </a:xfrm>
                    <a:prstGeom prst="rect">
                      <a:avLst/>
                    </a:prstGeom>
                  </pic:spPr>
                </pic:pic>
              </a:graphicData>
            </a:graphic>
          </wp:anchor>
        </w:drawing>
      </w:r>
      <w:r>
        <w:rPr/>
        <w:drawing>
          <wp:anchor distT="0" distB="0" distL="0" distR="0" allowOverlap="1" layoutInCell="1" locked="0" behindDoc="1" simplePos="0" relativeHeight="267978887">
            <wp:simplePos x="0" y="0"/>
            <wp:positionH relativeFrom="page">
              <wp:posOffset>1475232</wp:posOffset>
            </wp:positionH>
            <wp:positionV relativeFrom="paragraph">
              <wp:posOffset>-1357082</wp:posOffset>
            </wp:positionV>
            <wp:extent cx="98796" cy="214312"/>
            <wp:effectExtent l="0" t="0" r="0" b="0"/>
            <wp:wrapNone/>
            <wp:docPr id="11" name="image147.png" descr=""/>
            <wp:cNvGraphicFramePr>
              <a:graphicFrameLocks noChangeAspect="1"/>
            </wp:cNvGraphicFramePr>
            <a:graphic>
              <a:graphicData uri="http://schemas.openxmlformats.org/drawingml/2006/picture">
                <pic:pic>
                  <pic:nvPicPr>
                    <pic:cNvPr id="12" name="image147.png"/>
                    <pic:cNvPicPr/>
                  </pic:nvPicPr>
                  <pic:blipFill>
                    <a:blip r:embed="rId201" cstate="print"/>
                    <a:stretch>
                      <a:fillRect/>
                    </a:stretch>
                  </pic:blipFill>
                  <pic:spPr>
                    <a:xfrm>
                      <a:off x="0" y="0"/>
                      <a:ext cx="98796" cy="214312"/>
                    </a:xfrm>
                    <a:prstGeom prst="rect">
                      <a:avLst/>
                    </a:prstGeom>
                  </pic:spPr>
                </pic:pic>
              </a:graphicData>
            </a:graphic>
          </wp:anchor>
        </w:drawing>
      </w:r>
      <w:r>
        <w:rPr/>
        <w:drawing>
          <wp:anchor distT="0" distB="0" distL="0" distR="0" allowOverlap="1" layoutInCell="1" locked="0" behindDoc="1" simplePos="0" relativeHeight="267978911">
            <wp:simplePos x="0" y="0"/>
            <wp:positionH relativeFrom="page">
              <wp:posOffset>1481327</wp:posOffset>
            </wp:positionH>
            <wp:positionV relativeFrom="paragraph">
              <wp:posOffset>-1885910</wp:posOffset>
            </wp:positionV>
            <wp:extent cx="99610" cy="214312"/>
            <wp:effectExtent l="0" t="0" r="0" b="0"/>
            <wp:wrapNone/>
            <wp:docPr id="13" name="image146.png" descr=""/>
            <wp:cNvGraphicFramePr>
              <a:graphicFrameLocks noChangeAspect="1"/>
            </wp:cNvGraphicFramePr>
            <a:graphic>
              <a:graphicData uri="http://schemas.openxmlformats.org/drawingml/2006/picture">
                <pic:pic>
                  <pic:nvPicPr>
                    <pic:cNvPr id="14" name="image146.png"/>
                    <pic:cNvPicPr/>
                  </pic:nvPicPr>
                  <pic:blipFill>
                    <a:blip r:embed="rId200" cstate="print"/>
                    <a:stretch>
                      <a:fillRect/>
                    </a:stretch>
                  </pic:blipFill>
                  <pic:spPr>
                    <a:xfrm>
                      <a:off x="0" y="0"/>
                      <a:ext cx="99610" cy="214312"/>
                    </a:xfrm>
                    <a:prstGeom prst="rect">
                      <a:avLst/>
                    </a:prstGeom>
                  </pic:spPr>
                </pic:pic>
              </a:graphicData>
            </a:graphic>
          </wp:anchor>
        </w:drawing>
      </w:r>
      <w:r>
        <w:rPr/>
        <w:pict>
          <v:shape style="position:absolute;margin-left:356.519989pt;margin-top:-210.656876pt;width:6pt;height:25.65pt;mso-position-horizontal-relative:page;mso-position-vertical-relative:paragraph;z-index:-456496" coordorigin="7130,-4213" coordsize="120,513" path="m7180,-3820l7130,-3820,7190,-3700,7240,-3800,7180,-3800,7180,-3820xm7200,-4213l7180,-4213,7180,-3800,7200,-3800,7200,-4213xm7250,-3820l7200,-3820,7200,-3800,7240,-3800,7250,-3820xe" filled="true" fillcolor="#000000" stroked="false">
            <v:path arrowok="t"/>
            <v:fill type="solid"/>
            <w10:wrap type="none"/>
          </v:shape>
        </w:pict>
      </w:r>
      <w:r>
        <w:rPr/>
        <w:pict>
          <v:line style="position:absolute;mso-position-horizontal-relative:page;mso-position-vertical-relative:paragraph;z-index:-456472" from="85.139999pt,.243123pt" to="526.789999pt,.243123pt" stroked="true" strokeweight="2.04pt" strokecolor="#000000">
            <w10:wrap type="none"/>
          </v:line>
        </w:pict>
      </w:r>
      <w:r>
        <w:rPr>
          <w:b/>
        </w:rPr>
        <w:t>Figura 18. </w:t>
      </w:r>
      <w:r>
        <w:rPr/>
        <w:t>Modelo general de la cadena agroalimentaria productora de leche de pequeña escala en siete comunidades del DDRT.</w:t>
      </w:r>
    </w:p>
    <w:p>
      <w:pPr>
        <w:spacing w:after="0" w:line="360" w:lineRule="auto"/>
        <w:jc w:val="both"/>
        <w:sectPr>
          <w:pgSz w:w="12240" w:h="15840"/>
          <w:pgMar w:header="0" w:footer="657" w:top="1360" w:bottom="840" w:left="1540" w:right="1580"/>
        </w:sectPr>
      </w:pPr>
    </w:p>
    <w:p>
      <w:pPr>
        <w:pStyle w:val="Heading2"/>
        <w:spacing w:before="55"/>
        <w:ind w:left="102" w:firstLine="0"/>
        <w:rPr>
          <w:i/>
        </w:rPr>
      </w:pPr>
      <w:r>
        <w:rPr>
          <w:i/>
        </w:rPr>
        <w:t>6.2.1 Eslabón de transformación</w:t>
      </w:r>
    </w:p>
    <w:p>
      <w:pPr>
        <w:pStyle w:val="BodyText"/>
        <w:rPr>
          <w:b/>
          <w:i/>
        </w:rPr>
      </w:pPr>
    </w:p>
    <w:p>
      <w:pPr>
        <w:pStyle w:val="BodyText"/>
        <w:spacing w:before="7"/>
        <w:rPr>
          <w:b/>
          <w:i/>
          <w:sz w:val="23"/>
        </w:rPr>
      </w:pPr>
    </w:p>
    <w:p>
      <w:pPr>
        <w:pStyle w:val="BodyText"/>
        <w:spacing w:line="360" w:lineRule="auto"/>
        <w:ind w:left="102" w:right="111"/>
        <w:jc w:val="both"/>
      </w:pPr>
      <w:r>
        <w:rPr/>
        <w:t>Las</w:t>
      </w:r>
      <w:r>
        <w:rPr>
          <w:spacing w:val="-5"/>
        </w:rPr>
        <w:t> </w:t>
      </w:r>
      <w:r>
        <w:rPr/>
        <w:t>seis</w:t>
      </w:r>
      <w:r>
        <w:rPr>
          <w:spacing w:val="-7"/>
        </w:rPr>
        <w:t> </w:t>
      </w:r>
      <w:r>
        <w:rPr/>
        <w:t>queserías</w:t>
      </w:r>
      <w:r>
        <w:rPr>
          <w:spacing w:val="-5"/>
        </w:rPr>
        <w:t> </w:t>
      </w:r>
      <w:r>
        <w:rPr/>
        <w:t>entrevistadas</w:t>
      </w:r>
      <w:r>
        <w:rPr>
          <w:spacing w:val="-7"/>
        </w:rPr>
        <w:t> </w:t>
      </w:r>
      <w:r>
        <w:rPr/>
        <w:t>recolectan</w:t>
      </w:r>
      <w:r>
        <w:rPr>
          <w:spacing w:val="-7"/>
        </w:rPr>
        <w:t> </w:t>
      </w:r>
      <w:r>
        <w:rPr/>
        <w:t>el</w:t>
      </w:r>
      <w:r>
        <w:rPr>
          <w:spacing w:val="-5"/>
        </w:rPr>
        <w:t> </w:t>
      </w:r>
      <w:r>
        <w:rPr/>
        <w:t>volumen</w:t>
      </w:r>
      <w:r>
        <w:rPr>
          <w:spacing w:val="-7"/>
        </w:rPr>
        <w:t> </w:t>
      </w:r>
      <w:r>
        <w:rPr/>
        <w:t>de</w:t>
      </w:r>
      <w:r>
        <w:rPr>
          <w:spacing w:val="-8"/>
        </w:rPr>
        <w:t> </w:t>
      </w:r>
      <w:r>
        <w:rPr/>
        <w:t>leche</w:t>
      </w:r>
      <w:r>
        <w:rPr>
          <w:spacing w:val="-6"/>
        </w:rPr>
        <w:t> </w:t>
      </w:r>
      <w:r>
        <w:rPr/>
        <w:t>requerido</w:t>
      </w:r>
      <w:r>
        <w:rPr>
          <w:spacing w:val="-5"/>
        </w:rPr>
        <w:t> </w:t>
      </w:r>
      <w:r>
        <w:rPr/>
        <w:t>mediante</w:t>
      </w:r>
      <w:r>
        <w:rPr>
          <w:spacing w:val="-8"/>
        </w:rPr>
        <w:t> </w:t>
      </w:r>
      <w:r>
        <w:rPr/>
        <w:t>dos</w:t>
      </w:r>
      <w:r>
        <w:rPr>
          <w:spacing w:val="-7"/>
        </w:rPr>
        <w:t> </w:t>
      </w:r>
      <w:r>
        <w:rPr/>
        <w:t>vías, la primera, del centro de acopio ubicado en el poblado de Coatlinchan y la segunda, recolección directa a las unidades de producción, el precio pagado tanto al acopio como en la</w:t>
      </w:r>
      <w:r>
        <w:rPr>
          <w:spacing w:val="-16"/>
        </w:rPr>
        <w:t> </w:t>
      </w:r>
      <w:r>
        <w:rPr/>
        <w:t>recolección</w:t>
      </w:r>
      <w:r>
        <w:rPr>
          <w:spacing w:val="-13"/>
        </w:rPr>
        <w:t> </w:t>
      </w:r>
      <w:r>
        <w:rPr/>
        <w:t>fue</w:t>
      </w:r>
      <w:r>
        <w:rPr>
          <w:spacing w:val="-18"/>
        </w:rPr>
        <w:t> </w:t>
      </w:r>
      <w:r>
        <w:rPr/>
        <w:t>de</w:t>
      </w:r>
      <w:r>
        <w:rPr>
          <w:spacing w:val="-17"/>
        </w:rPr>
        <w:t> </w:t>
      </w:r>
      <w:r>
        <w:rPr/>
        <w:t>5.50$/litro</w:t>
      </w:r>
      <w:r>
        <w:rPr>
          <w:spacing w:val="-17"/>
        </w:rPr>
        <w:t> </w:t>
      </w:r>
      <w:r>
        <w:rPr/>
        <w:t>de</w:t>
      </w:r>
      <w:r>
        <w:rPr>
          <w:spacing w:val="-17"/>
        </w:rPr>
        <w:t> </w:t>
      </w:r>
      <w:r>
        <w:rPr/>
        <w:t>leche.</w:t>
      </w:r>
      <w:r>
        <w:rPr>
          <w:spacing w:val="-13"/>
        </w:rPr>
        <w:t> </w:t>
      </w:r>
      <w:r>
        <w:rPr/>
        <w:t>La</w:t>
      </w:r>
      <w:r>
        <w:rPr>
          <w:spacing w:val="-15"/>
        </w:rPr>
        <w:t> </w:t>
      </w:r>
      <w:r>
        <w:rPr/>
        <w:t>recolección</w:t>
      </w:r>
      <w:r>
        <w:rPr>
          <w:spacing w:val="-15"/>
        </w:rPr>
        <w:t> </w:t>
      </w:r>
      <w:r>
        <w:rPr/>
        <w:t>se</w:t>
      </w:r>
      <w:r>
        <w:rPr>
          <w:spacing w:val="-14"/>
        </w:rPr>
        <w:t> </w:t>
      </w:r>
      <w:r>
        <w:rPr/>
        <w:t>realiza</w:t>
      </w:r>
      <w:r>
        <w:rPr>
          <w:spacing w:val="-16"/>
        </w:rPr>
        <w:t> </w:t>
      </w:r>
      <w:r>
        <w:rPr/>
        <w:t>en</w:t>
      </w:r>
      <w:r>
        <w:rPr>
          <w:spacing w:val="-16"/>
        </w:rPr>
        <w:t> </w:t>
      </w:r>
      <w:r>
        <w:rPr/>
        <w:t>botes</w:t>
      </w:r>
      <w:r>
        <w:rPr>
          <w:spacing w:val="-14"/>
        </w:rPr>
        <w:t> </w:t>
      </w:r>
      <w:r>
        <w:rPr/>
        <w:t>de</w:t>
      </w:r>
      <w:r>
        <w:rPr>
          <w:spacing w:val="-17"/>
        </w:rPr>
        <w:t> </w:t>
      </w:r>
      <w:r>
        <w:rPr/>
        <w:t>plástico,</w:t>
      </w:r>
      <w:r>
        <w:rPr>
          <w:spacing w:val="-16"/>
        </w:rPr>
        <w:t> </w:t>
      </w:r>
      <w:r>
        <w:rPr/>
        <w:t>hierro o acero inoxidable con una capacidad de 40 y 60 litros; para ello utilizan camionetas o automóviles que regularmente no están adaptados con las condiciones necesarias para la actividad. La recolección de leche se hace por las mañanas en horarios de 7:30 a 8:30 am y por</w:t>
      </w:r>
      <w:r>
        <w:rPr>
          <w:spacing w:val="-12"/>
        </w:rPr>
        <w:t> </w:t>
      </w:r>
      <w:r>
        <w:rPr/>
        <w:t>las</w:t>
      </w:r>
      <w:r>
        <w:rPr>
          <w:spacing w:val="-11"/>
        </w:rPr>
        <w:t> </w:t>
      </w:r>
      <w:r>
        <w:rPr/>
        <w:t>tardes</w:t>
      </w:r>
      <w:r>
        <w:rPr>
          <w:spacing w:val="-11"/>
        </w:rPr>
        <w:t> </w:t>
      </w:r>
      <w:r>
        <w:rPr/>
        <w:t>de</w:t>
      </w:r>
      <w:r>
        <w:rPr>
          <w:spacing w:val="-12"/>
        </w:rPr>
        <w:t> </w:t>
      </w:r>
      <w:r>
        <w:rPr/>
        <w:t>6:30</w:t>
      </w:r>
      <w:r>
        <w:rPr>
          <w:spacing w:val="-11"/>
        </w:rPr>
        <w:t> </w:t>
      </w:r>
      <w:r>
        <w:rPr/>
        <w:t>a</w:t>
      </w:r>
      <w:r>
        <w:rPr>
          <w:spacing w:val="-12"/>
        </w:rPr>
        <w:t> </w:t>
      </w:r>
      <w:r>
        <w:rPr/>
        <w:t>7:30</w:t>
      </w:r>
      <w:r>
        <w:rPr>
          <w:spacing w:val="-11"/>
        </w:rPr>
        <w:t> </w:t>
      </w:r>
      <w:r>
        <w:rPr/>
        <w:t>pm,</w:t>
      </w:r>
      <w:r>
        <w:rPr>
          <w:spacing w:val="-10"/>
        </w:rPr>
        <w:t> </w:t>
      </w:r>
      <w:r>
        <w:rPr/>
        <w:t>en</w:t>
      </w:r>
      <w:r>
        <w:rPr>
          <w:spacing w:val="-11"/>
        </w:rPr>
        <w:t> </w:t>
      </w:r>
      <w:r>
        <w:rPr/>
        <w:t>las</w:t>
      </w:r>
      <w:r>
        <w:rPr>
          <w:spacing w:val="-11"/>
        </w:rPr>
        <w:t> </w:t>
      </w:r>
      <w:r>
        <w:rPr/>
        <w:t>en</w:t>
      </w:r>
      <w:r>
        <w:rPr>
          <w:spacing w:val="-11"/>
        </w:rPr>
        <w:t> </w:t>
      </w:r>
      <w:r>
        <w:rPr/>
        <w:t>las</w:t>
      </w:r>
      <w:r>
        <w:rPr>
          <w:spacing w:val="-11"/>
        </w:rPr>
        <w:t> </w:t>
      </w:r>
      <w:r>
        <w:rPr/>
        <w:t>unidades</w:t>
      </w:r>
      <w:r>
        <w:rPr>
          <w:spacing w:val="-11"/>
        </w:rPr>
        <w:t> </w:t>
      </w:r>
      <w:r>
        <w:rPr/>
        <w:t>de</w:t>
      </w:r>
      <w:r>
        <w:rPr>
          <w:spacing w:val="-12"/>
        </w:rPr>
        <w:t> </w:t>
      </w:r>
      <w:r>
        <w:rPr/>
        <w:t>producción</w:t>
      </w:r>
      <w:r>
        <w:rPr>
          <w:spacing w:val="-5"/>
        </w:rPr>
        <w:t> </w:t>
      </w:r>
      <w:r>
        <w:rPr/>
        <w:t>y</w:t>
      </w:r>
      <w:r>
        <w:rPr>
          <w:spacing w:val="-16"/>
        </w:rPr>
        <w:t> </w:t>
      </w:r>
      <w:r>
        <w:rPr/>
        <w:t>en</w:t>
      </w:r>
      <w:r>
        <w:rPr>
          <w:spacing w:val="-11"/>
        </w:rPr>
        <w:t> </w:t>
      </w:r>
      <w:r>
        <w:rPr/>
        <w:t>el</w:t>
      </w:r>
      <w:r>
        <w:rPr>
          <w:spacing w:val="-11"/>
        </w:rPr>
        <w:t> </w:t>
      </w:r>
      <w:r>
        <w:rPr/>
        <w:t>centro</w:t>
      </w:r>
      <w:r>
        <w:rPr>
          <w:spacing w:val="-11"/>
        </w:rPr>
        <w:t> </w:t>
      </w:r>
      <w:r>
        <w:rPr/>
        <w:t>de</w:t>
      </w:r>
      <w:r>
        <w:rPr>
          <w:spacing w:val="-12"/>
        </w:rPr>
        <w:t> </w:t>
      </w:r>
      <w:r>
        <w:rPr/>
        <w:t>acopio de 8:30 a 9:30 am y de 7:30 a 8:30 pm.</w:t>
      </w:r>
    </w:p>
    <w:p>
      <w:pPr>
        <w:pStyle w:val="BodyText"/>
      </w:pPr>
    </w:p>
    <w:p>
      <w:pPr>
        <w:pStyle w:val="BodyText"/>
        <w:spacing w:before="6"/>
      </w:pPr>
    </w:p>
    <w:p>
      <w:pPr>
        <w:pStyle w:val="BodyText"/>
        <w:spacing w:line="360" w:lineRule="auto"/>
        <w:ind w:left="102" w:right="116"/>
        <w:jc w:val="both"/>
      </w:pPr>
      <w:r>
        <w:rPr/>
        <w:t>El quesero lleva un registro con el nombre de los productores y cantidad de leche que le entregan. El pago de la leche a los productores generalmente se realiza los días sábados. Se observó que existen dos canales de comercialización: el de nivel cero o venta directa al consumidor por parte del productor, y el de un solo nivel, en el cual sólo existe un intermediario que es el quesero. El convenio que tiene el quesero con el productor en la compra de leche es sólo de palabra, ya que no se firma ningún documento, con esto último se establece que ambas partes pueden dar por terminado el convenio en cualquier momento.</w:t>
      </w:r>
    </w:p>
    <w:p>
      <w:pPr>
        <w:pStyle w:val="BodyText"/>
      </w:pPr>
    </w:p>
    <w:p>
      <w:pPr>
        <w:pStyle w:val="BodyText"/>
        <w:spacing w:line="360" w:lineRule="auto" w:before="143"/>
        <w:ind w:left="102" w:right="116"/>
        <w:jc w:val="both"/>
      </w:pPr>
      <w:r>
        <w:rPr/>
        <w:t>La leche producida en las siete comunidades analizadas no presenta ningún problema de comercialización,</w:t>
      </w:r>
      <w:r>
        <w:rPr>
          <w:spacing w:val="-4"/>
        </w:rPr>
        <w:t> </w:t>
      </w:r>
      <w:r>
        <w:rPr>
          <w:spacing w:val="-3"/>
        </w:rPr>
        <w:t>ya</w:t>
      </w:r>
      <w:r>
        <w:rPr>
          <w:spacing w:val="-7"/>
        </w:rPr>
        <w:t> </w:t>
      </w:r>
      <w:r>
        <w:rPr/>
        <w:t>que</w:t>
      </w:r>
      <w:r>
        <w:rPr>
          <w:spacing w:val="-5"/>
        </w:rPr>
        <w:t> </w:t>
      </w:r>
      <w:r>
        <w:rPr/>
        <w:t>Texcoco,</w:t>
      </w:r>
      <w:r>
        <w:rPr>
          <w:spacing w:val="-9"/>
        </w:rPr>
        <w:t> </w:t>
      </w:r>
      <w:r>
        <w:rPr/>
        <w:t>es</w:t>
      </w:r>
      <w:r>
        <w:rPr>
          <w:spacing w:val="-8"/>
        </w:rPr>
        <w:t> </w:t>
      </w:r>
      <w:r>
        <w:rPr/>
        <w:t>un</w:t>
      </w:r>
      <w:r>
        <w:rPr>
          <w:spacing w:val="-9"/>
        </w:rPr>
        <w:t> </w:t>
      </w:r>
      <w:r>
        <w:rPr/>
        <w:t>municipio</w:t>
      </w:r>
      <w:r>
        <w:rPr>
          <w:spacing w:val="-9"/>
        </w:rPr>
        <w:t> </w:t>
      </w:r>
      <w:r>
        <w:rPr/>
        <w:t>peri-urbano</w:t>
      </w:r>
      <w:r>
        <w:rPr>
          <w:spacing w:val="-8"/>
        </w:rPr>
        <w:t> </w:t>
      </w:r>
      <w:r>
        <w:rPr/>
        <w:t>con</w:t>
      </w:r>
      <w:r>
        <w:rPr>
          <w:spacing w:val="-6"/>
        </w:rPr>
        <w:t> </w:t>
      </w:r>
      <w:r>
        <w:rPr/>
        <w:t>calles</w:t>
      </w:r>
      <w:r>
        <w:rPr>
          <w:spacing w:val="-6"/>
        </w:rPr>
        <w:t> </w:t>
      </w:r>
      <w:r>
        <w:rPr/>
        <w:t>bien</w:t>
      </w:r>
      <w:r>
        <w:rPr>
          <w:spacing w:val="-9"/>
        </w:rPr>
        <w:t> </w:t>
      </w:r>
      <w:r>
        <w:rPr/>
        <w:t>comunicadas y el recorrido de los queseros es corto y fácil de cubrir en un día. La distancia mínima para el</w:t>
      </w:r>
      <w:r>
        <w:rPr>
          <w:spacing w:val="-13"/>
        </w:rPr>
        <w:t> </w:t>
      </w:r>
      <w:r>
        <w:rPr/>
        <w:t>acopio</w:t>
      </w:r>
      <w:r>
        <w:rPr>
          <w:spacing w:val="-13"/>
        </w:rPr>
        <w:t> </w:t>
      </w:r>
      <w:r>
        <w:rPr/>
        <w:t>de</w:t>
      </w:r>
      <w:r>
        <w:rPr>
          <w:spacing w:val="-14"/>
        </w:rPr>
        <w:t> </w:t>
      </w:r>
      <w:r>
        <w:rPr/>
        <w:t>leche</w:t>
      </w:r>
      <w:r>
        <w:rPr>
          <w:spacing w:val="-14"/>
        </w:rPr>
        <w:t> </w:t>
      </w:r>
      <w:r>
        <w:rPr/>
        <w:t>fue</w:t>
      </w:r>
      <w:r>
        <w:rPr>
          <w:spacing w:val="-14"/>
        </w:rPr>
        <w:t> </w:t>
      </w:r>
      <w:r>
        <w:rPr/>
        <w:t>de</w:t>
      </w:r>
      <w:r>
        <w:rPr>
          <w:spacing w:val="-12"/>
        </w:rPr>
        <w:t> </w:t>
      </w:r>
      <w:r>
        <w:rPr/>
        <w:t>2</w:t>
      </w:r>
      <w:r>
        <w:rPr>
          <w:spacing w:val="-13"/>
        </w:rPr>
        <w:t> </w:t>
      </w:r>
      <w:r>
        <w:rPr/>
        <w:t>km</w:t>
      </w:r>
      <w:r>
        <w:rPr>
          <w:spacing w:val="-11"/>
        </w:rPr>
        <w:t> </w:t>
      </w:r>
      <w:r>
        <w:rPr/>
        <w:t>y</w:t>
      </w:r>
      <w:r>
        <w:rPr>
          <w:spacing w:val="-20"/>
        </w:rPr>
        <w:t> </w:t>
      </w:r>
      <w:r>
        <w:rPr/>
        <w:t>la</w:t>
      </w:r>
      <w:r>
        <w:rPr>
          <w:spacing w:val="-14"/>
        </w:rPr>
        <w:t> </w:t>
      </w:r>
      <w:r>
        <w:rPr/>
        <w:t>máxima</w:t>
      </w:r>
      <w:r>
        <w:rPr>
          <w:spacing w:val="-14"/>
        </w:rPr>
        <w:t> </w:t>
      </w:r>
      <w:r>
        <w:rPr/>
        <w:t>de</w:t>
      </w:r>
      <w:r>
        <w:rPr>
          <w:spacing w:val="-14"/>
        </w:rPr>
        <w:t> </w:t>
      </w:r>
      <w:r>
        <w:rPr/>
        <w:t>8</w:t>
      </w:r>
      <w:r>
        <w:rPr>
          <w:spacing w:val="-13"/>
        </w:rPr>
        <w:t> </w:t>
      </w:r>
      <w:r>
        <w:rPr/>
        <w:t>km</w:t>
      </w:r>
      <w:r>
        <w:rPr>
          <w:spacing w:val="-13"/>
        </w:rPr>
        <w:t> </w:t>
      </w:r>
      <w:r>
        <w:rPr/>
        <w:t>por</w:t>
      </w:r>
      <w:r>
        <w:rPr>
          <w:spacing w:val="-14"/>
        </w:rPr>
        <w:t> </w:t>
      </w:r>
      <w:r>
        <w:rPr/>
        <w:t>día.</w:t>
      </w:r>
      <w:r>
        <w:rPr>
          <w:spacing w:val="34"/>
        </w:rPr>
        <w:t> </w:t>
      </w:r>
      <w:r>
        <w:rPr/>
        <w:t>Como</w:t>
      </w:r>
      <w:r>
        <w:rPr>
          <w:spacing w:val="-15"/>
        </w:rPr>
        <w:t> </w:t>
      </w:r>
      <w:r>
        <w:rPr/>
        <w:t>la</w:t>
      </w:r>
      <w:r>
        <w:rPr>
          <w:spacing w:val="-14"/>
        </w:rPr>
        <w:t> </w:t>
      </w:r>
      <w:r>
        <w:rPr/>
        <w:t>distancia</w:t>
      </w:r>
      <w:r>
        <w:rPr>
          <w:spacing w:val="-14"/>
        </w:rPr>
        <w:t> </w:t>
      </w:r>
      <w:r>
        <w:rPr/>
        <w:t>de</w:t>
      </w:r>
      <w:r>
        <w:rPr>
          <w:spacing w:val="-14"/>
        </w:rPr>
        <w:t> </w:t>
      </w:r>
      <w:r>
        <w:rPr/>
        <w:t>recolección es corta, el quesero no tiene ningún manejo de conservación durante el acopio de leche. Se observó</w:t>
      </w:r>
      <w:r>
        <w:rPr>
          <w:spacing w:val="-5"/>
        </w:rPr>
        <w:t> </w:t>
      </w:r>
      <w:r>
        <w:rPr/>
        <w:t>en</w:t>
      </w:r>
      <w:r>
        <w:rPr>
          <w:spacing w:val="-1"/>
        </w:rPr>
        <w:t> </w:t>
      </w:r>
      <w:r>
        <w:rPr/>
        <w:t>algunos</w:t>
      </w:r>
      <w:r>
        <w:rPr>
          <w:spacing w:val="-4"/>
        </w:rPr>
        <w:t> </w:t>
      </w:r>
      <w:r>
        <w:rPr/>
        <w:t>casos</w:t>
      </w:r>
      <w:r>
        <w:rPr>
          <w:spacing w:val="-3"/>
        </w:rPr>
        <w:t> </w:t>
      </w:r>
      <w:r>
        <w:rPr/>
        <w:t>que</w:t>
      </w:r>
      <w:r>
        <w:rPr>
          <w:spacing w:val="-5"/>
        </w:rPr>
        <w:t> </w:t>
      </w:r>
      <w:r>
        <w:rPr/>
        <w:t>el</w:t>
      </w:r>
      <w:r>
        <w:rPr>
          <w:spacing w:val="-3"/>
        </w:rPr>
        <w:t> </w:t>
      </w:r>
      <w:r>
        <w:rPr/>
        <w:t>quesero</w:t>
      </w:r>
      <w:r>
        <w:rPr>
          <w:spacing w:val="-2"/>
        </w:rPr>
        <w:t> </w:t>
      </w:r>
      <w:r>
        <w:rPr/>
        <w:t>corta</w:t>
      </w:r>
      <w:r>
        <w:rPr>
          <w:spacing w:val="-3"/>
        </w:rPr>
        <w:t> </w:t>
      </w:r>
      <w:r>
        <w:rPr/>
        <w:t>la</w:t>
      </w:r>
      <w:r>
        <w:rPr>
          <w:spacing w:val="-4"/>
        </w:rPr>
        <w:t> </w:t>
      </w:r>
      <w:r>
        <w:rPr/>
        <w:t>leche</w:t>
      </w:r>
      <w:r>
        <w:rPr>
          <w:spacing w:val="-5"/>
        </w:rPr>
        <w:t> </w:t>
      </w:r>
      <w:r>
        <w:rPr/>
        <w:t>en</w:t>
      </w:r>
      <w:r>
        <w:rPr>
          <w:spacing w:val="-2"/>
        </w:rPr>
        <w:t> </w:t>
      </w:r>
      <w:r>
        <w:rPr/>
        <w:t>el</w:t>
      </w:r>
      <w:r>
        <w:rPr>
          <w:spacing w:val="-3"/>
        </w:rPr>
        <w:t> </w:t>
      </w:r>
      <w:r>
        <w:rPr/>
        <w:t>centro</w:t>
      </w:r>
      <w:r>
        <w:rPr>
          <w:spacing w:val="-4"/>
        </w:rPr>
        <w:t> </w:t>
      </w:r>
      <w:r>
        <w:rPr/>
        <w:t>de</w:t>
      </w:r>
      <w:r>
        <w:rPr>
          <w:spacing w:val="-5"/>
        </w:rPr>
        <w:t> </w:t>
      </w:r>
      <w:r>
        <w:rPr/>
        <w:t>acopio</w:t>
      </w:r>
      <w:r>
        <w:rPr>
          <w:spacing w:val="-3"/>
        </w:rPr>
        <w:t> </w:t>
      </w:r>
      <w:r>
        <w:rPr/>
        <w:t>para</w:t>
      </w:r>
      <w:r>
        <w:rPr>
          <w:spacing w:val="1"/>
        </w:rPr>
        <w:t> </w:t>
      </w:r>
      <w:r>
        <w:rPr/>
        <w:t>agilizar</w:t>
      </w:r>
      <w:r>
        <w:rPr>
          <w:spacing w:val="-5"/>
        </w:rPr>
        <w:t> </w:t>
      </w:r>
      <w:r>
        <w:rPr/>
        <w:t>el proceso de transformación siempre que el recorrido sea</w:t>
      </w:r>
      <w:r>
        <w:rPr>
          <w:spacing w:val="-10"/>
        </w:rPr>
        <w:t> </w:t>
      </w:r>
      <w:r>
        <w:rPr/>
        <w:t>corto.</w:t>
      </w:r>
    </w:p>
    <w:p>
      <w:pPr>
        <w:spacing w:after="0" w:line="360" w:lineRule="auto"/>
        <w:jc w:val="both"/>
        <w:sectPr>
          <w:pgSz w:w="12240" w:h="15840"/>
          <w:pgMar w:header="0" w:footer="657" w:top="1360" w:bottom="840" w:left="1600" w:right="1580"/>
        </w:sectPr>
      </w:pPr>
    </w:p>
    <w:p>
      <w:pPr>
        <w:pStyle w:val="Heading1"/>
        <w:spacing w:line="362" w:lineRule="auto"/>
        <w:ind w:right="122"/>
      </w:pPr>
      <w:r>
        <w:rPr/>
        <w:t>6.3 Metodología para analizar la competitividad y márgenes de comercialización de la cadena agroalimentaria</w:t>
      </w:r>
    </w:p>
    <w:p>
      <w:pPr>
        <w:pStyle w:val="BodyText"/>
        <w:spacing w:before="9"/>
        <w:rPr>
          <w:b/>
          <w:sz w:val="35"/>
        </w:rPr>
      </w:pPr>
    </w:p>
    <w:p>
      <w:pPr>
        <w:pStyle w:val="BodyText"/>
        <w:spacing w:line="360" w:lineRule="auto"/>
        <w:ind w:left="102" w:right="117"/>
        <w:jc w:val="both"/>
      </w:pPr>
      <w:r>
        <w:rPr/>
        <w:t>El análisis de competitividad para cada eslabón de la cadena agroalimentaria productora de leche de pequeña escala se determinó mediante la aplicación de la MAP. Los márgenes de comercialización se calcularon con el margen bruto de comercialización (MBC), la participación</w:t>
      </w:r>
      <w:r>
        <w:rPr>
          <w:spacing w:val="-8"/>
        </w:rPr>
        <w:t> </w:t>
      </w:r>
      <w:r>
        <w:rPr/>
        <w:t>directa</w:t>
      </w:r>
      <w:r>
        <w:rPr>
          <w:spacing w:val="-9"/>
        </w:rPr>
        <w:t> </w:t>
      </w:r>
      <w:r>
        <w:rPr/>
        <w:t>del</w:t>
      </w:r>
      <w:r>
        <w:rPr>
          <w:spacing w:val="-8"/>
        </w:rPr>
        <w:t> </w:t>
      </w:r>
      <w:r>
        <w:rPr/>
        <w:t>productor</w:t>
      </w:r>
      <w:r>
        <w:rPr>
          <w:spacing w:val="-9"/>
        </w:rPr>
        <w:t> </w:t>
      </w:r>
      <w:r>
        <w:rPr/>
        <w:t>(PDP)</w:t>
      </w:r>
      <w:r>
        <w:rPr>
          <w:spacing w:val="-3"/>
        </w:rPr>
        <w:t> </w:t>
      </w:r>
      <w:r>
        <w:rPr/>
        <w:t>y</w:t>
      </w:r>
      <w:r>
        <w:rPr>
          <w:spacing w:val="-13"/>
        </w:rPr>
        <w:t> </w:t>
      </w:r>
      <w:r>
        <w:rPr/>
        <w:t>el</w:t>
      </w:r>
      <w:r>
        <w:rPr>
          <w:spacing w:val="-8"/>
        </w:rPr>
        <w:t> </w:t>
      </w:r>
      <w:r>
        <w:rPr/>
        <w:t>margen</w:t>
      </w:r>
      <w:r>
        <w:rPr>
          <w:spacing w:val="-9"/>
        </w:rPr>
        <w:t> </w:t>
      </w:r>
      <w:r>
        <w:rPr/>
        <w:t>neto</w:t>
      </w:r>
      <w:r>
        <w:rPr>
          <w:spacing w:val="-8"/>
        </w:rPr>
        <w:t> </w:t>
      </w:r>
      <w:r>
        <w:rPr/>
        <w:t>de</w:t>
      </w:r>
      <w:r>
        <w:rPr>
          <w:spacing w:val="-10"/>
        </w:rPr>
        <w:t> </w:t>
      </w:r>
      <w:r>
        <w:rPr/>
        <w:t>comercialización</w:t>
      </w:r>
      <w:r>
        <w:rPr>
          <w:spacing w:val="-8"/>
        </w:rPr>
        <w:t> </w:t>
      </w:r>
      <w:r>
        <w:rPr/>
        <w:t>(MNC).</w:t>
      </w:r>
      <w:r>
        <w:rPr>
          <w:spacing w:val="-9"/>
        </w:rPr>
        <w:t> </w:t>
      </w:r>
      <w:r>
        <w:rPr/>
        <w:t>Esta metodología fue propuesta y utilizada por Iturrioz y Iglesias (2006), Espinosa et al. (2008), Martínez et al. (2013), entre otros. Se utilizaron las siguientes</w:t>
      </w:r>
      <w:r>
        <w:rPr>
          <w:spacing w:val="-13"/>
        </w:rPr>
        <w:t> </w:t>
      </w:r>
      <w:r>
        <w:rPr/>
        <w:t>formulas:</w:t>
      </w:r>
    </w:p>
    <w:p>
      <w:pPr>
        <w:pStyle w:val="BodyText"/>
        <w:spacing w:before="8"/>
        <w:rPr>
          <w:sz w:val="28"/>
        </w:rPr>
      </w:pPr>
    </w:p>
    <w:p>
      <w:pPr>
        <w:pStyle w:val="BodyText"/>
        <w:tabs>
          <w:tab w:pos="1856" w:val="left" w:leader="none"/>
          <w:tab w:pos="4480" w:val="left" w:leader="none"/>
        </w:tabs>
        <w:spacing w:line="329" w:lineRule="exact" w:before="66"/>
        <w:ind w:left="1510"/>
        <w:rPr>
          <w:rFonts w:ascii="Cambria Math" w:hAnsi="Cambria Math" w:eastAsia="Cambria Math"/>
        </w:rPr>
      </w:pPr>
      <w:r>
        <w:rPr>
          <w:rFonts w:ascii="Cambria Math" w:hAnsi="Cambria Math" w:eastAsia="Cambria Math"/>
          <w:position w:val="-15"/>
        </w:rPr>
        <w:t>(</w:t>
        <w:tab/>
      </w:r>
      <w:r>
        <w:rPr>
          <w:rFonts w:ascii="Cambria Math" w:hAnsi="Cambria Math" w:eastAsia="Cambria Math"/>
          <w:spacing w:val="-16"/>
          <w:w w:val="80"/>
        </w:rPr>
        <w:t>����𝑖�  �� </w:t>
      </w:r>
      <w:r>
        <w:rPr>
          <w:rFonts w:ascii="Cambria Math" w:hAnsi="Cambria Math" w:eastAsia="Cambria Math"/>
          <w:spacing w:val="-8"/>
          <w:w w:val="80"/>
        </w:rPr>
        <w:t> </w:t>
      </w:r>
      <w:r>
        <w:rPr>
          <w:rFonts w:ascii="Cambria Math" w:hAnsi="Cambria Math" w:eastAsia="Cambria Math"/>
          <w:spacing w:val="-16"/>
          <w:w w:val="80"/>
        </w:rPr>
        <w:t>�� </w:t>
      </w:r>
      <w:r>
        <w:rPr>
          <w:rFonts w:ascii="Cambria Math" w:hAnsi="Cambria Math" w:eastAsia="Cambria Math"/>
          <w:spacing w:val="-10"/>
          <w:w w:val="80"/>
        </w:rPr>
        <w:t> </w:t>
      </w:r>
      <w:r>
        <w:rPr>
          <w:rFonts w:ascii="Cambria Math" w:hAnsi="Cambria Math" w:eastAsia="Cambria Math"/>
          <w:spacing w:val="-16"/>
          <w:w w:val="80"/>
        </w:rPr>
        <w:t>��������</w:t>
        <w:tab/>
      </w:r>
      <w:r>
        <w:rPr>
          <w:rFonts w:ascii="Cambria Math" w:hAnsi="Cambria Math" w:eastAsia="Cambria Math"/>
          <w:spacing w:val="-16"/>
          <w:w w:val="80"/>
          <w:position w:val="-15"/>
        </w:rPr>
        <w:t>)  −</w:t>
      </w:r>
      <w:r>
        <w:rPr>
          <w:rFonts w:ascii="Cambria Math" w:hAnsi="Cambria Math" w:eastAsia="Cambria Math"/>
          <w:spacing w:val="10"/>
          <w:w w:val="80"/>
          <w:position w:val="-15"/>
        </w:rPr>
        <w:t> </w:t>
      </w:r>
      <w:r>
        <w:rPr>
          <w:rFonts w:ascii="Cambria Math" w:hAnsi="Cambria Math" w:eastAsia="Cambria Math"/>
          <w:spacing w:val="-16"/>
          <w:w w:val="80"/>
          <w:position w:val="-15"/>
        </w:rPr>
        <w:t>(</w:t>
      </w:r>
      <w:r>
        <w:rPr>
          <w:rFonts w:ascii="Cambria Math" w:hAnsi="Cambria Math" w:eastAsia="Cambria Math"/>
          <w:spacing w:val="-16"/>
          <w:w w:val="80"/>
        </w:rPr>
        <w:t>����𝑖� </w:t>
      </w:r>
      <w:r>
        <w:rPr>
          <w:rFonts w:ascii="Cambria Math" w:hAnsi="Cambria Math" w:eastAsia="Cambria Math"/>
          <w:spacing w:val="-14"/>
          <w:w w:val="80"/>
        </w:rPr>
        <w:t> </w:t>
      </w:r>
      <w:r>
        <w:rPr>
          <w:rFonts w:ascii="Cambria Math" w:hAnsi="Cambria Math" w:eastAsia="Cambria Math"/>
          <w:spacing w:val="-15"/>
          <w:w w:val="80"/>
        </w:rPr>
        <w:t>���𝑖�𝑖��</w:t>
      </w:r>
      <w:r>
        <w:rPr>
          <w:rFonts w:ascii="Cambria Math" w:hAnsi="Cambria Math" w:eastAsia="Cambria Math"/>
          <w:spacing w:val="2"/>
        </w:rPr>
        <w:t> </w:t>
      </w:r>
      <w:r>
        <w:rPr>
          <w:rFonts w:ascii="Cambria Math" w:hAnsi="Cambria Math" w:eastAsia="Cambria Math"/>
          <w:w w:val="85"/>
        </w:rPr>
        <w:t>���</w:t>
      </w:r>
      <w:r>
        <w:rPr>
          <w:rFonts w:ascii="Cambria Math" w:hAnsi="Cambria Math" w:eastAsia="Cambria Math"/>
          <w:spacing w:val="6"/>
          <w:w w:val="85"/>
        </w:rPr>
        <w:t> </w:t>
      </w:r>
      <w:r>
        <w:rPr>
          <w:rFonts w:ascii="Cambria Math" w:hAnsi="Cambria Math" w:eastAsia="Cambria Math"/>
          <w:w w:val="85"/>
          <w:position w:val="-15"/>
        </w:rPr>
        <w:t>)</w:t>
      </w:r>
    </w:p>
    <w:p>
      <w:pPr>
        <w:spacing w:after="0" w:line="329" w:lineRule="exact"/>
        <w:rPr>
          <w:rFonts w:ascii="Cambria Math" w:hAnsi="Cambria Math" w:eastAsia="Cambria Math"/>
        </w:rPr>
        <w:sectPr>
          <w:pgSz w:w="12240" w:h="15840"/>
          <w:pgMar w:header="0" w:footer="657" w:top="1360" w:bottom="840" w:left="1600" w:right="1580"/>
        </w:sectPr>
      </w:pPr>
    </w:p>
    <w:p>
      <w:pPr>
        <w:pStyle w:val="BodyText"/>
        <w:spacing w:line="194" w:lineRule="exact" w:before="125"/>
        <w:ind w:left="581"/>
        <w:rPr>
          <w:rFonts w:ascii="Cambria Math" w:eastAsia="Cambria Math"/>
        </w:rPr>
      </w:pPr>
      <w:r>
        <w:rPr/>
        <w:pict>
          <v:line style="position:absolute;mso-position-horizontal-relative:page;mso-position-vertical-relative:paragraph;z-index:-456448" from="155.539993pt,14.232353pt" to="443.109993pt,14.232353pt" stroked="true" strokeweight=".84pt" strokecolor="#000000">
            <w10:wrap type="none"/>
          </v:line>
        </w:pict>
      </w:r>
      <w:r>
        <w:rPr>
          <w:rFonts w:ascii="Cambria Math" w:eastAsia="Cambria Math"/>
          <w:w w:val="105"/>
        </w:rPr>
        <w:t>��� = [</w:t>
      </w:r>
    </w:p>
    <w:p>
      <w:pPr>
        <w:pStyle w:val="BodyText"/>
        <w:spacing w:line="248" w:lineRule="exact"/>
        <w:ind w:left="77"/>
        <w:rPr>
          <w:rFonts w:ascii="Cambria Math" w:eastAsia="Cambria Math"/>
        </w:rPr>
      </w:pPr>
      <w:r>
        <w:rPr/>
        <w:br w:type="column"/>
      </w:r>
      <w:r>
        <w:rPr>
          <w:rFonts w:ascii="Cambria Math" w:eastAsia="Cambria Math"/>
          <w:w w:val="95"/>
        </w:rPr>
        <w:t>������ ��� �� ������𝑖���</w:t>
      </w:r>
    </w:p>
    <w:p>
      <w:pPr>
        <w:pStyle w:val="BodyText"/>
        <w:spacing w:line="248" w:lineRule="exact"/>
        <w:ind w:left="582"/>
        <w:rPr>
          <w:rFonts w:ascii="Cambria Math" w:eastAsia="Cambria Math"/>
        </w:rPr>
      </w:pPr>
      <w:r>
        <w:rPr/>
        <w:br w:type="column"/>
      </w:r>
      <w:r>
        <w:rPr>
          <w:rFonts w:ascii="Cambria Math" w:eastAsia="Cambria Math"/>
          <w:w w:val="85"/>
        </w:rPr>
        <w:t>�� </w:t>
      </w:r>
      <w:r>
        <w:rPr>
          <w:rFonts w:ascii="Cambria Math" w:eastAsia="Cambria Math"/>
          <w:w w:val="80"/>
        </w:rPr>
        <w:t>��������� </w:t>
      </w:r>
      <w:r>
        <w:rPr>
          <w:rFonts w:ascii="Cambria Math" w:eastAsia="Cambria Math"/>
          <w:w w:val="85"/>
        </w:rPr>
        <w:t>�� �</w:t>
      </w:r>
    </w:p>
    <w:p>
      <w:pPr>
        <w:pStyle w:val="BodyText"/>
        <w:tabs>
          <w:tab w:pos="1546" w:val="left" w:leader="none"/>
        </w:tabs>
        <w:spacing w:line="210" w:lineRule="exact" w:before="109"/>
        <w:ind w:left="223"/>
      </w:pPr>
      <w:r>
        <w:rPr/>
        <w:br w:type="column"/>
      </w:r>
      <w:r>
        <w:rPr>
          <w:rFonts w:ascii="Cambria Math" w:hAnsi="Cambria Math"/>
          <w:w w:val="105"/>
        </w:rPr>
        <w:t>]</w:t>
      </w:r>
      <w:r>
        <w:rPr>
          <w:rFonts w:ascii="Cambria Math" w:hAnsi="Cambria Math"/>
          <w:spacing w:val="-6"/>
          <w:w w:val="105"/>
        </w:rPr>
        <w:t> </w:t>
      </w:r>
      <w:r>
        <w:rPr>
          <w:rFonts w:ascii="Cambria Math" w:hAnsi="Cambria Math"/>
          <w:w w:val="105"/>
        </w:rPr>
        <w:t>∗</w:t>
      </w:r>
      <w:r>
        <w:rPr>
          <w:rFonts w:ascii="Cambria Math" w:hAnsi="Cambria Math"/>
          <w:spacing w:val="-7"/>
          <w:w w:val="105"/>
        </w:rPr>
        <w:t> </w:t>
      </w:r>
      <w:r>
        <w:rPr>
          <w:rFonts w:ascii="Cambria Math" w:hAnsi="Cambria Math"/>
          <w:w w:val="105"/>
        </w:rPr>
        <w:t>100</w:t>
        <w:tab/>
      </w:r>
      <w:r>
        <w:rPr>
          <w:w w:val="105"/>
          <w:position w:val="2"/>
        </w:rPr>
        <w:t>68)</w:t>
      </w:r>
    </w:p>
    <w:p>
      <w:pPr>
        <w:spacing w:after="0" w:line="210" w:lineRule="exact"/>
        <w:sectPr>
          <w:type w:val="continuous"/>
          <w:pgSz w:w="12240" w:h="15840"/>
          <w:pgMar w:top="1360" w:bottom="280" w:left="1600" w:right="1580"/>
          <w:cols w:num="4" w:equalWidth="0">
            <w:col w:w="1512" w:space="40"/>
            <w:col w:w="2921" w:space="89"/>
            <w:col w:w="2438" w:space="40"/>
            <w:col w:w="2020"/>
          </w:cols>
        </w:sectPr>
      </w:pPr>
    </w:p>
    <w:p>
      <w:pPr>
        <w:pStyle w:val="BodyText"/>
        <w:spacing w:line="248" w:lineRule="exact"/>
        <w:ind w:left="1736"/>
        <w:rPr>
          <w:rFonts w:ascii="Cambria Math" w:eastAsia="Cambria Math"/>
        </w:rPr>
      </w:pPr>
      <w:r>
        <w:rPr>
          <w:rFonts w:ascii="Cambria Math" w:eastAsia="Cambria Math"/>
          <w:w w:val="90"/>
        </w:rPr>
        <w:t>����𝑖� �� �� �������� ������ ��� �� </w:t>
      </w:r>
      <w:r>
        <w:rPr>
          <w:rFonts w:ascii="Cambria Math" w:eastAsia="Cambria Math"/>
          <w:w w:val="95"/>
        </w:rPr>
        <w:t>������𝑖���</w:t>
      </w:r>
    </w:p>
    <w:p>
      <w:pPr>
        <w:pStyle w:val="BodyText"/>
        <w:rPr>
          <w:rFonts w:ascii="Cambria Math"/>
          <w:sz w:val="20"/>
        </w:rPr>
      </w:pPr>
    </w:p>
    <w:p>
      <w:pPr>
        <w:pStyle w:val="BodyText"/>
        <w:rPr>
          <w:rFonts w:ascii="Cambria Math"/>
          <w:sz w:val="20"/>
        </w:rPr>
      </w:pPr>
    </w:p>
    <w:p>
      <w:pPr>
        <w:pStyle w:val="BodyText"/>
        <w:spacing w:before="11"/>
        <w:rPr>
          <w:rFonts w:ascii="Cambria Math"/>
          <w:sz w:val="18"/>
        </w:rPr>
      </w:pPr>
    </w:p>
    <w:p>
      <w:pPr>
        <w:spacing w:after="0"/>
        <w:rPr>
          <w:rFonts w:ascii="Cambria Math"/>
          <w:sz w:val="18"/>
        </w:rPr>
        <w:sectPr>
          <w:type w:val="continuous"/>
          <w:pgSz w:w="12240" w:h="15840"/>
          <w:pgMar w:top="1360" w:bottom="280" w:left="1600" w:right="1580"/>
        </w:sectPr>
      </w:pPr>
    </w:p>
    <w:p>
      <w:pPr>
        <w:pStyle w:val="BodyText"/>
        <w:spacing w:before="3"/>
        <w:rPr>
          <w:rFonts w:ascii="Cambria Math"/>
          <w:sz w:val="21"/>
        </w:rPr>
      </w:pPr>
    </w:p>
    <w:p>
      <w:pPr>
        <w:pStyle w:val="BodyText"/>
        <w:spacing w:line="194" w:lineRule="exact"/>
        <w:jc w:val="right"/>
        <w:rPr>
          <w:rFonts w:ascii="Cambria Math" w:eastAsia="Cambria Math"/>
        </w:rPr>
      </w:pPr>
      <w:r>
        <w:rPr/>
        <w:pict>
          <v:line style="position:absolute;mso-position-horizontal-relative:page;mso-position-vertical-relative:paragraph;z-index:-456424" from="240.289993pt,7.982358pt" to="355.989993pt,7.982358pt" stroked="true" strokeweight=".84pt" strokecolor="#000000">
            <w10:wrap type="none"/>
          </v:line>
        </w:pict>
      </w:r>
      <w:r>
        <w:rPr>
          <w:rFonts w:ascii="Cambria Math" w:eastAsia="Cambria Math"/>
          <w:w w:val="105"/>
        </w:rPr>
        <w:t>��� = (</w:t>
      </w:r>
    </w:p>
    <w:p>
      <w:pPr>
        <w:pStyle w:val="BodyText"/>
        <w:spacing w:before="67"/>
        <w:ind w:left="23"/>
        <w:rPr>
          <w:rFonts w:ascii="Cambria Math" w:eastAsia="Cambria Math"/>
        </w:rPr>
      </w:pPr>
      <w:r>
        <w:rPr/>
        <w:br w:type="column"/>
      </w:r>
      <w:r>
        <w:rPr>
          <w:rFonts w:ascii="Cambria Math" w:eastAsia="Cambria Math"/>
          <w:w w:val="85"/>
        </w:rPr>
        <w:t>����𝑖� �� ���������</w:t>
      </w:r>
    </w:p>
    <w:p>
      <w:pPr>
        <w:pStyle w:val="BodyText"/>
        <w:spacing w:before="3"/>
        <w:rPr>
          <w:rFonts w:ascii="Cambria Math"/>
          <w:sz w:val="21"/>
        </w:rPr>
      </w:pPr>
      <w:r>
        <w:rPr/>
        <w:br w:type="column"/>
      </w:r>
      <w:r>
        <w:rPr>
          <w:rFonts w:ascii="Cambria Math"/>
          <w:sz w:val="21"/>
        </w:rPr>
      </w:r>
    </w:p>
    <w:p>
      <w:pPr>
        <w:pStyle w:val="BodyText"/>
        <w:spacing w:line="194" w:lineRule="exact"/>
        <w:ind w:left="86"/>
        <w:rPr>
          <w:rFonts w:ascii="Cambria Math" w:hAnsi="Cambria Math"/>
        </w:rPr>
      </w:pPr>
      <w:r>
        <w:rPr>
          <w:rFonts w:ascii="Cambria Math" w:hAnsi="Cambria Math"/>
          <w:w w:val="105"/>
        </w:rPr>
        <w:t>) ∗ 100</w:t>
      </w:r>
    </w:p>
    <w:p>
      <w:pPr>
        <w:spacing w:after="0" w:line="194" w:lineRule="exact"/>
        <w:rPr>
          <w:rFonts w:ascii="Cambria Math" w:hAnsi="Cambria Math"/>
        </w:rPr>
        <w:sectPr>
          <w:type w:val="continuous"/>
          <w:pgSz w:w="12240" w:h="15840"/>
          <w:pgMar w:top="1360" w:bottom="280" w:left="1600" w:right="1580"/>
          <w:cols w:num="3" w:equalWidth="0">
            <w:col w:w="3207" w:space="40"/>
            <w:col w:w="2147" w:space="40"/>
            <w:col w:w="3626"/>
          </w:cols>
        </w:sectPr>
      </w:pPr>
    </w:p>
    <w:p>
      <w:pPr>
        <w:pStyle w:val="BodyText"/>
        <w:spacing w:line="248" w:lineRule="exact"/>
        <w:ind w:left="3205"/>
        <w:rPr>
          <w:rFonts w:ascii="Cambria Math" w:eastAsia="Cambria Math"/>
        </w:rPr>
      </w:pPr>
      <w:r>
        <w:rPr>
          <w:rFonts w:ascii="Cambria Math" w:eastAsia="Cambria Math"/>
          <w:w w:val="90"/>
        </w:rPr>
        <w:t>����𝑖� �� ������𝑖���</w:t>
      </w:r>
    </w:p>
    <w:p>
      <w:pPr>
        <w:spacing w:before="64"/>
        <w:ind w:left="0" w:right="152" w:firstLine="0"/>
        <w:jc w:val="right"/>
        <w:rPr>
          <w:sz w:val="24"/>
        </w:rPr>
      </w:pPr>
      <w:r>
        <w:rPr/>
        <w:br w:type="column"/>
      </w:r>
      <w:r>
        <w:rPr>
          <w:sz w:val="24"/>
        </w:rPr>
        <w:t>69)</w:t>
      </w:r>
    </w:p>
    <w:p>
      <w:pPr>
        <w:spacing w:after="0"/>
        <w:jc w:val="right"/>
        <w:rPr>
          <w:sz w:val="24"/>
        </w:rPr>
        <w:sectPr>
          <w:type w:val="continuous"/>
          <w:pgSz w:w="12240" w:h="15840"/>
          <w:pgMar w:top="1360" w:bottom="280" w:left="1600" w:right="1580"/>
          <w:cols w:num="2" w:equalWidth="0">
            <w:col w:w="5512" w:space="40"/>
            <w:col w:w="3508"/>
          </w:cols>
        </w:sectPr>
      </w:pPr>
    </w:p>
    <w:p>
      <w:pPr>
        <w:pStyle w:val="BodyText"/>
        <w:rPr>
          <w:sz w:val="20"/>
        </w:rPr>
      </w:pPr>
    </w:p>
    <w:p>
      <w:pPr>
        <w:pStyle w:val="BodyText"/>
        <w:rPr>
          <w:sz w:val="20"/>
        </w:rPr>
      </w:pPr>
    </w:p>
    <w:p>
      <w:pPr>
        <w:pStyle w:val="BodyText"/>
        <w:spacing w:before="3"/>
        <w:rPr>
          <w:sz w:val="25"/>
        </w:rPr>
      </w:pPr>
    </w:p>
    <w:p>
      <w:pPr>
        <w:spacing w:after="0"/>
        <w:rPr>
          <w:sz w:val="25"/>
        </w:rPr>
        <w:sectPr>
          <w:type w:val="continuous"/>
          <w:pgSz w:w="12240" w:h="15840"/>
          <w:pgMar w:top="1360" w:bottom="280" w:left="1600" w:right="1580"/>
        </w:sectPr>
      </w:pPr>
    </w:p>
    <w:p>
      <w:pPr>
        <w:pStyle w:val="BodyText"/>
      </w:pPr>
    </w:p>
    <w:p>
      <w:pPr>
        <w:pStyle w:val="BodyText"/>
        <w:spacing w:line="194" w:lineRule="exact" w:before="194"/>
        <w:ind w:left="783"/>
        <w:rPr>
          <w:rFonts w:ascii="Cambria Math" w:eastAsia="Cambria Math"/>
        </w:rPr>
      </w:pPr>
      <w:r>
        <w:rPr>
          <w:rFonts w:ascii="Cambria Math" w:eastAsia="Cambria Math"/>
          <w:w w:val="110"/>
        </w:rPr>
        <w:t>��� = [</w:t>
      </w:r>
    </w:p>
    <w:p>
      <w:pPr>
        <w:pStyle w:val="BodyText"/>
        <w:spacing w:line="112" w:lineRule="auto" w:before="187"/>
        <w:ind w:left="-38" w:firstLine="117"/>
        <w:rPr>
          <w:rFonts w:ascii="Cambria Math" w:eastAsia="Cambria Math"/>
        </w:rPr>
      </w:pPr>
      <w:r>
        <w:rPr/>
        <w:br w:type="column"/>
      </w:r>
      <w:r>
        <w:rPr>
          <w:rFonts w:ascii="Cambria Math" w:eastAsia="Cambria Math"/>
          <w:w w:val="85"/>
        </w:rPr>
        <w:t>����𝑖� �� </w:t>
      </w:r>
      <w:r>
        <w:rPr>
          <w:rFonts w:ascii="Cambria Math" w:eastAsia="Cambria Math"/>
          <w:w w:val="80"/>
        </w:rPr>
        <w:t>��������� (</w:t>
      </w:r>
    </w:p>
    <w:p>
      <w:pPr>
        <w:pStyle w:val="BodyText"/>
        <w:spacing w:line="189" w:lineRule="exact"/>
        <w:ind w:left="420"/>
        <w:rPr>
          <w:rFonts w:ascii="Cambria Math" w:eastAsia="Cambria Math"/>
        </w:rPr>
      </w:pPr>
      <w:r>
        <w:rPr/>
        <w:pict>
          <v:line style="position:absolute;mso-position-horizontal-relative:page;mso-position-vertical-relative:paragraph;z-index:-456400" from="166.580002pt,8.886964pt" to="426.310002pt,8.886964pt" stroked="true" strokeweight=".84pt" strokecolor="#000000">
            <w10:wrap type="none"/>
          </v:line>
        </w:pict>
      </w:r>
      <w:r>
        <w:rPr>
          <w:rFonts w:ascii="Cambria Math" w:eastAsia="Cambria Math"/>
        </w:rPr>
        <w:t>�� �� 𝑖�����</w:t>
      </w:r>
    </w:p>
    <w:p>
      <w:pPr>
        <w:pStyle w:val="BodyText"/>
        <w:spacing w:line="353" w:lineRule="exact" w:before="67"/>
        <w:ind w:left="-32"/>
        <w:rPr>
          <w:rFonts w:ascii="Cambria Math" w:hAnsi="Cambria Math" w:eastAsia="Cambria Math"/>
        </w:rPr>
      </w:pPr>
      <w:r>
        <w:rPr/>
        <w:br w:type="column"/>
      </w:r>
      <w:r>
        <w:rPr>
          <w:rFonts w:ascii="Cambria Math" w:hAnsi="Cambria Math" w:eastAsia="Cambria Math"/>
          <w:position w:val="-12"/>
        </w:rPr>
        <w:t>) − </w:t>
      </w:r>
      <w:r>
        <w:rPr>
          <w:rFonts w:ascii="Cambria Math" w:hAnsi="Cambria Math" w:eastAsia="Cambria Math"/>
        </w:rPr>
        <w:t>������ �� �������𝑖ó�</w:t>
      </w:r>
    </w:p>
    <w:p>
      <w:pPr>
        <w:pStyle w:val="BodyText"/>
        <w:spacing w:line="223" w:lineRule="exact"/>
        <w:ind w:left="1048"/>
        <w:rPr>
          <w:rFonts w:ascii="Cambria Math" w:eastAsia="Cambria Math"/>
        </w:rPr>
      </w:pPr>
      <w:r>
        <w:rPr/>
        <w:pict>
          <v:shape style="position:absolute;margin-left:299.089996pt;margin-top:-9.387791pt;width:5.9pt;height:12pt;mso-position-horizontal-relative:page;mso-position-vertical-relative:paragraph;z-index:-456376" type="#_x0000_t202" filled="false" stroked="false">
            <v:textbox inset="0,0,0,0">
              <w:txbxContent>
                <w:p>
                  <w:pPr>
                    <w:pStyle w:val="BodyText"/>
                    <w:spacing w:line="240" w:lineRule="exact"/>
                    <w:rPr>
                      <w:rFonts w:ascii="Cambria Math"/>
                    </w:rPr>
                  </w:pPr>
                  <w:r>
                    <w:rPr>
                      <w:rFonts w:ascii="Cambria Math"/>
                      <w:w w:val="118"/>
                    </w:rPr>
                    <w:t>(</w:t>
                  </w:r>
                </w:p>
              </w:txbxContent>
            </v:textbox>
            <w10:wrap type="none"/>
          </v:shape>
        </w:pict>
      </w:r>
      <w:r>
        <w:rPr>
          <w:rFonts w:ascii="Cambria Math" w:eastAsia="Cambria Math"/>
          <w:w w:val="95"/>
        </w:rPr>
        <w:t>��� 𝑖�����</w:t>
      </w:r>
    </w:p>
    <w:p>
      <w:pPr>
        <w:spacing w:line="276" w:lineRule="exact" w:before="199"/>
        <w:ind w:left="-37" w:right="0" w:firstLine="0"/>
        <w:jc w:val="left"/>
        <w:rPr>
          <w:rFonts w:ascii="Cambria Math"/>
          <w:sz w:val="24"/>
        </w:rPr>
      </w:pPr>
      <w:r>
        <w:rPr/>
        <w:br w:type="column"/>
      </w:r>
      <w:r>
        <w:rPr>
          <w:rFonts w:ascii="Cambria Math"/>
          <w:w w:val="120"/>
          <w:sz w:val="24"/>
        </w:rPr>
        <w:t>)</w:t>
      </w:r>
    </w:p>
    <w:p>
      <w:pPr>
        <w:pStyle w:val="BodyText"/>
        <w:tabs>
          <w:tab w:pos="1740" w:val="left" w:leader="none"/>
        </w:tabs>
        <w:spacing w:line="190" w:lineRule="exact"/>
        <w:ind w:left="81"/>
      </w:pPr>
      <w:r>
        <w:rPr>
          <w:rFonts w:ascii="Cambria Math" w:hAnsi="Cambria Math"/>
          <w:w w:val="105"/>
          <w:position w:val="2"/>
        </w:rPr>
        <w:t>]</w:t>
      </w:r>
      <w:r>
        <w:rPr>
          <w:rFonts w:ascii="Cambria Math" w:hAnsi="Cambria Math"/>
          <w:spacing w:val="-8"/>
          <w:w w:val="105"/>
          <w:position w:val="2"/>
        </w:rPr>
        <w:t> </w:t>
      </w:r>
      <w:r>
        <w:rPr>
          <w:rFonts w:ascii="Cambria Math" w:hAnsi="Cambria Math"/>
          <w:w w:val="105"/>
          <w:position w:val="2"/>
        </w:rPr>
        <w:t>∗</w:t>
      </w:r>
      <w:r>
        <w:rPr>
          <w:rFonts w:ascii="Cambria Math" w:hAnsi="Cambria Math"/>
          <w:spacing w:val="-7"/>
          <w:w w:val="105"/>
          <w:position w:val="2"/>
        </w:rPr>
        <w:t> </w:t>
      </w:r>
      <w:r>
        <w:rPr>
          <w:rFonts w:ascii="Cambria Math" w:hAnsi="Cambria Math"/>
          <w:w w:val="105"/>
          <w:position w:val="2"/>
        </w:rPr>
        <w:t>1000</w:t>
        <w:tab/>
      </w:r>
      <w:r>
        <w:rPr>
          <w:w w:val="105"/>
        </w:rPr>
        <w:t>70)</w:t>
      </w:r>
    </w:p>
    <w:p>
      <w:pPr>
        <w:spacing w:after="0" w:line="190" w:lineRule="exact"/>
        <w:sectPr>
          <w:type w:val="continuous"/>
          <w:pgSz w:w="12240" w:h="15840"/>
          <w:pgMar w:top="1360" w:bottom="280" w:left="1600" w:right="1580"/>
          <w:cols w:num="4" w:equalWidth="0">
            <w:col w:w="1730" w:space="40"/>
            <w:col w:w="2201" w:space="40"/>
            <w:col w:w="2795" w:space="40"/>
            <w:col w:w="2214"/>
          </w:cols>
        </w:sectPr>
      </w:pPr>
    </w:p>
    <w:p>
      <w:pPr>
        <w:pStyle w:val="BodyText"/>
        <w:spacing w:line="248" w:lineRule="exact"/>
        <w:ind w:left="719" w:right="1127"/>
        <w:jc w:val="center"/>
        <w:rPr>
          <w:rFonts w:ascii="Cambria Math" w:eastAsia="Cambria Math"/>
        </w:rPr>
      </w:pPr>
      <w:r>
        <w:rPr>
          <w:rFonts w:ascii="Cambria Math" w:eastAsia="Cambria Math"/>
          <w:w w:val="80"/>
        </w:rPr>
        <w:t>����𝑖�      ��     ������𝑖���</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8"/>
        <w:rPr>
          <w:rFonts w:ascii="Cambria Math"/>
          <w:sz w:val="16"/>
        </w:rPr>
      </w:pPr>
    </w:p>
    <w:p>
      <w:pPr>
        <w:pStyle w:val="Heading1"/>
        <w:numPr>
          <w:ilvl w:val="1"/>
          <w:numId w:val="27"/>
        </w:numPr>
        <w:tabs>
          <w:tab w:pos="462" w:val="left" w:leader="none"/>
        </w:tabs>
        <w:spacing w:line="240" w:lineRule="auto" w:before="70" w:after="0"/>
        <w:ind w:left="462" w:right="0" w:hanging="360"/>
        <w:jc w:val="both"/>
      </w:pPr>
      <w:r>
        <w:rPr/>
        <w:t>Resultados</w:t>
      </w:r>
    </w:p>
    <w:p>
      <w:pPr>
        <w:pStyle w:val="BodyText"/>
        <w:rPr>
          <w:b/>
        </w:rPr>
      </w:pPr>
    </w:p>
    <w:p>
      <w:pPr>
        <w:pStyle w:val="BodyText"/>
        <w:rPr>
          <w:b/>
        </w:rPr>
      </w:pPr>
    </w:p>
    <w:p>
      <w:pPr>
        <w:pStyle w:val="ListParagraph"/>
        <w:numPr>
          <w:ilvl w:val="1"/>
          <w:numId w:val="27"/>
        </w:numPr>
        <w:tabs>
          <w:tab w:pos="462" w:val="left" w:leader="none"/>
        </w:tabs>
        <w:spacing w:line="240" w:lineRule="auto" w:before="0" w:after="0"/>
        <w:ind w:left="462" w:right="0" w:hanging="360"/>
        <w:jc w:val="both"/>
        <w:rPr>
          <w:b/>
          <w:sz w:val="24"/>
        </w:rPr>
      </w:pPr>
      <w:r>
        <w:rPr>
          <w:b/>
          <w:sz w:val="24"/>
        </w:rPr>
        <w:t>Análisis de competitividad para el eslabón de producción de</w:t>
      </w:r>
      <w:r>
        <w:rPr>
          <w:b/>
          <w:spacing w:val="-15"/>
          <w:sz w:val="24"/>
        </w:rPr>
        <w:t> </w:t>
      </w:r>
      <w:r>
        <w:rPr>
          <w:b/>
          <w:sz w:val="24"/>
        </w:rPr>
        <w:t>insumos</w:t>
      </w:r>
    </w:p>
    <w:p>
      <w:pPr>
        <w:pStyle w:val="BodyText"/>
        <w:rPr>
          <w:b/>
        </w:rPr>
      </w:pPr>
    </w:p>
    <w:p>
      <w:pPr>
        <w:pStyle w:val="BodyText"/>
        <w:spacing w:before="6"/>
        <w:rPr>
          <w:b/>
          <w:sz w:val="23"/>
        </w:rPr>
      </w:pPr>
    </w:p>
    <w:p>
      <w:pPr>
        <w:pStyle w:val="BodyText"/>
        <w:spacing w:line="360" w:lineRule="auto"/>
        <w:ind w:left="102" w:right="117"/>
        <w:jc w:val="both"/>
      </w:pPr>
      <w:r>
        <w:rPr/>
        <w:t>La estructura de costos de producción por cultivo a precios privados, se constituyó principalmente, excepto por el cultivo de alfalfa, por el valor de los insumos comercializables, al tener una participación de 57, 75 y 85% para los cultivos de ensilado</w:t>
      </w:r>
      <w:r>
        <w:rPr>
          <w:spacing w:val="-33"/>
        </w:rPr>
        <w:t> </w:t>
      </w:r>
      <w:r>
        <w:rPr/>
        <w:t>de maíz, avena y maíz respectivamente. Este alto costo se explica por el componente del principal</w:t>
      </w:r>
      <w:r>
        <w:rPr>
          <w:spacing w:val="29"/>
        </w:rPr>
        <w:t> </w:t>
      </w:r>
      <w:r>
        <w:rPr/>
        <w:t>insumo</w:t>
      </w:r>
      <w:r>
        <w:rPr>
          <w:spacing w:val="29"/>
        </w:rPr>
        <w:t> </w:t>
      </w:r>
      <w:r>
        <w:rPr/>
        <w:t>en</w:t>
      </w:r>
      <w:r>
        <w:rPr>
          <w:spacing w:val="32"/>
        </w:rPr>
        <w:t> </w:t>
      </w:r>
      <w:r>
        <w:rPr/>
        <w:t>la</w:t>
      </w:r>
      <w:r>
        <w:rPr>
          <w:spacing w:val="31"/>
        </w:rPr>
        <w:t> </w:t>
      </w:r>
      <w:r>
        <w:rPr/>
        <w:t>producción</w:t>
      </w:r>
      <w:r>
        <w:rPr>
          <w:spacing w:val="32"/>
        </w:rPr>
        <w:t> </w:t>
      </w:r>
      <w:r>
        <w:rPr/>
        <w:t>(semilla)</w:t>
      </w:r>
      <w:r>
        <w:rPr>
          <w:spacing w:val="34"/>
        </w:rPr>
        <w:t> </w:t>
      </w:r>
      <w:r>
        <w:rPr/>
        <w:t>y</w:t>
      </w:r>
      <w:r>
        <w:rPr>
          <w:spacing w:val="27"/>
        </w:rPr>
        <w:t> </w:t>
      </w:r>
      <w:r>
        <w:rPr/>
        <w:t>el</w:t>
      </w:r>
      <w:r>
        <w:rPr>
          <w:spacing w:val="32"/>
        </w:rPr>
        <w:t> </w:t>
      </w:r>
      <w:r>
        <w:rPr/>
        <w:t>costo</w:t>
      </w:r>
      <w:r>
        <w:rPr>
          <w:spacing w:val="30"/>
        </w:rPr>
        <w:t> </w:t>
      </w:r>
      <w:r>
        <w:rPr/>
        <w:t>de</w:t>
      </w:r>
      <w:r>
        <w:rPr>
          <w:spacing w:val="31"/>
        </w:rPr>
        <w:t> </w:t>
      </w:r>
      <w:r>
        <w:rPr/>
        <w:t>arrendamiento</w:t>
      </w:r>
      <w:r>
        <w:rPr>
          <w:spacing w:val="32"/>
        </w:rPr>
        <w:t> </w:t>
      </w:r>
      <w:r>
        <w:rPr/>
        <w:t>del</w:t>
      </w:r>
      <w:r>
        <w:rPr>
          <w:spacing w:val="30"/>
        </w:rPr>
        <w:t> </w:t>
      </w:r>
      <w:r>
        <w:rPr/>
        <w:t>tractor</w:t>
      </w:r>
      <w:r>
        <w:rPr>
          <w:spacing w:val="31"/>
        </w:rPr>
        <w:t> </w:t>
      </w:r>
      <w:r>
        <w:rPr/>
        <w:t>para</w:t>
      </w:r>
    </w:p>
    <w:p>
      <w:pPr>
        <w:spacing w:after="0" w:line="360" w:lineRule="auto"/>
        <w:jc w:val="both"/>
        <w:sectPr>
          <w:type w:val="continuous"/>
          <w:pgSz w:w="12240" w:h="15840"/>
          <w:pgMar w:top="1360" w:bottom="280" w:left="1600" w:right="1580"/>
        </w:sectPr>
      </w:pPr>
    </w:p>
    <w:p>
      <w:pPr>
        <w:pStyle w:val="BodyText"/>
        <w:spacing w:line="360" w:lineRule="auto" w:before="50"/>
        <w:ind w:left="122" w:right="118"/>
        <w:jc w:val="both"/>
      </w:pPr>
      <w:r>
        <w:rPr/>
        <w:t>barbecho, rastra y</w:t>
      </w:r>
      <w:r>
        <w:rPr>
          <w:spacing w:val="-43"/>
        </w:rPr>
        <w:t> </w:t>
      </w:r>
      <w:r>
        <w:rPr/>
        <w:t>surcado. Los factores internos integraron el segundo rubro de importancia en los costos totales, principalmente en los cultivos de alfalfa y ensilado de maíz, donde el componente</w:t>
      </w:r>
      <w:r>
        <w:rPr>
          <w:spacing w:val="-12"/>
        </w:rPr>
        <w:t> </w:t>
      </w:r>
      <w:r>
        <w:rPr/>
        <w:t>de</w:t>
      </w:r>
      <w:r>
        <w:rPr>
          <w:spacing w:val="-12"/>
        </w:rPr>
        <w:t> </w:t>
      </w:r>
      <w:r>
        <w:rPr/>
        <w:t>valor</w:t>
      </w:r>
      <w:r>
        <w:rPr>
          <w:spacing w:val="-12"/>
        </w:rPr>
        <w:t> </w:t>
      </w:r>
      <w:r>
        <w:rPr/>
        <w:t>más</w:t>
      </w:r>
      <w:r>
        <w:rPr>
          <w:spacing w:val="-9"/>
        </w:rPr>
        <w:t> </w:t>
      </w:r>
      <w:r>
        <w:rPr/>
        <w:t>alto</w:t>
      </w:r>
      <w:r>
        <w:rPr>
          <w:spacing w:val="-11"/>
        </w:rPr>
        <w:t> </w:t>
      </w:r>
      <w:r>
        <w:rPr/>
        <w:t>fue</w:t>
      </w:r>
      <w:r>
        <w:rPr>
          <w:spacing w:val="-13"/>
        </w:rPr>
        <w:t> </w:t>
      </w:r>
      <w:r>
        <w:rPr/>
        <w:t>el</w:t>
      </w:r>
      <w:r>
        <w:rPr>
          <w:spacing w:val="-11"/>
        </w:rPr>
        <w:t> </w:t>
      </w:r>
      <w:r>
        <w:rPr/>
        <w:t>costo</w:t>
      </w:r>
      <w:r>
        <w:rPr>
          <w:spacing w:val="-10"/>
        </w:rPr>
        <w:t> </w:t>
      </w:r>
      <w:r>
        <w:rPr/>
        <w:t>por</w:t>
      </w:r>
      <w:r>
        <w:rPr>
          <w:spacing w:val="-12"/>
        </w:rPr>
        <w:t> </w:t>
      </w:r>
      <w:r>
        <w:rPr/>
        <w:t>ensilar</w:t>
      </w:r>
      <w:r>
        <w:rPr>
          <w:spacing w:val="-12"/>
        </w:rPr>
        <w:t> </w:t>
      </w:r>
      <w:r>
        <w:rPr/>
        <w:t>con</w:t>
      </w:r>
      <w:r>
        <w:rPr>
          <w:spacing w:val="-11"/>
        </w:rPr>
        <w:t> </w:t>
      </w:r>
      <w:r>
        <w:rPr/>
        <w:t>una</w:t>
      </w:r>
      <w:r>
        <w:rPr>
          <w:spacing w:val="-12"/>
        </w:rPr>
        <w:t> </w:t>
      </w:r>
      <w:r>
        <w:rPr/>
        <w:t>participación</w:t>
      </w:r>
      <w:r>
        <w:rPr>
          <w:spacing w:val="-11"/>
        </w:rPr>
        <w:t> </w:t>
      </w:r>
      <w:r>
        <w:rPr/>
        <w:t>de</w:t>
      </w:r>
      <w:r>
        <w:rPr>
          <w:spacing w:val="-12"/>
        </w:rPr>
        <w:t> </w:t>
      </w:r>
      <w:r>
        <w:rPr/>
        <w:t>32%</w:t>
      </w:r>
      <w:r>
        <w:rPr>
          <w:spacing w:val="-7"/>
        </w:rPr>
        <w:t> </w:t>
      </w:r>
      <w:r>
        <w:rPr/>
        <w:t>y</w:t>
      </w:r>
      <w:r>
        <w:rPr>
          <w:spacing w:val="-16"/>
        </w:rPr>
        <w:t> </w:t>
      </w:r>
      <w:r>
        <w:rPr/>
        <w:t>el</w:t>
      </w:r>
      <w:r>
        <w:rPr>
          <w:spacing w:val="-11"/>
        </w:rPr>
        <w:t> </w:t>
      </w:r>
      <w:r>
        <w:rPr/>
        <w:t>riego con el 43% (Tabla</w:t>
      </w:r>
      <w:r>
        <w:rPr>
          <w:spacing w:val="-4"/>
        </w:rPr>
        <w:t> </w:t>
      </w:r>
      <w:r>
        <w:rPr/>
        <w:t>3).</w:t>
      </w:r>
    </w:p>
    <w:p>
      <w:pPr>
        <w:pStyle w:val="BodyText"/>
      </w:pPr>
    </w:p>
    <w:p>
      <w:pPr>
        <w:pStyle w:val="BodyText"/>
        <w:spacing w:line="360" w:lineRule="auto" w:before="143"/>
        <w:ind w:left="122" w:right="114"/>
        <w:jc w:val="both"/>
      </w:pPr>
      <w:r>
        <w:rPr/>
        <w:t>El rubro con menos participación en costo, lo obtuvo los insumos indirectamente comercializables, erogando 0.6, 0.4, 0.5 y 0.7% del costo total para los cuatro cultivos analizados, este comportamiento refleja la limitada tecnología que utilizan los productores, pero también la forma tradicional de producción que les permite disminuir costos en los cuatro principales cultivos presentes en la zona de estudio (Tabla 13).</w:t>
      </w:r>
    </w:p>
    <w:p>
      <w:pPr>
        <w:pStyle w:val="BodyText"/>
      </w:pPr>
    </w:p>
    <w:p>
      <w:pPr>
        <w:pStyle w:val="BodyText"/>
        <w:spacing w:before="140" w:after="30"/>
        <w:ind w:left="191" w:right="504"/>
      </w:pPr>
      <w:r>
        <w:rPr>
          <w:b/>
        </w:rPr>
        <w:t>Tabla 13. </w:t>
      </w:r>
      <w:r>
        <w:rPr/>
        <w:t>Costos de producción por kilogramo de cultivo. Margen absoluto ($/kg) y relativo (%)</w:t>
      </w:r>
    </w:p>
    <w:tbl>
      <w:tblPr>
        <w:tblW w:w="0" w:type="auto"/>
        <w:jc w:val="left"/>
        <w:tblInd w:w="10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873"/>
        <w:gridCol w:w="885"/>
        <w:gridCol w:w="672"/>
        <w:gridCol w:w="832"/>
        <w:gridCol w:w="679"/>
        <w:gridCol w:w="984"/>
        <w:gridCol w:w="533"/>
        <w:gridCol w:w="776"/>
        <w:gridCol w:w="571"/>
      </w:tblGrid>
      <w:tr>
        <w:trPr>
          <w:trHeight w:val="566" w:hRule="exact"/>
        </w:trPr>
        <w:tc>
          <w:tcPr>
            <w:tcW w:w="2873" w:type="dxa"/>
            <w:tcBorders>
              <w:left w:val="nil"/>
              <w:right w:val="nil"/>
            </w:tcBorders>
          </w:tcPr>
          <w:p>
            <w:pPr/>
          </w:p>
        </w:tc>
        <w:tc>
          <w:tcPr>
            <w:tcW w:w="1557" w:type="dxa"/>
            <w:gridSpan w:val="2"/>
            <w:tcBorders>
              <w:left w:val="nil"/>
              <w:right w:val="nil"/>
            </w:tcBorders>
          </w:tcPr>
          <w:p>
            <w:pPr>
              <w:pStyle w:val="TableParagraph"/>
              <w:ind w:left="513" w:right="226" w:hanging="329"/>
              <w:jc w:val="left"/>
              <w:rPr>
                <w:sz w:val="24"/>
              </w:rPr>
            </w:pPr>
            <w:r>
              <w:rPr>
                <w:sz w:val="24"/>
              </w:rPr>
              <w:t>Ensilado de maíz</w:t>
            </w:r>
          </w:p>
        </w:tc>
        <w:tc>
          <w:tcPr>
            <w:tcW w:w="1511" w:type="dxa"/>
            <w:gridSpan w:val="2"/>
            <w:tcBorders>
              <w:left w:val="nil"/>
              <w:right w:val="nil"/>
            </w:tcBorders>
          </w:tcPr>
          <w:p>
            <w:pPr>
              <w:pStyle w:val="TableParagraph"/>
              <w:spacing w:before="9"/>
              <w:jc w:val="left"/>
              <w:rPr>
                <w:sz w:val="20"/>
              </w:rPr>
            </w:pPr>
          </w:p>
          <w:p>
            <w:pPr>
              <w:pStyle w:val="TableParagraph"/>
              <w:ind w:left="368"/>
              <w:jc w:val="left"/>
              <w:rPr>
                <w:sz w:val="24"/>
              </w:rPr>
            </w:pPr>
            <w:r>
              <w:rPr>
                <w:sz w:val="24"/>
              </w:rPr>
              <w:t>Alfalfa</w:t>
            </w:r>
          </w:p>
        </w:tc>
        <w:tc>
          <w:tcPr>
            <w:tcW w:w="1517" w:type="dxa"/>
            <w:gridSpan w:val="2"/>
            <w:tcBorders>
              <w:left w:val="nil"/>
              <w:right w:val="nil"/>
            </w:tcBorders>
          </w:tcPr>
          <w:p>
            <w:pPr>
              <w:pStyle w:val="TableParagraph"/>
              <w:spacing w:before="9"/>
              <w:jc w:val="left"/>
              <w:rPr>
                <w:sz w:val="20"/>
              </w:rPr>
            </w:pPr>
          </w:p>
          <w:p>
            <w:pPr>
              <w:pStyle w:val="TableParagraph"/>
              <w:ind w:left="395"/>
              <w:jc w:val="left"/>
              <w:rPr>
                <w:sz w:val="24"/>
              </w:rPr>
            </w:pPr>
            <w:r>
              <w:rPr>
                <w:sz w:val="24"/>
              </w:rPr>
              <w:t>Avena</w:t>
            </w:r>
          </w:p>
        </w:tc>
        <w:tc>
          <w:tcPr>
            <w:tcW w:w="1347" w:type="dxa"/>
            <w:gridSpan w:val="2"/>
            <w:tcBorders>
              <w:left w:val="nil"/>
              <w:right w:val="nil"/>
            </w:tcBorders>
          </w:tcPr>
          <w:p>
            <w:pPr>
              <w:pStyle w:val="TableParagraph"/>
              <w:spacing w:before="9"/>
              <w:jc w:val="left"/>
              <w:rPr>
                <w:sz w:val="20"/>
              </w:rPr>
            </w:pPr>
          </w:p>
          <w:p>
            <w:pPr>
              <w:pStyle w:val="TableParagraph"/>
              <w:ind w:left="406"/>
              <w:jc w:val="left"/>
              <w:rPr>
                <w:sz w:val="24"/>
              </w:rPr>
            </w:pPr>
            <w:r>
              <w:rPr>
                <w:sz w:val="24"/>
              </w:rPr>
              <w:t>Maíz</w:t>
            </w:r>
          </w:p>
        </w:tc>
      </w:tr>
      <w:tr>
        <w:trPr>
          <w:trHeight w:val="330" w:hRule="exact"/>
        </w:trPr>
        <w:tc>
          <w:tcPr>
            <w:tcW w:w="2873" w:type="dxa"/>
            <w:tcBorders>
              <w:left w:val="nil"/>
              <w:bottom w:val="nil"/>
              <w:right w:val="nil"/>
            </w:tcBorders>
          </w:tcPr>
          <w:p>
            <w:pPr>
              <w:pStyle w:val="TableParagraph"/>
              <w:spacing w:before="13"/>
              <w:ind w:left="84"/>
              <w:jc w:val="left"/>
              <w:rPr>
                <w:sz w:val="24"/>
              </w:rPr>
            </w:pPr>
            <w:r>
              <w:rPr>
                <w:sz w:val="24"/>
              </w:rPr>
              <w:t>Concepto</w:t>
            </w:r>
          </w:p>
        </w:tc>
        <w:tc>
          <w:tcPr>
            <w:tcW w:w="1557" w:type="dxa"/>
            <w:gridSpan w:val="2"/>
            <w:tcBorders>
              <w:left w:val="nil"/>
              <w:bottom w:val="nil"/>
              <w:right w:val="nil"/>
            </w:tcBorders>
          </w:tcPr>
          <w:p>
            <w:pPr>
              <w:pStyle w:val="TableParagraph"/>
              <w:tabs>
                <w:tab w:pos="1087" w:val="left" w:leader="none"/>
              </w:tabs>
              <w:spacing w:before="13"/>
              <w:ind w:left="156"/>
              <w:jc w:val="left"/>
              <w:rPr>
                <w:sz w:val="24"/>
              </w:rPr>
            </w:pPr>
            <w:r>
              <w:rPr>
                <w:sz w:val="24"/>
              </w:rPr>
              <w:t>($/kg)</w:t>
              <w:tab/>
              <w:t>(%)</w:t>
            </w:r>
          </w:p>
        </w:tc>
        <w:tc>
          <w:tcPr>
            <w:tcW w:w="1511" w:type="dxa"/>
            <w:gridSpan w:val="2"/>
            <w:tcBorders>
              <w:left w:val="nil"/>
              <w:bottom w:val="nil"/>
              <w:right w:val="nil"/>
            </w:tcBorders>
          </w:tcPr>
          <w:p>
            <w:pPr>
              <w:pStyle w:val="TableParagraph"/>
              <w:tabs>
                <w:tab w:pos="1028" w:val="left" w:leader="none"/>
              </w:tabs>
              <w:spacing w:before="13"/>
              <w:ind w:left="108"/>
              <w:jc w:val="left"/>
              <w:rPr>
                <w:sz w:val="24"/>
              </w:rPr>
            </w:pPr>
            <w:r>
              <w:rPr>
                <w:sz w:val="24"/>
              </w:rPr>
              <w:t>($/kg)</w:t>
              <w:tab/>
              <w:t>(%)</w:t>
            </w:r>
          </w:p>
        </w:tc>
        <w:tc>
          <w:tcPr>
            <w:tcW w:w="984" w:type="dxa"/>
            <w:tcBorders>
              <w:left w:val="nil"/>
              <w:bottom w:val="nil"/>
              <w:right w:val="nil"/>
            </w:tcBorders>
          </w:tcPr>
          <w:p>
            <w:pPr>
              <w:pStyle w:val="TableParagraph"/>
              <w:spacing w:before="13"/>
              <w:ind w:right="275"/>
              <w:rPr>
                <w:sz w:val="24"/>
              </w:rPr>
            </w:pPr>
            <w:r>
              <w:rPr>
                <w:sz w:val="24"/>
              </w:rPr>
              <w:t>($/kg)</w:t>
            </w:r>
          </w:p>
        </w:tc>
        <w:tc>
          <w:tcPr>
            <w:tcW w:w="533" w:type="dxa"/>
            <w:tcBorders>
              <w:left w:val="nil"/>
              <w:bottom w:val="nil"/>
              <w:right w:val="nil"/>
            </w:tcBorders>
          </w:tcPr>
          <w:p>
            <w:pPr>
              <w:pStyle w:val="TableParagraph"/>
              <w:spacing w:before="13"/>
              <w:ind w:right="112"/>
              <w:rPr>
                <w:sz w:val="24"/>
              </w:rPr>
            </w:pPr>
            <w:r>
              <w:rPr>
                <w:sz w:val="24"/>
              </w:rPr>
              <w:t>(%)</w:t>
            </w:r>
          </w:p>
        </w:tc>
        <w:tc>
          <w:tcPr>
            <w:tcW w:w="1347" w:type="dxa"/>
            <w:gridSpan w:val="2"/>
            <w:tcBorders>
              <w:left w:val="nil"/>
              <w:bottom w:val="nil"/>
              <w:right w:val="nil"/>
            </w:tcBorders>
          </w:tcPr>
          <w:p>
            <w:pPr>
              <w:pStyle w:val="TableParagraph"/>
              <w:tabs>
                <w:tab w:pos="915" w:val="left" w:leader="none"/>
              </w:tabs>
              <w:spacing w:before="13"/>
              <w:ind w:left="111"/>
              <w:jc w:val="left"/>
              <w:rPr>
                <w:sz w:val="24"/>
              </w:rPr>
            </w:pPr>
            <w:r>
              <w:rPr>
                <w:sz w:val="24"/>
              </w:rPr>
              <w:t>($/kg)</w:t>
              <w:tab/>
              <w:t>(%)</w:t>
            </w:r>
          </w:p>
        </w:tc>
      </w:tr>
      <w:tr>
        <w:trPr>
          <w:trHeight w:val="283" w:hRule="exact"/>
        </w:trPr>
        <w:tc>
          <w:tcPr>
            <w:tcW w:w="2873" w:type="dxa"/>
            <w:tcBorders>
              <w:top w:val="nil"/>
              <w:left w:val="nil"/>
              <w:bottom w:val="nil"/>
              <w:right w:val="nil"/>
            </w:tcBorders>
          </w:tcPr>
          <w:p>
            <w:pPr>
              <w:pStyle w:val="TableParagraph"/>
              <w:spacing w:line="269" w:lineRule="exact"/>
              <w:ind w:left="84"/>
              <w:jc w:val="left"/>
              <w:rPr>
                <w:b/>
                <w:sz w:val="24"/>
              </w:rPr>
            </w:pPr>
            <w:r>
              <w:rPr>
                <w:b/>
                <w:sz w:val="24"/>
              </w:rPr>
              <w:t>Insumos comerciables</w:t>
            </w:r>
          </w:p>
        </w:tc>
        <w:tc>
          <w:tcPr>
            <w:tcW w:w="1557" w:type="dxa"/>
            <w:gridSpan w:val="2"/>
            <w:tcBorders>
              <w:top w:val="nil"/>
              <w:left w:val="nil"/>
              <w:bottom w:val="nil"/>
              <w:right w:val="nil"/>
            </w:tcBorders>
          </w:tcPr>
          <w:p>
            <w:pPr>
              <w:pStyle w:val="TableParagraph"/>
              <w:tabs>
                <w:tab w:pos="1027" w:val="left" w:leader="none"/>
              </w:tabs>
              <w:spacing w:line="269" w:lineRule="exact"/>
              <w:ind w:left="321"/>
              <w:jc w:val="left"/>
              <w:rPr>
                <w:b/>
                <w:sz w:val="24"/>
              </w:rPr>
            </w:pPr>
            <w:r>
              <w:rPr>
                <w:b/>
                <w:sz w:val="24"/>
              </w:rPr>
              <w:t>0.18</w:t>
              <w:tab/>
              <w:t>57.4</w:t>
            </w:r>
          </w:p>
        </w:tc>
        <w:tc>
          <w:tcPr>
            <w:tcW w:w="1511" w:type="dxa"/>
            <w:gridSpan w:val="2"/>
            <w:tcBorders>
              <w:top w:val="nil"/>
              <w:left w:val="nil"/>
              <w:bottom w:val="nil"/>
              <w:right w:val="nil"/>
            </w:tcBorders>
          </w:tcPr>
          <w:p>
            <w:pPr>
              <w:pStyle w:val="TableParagraph"/>
              <w:tabs>
                <w:tab w:pos="968" w:val="left" w:leader="none"/>
              </w:tabs>
              <w:spacing w:line="269" w:lineRule="exact"/>
              <w:ind w:left="274"/>
              <w:jc w:val="left"/>
              <w:rPr>
                <w:b/>
                <w:sz w:val="24"/>
              </w:rPr>
            </w:pPr>
            <w:r>
              <w:rPr>
                <w:b/>
                <w:sz w:val="24"/>
              </w:rPr>
              <w:t>0.08</w:t>
              <w:tab/>
              <w:t>45.2</w:t>
            </w:r>
          </w:p>
        </w:tc>
        <w:tc>
          <w:tcPr>
            <w:tcW w:w="984" w:type="dxa"/>
            <w:tcBorders>
              <w:top w:val="nil"/>
              <w:left w:val="nil"/>
              <w:bottom w:val="nil"/>
              <w:right w:val="nil"/>
            </w:tcBorders>
          </w:tcPr>
          <w:p>
            <w:pPr>
              <w:pStyle w:val="TableParagraph"/>
              <w:spacing w:line="269" w:lineRule="exact"/>
              <w:ind w:right="275"/>
              <w:rPr>
                <w:b/>
                <w:sz w:val="24"/>
              </w:rPr>
            </w:pPr>
            <w:r>
              <w:rPr>
                <w:b/>
                <w:sz w:val="24"/>
              </w:rPr>
              <w:t>0.24</w:t>
            </w:r>
          </w:p>
        </w:tc>
        <w:tc>
          <w:tcPr>
            <w:tcW w:w="533" w:type="dxa"/>
            <w:tcBorders>
              <w:top w:val="nil"/>
              <w:left w:val="nil"/>
              <w:bottom w:val="nil"/>
              <w:right w:val="nil"/>
            </w:tcBorders>
          </w:tcPr>
          <w:p>
            <w:pPr>
              <w:pStyle w:val="TableParagraph"/>
              <w:spacing w:line="269" w:lineRule="exact"/>
              <w:ind w:right="110"/>
              <w:rPr>
                <w:b/>
                <w:sz w:val="24"/>
              </w:rPr>
            </w:pPr>
            <w:r>
              <w:rPr>
                <w:b/>
                <w:sz w:val="24"/>
              </w:rPr>
              <w:t>75.8</w:t>
            </w:r>
          </w:p>
        </w:tc>
        <w:tc>
          <w:tcPr>
            <w:tcW w:w="1347" w:type="dxa"/>
            <w:gridSpan w:val="2"/>
            <w:tcBorders>
              <w:top w:val="nil"/>
              <w:left w:val="nil"/>
              <w:bottom w:val="nil"/>
              <w:right w:val="nil"/>
            </w:tcBorders>
          </w:tcPr>
          <w:p>
            <w:pPr>
              <w:pStyle w:val="TableParagraph"/>
              <w:spacing w:line="269" w:lineRule="exact"/>
              <w:ind w:left="276"/>
              <w:jc w:val="left"/>
              <w:rPr>
                <w:b/>
                <w:sz w:val="24"/>
              </w:rPr>
            </w:pPr>
            <w:r>
              <w:rPr>
                <w:b/>
                <w:sz w:val="24"/>
              </w:rPr>
              <w:t>1.46  85.7</w:t>
            </w:r>
          </w:p>
        </w:tc>
      </w:tr>
      <w:tr>
        <w:trPr>
          <w:trHeight w:val="282" w:hRule="exact"/>
        </w:trPr>
        <w:tc>
          <w:tcPr>
            <w:tcW w:w="2873" w:type="dxa"/>
            <w:tcBorders>
              <w:top w:val="nil"/>
              <w:left w:val="nil"/>
              <w:bottom w:val="nil"/>
              <w:right w:val="nil"/>
            </w:tcBorders>
          </w:tcPr>
          <w:p>
            <w:pPr>
              <w:pStyle w:val="TableParagraph"/>
              <w:spacing w:line="245" w:lineRule="exact"/>
              <w:ind w:left="264"/>
              <w:jc w:val="left"/>
              <w:rPr>
                <w:sz w:val="24"/>
              </w:rPr>
            </w:pPr>
            <w:r>
              <w:rPr>
                <w:sz w:val="24"/>
              </w:rPr>
              <w:t>Semilla</w:t>
            </w:r>
          </w:p>
        </w:tc>
        <w:tc>
          <w:tcPr>
            <w:tcW w:w="885" w:type="dxa"/>
            <w:tcBorders>
              <w:top w:val="nil"/>
              <w:left w:val="nil"/>
              <w:bottom w:val="nil"/>
              <w:right w:val="nil"/>
            </w:tcBorders>
          </w:tcPr>
          <w:p>
            <w:pPr>
              <w:pStyle w:val="TableParagraph"/>
              <w:spacing w:line="245" w:lineRule="exact"/>
              <w:ind w:right="141"/>
              <w:rPr>
                <w:sz w:val="24"/>
              </w:rPr>
            </w:pPr>
            <w:r>
              <w:rPr>
                <w:sz w:val="24"/>
              </w:rPr>
              <w:t>0.03</w:t>
            </w:r>
          </w:p>
        </w:tc>
        <w:tc>
          <w:tcPr>
            <w:tcW w:w="672" w:type="dxa"/>
            <w:tcBorders>
              <w:top w:val="nil"/>
              <w:left w:val="nil"/>
              <w:bottom w:val="nil"/>
              <w:right w:val="nil"/>
            </w:tcBorders>
          </w:tcPr>
          <w:p>
            <w:pPr>
              <w:pStyle w:val="TableParagraph"/>
              <w:spacing w:line="245" w:lineRule="exact"/>
              <w:ind w:right="107"/>
              <w:rPr>
                <w:sz w:val="24"/>
              </w:rPr>
            </w:pPr>
            <w:r>
              <w:rPr>
                <w:sz w:val="24"/>
              </w:rPr>
              <w:t>9.7</w:t>
            </w:r>
          </w:p>
        </w:tc>
        <w:tc>
          <w:tcPr>
            <w:tcW w:w="832" w:type="dxa"/>
            <w:tcBorders>
              <w:top w:val="nil"/>
              <w:left w:val="nil"/>
              <w:bottom w:val="nil"/>
              <w:right w:val="nil"/>
            </w:tcBorders>
          </w:tcPr>
          <w:p>
            <w:pPr>
              <w:pStyle w:val="TableParagraph"/>
              <w:spacing w:line="245" w:lineRule="exact"/>
              <w:ind w:right="134"/>
              <w:rPr>
                <w:sz w:val="24"/>
              </w:rPr>
            </w:pPr>
            <w:r>
              <w:rPr>
                <w:sz w:val="24"/>
              </w:rPr>
              <w:t>0.04</w:t>
            </w:r>
          </w:p>
        </w:tc>
        <w:tc>
          <w:tcPr>
            <w:tcW w:w="679" w:type="dxa"/>
            <w:tcBorders>
              <w:top w:val="nil"/>
              <w:left w:val="nil"/>
              <w:bottom w:val="nil"/>
              <w:right w:val="nil"/>
            </w:tcBorders>
          </w:tcPr>
          <w:p>
            <w:pPr>
              <w:pStyle w:val="TableParagraph"/>
              <w:spacing w:line="245" w:lineRule="exact"/>
              <w:ind w:right="120"/>
              <w:rPr>
                <w:sz w:val="24"/>
              </w:rPr>
            </w:pPr>
            <w:r>
              <w:rPr>
                <w:sz w:val="24"/>
              </w:rPr>
              <w:t>20.1</w:t>
            </w:r>
          </w:p>
        </w:tc>
        <w:tc>
          <w:tcPr>
            <w:tcW w:w="984" w:type="dxa"/>
            <w:tcBorders>
              <w:top w:val="nil"/>
              <w:left w:val="nil"/>
              <w:bottom w:val="nil"/>
              <w:right w:val="nil"/>
            </w:tcBorders>
          </w:tcPr>
          <w:p>
            <w:pPr>
              <w:pStyle w:val="TableParagraph"/>
              <w:spacing w:line="245" w:lineRule="exact"/>
              <w:ind w:right="275"/>
              <w:rPr>
                <w:sz w:val="24"/>
              </w:rPr>
            </w:pPr>
            <w:r>
              <w:rPr>
                <w:sz w:val="24"/>
              </w:rPr>
              <w:t>0.10</w:t>
            </w:r>
          </w:p>
        </w:tc>
        <w:tc>
          <w:tcPr>
            <w:tcW w:w="533" w:type="dxa"/>
            <w:tcBorders>
              <w:top w:val="nil"/>
              <w:left w:val="nil"/>
              <w:bottom w:val="nil"/>
              <w:right w:val="nil"/>
            </w:tcBorders>
          </w:tcPr>
          <w:p>
            <w:pPr>
              <w:pStyle w:val="TableParagraph"/>
              <w:spacing w:line="245" w:lineRule="exact"/>
              <w:ind w:right="110"/>
              <w:rPr>
                <w:sz w:val="24"/>
              </w:rPr>
            </w:pPr>
            <w:r>
              <w:rPr>
                <w:sz w:val="24"/>
              </w:rPr>
              <w:t>31.5</w:t>
            </w:r>
          </w:p>
        </w:tc>
        <w:tc>
          <w:tcPr>
            <w:tcW w:w="776" w:type="dxa"/>
            <w:tcBorders>
              <w:top w:val="nil"/>
              <w:left w:val="nil"/>
              <w:bottom w:val="nil"/>
              <w:right w:val="nil"/>
            </w:tcBorders>
          </w:tcPr>
          <w:p>
            <w:pPr>
              <w:pStyle w:val="TableParagraph"/>
              <w:spacing w:line="245" w:lineRule="exact"/>
              <w:ind w:right="77"/>
              <w:rPr>
                <w:sz w:val="24"/>
              </w:rPr>
            </w:pPr>
            <w:r>
              <w:rPr>
                <w:sz w:val="24"/>
              </w:rPr>
              <w:t>0.24</w:t>
            </w:r>
          </w:p>
        </w:tc>
        <w:tc>
          <w:tcPr>
            <w:tcW w:w="571" w:type="dxa"/>
            <w:tcBorders>
              <w:top w:val="nil"/>
              <w:left w:val="nil"/>
              <w:bottom w:val="nil"/>
              <w:right w:val="nil"/>
            </w:tcBorders>
          </w:tcPr>
          <w:p>
            <w:pPr>
              <w:pStyle w:val="TableParagraph"/>
              <w:spacing w:line="245" w:lineRule="exact"/>
              <w:ind w:right="71"/>
              <w:rPr>
                <w:sz w:val="24"/>
              </w:rPr>
            </w:pPr>
            <w:r>
              <w:rPr>
                <w:sz w:val="24"/>
              </w:rPr>
              <w:t>14.1</w:t>
            </w:r>
          </w:p>
        </w:tc>
      </w:tr>
      <w:tr>
        <w:trPr>
          <w:trHeight w:val="285" w:hRule="exact"/>
        </w:trPr>
        <w:tc>
          <w:tcPr>
            <w:tcW w:w="2873" w:type="dxa"/>
            <w:tcBorders>
              <w:top w:val="nil"/>
              <w:left w:val="nil"/>
              <w:bottom w:val="nil"/>
              <w:right w:val="nil"/>
            </w:tcBorders>
          </w:tcPr>
          <w:p>
            <w:pPr>
              <w:pStyle w:val="TableParagraph"/>
              <w:spacing w:line="268" w:lineRule="exact"/>
              <w:ind w:left="264"/>
              <w:jc w:val="left"/>
              <w:rPr>
                <w:sz w:val="24"/>
              </w:rPr>
            </w:pPr>
            <w:r>
              <w:rPr>
                <w:sz w:val="24"/>
              </w:rPr>
              <w:t>Herbicidas</w:t>
            </w:r>
          </w:p>
        </w:tc>
        <w:tc>
          <w:tcPr>
            <w:tcW w:w="885" w:type="dxa"/>
            <w:tcBorders>
              <w:top w:val="nil"/>
              <w:left w:val="nil"/>
              <w:bottom w:val="nil"/>
              <w:right w:val="nil"/>
            </w:tcBorders>
          </w:tcPr>
          <w:p>
            <w:pPr>
              <w:pStyle w:val="TableParagraph"/>
              <w:spacing w:line="268" w:lineRule="exact"/>
              <w:ind w:right="141"/>
              <w:rPr>
                <w:sz w:val="24"/>
              </w:rPr>
            </w:pPr>
            <w:r>
              <w:rPr>
                <w:sz w:val="24"/>
              </w:rPr>
              <w:t>0.01</w:t>
            </w:r>
          </w:p>
        </w:tc>
        <w:tc>
          <w:tcPr>
            <w:tcW w:w="672" w:type="dxa"/>
            <w:tcBorders>
              <w:top w:val="nil"/>
              <w:left w:val="nil"/>
              <w:bottom w:val="nil"/>
              <w:right w:val="nil"/>
            </w:tcBorders>
          </w:tcPr>
          <w:p>
            <w:pPr>
              <w:pStyle w:val="TableParagraph"/>
              <w:spacing w:line="268" w:lineRule="exact"/>
              <w:ind w:right="107"/>
              <w:rPr>
                <w:sz w:val="24"/>
              </w:rPr>
            </w:pPr>
            <w:r>
              <w:rPr>
                <w:sz w:val="24"/>
              </w:rPr>
              <w:t>1.8</w:t>
            </w:r>
          </w:p>
        </w:tc>
        <w:tc>
          <w:tcPr>
            <w:tcW w:w="832" w:type="dxa"/>
            <w:tcBorders>
              <w:top w:val="nil"/>
              <w:left w:val="nil"/>
              <w:bottom w:val="nil"/>
              <w:right w:val="nil"/>
            </w:tcBorders>
          </w:tcPr>
          <w:p>
            <w:pPr>
              <w:pStyle w:val="TableParagraph"/>
              <w:spacing w:line="268" w:lineRule="exact"/>
              <w:ind w:right="134"/>
              <w:rPr>
                <w:sz w:val="24"/>
              </w:rPr>
            </w:pPr>
            <w:r>
              <w:rPr>
                <w:sz w:val="24"/>
              </w:rPr>
              <w:t>0.01</w:t>
            </w:r>
          </w:p>
        </w:tc>
        <w:tc>
          <w:tcPr>
            <w:tcW w:w="679" w:type="dxa"/>
            <w:tcBorders>
              <w:top w:val="nil"/>
              <w:left w:val="nil"/>
              <w:bottom w:val="nil"/>
              <w:right w:val="nil"/>
            </w:tcBorders>
          </w:tcPr>
          <w:p>
            <w:pPr>
              <w:pStyle w:val="TableParagraph"/>
              <w:spacing w:line="268" w:lineRule="exact"/>
              <w:ind w:right="120"/>
              <w:rPr>
                <w:sz w:val="24"/>
              </w:rPr>
            </w:pPr>
            <w:r>
              <w:rPr>
                <w:sz w:val="24"/>
              </w:rPr>
              <w:t>0.6</w:t>
            </w:r>
          </w:p>
        </w:tc>
        <w:tc>
          <w:tcPr>
            <w:tcW w:w="984" w:type="dxa"/>
            <w:tcBorders>
              <w:top w:val="nil"/>
              <w:left w:val="nil"/>
              <w:bottom w:val="nil"/>
              <w:right w:val="nil"/>
            </w:tcBorders>
          </w:tcPr>
          <w:p>
            <w:pPr>
              <w:pStyle w:val="TableParagraph"/>
              <w:spacing w:line="268" w:lineRule="exact"/>
              <w:ind w:right="275"/>
              <w:rPr>
                <w:sz w:val="24"/>
              </w:rPr>
            </w:pPr>
            <w:r>
              <w:rPr>
                <w:sz w:val="24"/>
              </w:rPr>
              <w:t>0.01</w:t>
            </w:r>
          </w:p>
        </w:tc>
        <w:tc>
          <w:tcPr>
            <w:tcW w:w="533" w:type="dxa"/>
            <w:tcBorders>
              <w:top w:val="nil"/>
              <w:left w:val="nil"/>
              <w:bottom w:val="nil"/>
              <w:right w:val="nil"/>
            </w:tcBorders>
          </w:tcPr>
          <w:p>
            <w:pPr>
              <w:pStyle w:val="TableParagraph"/>
              <w:spacing w:line="268" w:lineRule="exact"/>
              <w:ind w:right="110"/>
              <w:rPr>
                <w:sz w:val="24"/>
              </w:rPr>
            </w:pPr>
            <w:r>
              <w:rPr>
                <w:sz w:val="24"/>
              </w:rPr>
              <w:t>1.7</w:t>
            </w:r>
          </w:p>
        </w:tc>
        <w:tc>
          <w:tcPr>
            <w:tcW w:w="776" w:type="dxa"/>
            <w:tcBorders>
              <w:top w:val="nil"/>
              <w:left w:val="nil"/>
              <w:bottom w:val="nil"/>
              <w:right w:val="nil"/>
            </w:tcBorders>
          </w:tcPr>
          <w:p>
            <w:pPr>
              <w:pStyle w:val="TableParagraph"/>
              <w:spacing w:line="268" w:lineRule="exact"/>
              <w:ind w:right="77"/>
              <w:rPr>
                <w:sz w:val="24"/>
              </w:rPr>
            </w:pPr>
            <w:r>
              <w:rPr>
                <w:sz w:val="24"/>
              </w:rPr>
              <w:t>0.05</w:t>
            </w:r>
          </w:p>
        </w:tc>
        <w:tc>
          <w:tcPr>
            <w:tcW w:w="571" w:type="dxa"/>
            <w:tcBorders>
              <w:top w:val="nil"/>
              <w:left w:val="nil"/>
              <w:bottom w:val="nil"/>
              <w:right w:val="nil"/>
            </w:tcBorders>
          </w:tcPr>
          <w:p>
            <w:pPr>
              <w:pStyle w:val="TableParagraph"/>
              <w:spacing w:line="268" w:lineRule="exact"/>
              <w:ind w:right="71"/>
              <w:rPr>
                <w:sz w:val="24"/>
              </w:rPr>
            </w:pPr>
            <w:r>
              <w:rPr>
                <w:sz w:val="24"/>
              </w:rPr>
              <w:t>2.8</w:t>
            </w:r>
          </w:p>
        </w:tc>
      </w:tr>
      <w:tr>
        <w:trPr>
          <w:trHeight w:val="283" w:hRule="exact"/>
        </w:trPr>
        <w:tc>
          <w:tcPr>
            <w:tcW w:w="2873" w:type="dxa"/>
            <w:tcBorders>
              <w:top w:val="nil"/>
              <w:left w:val="nil"/>
              <w:bottom w:val="nil"/>
              <w:right w:val="nil"/>
            </w:tcBorders>
          </w:tcPr>
          <w:p>
            <w:pPr>
              <w:pStyle w:val="TableParagraph"/>
              <w:spacing w:line="267" w:lineRule="exact"/>
              <w:ind w:left="264"/>
              <w:jc w:val="left"/>
              <w:rPr>
                <w:sz w:val="24"/>
              </w:rPr>
            </w:pPr>
            <w:r>
              <w:rPr>
                <w:sz w:val="24"/>
              </w:rPr>
              <w:t>Abono orgánico</w:t>
            </w:r>
          </w:p>
        </w:tc>
        <w:tc>
          <w:tcPr>
            <w:tcW w:w="885" w:type="dxa"/>
            <w:tcBorders>
              <w:top w:val="nil"/>
              <w:left w:val="nil"/>
              <w:bottom w:val="nil"/>
              <w:right w:val="nil"/>
            </w:tcBorders>
          </w:tcPr>
          <w:p>
            <w:pPr>
              <w:pStyle w:val="TableParagraph"/>
              <w:spacing w:line="267" w:lineRule="exact"/>
              <w:ind w:right="141"/>
              <w:rPr>
                <w:sz w:val="24"/>
              </w:rPr>
            </w:pPr>
            <w:r>
              <w:rPr>
                <w:sz w:val="24"/>
              </w:rPr>
              <w:t>0.04</w:t>
            </w:r>
          </w:p>
        </w:tc>
        <w:tc>
          <w:tcPr>
            <w:tcW w:w="672" w:type="dxa"/>
            <w:tcBorders>
              <w:top w:val="nil"/>
              <w:left w:val="nil"/>
              <w:bottom w:val="nil"/>
              <w:right w:val="nil"/>
            </w:tcBorders>
          </w:tcPr>
          <w:p>
            <w:pPr>
              <w:pStyle w:val="TableParagraph"/>
              <w:spacing w:line="267" w:lineRule="exact"/>
              <w:ind w:right="107"/>
              <w:rPr>
                <w:sz w:val="24"/>
              </w:rPr>
            </w:pPr>
            <w:r>
              <w:rPr>
                <w:sz w:val="24"/>
              </w:rPr>
              <w:t>12.9</w:t>
            </w:r>
          </w:p>
        </w:tc>
        <w:tc>
          <w:tcPr>
            <w:tcW w:w="832" w:type="dxa"/>
            <w:tcBorders>
              <w:top w:val="nil"/>
              <w:left w:val="nil"/>
              <w:bottom w:val="nil"/>
              <w:right w:val="nil"/>
            </w:tcBorders>
          </w:tcPr>
          <w:p>
            <w:pPr>
              <w:pStyle w:val="TableParagraph"/>
              <w:spacing w:line="267" w:lineRule="exact"/>
              <w:ind w:right="134"/>
              <w:rPr>
                <w:sz w:val="24"/>
              </w:rPr>
            </w:pPr>
            <w:r>
              <w:rPr>
                <w:sz w:val="24"/>
              </w:rPr>
              <w:t>0.01</w:t>
            </w:r>
          </w:p>
        </w:tc>
        <w:tc>
          <w:tcPr>
            <w:tcW w:w="679" w:type="dxa"/>
            <w:tcBorders>
              <w:top w:val="nil"/>
              <w:left w:val="nil"/>
              <w:bottom w:val="nil"/>
              <w:right w:val="nil"/>
            </w:tcBorders>
          </w:tcPr>
          <w:p>
            <w:pPr>
              <w:pStyle w:val="TableParagraph"/>
              <w:spacing w:line="267" w:lineRule="exact"/>
              <w:ind w:right="120"/>
              <w:rPr>
                <w:sz w:val="24"/>
              </w:rPr>
            </w:pPr>
            <w:r>
              <w:rPr>
                <w:sz w:val="24"/>
              </w:rPr>
              <w:t>5.1</w:t>
            </w:r>
          </w:p>
        </w:tc>
        <w:tc>
          <w:tcPr>
            <w:tcW w:w="984" w:type="dxa"/>
            <w:tcBorders>
              <w:top w:val="nil"/>
              <w:left w:val="nil"/>
              <w:bottom w:val="nil"/>
              <w:right w:val="nil"/>
            </w:tcBorders>
          </w:tcPr>
          <w:p>
            <w:pPr>
              <w:pStyle w:val="TableParagraph"/>
              <w:spacing w:line="267" w:lineRule="exact"/>
              <w:ind w:right="275"/>
              <w:rPr>
                <w:sz w:val="24"/>
              </w:rPr>
            </w:pPr>
            <w:r>
              <w:rPr>
                <w:sz w:val="24"/>
              </w:rPr>
              <w:t>0.04</w:t>
            </w:r>
          </w:p>
        </w:tc>
        <w:tc>
          <w:tcPr>
            <w:tcW w:w="533" w:type="dxa"/>
            <w:tcBorders>
              <w:top w:val="nil"/>
              <w:left w:val="nil"/>
              <w:bottom w:val="nil"/>
              <w:right w:val="nil"/>
            </w:tcBorders>
          </w:tcPr>
          <w:p>
            <w:pPr>
              <w:pStyle w:val="TableParagraph"/>
              <w:spacing w:line="267" w:lineRule="exact"/>
              <w:ind w:right="110"/>
              <w:rPr>
                <w:sz w:val="24"/>
              </w:rPr>
            </w:pPr>
            <w:r>
              <w:rPr>
                <w:sz w:val="24"/>
              </w:rPr>
              <w:t>12.6</w:t>
            </w:r>
          </w:p>
        </w:tc>
        <w:tc>
          <w:tcPr>
            <w:tcW w:w="776" w:type="dxa"/>
            <w:tcBorders>
              <w:top w:val="nil"/>
              <w:left w:val="nil"/>
              <w:bottom w:val="nil"/>
              <w:right w:val="nil"/>
            </w:tcBorders>
          </w:tcPr>
          <w:p>
            <w:pPr>
              <w:pStyle w:val="TableParagraph"/>
              <w:spacing w:line="267" w:lineRule="exact"/>
              <w:ind w:right="77"/>
              <w:rPr>
                <w:sz w:val="24"/>
              </w:rPr>
            </w:pPr>
            <w:r>
              <w:rPr>
                <w:sz w:val="24"/>
              </w:rPr>
              <w:t>0.32</w:t>
            </w:r>
          </w:p>
        </w:tc>
        <w:tc>
          <w:tcPr>
            <w:tcW w:w="571" w:type="dxa"/>
            <w:tcBorders>
              <w:top w:val="nil"/>
              <w:left w:val="nil"/>
              <w:bottom w:val="nil"/>
              <w:right w:val="nil"/>
            </w:tcBorders>
          </w:tcPr>
          <w:p>
            <w:pPr>
              <w:pStyle w:val="TableParagraph"/>
              <w:spacing w:line="267" w:lineRule="exact"/>
              <w:ind w:right="71"/>
              <w:rPr>
                <w:sz w:val="24"/>
              </w:rPr>
            </w:pPr>
            <w:r>
              <w:rPr>
                <w:sz w:val="24"/>
              </w:rPr>
              <w:t>19.0</w:t>
            </w:r>
          </w:p>
        </w:tc>
      </w:tr>
      <w:tr>
        <w:trPr>
          <w:trHeight w:val="284" w:hRule="exact"/>
        </w:trPr>
        <w:tc>
          <w:tcPr>
            <w:tcW w:w="2873" w:type="dxa"/>
            <w:tcBorders>
              <w:top w:val="nil"/>
              <w:left w:val="nil"/>
              <w:bottom w:val="nil"/>
              <w:right w:val="nil"/>
            </w:tcBorders>
          </w:tcPr>
          <w:p>
            <w:pPr>
              <w:pStyle w:val="TableParagraph"/>
              <w:spacing w:line="267" w:lineRule="exact"/>
              <w:ind w:left="264"/>
              <w:jc w:val="left"/>
              <w:rPr>
                <w:sz w:val="24"/>
              </w:rPr>
            </w:pPr>
            <w:r>
              <w:rPr>
                <w:sz w:val="24"/>
              </w:rPr>
              <w:t>Abono inorgánico</w:t>
            </w:r>
          </w:p>
        </w:tc>
        <w:tc>
          <w:tcPr>
            <w:tcW w:w="885" w:type="dxa"/>
            <w:tcBorders>
              <w:top w:val="nil"/>
              <w:left w:val="nil"/>
              <w:bottom w:val="nil"/>
              <w:right w:val="nil"/>
            </w:tcBorders>
          </w:tcPr>
          <w:p>
            <w:pPr>
              <w:pStyle w:val="TableParagraph"/>
              <w:spacing w:line="267" w:lineRule="exact"/>
              <w:ind w:right="141"/>
              <w:rPr>
                <w:sz w:val="24"/>
              </w:rPr>
            </w:pPr>
            <w:r>
              <w:rPr>
                <w:sz w:val="24"/>
              </w:rPr>
              <w:t>0.01</w:t>
            </w:r>
          </w:p>
        </w:tc>
        <w:tc>
          <w:tcPr>
            <w:tcW w:w="672" w:type="dxa"/>
            <w:tcBorders>
              <w:top w:val="nil"/>
              <w:left w:val="nil"/>
              <w:bottom w:val="nil"/>
              <w:right w:val="nil"/>
            </w:tcBorders>
          </w:tcPr>
          <w:p>
            <w:pPr>
              <w:pStyle w:val="TableParagraph"/>
              <w:spacing w:line="267" w:lineRule="exact"/>
              <w:ind w:right="107"/>
              <w:rPr>
                <w:sz w:val="24"/>
              </w:rPr>
            </w:pPr>
            <w:r>
              <w:rPr>
                <w:sz w:val="24"/>
              </w:rPr>
              <w:t>2.4</w:t>
            </w:r>
          </w:p>
        </w:tc>
        <w:tc>
          <w:tcPr>
            <w:tcW w:w="832" w:type="dxa"/>
            <w:tcBorders>
              <w:top w:val="nil"/>
              <w:left w:val="nil"/>
              <w:bottom w:val="nil"/>
              <w:right w:val="nil"/>
            </w:tcBorders>
          </w:tcPr>
          <w:p>
            <w:pPr>
              <w:pStyle w:val="TableParagraph"/>
              <w:spacing w:line="267" w:lineRule="exact"/>
              <w:ind w:right="134"/>
              <w:rPr>
                <w:sz w:val="24"/>
              </w:rPr>
            </w:pPr>
            <w:r>
              <w:rPr>
                <w:sz w:val="24"/>
              </w:rPr>
              <w:t>0.01</w:t>
            </w:r>
          </w:p>
        </w:tc>
        <w:tc>
          <w:tcPr>
            <w:tcW w:w="679" w:type="dxa"/>
            <w:tcBorders>
              <w:top w:val="nil"/>
              <w:left w:val="nil"/>
              <w:bottom w:val="nil"/>
              <w:right w:val="nil"/>
            </w:tcBorders>
          </w:tcPr>
          <w:p>
            <w:pPr>
              <w:pStyle w:val="TableParagraph"/>
              <w:spacing w:line="267" w:lineRule="exact"/>
              <w:ind w:right="120"/>
              <w:rPr>
                <w:sz w:val="24"/>
              </w:rPr>
            </w:pPr>
            <w:r>
              <w:rPr>
                <w:sz w:val="24"/>
              </w:rPr>
              <w:t>1.2</w:t>
            </w:r>
          </w:p>
        </w:tc>
        <w:tc>
          <w:tcPr>
            <w:tcW w:w="984" w:type="dxa"/>
            <w:tcBorders>
              <w:top w:val="nil"/>
              <w:left w:val="nil"/>
              <w:bottom w:val="nil"/>
              <w:right w:val="nil"/>
            </w:tcBorders>
          </w:tcPr>
          <w:p>
            <w:pPr>
              <w:pStyle w:val="TableParagraph"/>
              <w:spacing w:line="267" w:lineRule="exact"/>
              <w:ind w:right="273"/>
              <w:rPr>
                <w:sz w:val="24"/>
              </w:rPr>
            </w:pPr>
            <w:r>
              <w:rPr>
                <w:w w:val="99"/>
                <w:sz w:val="24"/>
              </w:rPr>
              <w:t>-</w:t>
            </w:r>
          </w:p>
        </w:tc>
        <w:tc>
          <w:tcPr>
            <w:tcW w:w="533" w:type="dxa"/>
            <w:tcBorders>
              <w:top w:val="nil"/>
              <w:left w:val="nil"/>
              <w:bottom w:val="nil"/>
              <w:right w:val="nil"/>
            </w:tcBorders>
          </w:tcPr>
          <w:p>
            <w:pPr>
              <w:pStyle w:val="TableParagraph"/>
              <w:spacing w:line="267" w:lineRule="exact"/>
              <w:ind w:right="109"/>
              <w:rPr>
                <w:sz w:val="24"/>
              </w:rPr>
            </w:pPr>
            <w:r>
              <w:rPr>
                <w:w w:val="99"/>
                <w:sz w:val="24"/>
              </w:rPr>
              <w:t>-</w:t>
            </w:r>
          </w:p>
        </w:tc>
        <w:tc>
          <w:tcPr>
            <w:tcW w:w="776" w:type="dxa"/>
            <w:tcBorders>
              <w:top w:val="nil"/>
              <w:left w:val="nil"/>
              <w:bottom w:val="nil"/>
              <w:right w:val="nil"/>
            </w:tcBorders>
          </w:tcPr>
          <w:p>
            <w:pPr>
              <w:pStyle w:val="TableParagraph"/>
              <w:spacing w:line="267" w:lineRule="exact"/>
              <w:ind w:right="77"/>
              <w:rPr>
                <w:sz w:val="24"/>
              </w:rPr>
            </w:pPr>
            <w:r>
              <w:rPr>
                <w:sz w:val="24"/>
              </w:rPr>
              <w:t>0.08</w:t>
            </w:r>
          </w:p>
        </w:tc>
        <w:tc>
          <w:tcPr>
            <w:tcW w:w="571" w:type="dxa"/>
            <w:tcBorders>
              <w:top w:val="nil"/>
              <w:left w:val="nil"/>
              <w:bottom w:val="nil"/>
              <w:right w:val="nil"/>
            </w:tcBorders>
          </w:tcPr>
          <w:p>
            <w:pPr>
              <w:pStyle w:val="TableParagraph"/>
              <w:spacing w:line="267" w:lineRule="exact"/>
              <w:ind w:right="71"/>
              <w:rPr>
                <w:sz w:val="24"/>
              </w:rPr>
            </w:pPr>
            <w:r>
              <w:rPr>
                <w:sz w:val="24"/>
              </w:rPr>
              <w:t>4.7</w:t>
            </w:r>
          </w:p>
        </w:tc>
      </w:tr>
      <w:tr>
        <w:trPr>
          <w:trHeight w:val="284" w:hRule="exact"/>
        </w:trPr>
        <w:tc>
          <w:tcPr>
            <w:tcW w:w="2873" w:type="dxa"/>
            <w:tcBorders>
              <w:top w:val="nil"/>
              <w:left w:val="nil"/>
              <w:bottom w:val="nil"/>
              <w:right w:val="nil"/>
            </w:tcBorders>
          </w:tcPr>
          <w:p>
            <w:pPr>
              <w:pStyle w:val="TableParagraph"/>
              <w:spacing w:line="268" w:lineRule="exact"/>
              <w:ind w:left="264"/>
              <w:jc w:val="left"/>
              <w:rPr>
                <w:sz w:val="24"/>
              </w:rPr>
            </w:pPr>
            <w:r>
              <w:rPr>
                <w:sz w:val="24"/>
              </w:rPr>
              <w:t>Gasolina</w:t>
            </w:r>
          </w:p>
        </w:tc>
        <w:tc>
          <w:tcPr>
            <w:tcW w:w="885" w:type="dxa"/>
            <w:tcBorders>
              <w:top w:val="nil"/>
              <w:left w:val="nil"/>
              <w:bottom w:val="nil"/>
              <w:right w:val="nil"/>
            </w:tcBorders>
          </w:tcPr>
          <w:p>
            <w:pPr>
              <w:pStyle w:val="TableParagraph"/>
              <w:spacing w:line="268" w:lineRule="exact"/>
              <w:ind w:right="141"/>
              <w:rPr>
                <w:sz w:val="24"/>
              </w:rPr>
            </w:pPr>
            <w:r>
              <w:rPr>
                <w:sz w:val="24"/>
              </w:rPr>
              <w:t>0.01</w:t>
            </w:r>
          </w:p>
        </w:tc>
        <w:tc>
          <w:tcPr>
            <w:tcW w:w="672" w:type="dxa"/>
            <w:tcBorders>
              <w:top w:val="nil"/>
              <w:left w:val="nil"/>
              <w:bottom w:val="nil"/>
              <w:right w:val="nil"/>
            </w:tcBorders>
          </w:tcPr>
          <w:p>
            <w:pPr>
              <w:pStyle w:val="TableParagraph"/>
              <w:spacing w:line="268" w:lineRule="exact"/>
              <w:ind w:right="107"/>
              <w:rPr>
                <w:sz w:val="24"/>
              </w:rPr>
            </w:pPr>
            <w:r>
              <w:rPr>
                <w:sz w:val="24"/>
              </w:rPr>
              <w:t>1.6</w:t>
            </w:r>
          </w:p>
        </w:tc>
        <w:tc>
          <w:tcPr>
            <w:tcW w:w="832" w:type="dxa"/>
            <w:tcBorders>
              <w:top w:val="nil"/>
              <w:left w:val="nil"/>
              <w:bottom w:val="nil"/>
              <w:right w:val="nil"/>
            </w:tcBorders>
          </w:tcPr>
          <w:p>
            <w:pPr>
              <w:pStyle w:val="TableParagraph"/>
              <w:spacing w:line="268" w:lineRule="exact"/>
              <w:ind w:right="134"/>
              <w:rPr>
                <w:sz w:val="24"/>
              </w:rPr>
            </w:pPr>
            <w:r>
              <w:rPr>
                <w:sz w:val="24"/>
              </w:rPr>
              <w:t>0.01</w:t>
            </w:r>
          </w:p>
        </w:tc>
        <w:tc>
          <w:tcPr>
            <w:tcW w:w="679" w:type="dxa"/>
            <w:tcBorders>
              <w:top w:val="nil"/>
              <w:left w:val="nil"/>
              <w:bottom w:val="nil"/>
              <w:right w:val="nil"/>
            </w:tcBorders>
          </w:tcPr>
          <w:p>
            <w:pPr>
              <w:pStyle w:val="TableParagraph"/>
              <w:spacing w:line="268" w:lineRule="exact"/>
              <w:ind w:right="120"/>
              <w:rPr>
                <w:sz w:val="24"/>
              </w:rPr>
            </w:pPr>
            <w:r>
              <w:rPr>
                <w:sz w:val="24"/>
              </w:rPr>
              <w:t>7.3</w:t>
            </w:r>
          </w:p>
        </w:tc>
        <w:tc>
          <w:tcPr>
            <w:tcW w:w="984" w:type="dxa"/>
            <w:tcBorders>
              <w:top w:val="nil"/>
              <w:left w:val="nil"/>
              <w:bottom w:val="nil"/>
              <w:right w:val="nil"/>
            </w:tcBorders>
          </w:tcPr>
          <w:p>
            <w:pPr>
              <w:pStyle w:val="TableParagraph"/>
              <w:spacing w:line="268" w:lineRule="exact"/>
              <w:ind w:right="275"/>
              <w:rPr>
                <w:sz w:val="24"/>
              </w:rPr>
            </w:pPr>
            <w:r>
              <w:rPr>
                <w:sz w:val="24"/>
              </w:rPr>
              <w:t>0.01</w:t>
            </w:r>
          </w:p>
        </w:tc>
        <w:tc>
          <w:tcPr>
            <w:tcW w:w="533" w:type="dxa"/>
            <w:tcBorders>
              <w:top w:val="nil"/>
              <w:left w:val="nil"/>
              <w:bottom w:val="nil"/>
              <w:right w:val="nil"/>
            </w:tcBorders>
          </w:tcPr>
          <w:p>
            <w:pPr>
              <w:pStyle w:val="TableParagraph"/>
              <w:spacing w:line="268" w:lineRule="exact"/>
              <w:ind w:right="110"/>
              <w:rPr>
                <w:sz w:val="24"/>
              </w:rPr>
            </w:pPr>
            <w:r>
              <w:rPr>
                <w:sz w:val="24"/>
              </w:rPr>
              <w:t>1.6</w:t>
            </w:r>
          </w:p>
        </w:tc>
        <w:tc>
          <w:tcPr>
            <w:tcW w:w="776" w:type="dxa"/>
            <w:tcBorders>
              <w:top w:val="nil"/>
              <w:left w:val="nil"/>
              <w:bottom w:val="nil"/>
              <w:right w:val="nil"/>
            </w:tcBorders>
          </w:tcPr>
          <w:p>
            <w:pPr>
              <w:pStyle w:val="TableParagraph"/>
              <w:spacing w:line="268" w:lineRule="exact"/>
              <w:ind w:right="77"/>
              <w:rPr>
                <w:sz w:val="24"/>
              </w:rPr>
            </w:pPr>
            <w:r>
              <w:rPr>
                <w:sz w:val="24"/>
              </w:rPr>
              <w:t>0.05</w:t>
            </w:r>
          </w:p>
        </w:tc>
        <w:tc>
          <w:tcPr>
            <w:tcW w:w="571" w:type="dxa"/>
            <w:tcBorders>
              <w:top w:val="nil"/>
              <w:left w:val="nil"/>
              <w:bottom w:val="nil"/>
              <w:right w:val="nil"/>
            </w:tcBorders>
          </w:tcPr>
          <w:p>
            <w:pPr>
              <w:pStyle w:val="TableParagraph"/>
              <w:spacing w:line="268" w:lineRule="exact"/>
              <w:ind w:right="71"/>
              <w:rPr>
                <w:sz w:val="24"/>
              </w:rPr>
            </w:pPr>
            <w:r>
              <w:rPr>
                <w:sz w:val="24"/>
              </w:rPr>
              <w:t>2.8</w:t>
            </w:r>
          </w:p>
        </w:tc>
      </w:tr>
      <w:tr>
        <w:trPr>
          <w:trHeight w:val="428" w:hRule="exact"/>
        </w:trPr>
        <w:tc>
          <w:tcPr>
            <w:tcW w:w="2873" w:type="dxa"/>
            <w:tcBorders>
              <w:top w:val="nil"/>
              <w:left w:val="nil"/>
              <w:bottom w:val="nil"/>
              <w:right w:val="nil"/>
            </w:tcBorders>
          </w:tcPr>
          <w:p>
            <w:pPr>
              <w:pStyle w:val="TableParagraph"/>
              <w:spacing w:line="267" w:lineRule="exact"/>
              <w:ind w:left="264"/>
              <w:jc w:val="left"/>
              <w:rPr>
                <w:sz w:val="24"/>
              </w:rPr>
            </w:pPr>
            <w:r>
              <w:rPr>
                <w:sz w:val="24"/>
              </w:rPr>
              <w:t>Tractor</w:t>
            </w:r>
          </w:p>
        </w:tc>
        <w:tc>
          <w:tcPr>
            <w:tcW w:w="885" w:type="dxa"/>
            <w:tcBorders>
              <w:top w:val="nil"/>
              <w:left w:val="nil"/>
              <w:bottom w:val="nil"/>
              <w:right w:val="nil"/>
            </w:tcBorders>
          </w:tcPr>
          <w:p>
            <w:pPr>
              <w:pStyle w:val="TableParagraph"/>
              <w:spacing w:line="267" w:lineRule="exact"/>
              <w:ind w:right="141"/>
              <w:rPr>
                <w:sz w:val="24"/>
              </w:rPr>
            </w:pPr>
            <w:r>
              <w:rPr>
                <w:sz w:val="24"/>
              </w:rPr>
              <w:t>0.09</w:t>
            </w:r>
          </w:p>
        </w:tc>
        <w:tc>
          <w:tcPr>
            <w:tcW w:w="672" w:type="dxa"/>
            <w:tcBorders>
              <w:top w:val="nil"/>
              <w:left w:val="nil"/>
              <w:bottom w:val="nil"/>
              <w:right w:val="nil"/>
            </w:tcBorders>
          </w:tcPr>
          <w:p>
            <w:pPr>
              <w:pStyle w:val="TableParagraph"/>
              <w:spacing w:line="267" w:lineRule="exact"/>
              <w:ind w:right="107"/>
              <w:rPr>
                <w:sz w:val="24"/>
              </w:rPr>
            </w:pPr>
            <w:r>
              <w:rPr>
                <w:sz w:val="24"/>
              </w:rPr>
              <w:t>29.0</w:t>
            </w:r>
          </w:p>
        </w:tc>
        <w:tc>
          <w:tcPr>
            <w:tcW w:w="832" w:type="dxa"/>
            <w:tcBorders>
              <w:top w:val="nil"/>
              <w:left w:val="nil"/>
              <w:bottom w:val="nil"/>
              <w:right w:val="nil"/>
            </w:tcBorders>
          </w:tcPr>
          <w:p>
            <w:pPr>
              <w:pStyle w:val="TableParagraph"/>
              <w:spacing w:line="267" w:lineRule="exact"/>
              <w:ind w:right="134"/>
              <w:rPr>
                <w:sz w:val="24"/>
              </w:rPr>
            </w:pPr>
            <w:r>
              <w:rPr>
                <w:sz w:val="24"/>
              </w:rPr>
              <w:t>0.02</w:t>
            </w:r>
          </w:p>
        </w:tc>
        <w:tc>
          <w:tcPr>
            <w:tcW w:w="679" w:type="dxa"/>
            <w:tcBorders>
              <w:top w:val="nil"/>
              <w:left w:val="nil"/>
              <w:bottom w:val="nil"/>
              <w:right w:val="nil"/>
            </w:tcBorders>
          </w:tcPr>
          <w:p>
            <w:pPr>
              <w:pStyle w:val="TableParagraph"/>
              <w:spacing w:line="267" w:lineRule="exact"/>
              <w:ind w:right="120"/>
              <w:rPr>
                <w:sz w:val="24"/>
              </w:rPr>
            </w:pPr>
            <w:r>
              <w:rPr>
                <w:sz w:val="24"/>
              </w:rPr>
              <w:t>10.9</w:t>
            </w:r>
          </w:p>
        </w:tc>
        <w:tc>
          <w:tcPr>
            <w:tcW w:w="984" w:type="dxa"/>
            <w:tcBorders>
              <w:top w:val="nil"/>
              <w:left w:val="nil"/>
              <w:bottom w:val="nil"/>
              <w:right w:val="nil"/>
            </w:tcBorders>
          </w:tcPr>
          <w:p>
            <w:pPr>
              <w:pStyle w:val="TableParagraph"/>
              <w:spacing w:line="267" w:lineRule="exact"/>
              <w:ind w:right="275"/>
              <w:rPr>
                <w:sz w:val="24"/>
              </w:rPr>
            </w:pPr>
            <w:r>
              <w:rPr>
                <w:sz w:val="24"/>
              </w:rPr>
              <w:t>0.09</w:t>
            </w:r>
          </w:p>
        </w:tc>
        <w:tc>
          <w:tcPr>
            <w:tcW w:w="533" w:type="dxa"/>
            <w:tcBorders>
              <w:top w:val="nil"/>
              <w:left w:val="nil"/>
              <w:bottom w:val="nil"/>
              <w:right w:val="nil"/>
            </w:tcBorders>
          </w:tcPr>
          <w:p>
            <w:pPr>
              <w:pStyle w:val="TableParagraph"/>
              <w:spacing w:line="267" w:lineRule="exact"/>
              <w:ind w:right="110"/>
              <w:rPr>
                <w:sz w:val="24"/>
              </w:rPr>
            </w:pPr>
            <w:r>
              <w:rPr>
                <w:sz w:val="24"/>
              </w:rPr>
              <w:t>28.4</w:t>
            </w:r>
          </w:p>
        </w:tc>
        <w:tc>
          <w:tcPr>
            <w:tcW w:w="776" w:type="dxa"/>
            <w:tcBorders>
              <w:top w:val="nil"/>
              <w:left w:val="nil"/>
              <w:bottom w:val="nil"/>
              <w:right w:val="nil"/>
            </w:tcBorders>
          </w:tcPr>
          <w:p>
            <w:pPr>
              <w:pStyle w:val="TableParagraph"/>
              <w:spacing w:line="267" w:lineRule="exact"/>
              <w:ind w:right="77"/>
              <w:rPr>
                <w:sz w:val="24"/>
              </w:rPr>
            </w:pPr>
            <w:r>
              <w:rPr>
                <w:sz w:val="24"/>
              </w:rPr>
              <w:t>0.72</w:t>
            </w:r>
          </w:p>
        </w:tc>
        <w:tc>
          <w:tcPr>
            <w:tcW w:w="571" w:type="dxa"/>
            <w:tcBorders>
              <w:top w:val="nil"/>
              <w:left w:val="nil"/>
              <w:bottom w:val="nil"/>
              <w:right w:val="nil"/>
            </w:tcBorders>
          </w:tcPr>
          <w:p>
            <w:pPr>
              <w:pStyle w:val="TableParagraph"/>
              <w:spacing w:line="267" w:lineRule="exact"/>
              <w:ind w:right="71"/>
              <w:rPr>
                <w:sz w:val="24"/>
              </w:rPr>
            </w:pPr>
            <w:r>
              <w:rPr>
                <w:sz w:val="24"/>
              </w:rPr>
              <w:t>42.3</w:t>
            </w:r>
          </w:p>
        </w:tc>
      </w:tr>
      <w:tr>
        <w:trPr>
          <w:trHeight w:val="426" w:hRule="exact"/>
        </w:trPr>
        <w:tc>
          <w:tcPr>
            <w:tcW w:w="2873" w:type="dxa"/>
            <w:tcBorders>
              <w:top w:val="nil"/>
              <w:left w:val="nil"/>
              <w:bottom w:val="nil"/>
              <w:right w:val="nil"/>
            </w:tcBorders>
          </w:tcPr>
          <w:p>
            <w:pPr>
              <w:pStyle w:val="TableParagraph"/>
              <w:spacing w:before="136"/>
              <w:ind w:left="84"/>
              <w:jc w:val="left"/>
              <w:rPr>
                <w:b/>
                <w:sz w:val="24"/>
              </w:rPr>
            </w:pPr>
            <w:r>
              <w:rPr>
                <w:b/>
                <w:sz w:val="24"/>
              </w:rPr>
              <w:t>Factores Internos</w:t>
            </w:r>
          </w:p>
        </w:tc>
        <w:tc>
          <w:tcPr>
            <w:tcW w:w="885" w:type="dxa"/>
            <w:tcBorders>
              <w:top w:val="nil"/>
              <w:left w:val="nil"/>
              <w:bottom w:val="nil"/>
              <w:right w:val="nil"/>
            </w:tcBorders>
          </w:tcPr>
          <w:p>
            <w:pPr>
              <w:pStyle w:val="TableParagraph"/>
              <w:spacing w:before="136"/>
              <w:ind w:right="141"/>
              <w:rPr>
                <w:b/>
                <w:sz w:val="24"/>
              </w:rPr>
            </w:pPr>
            <w:r>
              <w:rPr>
                <w:b/>
                <w:sz w:val="24"/>
              </w:rPr>
              <w:t>0.13</w:t>
            </w:r>
          </w:p>
        </w:tc>
        <w:tc>
          <w:tcPr>
            <w:tcW w:w="672" w:type="dxa"/>
            <w:tcBorders>
              <w:top w:val="nil"/>
              <w:left w:val="nil"/>
              <w:bottom w:val="nil"/>
              <w:right w:val="nil"/>
            </w:tcBorders>
          </w:tcPr>
          <w:p>
            <w:pPr>
              <w:pStyle w:val="TableParagraph"/>
              <w:spacing w:before="136"/>
              <w:ind w:right="107"/>
              <w:rPr>
                <w:b/>
                <w:sz w:val="24"/>
              </w:rPr>
            </w:pPr>
            <w:r>
              <w:rPr>
                <w:b/>
                <w:sz w:val="24"/>
              </w:rPr>
              <w:t>41.9</w:t>
            </w:r>
          </w:p>
        </w:tc>
        <w:tc>
          <w:tcPr>
            <w:tcW w:w="832" w:type="dxa"/>
            <w:tcBorders>
              <w:top w:val="nil"/>
              <w:left w:val="nil"/>
              <w:bottom w:val="nil"/>
              <w:right w:val="nil"/>
            </w:tcBorders>
          </w:tcPr>
          <w:p>
            <w:pPr>
              <w:pStyle w:val="TableParagraph"/>
              <w:spacing w:before="136"/>
              <w:ind w:right="134"/>
              <w:rPr>
                <w:b/>
                <w:sz w:val="24"/>
              </w:rPr>
            </w:pPr>
            <w:r>
              <w:rPr>
                <w:b/>
                <w:sz w:val="24"/>
              </w:rPr>
              <w:t>0.10</w:t>
            </w:r>
          </w:p>
        </w:tc>
        <w:tc>
          <w:tcPr>
            <w:tcW w:w="679" w:type="dxa"/>
            <w:tcBorders>
              <w:top w:val="nil"/>
              <w:left w:val="nil"/>
              <w:bottom w:val="nil"/>
              <w:right w:val="nil"/>
            </w:tcBorders>
          </w:tcPr>
          <w:p>
            <w:pPr>
              <w:pStyle w:val="TableParagraph"/>
              <w:spacing w:before="136"/>
              <w:ind w:right="120"/>
              <w:rPr>
                <w:b/>
                <w:sz w:val="24"/>
              </w:rPr>
            </w:pPr>
            <w:r>
              <w:rPr>
                <w:b/>
                <w:sz w:val="24"/>
              </w:rPr>
              <w:t>54.4</w:t>
            </w:r>
          </w:p>
        </w:tc>
        <w:tc>
          <w:tcPr>
            <w:tcW w:w="984" w:type="dxa"/>
            <w:tcBorders>
              <w:top w:val="nil"/>
              <w:left w:val="nil"/>
              <w:bottom w:val="nil"/>
              <w:right w:val="nil"/>
            </w:tcBorders>
          </w:tcPr>
          <w:p>
            <w:pPr>
              <w:pStyle w:val="TableParagraph"/>
              <w:spacing w:before="136"/>
              <w:ind w:right="275"/>
              <w:rPr>
                <w:b/>
                <w:sz w:val="24"/>
              </w:rPr>
            </w:pPr>
            <w:r>
              <w:rPr>
                <w:b/>
                <w:sz w:val="24"/>
              </w:rPr>
              <w:t>0.08</w:t>
            </w:r>
          </w:p>
        </w:tc>
        <w:tc>
          <w:tcPr>
            <w:tcW w:w="533" w:type="dxa"/>
            <w:tcBorders>
              <w:top w:val="nil"/>
              <w:left w:val="nil"/>
              <w:bottom w:val="nil"/>
              <w:right w:val="nil"/>
            </w:tcBorders>
          </w:tcPr>
          <w:p>
            <w:pPr>
              <w:pStyle w:val="TableParagraph"/>
              <w:spacing w:before="136"/>
              <w:ind w:right="110"/>
              <w:rPr>
                <w:b/>
                <w:sz w:val="24"/>
              </w:rPr>
            </w:pPr>
            <w:r>
              <w:rPr>
                <w:b/>
                <w:sz w:val="24"/>
              </w:rPr>
              <w:t>23.7</w:t>
            </w:r>
          </w:p>
        </w:tc>
        <w:tc>
          <w:tcPr>
            <w:tcW w:w="776" w:type="dxa"/>
            <w:tcBorders>
              <w:top w:val="nil"/>
              <w:left w:val="nil"/>
              <w:bottom w:val="nil"/>
              <w:right w:val="nil"/>
            </w:tcBorders>
          </w:tcPr>
          <w:p>
            <w:pPr>
              <w:pStyle w:val="TableParagraph"/>
              <w:spacing w:before="136"/>
              <w:ind w:right="77"/>
              <w:rPr>
                <w:b/>
                <w:sz w:val="24"/>
              </w:rPr>
            </w:pPr>
            <w:r>
              <w:rPr>
                <w:b/>
                <w:sz w:val="24"/>
              </w:rPr>
              <w:t>0.23</w:t>
            </w:r>
          </w:p>
        </w:tc>
        <w:tc>
          <w:tcPr>
            <w:tcW w:w="571" w:type="dxa"/>
            <w:tcBorders>
              <w:top w:val="nil"/>
              <w:left w:val="nil"/>
              <w:bottom w:val="nil"/>
              <w:right w:val="nil"/>
            </w:tcBorders>
          </w:tcPr>
          <w:p>
            <w:pPr>
              <w:pStyle w:val="TableParagraph"/>
              <w:spacing w:before="136"/>
              <w:ind w:right="71"/>
              <w:rPr>
                <w:b/>
                <w:sz w:val="24"/>
              </w:rPr>
            </w:pPr>
            <w:r>
              <w:rPr>
                <w:b/>
                <w:sz w:val="24"/>
              </w:rPr>
              <w:t>13.6</w:t>
            </w:r>
          </w:p>
        </w:tc>
      </w:tr>
      <w:tr>
        <w:trPr>
          <w:trHeight w:val="281" w:hRule="exact"/>
        </w:trPr>
        <w:tc>
          <w:tcPr>
            <w:tcW w:w="2873" w:type="dxa"/>
            <w:tcBorders>
              <w:top w:val="nil"/>
              <w:left w:val="nil"/>
              <w:bottom w:val="nil"/>
              <w:right w:val="nil"/>
            </w:tcBorders>
          </w:tcPr>
          <w:p>
            <w:pPr>
              <w:pStyle w:val="TableParagraph"/>
              <w:spacing w:line="264" w:lineRule="exact"/>
              <w:ind w:left="264"/>
              <w:jc w:val="left"/>
              <w:rPr>
                <w:sz w:val="24"/>
              </w:rPr>
            </w:pPr>
            <w:r>
              <w:rPr>
                <w:sz w:val="24"/>
              </w:rPr>
              <w:t>Mano de obra</w:t>
            </w:r>
          </w:p>
        </w:tc>
        <w:tc>
          <w:tcPr>
            <w:tcW w:w="885" w:type="dxa"/>
            <w:tcBorders>
              <w:top w:val="nil"/>
              <w:left w:val="nil"/>
              <w:bottom w:val="nil"/>
              <w:right w:val="nil"/>
            </w:tcBorders>
          </w:tcPr>
          <w:p>
            <w:pPr>
              <w:pStyle w:val="TableParagraph"/>
              <w:spacing w:line="264" w:lineRule="exact"/>
              <w:ind w:right="141"/>
              <w:rPr>
                <w:sz w:val="24"/>
              </w:rPr>
            </w:pPr>
            <w:r>
              <w:rPr>
                <w:sz w:val="24"/>
              </w:rPr>
              <w:t>0.03</w:t>
            </w:r>
          </w:p>
        </w:tc>
        <w:tc>
          <w:tcPr>
            <w:tcW w:w="672" w:type="dxa"/>
            <w:tcBorders>
              <w:top w:val="nil"/>
              <w:left w:val="nil"/>
              <w:bottom w:val="nil"/>
              <w:right w:val="nil"/>
            </w:tcBorders>
          </w:tcPr>
          <w:p>
            <w:pPr>
              <w:pStyle w:val="TableParagraph"/>
              <w:spacing w:line="264" w:lineRule="exact"/>
              <w:ind w:right="107"/>
              <w:rPr>
                <w:sz w:val="24"/>
              </w:rPr>
            </w:pPr>
            <w:r>
              <w:rPr>
                <w:sz w:val="24"/>
              </w:rPr>
              <w:t>9.7</w:t>
            </w:r>
          </w:p>
        </w:tc>
        <w:tc>
          <w:tcPr>
            <w:tcW w:w="832" w:type="dxa"/>
            <w:tcBorders>
              <w:top w:val="nil"/>
              <w:left w:val="nil"/>
              <w:bottom w:val="nil"/>
              <w:right w:val="nil"/>
            </w:tcBorders>
          </w:tcPr>
          <w:p>
            <w:pPr>
              <w:pStyle w:val="TableParagraph"/>
              <w:spacing w:line="264" w:lineRule="exact"/>
              <w:ind w:right="134"/>
              <w:rPr>
                <w:sz w:val="24"/>
              </w:rPr>
            </w:pPr>
            <w:r>
              <w:rPr>
                <w:sz w:val="24"/>
              </w:rPr>
              <w:t>0.02</w:t>
            </w:r>
          </w:p>
        </w:tc>
        <w:tc>
          <w:tcPr>
            <w:tcW w:w="679" w:type="dxa"/>
            <w:tcBorders>
              <w:top w:val="nil"/>
              <w:left w:val="nil"/>
              <w:bottom w:val="nil"/>
              <w:right w:val="nil"/>
            </w:tcBorders>
          </w:tcPr>
          <w:p>
            <w:pPr>
              <w:pStyle w:val="TableParagraph"/>
              <w:spacing w:line="264" w:lineRule="exact"/>
              <w:ind w:right="120"/>
              <w:rPr>
                <w:sz w:val="24"/>
              </w:rPr>
            </w:pPr>
            <w:r>
              <w:rPr>
                <w:sz w:val="24"/>
              </w:rPr>
              <w:t>10.9</w:t>
            </w:r>
          </w:p>
        </w:tc>
        <w:tc>
          <w:tcPr>
            <w:tcW w:w="984" w:type="dxa"/>
            <w:tcBorders>
              <w:top w:val="nil"/>
              <w:left w:val="nil"/>
              <w:bottom w:val="nil"/>
              <w:right w:val="nil"/>
            </w:tcBorders>
          </w:tcPr>
          <w:p>
            <w:pPr>
              <w:pStyle w:val="TableParagraph"/>
              <w:spacing w:line="264" w:lineRule="exact"/>
              <w:ind w:right="275"/>
              <w:rPr>
                <w:sz w:val="24"/>
              </w:rPr>
            </w:pPr>
            <w:r>
              <w:rPr>
                <w:sz w:val="24"/>
              </w:rPr>
              <w:t>0.08</w:t>
            </w:r>
          </w:p>
        </w:tc>
        <w:tc>
          <w:tcPr>
            <w:tcW w:w="533" w:type="dxa"/>
            <w:tcBorders>
              <w:top w:val="nil"/>
              <w:left w:val="nil"/>
              <w:bottom w:val="nil"/>
              <w:right w:val="nil"/>
            </w:tcBorders>
          </w:tcPr>
          <w:p>
            <w:pPr>
              <w:pStyle w:val="TableParagraph"/>
              <w:spacing w:line="264" w:lineRule="exact"/>
              <w:ind w:right="110"/>
              <w:rPr>
                <w:sz w:val="24"/>
              </w:rPr>
            </w:pPr>
            <w:r>
              <w:rPr>
                <w:sz w:val="24"/>
              </w:rPr>
              <w:t>23.7</w:t>
            </w:r>
          </w:p>
        </w:tc>
        <w:tc>
          <w:tcPr>
            <w:tcW w:w="776" w:type="dxa"/>
            <w:tcBorders>
              <w:top w:val="nil"/>
              <w:left w:val="nil"/>
              <w:bottom w:val="nil"/>
              <w:right w:val="nil"/>
            </w:tcBorders>
          </w:tcPr>
          <w:p>
            <w:pPr>
              <w:pStyle w:val="TableParagraph"/>
              <w:spacing w:line="264" w:lineRule="exact"/>
              <w:ind w:right="77"/>
              <w:rPr>
                <w:sz w:val="24"/>
              </w:rPr>
            </w:pPr>
            <w:r>
              <w:rPr>
                <w:sz w:val="24"/>
              </w:rPr>
              <w:t>0.23</w:t>
            </w:r>
          </w:p>
        </w:tc>
        <w:tc>
          <w:tcPr>
            <w:tcW w:w="571" w:type="dxa"/>
            <w:tcBorders>
              <w:top w:val="nil"/>
              <w:left w:val="nil"/>
              <w:bottom w:val="nil"/>
              <w:right w:val="nil"/>
            </w:tcBorders>
          </w:tcPr>
          <w:p>
            <w:pPr>
              <w:pStyle w:val="TableParagraph"/>
              <w:spacing w:line="264" w:lineRule="exact"/>
              <w:ind w:right="71"/>
              <w:rPr>
                <w:sz w:val="24"/>
              </w:rPr>
            </w:pPr>
            <w:r>
              <w:rPr>
                <w:sz w:val="24"/>
              </w:rPr>
              <w:t>13.6</w:t>
            </w:r>
          </w:p>
        </w:tc>
      </w:tr>
      <w:tr>
        <w:trPr>
          <w:trHeight w:val="284" w:hRule="exact"/>
        </w:trPr>
        <w:tc>
          <w:tcPr>
            <w:tcW w:w="2873" w:type="dxa"/>
            <w:tcBorders>
              <w:top w:val="nil"/>
              <w:left w:val="nil"/>
              <w:bottom w:val="nil"/>
              <w:right w:val="nil"/>
            </w:tcBorders>
          </w:tcPr>
          <w:p>
            <w:pPr>
              <w:pStyle w:val="TableParagraph"/>
              <w:spacing w:line="267" w:lineRule="exact"/>
              <w:ind w:left="264"/>
              <w:jc w:val="left"/>
              <w:rPr>
                <w:sz w:val="24"/>
              </w:rPr>
            </w:pPr>
            <w:r>
              <w:rPr>
                <w:sz w:val="24"/>
              </w:rPr>
              <w:t>Riego</w:t>
            </w:r>
          </w:p>
        </w:tc>
        <w:tc>
          <w:tcPr>
            <w:tcW w:w="885" w:type="dxa"/>
            <w:tcBorders>
              <w:top w:val="nil"/>
              <w:left w:val="nil"/>
              <w:bottom w:val="nil"/>
              <w:right w:val="nil"/>
            </w:tcBorders>
          </w:tcPr>
          <w:p>
            <w:pPr>
              <w:pStyle w:val="TableParagraph"/>
              <w:spacing w:line="267" w:lineRule="exact"/>
              <w:ind w:right="140"/>
              <w:rPr>
                <w:sz w:val="24"/>
              </w:rPr>
            </w:pPr>
            <w:r>
              <w:rPr>
                <w:w w:val="99"/>
                <w:sz w:val="24"/>
              </w:rPr>
              <w:t>-</w:t>
            </w:r>
          </w:p>
        </w:tc>
        <w:tc>
          <w:tcPr>
            <w:tcW w:w="672" w:type="dxa"/>
            <w:tcBorders>
              <w:top w:val="nil"/>
              <w:left w:val="nil"/>
              <w:bottom w:val="nil"/>
              <w:right w:val="nil"/>
            </w:tcBorders>
          </w:tcPr>
          <w:p>
            <w:pPr>
              <w:pStyle w:val="TableParagraph"/>
              <w:spacing w:line="267" w:lineRule="exact"/>
              <w:ind w:right="106"/>
              <w:rPr>
                <w:sz w:val="24"/>
              </w:rPr>
            </w:pPr>
            <w:r>
              <w:rPr>
                <w:w w:val="99"/>
                <w:sz w:val="24"/>
              </w:rPr>
              <w:t>-</w:t>
            </w:r>
          </w:p>
        </w:tc>
        <w:tc>
          <w:tcPr>
            <w:tcW w:w="832" w:type="dxa"/>
            <w:tcBorders>
              <w:top w:val="nil"/>
              <w:left w:val="nil"/>
              <w:bottom w:val="nil"/>
              <w:right w:val="nil"/>
            </w:tcBorders>
          </w:tcPr>
          <w:p>
            <w:pPr>
              <w:pStyle w:val="TableParagraph"/>
              <w:spacing w:line="267" w:lineRule="exact"/>
              <w:ind w:right="134"/>
              <w:rPr>
                <w:sz w:val="24"/>
              </w:rPr>
            </w:pPr>
            <w:r>
              <w:rPr>
                <w:sz w:val="24"/>
              </w:rPr>
              <w:t>0.08</w:t>
            </w:r>
          </w:p>
        </w:tc>
        <w:tc>
          <w:tcPr>
            <w:tcW w:w="679" w:type="dxa"/>
            <w:tcBorders>
              <w:top w:val="nil"/>
              <w:left w:val="nil"/>
              <w:bottom w:val="nil"/>
              <w:right w:val="nil"/>
            </w:tcBorders>
          </w:tcPr>
          <w:p>
            <w:pPr>
              <w:pStyle w:val="TableParagraph"/>
              <w:spacing w:line="267" w:lineRule="exact"/>
              <w:ind w:right="120"/>
              <w:rPr>
                <w:sz w:val="24"/>
              </w:rPr>
            </w:pPr>
            <w:r>
              <w:rPr>
                <w:sz w:val="24"/>
              </w:rPr>
              <w:t>43.5</w:t>
            </w:r>
          </w:p>
        </w:tc>
        <w:tc>
          <w:tcPr>
            <w:tcW w:w="984" w:type="dxa"/>
            <w:tcBorders>
              <w:top w:val="nil"/>
              <w:left w:val="nil"/>
              <w:bottom w:val="nil"/>
              <w:right w:val="nil"/>
            </w:tcBorders>
          </w:tcPr>
          <w:p>
            <w:pPr>
              <w:pStyle w:val="TableParagraph"/>
              <w:spacing w:line="267" w:lineRule="exact"/>
              <w:ind w:right="273"/>
              <w:rPr>
                <w:sz w:val="24"/>
              </w:rPr>
            </w:pPr>
            <w:r>
              <w:rPr>
                <w:w w:val="99"/>
                <w:sz w:val="24"/>
              </w:rPr>
              <w:t>-</w:t>
            </w:r>
          </w:p>
        </w:tc>
        <w:tc>
          <w:tcPr>
            <w:tcW w:w="533" w:type="dxa"/>
            <w:tcBorders>
              <w:top w:val="nil"/>
              <w:left w:val="nil"/>
              <w:bottom w:val="nil"/>
              <w:right w:val="nil"/>
            </w:tcBorders>
          </w:tcPr>
          <w:p>
            <w:pPr>
              <w:pStyle w:val="TableParagraph"/>
              <w:spacing w:line="267" w:lineRule="exact"/>
              <w:ind w:right="109"/>
              <w:rPr>
                <w:sz w:val="24"/>
              </w:rPr>
            </w:pPr>
            <w:r>
              <w:rPr>
                <w:w w:val="99"/>
                <w:sz w:val="24"/>
              </w:rPr>
              <w:t>-</w:t>
            </w:r>
          </w:p>
        </w:tc>
        <w:tc>
          <w:tcPr>
            <w:tcW w:w="776" w:type="dxa"/>
            <w:tcBorders>
              <w:top w:val="nil"/>
              <w:left w:val="nil"/>
              <w:bottom w:val="nil"/>
              <w:right w:val="nil"/>
            </w:tcBorders>
          </w:tcPr>
          <w:p>
            <w:pPr>
              <w:pStyle w:val="TableParagraph"/>
              <w:spacing w:line="267" w:lineRule="exact"/>
              <w:ind w:right="76"/>
              <w:rPr>
                <w:sz w:val="24"/>
              </w:rPr>
            </w:pPr>
            <w:r>
              <w:rPr>
                <w:w w:val="99"/>
                <w:sz w:val="24"/>
              </w:rPr>
              <w:t>-</w:t>
            </w:r>
          </w:p>
        </w:tc>
        <w:tc>
          <w:tcPr>
            <w:tcW w:w="571" w:type="dxa"/>
            <w:tcBorders>
              <w:top w:val="nil"/>
              <w:left w:val="nil"/>
              <w:bottom w:val="nil"/>
              <w:right w:val="nil"/>
            </w:tcBorders>
          </w:tcPr>
          <w:p>
            <w:pPr>
              <w:pStyle w:val="TableParagraph"/>
              <w:spacing w:line="267" w:lineRule="exact"/>
              <w:ind w:right="69"/>
              <w:rPr>
                <w:sz w:val="24"/>
              </w:rPr>
            </w:pPr>
            <w:r>
              <w:rPr>
                <w:w w:val="99"/>
                <w:sz w:val="24"/>
              </w:rPr>
              <w:t>-</w:t>
            </w:r>
          </w:p>
        </w:tc>
      </w:tr>
      <w:tr>
        <w:trPr>
          <w:trHeight w:val="428" w:hRule="exact"/>
        </w:trPr>
        <w:tc>
          <w:tcPr>
            <w:tcW w:w="2873" w:type="dxa"/>
            <w:tcBorders>
              <w:top w:val="nil"/>
              <w:left w:val="nil"/>
              <w:bottom w:val="nil"/>
              <w:right w:val="nil"/>
            </w:tcBorders>
          </w:tcPr>
          <w:p>
            <w:pPr>
              <w:pStyle w:val="TableParagraph"/>
              <w:spacing w:line="268" w:lineRule="exact"/>
              <w:ind w:left="264"/>
              <w:jc w:val="left"/>
              <w:rPr>
                <w:sz w:val="24"/>
              </w:rPr>
            </w:pPr>
            <w:r>
              <w:rPr>
                <w:sz w:val="24"/>
              </w:rPr>
              <w:t>Costos por ensilar</w:t>
            </w:r>
          </w:p>
        </w:tc>
        <w:tc>
          <w:tcPr>
            <w:tcW w:w="885" w:type="dxa"/>
            <w:tcBorders>
              <w:top w:val="nil"/>
              <w:left w:val="nil"/>
              <w:bottom w:val="nil"/>
              <w:right w:val="nil"/>
            </w:tcBorders>
          </w:tcPr>
          <w:p>
            <w:pPr>
              <w:pStyle w:val="TableParagraph"/>
              <w:spacing w:line="268" w:lineRule="exact"/>
              <w:ind w:right="141"/>
              <w:rPr>
                <w:sz w:val="24"/>
              </w:rPr>
            </w:pPr>
            <w:r>
              <w:rPr>
                <w:sz w:val="24"/>
              </w:rPr>
              <w:t>0.10</w:t>
            </w:r>
          </w:p>
        </w:tc>
        <w:tc>
          <w:tcPr>
            <w:tcW w:w="672" w:type="dxa"/>
            <w:tcBorders>
              <w:top w:val="nil"/>
              <w:left w:val="nil"/>
              <w:bottom w:val="nil"/>
              <w:right w:val="nil"/>
            </w:tcBorders>
          </w:tcPr>
          <w:p>
            <w:pPr>
              <w:pStyle w:val="TableParagraph"/>
              <w:spacing w:line="268" w:lineRule="exact"/>
              <w:ind w:right="107"/>
              <w:rPr>
                <w:sz w:val="24"/>
              </w:rPr>
            </w:pPr>
            <w:r>
              <w:rPr>
                <w:sz w:val="24"/>
              </w:rPr>
              <w:t>32.3</w:t>
            </w:r>
          </w:p>
        </w:tc>
        <w:tc>
          <w:tcPr>
            <w:tcW w:w="832" w:type="dxa"/>
            <w:tcBorders>
              <w:top w:val="nil"/>
              <w:left w:val="nil"/>
              <w:bottom w:val="nil"/>
              <w:right w:val="nil"/>
            </w:tcBorders>
          </w:tcPr>
          <w:p>
            <w:pPr>
              <w:pStyle w:val="TableParagraph"/>
              <w:spacing w:line="268" w:lineRule="exact"/>
              <w:ind w:right="134"/>
              <w:rPr>
                <w:sz w:val="24"/>
              </w:rPr>
            </w:pPr>
            <w:r>
              <w:rPr>
                <w:sz w:val="24"/>
              </w:rPr>
              <w:t>0.00</w:t>
            </w:r>
          </w:p>
        </w:tc>
        <w:tc>
          <w:tcPr>
            <w:tcW w:w="679" w:type="dxa"/>
            <w:tcBorders>
              <w:top w:val="nil"/>
              <w:left w:val="nil"/>
              <w:bottom w:val="nil"/>
              <w:right w:val="nil"/>
            </w:tcBorders>
          </w:tcPr>
          <w:p>
            <w:pPr>
              <w:pStyle w:val="TableParagraph"/>
              <w:spacing w:line="268" w:lineRule="exact"/>
              <w:ind w:right="120"/>
              <w:rPr>
                <w:sz w:val="24"/>
              </w:rPr>
            </w:pPr>
            <w:r>
              <w:rPr>
                <w:sz w:val="24"/>
              </w:rPr>
              <w:t>0.0</w:t>
            </w:r>
          </w:p>
        </w:tc>
        <w:tc>
          <w:tcPr>
            <w:tcW w:w="984" w:type="dxa"/>
            <w:tcBorders>
              <w:top w:val="nil"/>
              <w:left w:val="nil"/>
              <w:bottom w:val="nil"/>
              <w:right w:val="nil"/>
            </w:tcBorders>
          </w:tcPr>
          <w:p>
            <w:pPr>
              <w:pStyle w:val="TableParagraph"/>
              <w:spacing w:line="268" w:lineRule="exact"/>
              <w:ind w:right="275"/>
              <w:rPr>
                <w:sz w:val="24"/>
              </w:rPr>
            </w:pPr>
            <w:r>
              <w:rPr>
                <w:sz w:val="24"/>
              </w:rPr>
              <w:t>0.00</w:t>
            </w:r>
          </w:p>
        </w:tc>
        <w:tc>
          <w:tcPr>
            <w:tcW w:w="533" w:type="dxa"/>
            <w:tcBorders>
              <w:top w:val="nil"/>
              <w:left w:val="nil"/>
              <w:bottom w:val="nil"/>
              <w:right w:val="nil"/>
            </w:tcBorders>
          </w:tcPr>
          <w:p>
            <w:pPr>
              <w:pStyle w:val="TableParagraph"/>
              <w:spacing w:line="268" w:lineRule="exact"/>
              <w:ind w:right="110"/>
              <w:rPr>
                <w:sz w:val="24"/>
              </w:rPr>
            </w:pPr>
            <w:r>
              <w:rPr>
                <w:sz w:val="24"/>
              </w:rPr>
              <w:t>0.0</w:t>
            </w:r>
          </w:p>
        </w:tc>
        <w:tc>
          <w:tcPr>
            <w:tcW w:w="776" w:type="dxa"/>
            <w:tcBorders>
              <w:top w:val="nil"/>
              <w:left w:val="nil"/>
              <w:bottom w:val="nil"/>
              <w:right w:val="nil"/>
            </w:tcBorders>
          </w:tcPr>
          <w:p>
            <w:pPr>
              <w:pStyle w:val="TableParagraph"/>
              <w:spacing w:line="268" w:lineRule="exact"/>
              <w:ind w:right="77"/>
              <w:rPr>
                <w:sz w:val="24"/>
              </w:rPr>
            </w:pPr>
            <w:r>
              <w:rPr>
                <w:sz w:val="24"/>
              </w:rPr>
              <w:t>0.00</w:t>
            </w:r>
          </w:p>
        </w:tc>
        <w:tc>
          <w:tcPr>
            <w:tcW w:w="571" w:type="dxa"/>
            <w:tcBorders>
              <w:top w:val="nil"/>
              <w:left w:val="nil"/>
              <w:bottom w:val="nil"/>
              <w:right w:val="nil"/>
            </w:tcBorders>
          </w:tcPr>
          <w:p>
            <w:pPr>
              <w:pStyle w:val="TableParagraph"/>
              <w:spacing w:line="268" w:lineRule="exact"/>
              <w:ind w:right="71"/>
              <w:rPr>
                <w:sz w:val="24"/>
              </w:rPr>
            </w:pPr>
            <w:r>
              <w:rPr>
                <w:sz w:val="24"/>
              </w:rPr>
              <w:t>0.0</w:t>
            </w:r>
          </w:p>
        </w:tc>
      </w:tr>
      <w:tr>
        <w:trPr>
          <w:trHeight w:val="426" w:hRule="exact"/>
        </w:trPr>
        <w:tc>
          <w:tcPr>
            <w:tcW w:w="2873" w:type="dxa"/>
            <w:tcBorders>
              <w:top w:val="nil"/>
              <w:left w:val="nil"/>
              <w:bottom w:val="nil"/>
              <w:right w:val="nil"/>
            </w:tcBorders>
          </w:tcPr>
          <w:p>
            <w:pPr>
              <w:pStyle w:val="TableParagraph"/>
              <w:spacing w:before="134"/>
              <w:ind w:left="84"/>
              <w:jc w:val="left"/>
              <w:rPr>
                <w:b/>
                <w:sz w:val="24"/>
              </w:rPr>
            </w:pPr>
            <w:r>
              <w:rPr>
                <w:b/>
                <w:sz w:val="24"/>
              </w:rPr>
              <w:t>Insumos no comerciables</w:t>
            </w:r>
          </w:p>
        </w:tc>
        <w:tc>
          <w:tcPr>
            <w:tcW w:w="885" w:type="dxa"/>
            <w:tcBorders>
              <w:top w:val="nil"/>
              <w:left w:val="nil"/>
              <w:bottom w:val="nil"/>
              <w:right w:val="nil"/>
            </w:tcBorders>
          </w:tcPr>
          <w:p>
            <w:pPr>
              <w:pStyle w:val="TableParagraph"/>
              <w:spacing w:before="134"/>
              <w:ind w:right="141"/>
              <w:rPr>
                <w:b/>
                <w:sz w:val="24"/>
              </w:rPr>
            </w:pPr>
            <w:r>
              <w:rPr>
                <w:b/>
                <w:sz w:val="24"/>
              </w:rPr>
              <w:t>0.01</w:t>
            </w:r>
          </w:p>
        </w:tc>
        <w:tc>
          <w:tcPr>
            <w:tcW w:w="672" w:type="dxa"/>
            <w:tcBorders>
              <w:top w:val="nil"/>
              <w:left w:val="nil"/>
              <w:bottom w:val="nil"/>
              <w:right w:val="nil"/>
            </w:tcBorders>
          </w:tcPr>
          <w:p>
            <w:pPr>
              <w:pStyle w:val="TableParagraph"/>
              <w:spacing w:before="134"/>
              <w:ind w:right="107"/>
              <w:rPr>
                <w:b/>
                <w:sz w:val="24"/>
              </w:rPr>
            </w:pPr>
            <w:r>
              <w:rPr>
                <w:b/>
                <w:sz w:val="24"/>
              </w:rPr>
              <w:t>0.6</w:t>
            </w:r>
          </w:p>
        </w:tc>
        <w:tc>
          <w:tcPr>
            <w:tcW w:w="832" w:type="dxa"/>
            <w:tcBorders>
              <w:top w:val="nil"/>
              <w:left w:val="nil"/>
              <w:bottom w:val="nil"/>
              <w:right w:val="nil"/>
            </w:tcBorders>
          </w:tcPr>
          <w:p>
            <w:pPr>
              <w:pStyle w:val="TableParagraph"/>
              <w:spacing w:before="134"/>
              <w:ind w:right="134"/>
              <w:rPr>
                <w:b/>
                <w:sz w:val="24"/>
              </w:rPr>
            </w:pPr>
            <w:r>
              <w:rPr>
                <w:b/>
                <w:sz w:val="24"/>
              </w:rPr>
              <w:t>0.00</w:t>
            </w:r>
          </w:p>
        </w:tc>
        <w:tc>
          <w:tcPr>
            <w:tcW w:w="679" w:type="dxa"/>
            <w:tcBorders>
              <w:top w:val="nil"/>
              <w:left w:val="nil"/>
              <w:bottom w:val="nil"/>
              <w:right w:val="nil"/>
            </w:tcBorders>
          </w:tcPr>
          <w:p>
            <w:pPr>
              <w:pStyle w:val="TableParagraph"/>
              <w:spacing w:before="134"/>
              <w:ind w:right="120"/>
              <w:rPr>
                <w:b/>
                <w:sz w:val="24"/>
              </w:rPr>
            </w:pPr>
            <w:r>
              <w:rPr>
                <w:b/>
                <w:sz w:val="24"/>
              </w:rPr>
              <w:t>0.4</w:t>
            </w:r>
          </w:p>
        </w:tc>
        <w:tc>
          <w:tcPr>
            <w:tcW w:w="984" w:type="dxa"/>
            <w:tcBorders>
              <w:top w:val="nil"/>
              <w:left w:val="nil"/>
              <w:bottom w:val="nil"/>
              <w:right w:val="nil"/>
            </w:tcBorders>
          </w:tcPr>
          <w:p>
            <w:pPr>
              <w:pStyle w:val="TableParagraph"/>
              <w:spacing w:before="134"/>
              <w:ind w:right="275"/>
              <w:rPr>
                <w:b/>
                <w:sz w:val="24"/>
              </w:rPr>
            </w:pPr>
            <w:r>
              <w:rPr>
                <w:b/>
                <w:sz w:val="24"/>
              </w:rPr>
              <w:t>0.00</w:t>
            </w:r>
          </w:p>
        </w:tc>
        <w:tc>
          <w:tcPr>
            <w:tcW w:w="533" w:type="dxa"/>
            <w:tcBorders>
              <w:top w:val="nil"/>
              <w:left w:val="nil"/>
              <w:bottom w:val="nil"/>
              <w:right w:val="nil"/>
            </w:tcBorders>
          </w:tcPr>
          <w:p>
            <w:pPr>
              <w:pStyle w:val="TableParagraph"/>
              <w:spacing w:before="134"/>
              <w:ind w:right="110"/>
              <w:rPr>
                <w:b/>
                <w:sz w:val="24"/>
              </w:rPr>
            </w:pPr>
            <w:r>
              <w:rPr>
                <w:b/>
                <w:sz w:val="24"/>
              </w:rPr>
              <w:t>0.5</w:t>
            </w:r>
          </w:p>
        </w:tc>
        <w:tc>
          <w:tcPr>
            <w:tcW w:w="776" w:type="dxa"/>
            <w:tcBorders>
              <w:top w:val="nil"/>
              <w:left w:val="nil"/>
              <w:bottom w:val="nil"/>
              <w:right w:val="nil"/>
            </w:tcBorders>
          </w:tcPr>
          <w:p>
            <w:pPr>
              <w:pStyle w:val="TableParagraph"/>
              <w:spacing w:before="134"/>
              <w:ind w:right="77"/>
              <w:rPr>
                <w:b/>
                <w:sz w:val="24"/>
              </w:rPr>
            </w:pPr>
            <w:r>
              <w:rPr>
                <w:b/>
                <w:sz w:val="24"/>
              </w:rPr>
              <w:t>0.01</w:t>
            </w:r>
          </w:p>
        </w:tc>
        <w:tc>
          <w:tcPr>
            <w:tcW w:w="571" w:type="dxa"/>
            <w:tcBorders>
              <w:top w:val="nil"/>
              <w:left w:val="nil"/>
              <w:bottom w:val="nil"/>
              <w:right w:val="nil"/>
            </w:tcBorders>
          </w:tcPr>
          <w:p>
            <w:pPr>
              <w:pStyle w:val="TableParagraph"/>
              <w:spacing w:before="134"/>
              <w:ind w:right="71"/>
              <w:rPr>
                <w:b/>
                <w:sz w:val="24"/>
              </w:rPr>
            </w:pPr>
            <w:r>
              <w:rPr>
                <w:b/>
                <w:sz w:val="24"/>
              </w:rPr>
              <w:t>0.7</w:t>
            </w:r>
          </w:p>
        </w:tc>
      </w:tr>
      <w:tr>
        <w:trPr>
          <w:trHeight w:val="426" w:hRule="exact"/>
        </w:trPr>
        <w:tc>
          <w:tcPr>
            <w:tcW w:w="2873" w:type="dxa"/>
            <w:tcBorders>
              <w:top w:val="nil"/>
              <w:left w:val="nil"/>
              <w:bottom w:val="nil"/>
              <w:right w:val="nil"/>
            </w:tcBorders>
          </w:tcPr>
          <w:p>
            <w:pPr>
              <w:pStyle w:val="TableParagraph"/>
              <w:spacing w:line="265" w:lineRule="exact"/>
              <w:ind w:left="264"/>
              <w:jc w:val="left"/>
              <w:rPr>
                <w:sz w:val="24"/>
              </w:rPr>
            </w:pPr>
            <w:r>
              <w:rPr>
                <w:sz w:val="24"/>
              </w:rPr>
              <w:t>Dep de vehículo</w:t>
            </w:r>
          </w:p>
        </w:tc>
        <w:tc>
          <w:tcPr>
            <w:tcW w:w="885" w:type="dxa"/>
            <w:tcBorders>
              <w:top w:val="nil"/>
              <w:left w:val="nil"/>
              <w:bottom w:val="nil"/>
              <w:right w:val="nil"/>
            </w:tcBorders>
          </w:tcPr>
          <w:p>
            <w:pPr>
              <w:pStyle w:val="TableParagraph"/>
              <w:spacing w:line="265" w:lineRule="exact"/>
              <w:ind w:right="141"/>
              <w:rPr>
                <w:sz w:val="24"/>
              </w:rPr>
            </w:pPr>
            <w:r>
              <w:rPr>
                <w:sz w:val="24"/>
              </w:rPr>
              <w:t>0.01</w:t>
            </w:r>
          </w:p>
        </w:tc>
        <w:tc>
          <w:tcPr>
            <w:tcW w:w="672" w:type="dxa"/>
            <w:tcBorders>
              <w:top w:val="nil"/>
              <w:left w:val="nil"/>
              <w:bottom w:val="nil"/>
              <w:right w:val="nil"/>
            </w:tcBorders>
          </w:tcPr>
          <w:p>
            <w:pPr>
              <w:pStyle w:val="TableParagraph"/>
              <w:spacing w:line="265" w:lineRule="exact"/>
              <w:ind w:right="107"/>
              <w:rPr>
                <w:sz w:val="24"/>
              </w:rPr>
            </w:pPr>
            <w:r>
              <w:rPr>
                <w:sz w:val="24"/>
              </w:rPr>
              <w:t>0.6</w:t>
            </w:r>
          </w:p>
        </w:tc>
        <w:tc>
          <w:tcPr>
            <w:tcW w:w="832" w:type="dxa"/>
            <w:tcBorders>
              <w:top w:val="nil"/>
              <w:left w:val="nil"/>
              <w:bottom w:val="nil"/>
              <w:right w:val="nil"/>
            </w:tcBorders>
          </w:tcPr>
          <w:p>
            <w:pPr>
              <w:pStyle w:val="TableParagraph"/>
              <w:spacing w:line="265" w:lineRule="exact"/>
              <w:ind w:right="134"/>
              <w:rPr>
                <w:sz w:val="24"/>
              </w:rPr>
            </w:pPr>
            <w:r>
              <w:rPr>
                <w:sz w:val="24"/>
              </w:rPr>
              <w:t>0.00</w:t>
            </w:r>
          </w:p>
        </w:tc>
        <w:tc>
          <w:tcPr>
            <w:tcW w:w="679" w:type="dxa"/>
            <w:tcBorders>
              <w:top w:val="nil"/>
              <w:left w:val="nil"/>
              <w:bottom w:val="nil"/>
              <w:right w:val="nil"/>
            </w:tcBorders>
          </w:tcPr>
          <w:p>
            <w:pPr>
              <w:pStyle w:val="TableParagraph"/>
              <w:spacing w:line="265" w:lineRule="exact"/>
              <w:ind w:right="120"/>
              <w:rPr>
                <w:sz w:val="24"/>
              </w:rPr>
            </w:pPr>
            <w:r>
              <w:rPr>
                <w:sz w:val="24"/>
              </w:rPr>
              <w:t>0.4</w:t>
            </w:r>
          </w:p>
        </w:tc>
        <w:tc>
          <w:tcPr>
            <w:tcW w:w="984" w:type="dxa"/>
            <w:tcBorders>
              <w:top w:val="nil"/>
              <w:left w:val="nil"/>
              <w:bottom w:val="nil"/>
              <w:right w:val="nil"/>
            </w:tcBorders>
          </w:tcPr>
          <w:p>
            <w:pPr>
              <w:pStyle w:val="TableParagraph"/>
              <w:spacing w:line="265" w:lineRule="exact"/>
              <w:ind w:right="275"/>
              <w:rPr>
                <w:sz w:val="24"/>
              </w:rPr>
            </w:pPr>
            <w:r>
              <w:rPr>
                <w:sz w:val="24"/>
              </w:rPr>
              <w:t>0.00</w:t>
            </w:r>
          </w:p>
        </w:tc>
        <w:tc>
          <w:tcPr>
            <w:tcW w:w="533" w:type="dxa"/>
            <w:tcBorders>
              <w:top w:val="nil"/>
              <w:left w:val="nil"/>
              <w:bottom w:val="nil"/>
              <w:right w:val="nil"/>
            </w:tcBorders>
          </w:tcPr>
          <w:p>
            <w:pPr>
              <w:pStyle w:val="TableParagraph"/>
              <w:spacing w:line="265" w:lineRule="exact"/>
              <w:ind w:right="110"/>
              <w:rPr>
                <w:sz w:val="24"/>
              </w:rPr>
            </w:pPr>
            <w:r>
              <w:rPr>
                <w:sz w:val="24"/>
              </w:rPr>
              <w:t>0.5</w:t>
            </w:r>
          </w:p>
        </w:tc>
        <w:tc>
          <w:tcPr>
            <w:tcW w:w="776" w:type="dxa"/>
            <w:tcBorders>
              <w:top w:val="nil"/>
              <w:left w:val="nil"/>
              <w:bottom w:val="nil"/>
              <w:right w:val="nil"/>
            </w:tcBorders>
          </w:tcPr>
          <w:p>
            <w:pPr>
              <w:pStyle w:val="TableParagraph"/>
              <w:spacing w:line="265" w:lineRule="exact"/>
              <w:ind w:right="77"/>
              <w:rPr>
                <w:sz w:val="24"/>
              </w:rPr>
            </w:pPr>
            <w:r>
              <w:rPr>
                <w:sz w:val="24"/>
              </w:rPr>
              <w:t>0.01</w:t>
            </w:r>
          </w:p>
        </w:tc>
        <w:tc>
          <w:tcPr>
            <w:tcW w:w="571" w:type="dxa"/>
            <w:tcBorders>
              <w:top w:val="nil"/>
              <w:left w:val="nil"/>
              <w:bottom w:val="nil"/>
              <w:right w:val="nil"/>
            </w:tcBorders>
          </w:tcPr>
          <w:p>
            <w:pPr>
              <w:pStyle w:val="TableParagraph"/>
              <w:spacing w:line="265" w:lineRule="exact"/>
              <w:ind w:right="71"/>
              <w:rPr>
                <w:sz w:val="24"/>
              </w:rPr>
            </w:pPr>
            <w:r>
              <w:rPr>
                <w:sz w:val="24"/>
              </w:rPr>
              <w:t>0.7</w:t>
            </w:r>
          </w:p>
        </w:tc>
      </w:tr>
      <w:tr>
        <w:trPr>
          <w:trHeight w:val="421" w:hRule="exact"/>
        </w:trPr>
        <w:tc>
          <w:tcPr>
            <w:tcW w:w="2873" w:type="dxa"/>
            <w:tcBorders>
              <w:top w:val="nil"/>
              <w:left w:val="nil"/>
              <w:bottom w:val="nil"/>
              <w:right w:val="nil"/>
            </w:tcBorders>
          </w:tcPr>
          <w:p>
            <w:pPr>
              <w:pStyle w:val="TableParagraph"/>
              <w:spacing w:before="135"/>
              <w:ind w:left="84"/>
              <w:jc w:val="left"/>
              <w:rPr>
                <w:b/>
                <w:sz w:val="24"/>
              </w:rPr>
            </w:pPr>
            <w:r>
              <w:rPr>
                <w:b/>
                <w:sz w:val="24"/>
              </w:rPr>
              <w:t>Costo por kilogramo</w:t>
            </w:r>
          </w:p>
        </w:tc>
        <w:tc>
          <w:tcPr>
            <w:tcW w:w="885" w:type="dxa"/>
            <w:tcBorders>
              <w:top w:val="nil"/>
              <w:left w:val="nil"/>
              <w:bottom w:val="nil"/>
              <w:right w:val="nil"/>
            </w:tcBorders>
          </w:tcPr>
          <w:p>
            <w:pPr>
              <w:pStyle w:val="TableParagraph"/>
              <w:spacing w:before="135"/>
              <w:ind w:right="141"/>
              <w:rPr>
                <w:b/>
                <w:sz w:val="24"/>
              </w:rPr>
            </w:pPr>
            <w:r>
              <w:rPr>
                <w:b/>
                <w:sz w:val="24"/>
              </w:rPr>
              <w:t>0.31</w:t>
            </w:r>
          </w:p>
        </w:tc>
        <w:tc>
          <w:tcPr>
            <w:tcW w:w="1504" w:type="dxa"/>
            <w:gridSpan w:val="2"/>
            <w:tcBorders>
              <w:top w:val="nil"/>
              <w:left w:val="nil"/>
              <w:bottom w:val="nil"/>
              <w:right w:val="nil"/>
            </w:tcBorders>
          </w:tcPr>
          <w:p>
            <w:pPr>
              <w:pStyle w:val="TableParagraph"/>
              <w:spacing w:before="135"/>
              <w:ind w:left="946"/>
              <w:jc w:val="left"/>
              <w:rPr>
                <w:b/>
                <w:sz w:val="24"/>
              </w:rPr>
            </w:pPr>
            <w:r>
              <w:rPr>
                <w:b/>
                <w:sz w:val="24"/>
              </w:rPr>
              <w:t>0.18</w:t>
            </w:r>
          </w:p>
        </w:tc>
        <w:tc>
          <w:tcPr>
            <w:tcW w:w="1663" w:type="dxa"/>
            <w:gridSpan w:val="2"/>
            <w:tcBorders>
              <w:top w:val="nil"/>
              <w:left w:val="nil"/>
              <w:bottom w:val="nil"/>
              <w:right w:val="nil"/>
            </w:tcBorders>
          </w:tcPr>
          <w:p>
            <w:pPr>
              <w:pStyle w:val="TableParagraph"/>
              <w:spacing w:before="135"/>
              <w:ind w:left="967"/>
              <w:jc w:val="left"/>
              <w:rPr>
                <w:b/>
                <w:sz w:val="24"/>
              </w:rPr>
            </w:pPr>
            <w:r>
              <w:rPr>
                <w:b/>
                <w:sz w:val="24"/>
              </w:rPr>
              <w:t>0.32</w:t>
            </w:r>
          </w:p>
        </w:tc>
        <w:tc>
          <w:tcPr>
            <w:tcW w:w="1880" w:type="dxa"/>
            <w:gridSpan w:val="3"/>
            <w:tcBorders>
              <w:top w:val="nil"/>
              <w:left w:val="nil"/>
              <w:bottom w:val="nil"/>
              <w:right w:val="nil"/>
            </w:tcBorders>
          </w:tcPr>
          <w:p>
            <w:pPr>
              <w:pStyle w:val="TableParagraph"/>
              <w:spacing w:before="135"/>
              <w:ind w:left="789" w:right="630"/>
              <w:jc w:val="center"/>
              <w:rPr>
                <w:b/>
                <w:sz w:val="24"/>
              </w:rPr>
            </w:pPr>
            <w:r>
              <w:rPr>
                <w:b/>
                <w:sz w:val="24"/>
              </w:rPr>
              <w:t>1.70</w:t>
            </w:r>
          </w:p>
        </w:tc>
      </w:tr>
      <w:tr>
        <w:trPr>
          <w:trHeight w:val="434" w:hRule="exact"/>
        </w:trPr>
        <w:tc>
          <w:tcPr>
            <w:tcW w:w="2873" w:type="dxa"/>
            <w:tcBorders>
              <w:top w:val="nil"/>
              <w:left w:val="nil"/>
              <w:bottom w:val="nil"/>
              <w:right w:val="nil"/>
            </w:tcBorders>
          </w:tcPr>
          <w:p>
            <w:pPr>
              <w:pStyle w:val="TableParagraph"/>
              <w:spacing w:line="276" w:lineRule="exact"/>
              <w:ind w:left="84"/>
              <w:jc w:val="left"/>
              <w:rPr>
                <w:b/>
                <w:sz w:val="24"/>
              </w:rPr>
            </w:pPr>
            <w:r>
              <w:rPr>
                <w:b/>
                <w:position w:val="8"/>
                <w:sz w:val="16"/>
              </w:rPr>
              <w:t>Ŧ</w:t>
            </w:r>
            <w:r>
              <w:rPr>
                <w:b/>
                <w:sz w:val="24"/>
              </w:rPr>
              <w:t>Costo de oportunidad</w:t>
            </w:r>
          </w:p>
        </w:tc>
        <w:tc>
          <w:tcPr>
            <w:tcW w:w="885" w:type="dxa"/>
            <w:tcBorders>
              <w:top w:val="nil"/>
              <w:left w:val="nil"/>
              <w:bottom w:val="nil"/>
              <w:right w:val="nil"/>
            </w:tcBorders>
          </w:tcPr>
          <w:p>
            <w:pPr>
              <w:pStyle w:val="TableParagraph"/>
              <w:spacing w:line="276" w:lineRule="exact"/>
              <w:ind w:right="141"/>
              <w:rPr>
                <w:b/>
                <w:sz w:val="24"/>
              </w:rPr>
            </w:pPr>
            <w:r>
              <w:rPr>
                <w:b/>
                <w:sz w:val="24"/>
              </w:rPr>
              <w:t>0.41</w:t>
            </w:r>
          </w:p>
        </w:tc>
        <w:tc>
          <w:tcPr>
            <w:tcW w:w="1504" w:type="dxa"/>
            <w:gridSpan w:val="2"/>
            <w:tcBorders>
              <w:top w:val="nil"/>
              <w:left w:val="nil"/>
              <w:bottom w:val="nil"/>
              <w:right w:val="nil"/>
            </w:tcBorders>
          </w:tcPr>
          <w:p>
            <w:pPr>
              <w:pStyle w:val="TableParagraph"/>
              <w:spacing w:line="276" w:lineRule="exact"/>
              <w:ind w:left="946"/>
              <w:jc w:val="left"/>
              <w:rPr>
                <w:b/>
                <w:sz w:val="24"/>
              </w:rPr>
            </w:pPr>
            <w:r>
              <w:rPr>
                <w:b/>
                <w:sz w:val="24"/>
              </w:rPr>
              <w:t>0.41</w:t>
            </w:r>
          </w:p>
        </w:tc>
        <w:tc>
          <w:tcPr>
            <w:tcW w:w="1663" w:type="dxa"/>
            <w:gridSpan w:val="2"/>
            <w:tcBorders>
              <w:top w:val="nil"/>
              <w:left w:val="nil"/>
              <w:bottom w:val="nil"/>
              <w:right w:val="nil"/>
            </w:tcBorders>
          </w:tcPr>
          <w:p>
            <w:pPr>
              <w:pStyle w:val="TableParagraph"/>
              <w:spacing w:line="276" w:lineRule="exact"/>
              <w:ind w:left="1087"/>
              <w:jc w:val="left"/>
              <w:rPr>
                <w:b/>
                <w:sz w:val="24"/>
              </w:rPr>
            </w:pPr>
            <w:r>
              <w:rPr>
                <w:b/>
                <w:sz w:val="24"/>
              </w:rPr>
              <w:t>0.4</w:t>
            </w:r>
          </w:p>
        </w:tc>
        <w:tc>
          <w:tcPr>
            <w:tcW w:w="1880" w:type="dxa"/>
            <w:gridSpan w:val="3"/>
            <w:tcBorders>
              <w:top w:val="nil"/>
              <w:left w:val="nil"/>
              <w:bottom w:val="nil"/>
              <w:right w:val="nil"/>
            </w:tcBorders>
          </w:tcPr>
          <w:p>
            <w:pPr>
              <w:pStyle w:val="TableParagraph"/>
              <w:spacing w:line="276" w:lineRule="exact"/>
              <w:ind w:left="789" w:right="510"/>
              <w:jc w:val="center"/>
              <w:rPr>
                <w:b/>
                <w:sz w:val="24"/>
              </w:rPr>
            </w:pPr>
            <w:r>
              <w:rPr>
                <w:b/>
                <w:sz w:val="24"/>
              </w:rPr>
              <w:t>2.5</w:t>
            </w:r>
          </w:p>
        </w:tc>
      </w:tr>
      <w:tr>
        <w:trPr>
          <w:trHeight w:val="436" w:hRule="exact"/>
        </w:trPr>
        <w:tc>
          <w:tcPr>
            <w:tcW w:w="2873" w:type="dxa"/>
            <w:tcBorders>
              <w:top w:val="nil"/>
              <w:left w:val="nil"/>
              <w:right w:val="nil"/>
            </w:tcBorders>
          </w:tcPr>
          <w:p>
            <w:pPr>
              <w:pStyle w:val="TableParagraph"/>
              <w:spacing w:before="132"/>
              <w:ind w:left="84"/>
              <w:jc w:val="left"/>
              <w:rPr>
                <w:b/>
                <w:sz w:val="24"/>
              </w:rPr>
            </w:pPr>
            <w:r>
              <w:rPr>
                <w:b/>
                <w:sz w:val="24"/>
              </w:rPr>
              <w:t>Ahorro para el productor</w:t>
            </w:r>
          </w:p>
        </w:tc>
        <w:tc>
          <w:tcPr>
            <w:tcW w:w="885" w:type="dxa"/>
            <w:tcBorders>
              <w:top w:val="nil"/>
              <w:left w:val="nil"/>
              <w:right w:val="nil"/>
            </w:tcBorders>
          </w:tcPr>
          <w:p>
            <w:pPr>
              <w:pStyle w:val="TableParagraph"/>
              <w:spacing w:before="132"/>
              <w:ind w:right="141"/>
              <w:rPr>
                <w:b/>
                <w:sz w:val="24"/>
              </w:rPr>
            </w:pPr>
            <w:r>
              <w:rPr>
                <w:b/>
                <w:sz w:val="24"/>
              </w:rPr>
              <w:t>0.10</w:t>
            </w:r>
          </w:p>
        </w:tc>
        <w:tc>
          <w:tcPr>
            <w:tcW w:w="1504" w:type="dxa"/>
            <w:gridSpan w:val="2"/>
            <w:tcBorders>
              <w:top w:val="nil"/>
              <w:left w:val="nil"/>
              <w:right w:val="nil"/>
            </w:tcBorders>
          </w:tcPr>
          <w:p>
            <w:pPr>
              <w:pStyle w:val="TableParagraph"/>
              <w:spacing w:before="132"/>
              <w:ind w:left="946"/>
              <w:jc w:val="left"/>
              <w:rPr>
                <w:b/>
                <w:sz w:val="24"/>
              </w:rPr>
            </w:pPr>
            <w:r>
              <w:rPr>
                <w:b/>
                <w:sz w:val="24"/>
              </w:rPr>
              <w:t>0.23</w:t>
            </w:r>
          </w:p>
        </w:tc>
        <w:tc>
          <w:tcPr>
            <w:tcW w:w="1663" w:type="dxa"/>
            <w:gridSpan w:val="2"/>
            <w:tcBorders>
              <w:top w:val="nil"/>
              <w:left w:val="nil"/>
              <w:right w:val="nil"/>
            </w:tcBorders>
          </w:tcPr>
          <w:p>
            <w:pPr>
              <w:pStyle w:val="TableParagraph"/>
              <w:spacing w:before="132"/>
              <w:ind w:left="967"/>
              <w:jc w:val="left"/>
              <w:rPr>
                <w:b/>
                <w:sz w:val="24"/>
              </w:rPr>
            </w:pPr>
            <w:r>
              <w:rPr>
                <w:b/>
                <w:sz w:val="24"/>
              </w:rPr>
              <w:t>0.08</w:t>
            </w:r>
          </w:p>
        </w:tc>
        <w:tc>
          <w:tcPr>
            <w:tcW w:w="1880" w:type="dxa"/>
            <w:gridSpan w:val="3"/>
            <w:tcBorders>
              <w:top w:val="nil"/>
              <w:left w:val="nil"/>
              <w:right w:val="nil"/>
            </w:tcBorders>
          </w:tcPr>
          <w:p>
            <w:pPr>
              <w:pStyle w:val="TableParagraph"/>
              <w:spacing w:before="132"/>
              <w:ind w:left="789" w:right="630"/>
              <w:jc w:val="center"/>
              <w:rPr>
                <w:b/>
                <w:sz w:val="24"/>
              </w:rPr>
            </w:pPr>
            <w:r>
              <w:rPr>
                <w:b/>
                <w:sz w:val="24"/>
              </w:rPr>
              <w:t>0.80</w:t>
            </w:r>
          </w:p>
        </w:tc>
      </w:tr>
    </w:tbl>
    <w:p>
      <w:pPr>
        <w:spacing w:line="202" w:lineRule="exact" w:before="0"/>
        <w:ind w:left="122" w:right="504" w:firstLine="0"/>
        <w:jc w:val="left"/>
        <w:rPr>
          <w:sz w:val="20"/>
        </w:rPr>
      </w:pPr>
      <w:r>
        <w:rPr>
          <w:sz w:val="20"/>
        </w:rPr>
        <w:t>Fuente: Elaboración propia con información de campo.</w:t>
      </w:r>
    </w:p>
    <w:p>
      <w:pPr>
        <w:spacing w:line="393" w:lineRule="auto" w:before="99"/>
        <w:ind w:left="122" w:right="51" w:firstLine="0"/>
        <w:jc w:val="left"/>
        <w:rPr>
          <w:sz w:val="20"/>
        </w:rPr>
      </w:pPr>
      <w:r>
        <w:rPr>
          <w:position w:val="9"/>
          <w:sz w:val="16"/>
        </w:rPr>
        <w:t>Ŧ</w:t>
      </w:r>
      <w:r>
        <w:rPr>
          <w:sz w:val="20"/>
        </w:rPr>
        <w:t>Se tomó como costo de oportunidad, el costo por kilogramo de alimento en el mercado, la diferencia entre el costo de producir y comprar representa el ahorro para el productor.</w:t>
      </w:r>
    </w:p>
    <w:p>
      <w:pPr>
        <w:spacing w:after="0" w:line="393" w:lineRule="auto"/>
        <w:jc w:val="left"/>
        <w:rPr>
          <w:sz w:val="20"/>
        </w:rPr>
        <w:sectPr>
          <w:pgSz w:w="12240" w:h="15840"/>
          <w:pgMar w:header="0" w:footer="657" w:top="1360" w:bottom="840" w:left="1580" w:right="1580"/>
        </w:sectPr>
      </w:pPr>
    </w:p>
    <w:p>
      <w:pPr>
        <w:pStyle w:val="Heading2"/>
        <w:numPr>
          <w:ilvl w:val="2"/>
          <w:numId w:val="27"/>
        </w:numPr>
        <w:tabs>
          <w:tab w:pos="642" w:val="left" w:leader="none"/>
        </w:tabs>
        <w:spacing w:line="240" w:lineRule="auto" w:before="55" w:after="0"/>
        <w:ind w:left="642" w:right="0" w:hanging="540"/>
        <w:jc w:val="both"/>
        <w:rPr>
          <w:i/>
        </w:rPr>
      </w:pPr>
      <w:r>
        <w:rPr>
          <w:i/>
        </w:rPr>
        <w:t>Coeficiente de rentabilidad</w:t>
      </w:r>
      <w:r>
        <w:rPr>
          <w:i/>
          <w:spacing w:val="-4"/>
        </w:rPr>
        <w:t> </w:t>
      </w:r>
      <w:r>
        <w:rPr>
          <w:i/>
        </w:rPr>
        <w:t>privada</w:t>
      </w:r>
    </w:p>
    <w:p>
      <w:pPr>
        <w:pStyle w:val="BodyText"/>
        <w:rPr>
          <w:b/>
          <w:i/>
        </w:rPr>
      </w:pPr>
    </w:p>
    <w:p>
      <w:pPr>
        <w:pStyle w:val="BodyText"/>
        <w:spacing w:before="7"/>
        <w:rPr>
          <w:b/>
          <w:i/>
          <w:sz w:val="23"/>
        </w:rPr>
      </w:pPr>
    </w:p>
    <w:p>
      <w:pPr>
        <w:pStyle w:val="BodyText"/>
        <w:spacing w:line="360" w:lineRule="auto"/>
        <w:ind w:left="102" w:right="115"/>
        <w:jc w:val="both"/>
      </w:pPr>
      <w:r>
        <w:rPr/>
        <w:t>El CRP permitió calcular el costo total, el ingreso neto y las ganancias para </w:t>
      </w:r>
      <w:r>
        <w:rPr>
          <w:spacing w:val="2"/>
        </w:rPr>
        <w:t>el </w:t>
      </w:r>
      <w:r>
        <w:rPr/>
        <w:t>eslabón de producción de insumos. El análisis de los resultados indicó que la producción de cultivos para la alimentación del ganado lechero en el municipio de Texcoco es rentable, comparada con</w:t>
      </w:r>
      <w:r>
        <w:rPr>
          <w:spacing w:val="-7"/>
        </w:rPr>
        <w:t> </w:t>
      </w:r>
      <w:r>
        <w:rPr/>
        <w:t>la</w:t>
      </w:r>
      <w:r>
        <w:rPr>
          <w:spacing w:val="-8"/>
        </w:rPr>
        <w:t> </w:t>
      </w:r>
      <w:r>
        <w:rPr/>
        <w:t>compra</w:t>
      </w:r>
      <w:r>
        <w:rPr>
          <w:spacing w:val="-8"/>
        </w:rPr>
        <w:t> </w:t>
      </w:r>
      <w:r>
        <w:rPr/>
        <w:t>de</w:t>
      </w:r>
      <w:r>
        <w:rPr>
          <w:spacing w:val="-8"/>
        </w:rPr>
        <w:t> </w:t>
      </w:r>
      <w:r>
        <w:rPr/>
        <w:t>insumos</w:t>
      </w:r>
      <w:r>
        <w:rPr>
          <w:spacing w:val="-7"/>
        </w:rPr>
        <w:t> </w:t>
      </w:r>
      <w:r>
        <w:rPr/>
        <w:t>en</w:t>
      </w:r>
      <w:r>
        <w:rPr>
          <w:spacing w:val="-7"/>
        </w:rPr>
        <w:t> </w:t>
      </w:r>
      <w:r>
        <w:rPr/>
        <w:t>el</w:t>
      </w:r>
      <w:r>
        <w:rPr>
          <w:spacing w:val="-7"/>
        </w:rPr>
        <w:t> </w:t>
      </w:r>
      <w:r>
        <w:rPr/>
        <w:t>mercado</w:t>
      </w:r>
      <w:r>
        <w:rPr>
          <w:spacing w:val="-7"/>
        </w:rPr>
        <w:t> </w:t>
      </w:r>
      <w:r>
        <w:rPr/>
        <w:t>al</w:t>
      </w:r>
      <w:r>
        <w:rPr>
          <w:spacing w:val="-7"/>
        </w:rPr>
        <w:t> </w:t>
      </w:r>
      <w:r>
        <w:rPr/>
        <w:t>presentar</w:t>
      </w:r>
      <w:r>
        <w:rPr>
          <w:spacing w:val="-8"/>
        </w:rPr>
        <w:t> </w:t>
      </w:r>
      <w:r>
        <w:rPr/>
        <w:t>un</w:t>
      </w:r>
      <w:r>
        <w:rPr>
          <w:spacing w:val="-7"/>
        </w:rPr>
        <w:t> </w:t>
      </w:r>
      <w:r>
        <w:rPr/>
        <w:t>beneficio</w:t>
      </w:r>
      <w:r>
        <w:rPr>
          <w:spacing w:val="-7"/>
        </w:rPr>
        <w:t> </w:t>
      </w:r>
      <w:r>
        <w:rPr/>
        <w:t>por</w:t>
      </w:r>
      <w:r>
        <w:rPr>
          <w:spacing w:val="-8"/>
        </w:rPr>
        <w:t> </w:t>
      </w:r>
      <w:r>
        <w:rPr/>
        <w:t>cada</w:t>
      </w:r>
      <w:r>
        <w:rPr>
          <w:spacing w:val="-6"/>
        </w:rPr>
        <w:t> </w:t>
      </w:r>
      <w:r>
        <w:rPr/>
        <w:t>peso</w:t>
      </w:r>
      <w:r>
        <w:rPr>
          <w:spacing w:val="-7"/>
        </w:rPr>
        <w:t> </w:t>
      </w:r>
      <w:r>
        <w:rPr/>
        <w:t>invertido</w:t>
      </w:r>
      <w:r>
        <w:rPr>
          <w:spacing w:val="-7"/>
        </w:rPr>
        <w:t> </w:t>
      </w:r>
      <w:r>
        <w:rPr/>
        <w:t>de 32, 123, 26 y 46%, en la producción de ensilado de maíz, alfalfa, avena y maíz respectivamente.</w:t>
      </w:r>
      <w:r>
        <w:rPr>
          <w:spacing w:val="-16"/>
        </w:rPr>
        <w:t> </w:t>
      </w:r>
      <w:r>
        <w:rPr/>
        <w:t>Este</w:t>
      </w:r>
      <w:r>
        <w:rPr>
          <w:spacing w:val="-14"/>
        </w:rPr>
        <w:t> </w:t>
      </w:r>
      <w:r>
        <w:rPr/>
        <w:t>comportamiento</w:t>
      </w:r>
      <w:r>
        <w:rPr>
          <w:spacing w:val="-15"/>
        </w:rPr>
        <w:t> </w:t>
      </w:r>
      <w:r>
        <w:rPr/>
        <w:t>indicó</w:t>
      </w:r>
      <w:r>
        <w:rPr>
          <w:spacing w:val="-15"/>
        </w:rPr>
        <w:t> </w:t>
      </w:r>
      <w:r>
        <w:rPr/>
        <w:t>que</w:t>
      </w:r>
      <w:r>
        <w:rPr>
          <w:spacing w:val="-14"/>
        </w:rPr>
        <w:t> </w:t>
      </w:r>
      <w:r>
        <w:rPr/>
        <w:t>los</w:t>
      </w:r>
      <w:r>
        <w:rPr>
          <w:spacing w:val="-15"/>
        </w:rPr>
        <w:t> </w:t>
      </w:r>
      <w:r>
        <w:rPr/>
        <w:t>productores</w:t>
      </w:r>
      <w:r>
        <w:rPr>
          <w:spacing w:val="-16"/>
        </w:rPr>
        <w:t> </w:t>
      </w:r>
      <w:r>
        <w:rPr/>
        <w:t>lecheros</w:t>
      </w:r>
      <w:r>
        <w:rPr>
          <w:spacing w:val="-14"/>
        </w:rPr>
        <w:t> </w:t>
      </w:r>
      <w:r>
        <w:rPr/>
        <w:t>de</w:t>
      </w:r>
      <w:r>
        <w:rPr>
          <w:spacing w:val="-17"/>
        </w:rPr>
        <w:t> </w:t>
      </w:r>
      <w:r>
        <w:rPr/>
        <w:t>pequeña</w:t>
      </w:r>
      <w:r>
        <w:rPr>
          <w:spacing w:val="-17"/>
        </w:rPr>
        <w:t> </w:t>
      </w:r>
      <w:r>
        <w:rPr/>
        <w:t>escala del municipio de Texcoco usan eficientemente sus recursos económicos por destinarlos a la actividad con el mayor costo de oportunidad (Tabla</w:t>
      </w:r>
      <w:r>
        <w:rPr>
          <w:spacing w:val="-6"/>
        </w:rPr>
        <w:t> </w:t>
      </w:r>
      <w:r>
        <w:rPr/>
        <w:t>14).</w:t>
      </w:r>
    </w:p>
    <w:p>
      <w:pPr>
        <w:pStyle w:val="BodyText"/>
      </w:pPr>
    </w:p>
    <w:p>
      <w:pPr>
        <w:pStyle w:val="BodyText"/>
        <w:spacing w:line="360" w:lineRule="auto" w:before="143"/>
        <w:ind w:left="102" w:right="117"/>
        <w:jc w:val="both"/>
      </w:pPr>
      <w:r>
        <w:rPr/>
        <w:t>El ingreso que recibió el productor está integrado por el consumo intermedio y el valor agregado.</w:t>
      </w:r>
      <w:r>
        <w:rPr>
          <w:spacing w:val="-5"/>
        </w:rPr>
        <w:t> </w:t>
      </w:r>
      <w:r>
        <w:rPr/>
        <w:t>El</w:t>
      </w:r>
      <w:r>
        <w:rPr>
          <w:spacing w:val="-7"/>
        </w:rPr>
        <w:t> </w:t>
      </w:r>
      <w:r>
        <w:rPr/>
        <w:t>primero</w:t>
      </w:r>
      <w:r>
        <w:rPr>
          <w:spacing w:val="-8"/>
        </w:rPr>
        <w:t> </w:t>
      </w:r>
      <w:r>
        <w:rPr/>
        <w:t>valora</w:t>
      </w:r>
      <w:r>
        <w:rPr>
          <w:spacing w:val="-9"/>
        </w:rPr>
        <w:t> </w:t>
      </w:r>
      <w:r>
        <w:rPr/>
        <w:t>la</w:t>
      </w:r>
      <w:r>
        <w:rPr>
          <w:spacing w:val="-8"/>
        </w:rPr>
        <w:t> </w:t>
      </w:r>
      <w:r>
        <w:rPr/>
        <w:t>derrama</w:t>
      </w:r>
      <w:r>
        <w:rPr>
          <w:spacing w:val="-5"/>
        </w:rPr>
        <w:t> </w:t>
      </w:r>
      <w:r>
        <w:rPr/>
        <w:t>económica</w:t>
      </w:r>
      <w:r>
        <w:rPr>
          <w:spacing w:val="-8"/>
        </w:rPr>
        <w:t> </w:t>
      </w:r>
      <w:r>
        <w:rPr/>
        <w:t>de</w:t>
      </w:r>
      <w:r>
        <w:rPr>
          <w:spacing w:val="-8"/>
        </w:rPr>
        <w:t> </w:t>
      </w:r>
      <w:r>
        <w:rPr/>
        <w:t>la</w:t>
      </w:r>
      <w:r>
        <w:rPr>
          <w:spacing w:val="-8"/>
        </w:rPr>
        <w:t> </w:t>
      </w:r>
      <w:r>
        <w:rPr/>
        <w:t>actividad</w:t>
      </w:r>
      <w:r>
        <w:rPr>
          <w:spacing w:val="-8"/>
        </w:rPr>
        <w:t> </w:t>
      </w:r>
      <w:r>
        <w:rPr/>
        <w:t>agrícola</w:t>
      </w:r>
      <w:r>
        <w:rPr>
          <w:spacing w:val="-5"/>
        </w:rPr>
        <w:t> </w:t>
      </w:r>
      <w:r>
        <w:rPr/>
        <w:t>hacia</w:t>
      </w:r>
      <w:r>
        <w:rPr>
          <w:spacing w:val="-8"/>
        </w:rPr>
        <w:t> </w:t>
      </w:r>
      <w:r>
        <w:rPr/>
        <w:t>los</w:t>
      </w:r>
      <w:r>
        <w:rPr>
          <w:spacing w:val="-7"/>
        </w:rPr>
        <w:t> </w:t>
      </w:r>
      <w:r>
        <w:rPr/>
        <w:t>sectores secundario y terciario a través del pago de insumos comerciables e indirectamente comerciables. El segundo representa la contribución de la actividad pecuaria al ingreso del propio sector y está compuesto por el pago a los factores de la producción más la remuneración al trabajo del productor y la ganancia (Hernández-Martínez et al., 2008; Rebollar-Rebollar et al., 2011; Posadas-Domínguez et al.,</w:t>
      </w:r>
      <w:r>
        <w:rPr>
          <w:spacing w:val="-13"/>
        </w:rPr>
        <w:t> </w:t>
      </w:r>
      <w:r>
        <w:rPr/>
        <w:t>2104).</w:t>
      </w:r>
    </w:p>
    <w:p>
      <w:pPr>
        <w:pStyle w:val="BodyText"/>
      </w:pPr>
    </w:p>
    <w:p>
      <w:pPr>
        <w:pStyle w:val="Heading2"/>
        <w:numPr>
          <w:ilvl w:val="2"/>
          <w:numId w:val="27"/>
        </w:numPr>
        <w:tabs>
          <w:tab w:pos="642" w:val="left" w:leader="none"/>
        </w:tabs>
        <w:spacing w:line="240" w:lineRule="auto" w:before="148" w:after="0"/>
        <w:ind w:left="642" w:right="0" w:hanging="540"/>
        <w:jc w:val="both"/>
        <w:rPr>
          <w:i/>
        </w:rPr>
      </w:pPr>
      <w:r>
        <w:rPr>
          <w:i/>
        </w:rPr>
        <w:t>Consumo intermedio en el ingreso</w:t>
      </w:r>
      <w:r>
        <w:rPr>
          <w:i/>
          <w:spacing w:val="-7"/>
        </w:rPr>
        <w:t> </w:t>
      </w:r>
      <w:r>
        <w:rPr>
          <w:i/>
        </w:rPr>
        <w:t>total</w:t>
      </w:r>
    </w:p>
    <w:p>
      <w:pPr>
        <w:pStyle w:val="BodyText"/>
        <w:rPr>
          <w:b/>
          <w:i/>
        </w:rPr>
      </w:pPr>
    </w:p>
    <w:p>
      <w:pPr>
        <w:pStyle w:val="BodyText"/>
        <w:spacing w:before="6"/>
        <w:rPr>
          <w:b/>
          <w:i/>
          <w:sz w:val="23"/>
        </w:rPr>
      </w:pPr>
    </w:p>
    <w:p>
      <w:pPr>
        <w:pStyle w:val="BodyText"/>
        <w:spacing w:line="360" w:lineRule="auto"/>
        <w:ind w:left="102" w:right="115"/>
        <w:jc w:val="both"/>
      </w:pPr>
      <w:r>
        <w:rPr/>
        <w:t>Este indicador se ubicó entre 20 y 60%, lo cual muestra que la mayor parte del beneficio económico generado por la producción de insumos se queda en las unidades de producción para agregar valor a la producción de leche y solo un bajo porcentaje se va hacia otros sectores de la economía, por concepto de adquisición de insumos comerciables, principalmente</w:t>
      </w:r>
      <w:r>
        <w:rPr>
          <w:spacing w:val="-10"/>
        </w:rPr>
        <w:t> </w:t>
      </w:r>
      <w:r>
        <w:rPr/>
        <w:t>semilla</w:t>
      </w:r>
      <w:r>
        <w:rPr>
          <w:spacing w:val="-4"/>
        </w:rPr>
        <w:t> </w:t>
      </w:r>
      <w:r>
        <w:rPr/>
        <w:t>y</w:t>
      </w:r>
      <w:r>
        <w:rPr>
          <w:spacing w:val="-11"/>
        </w:rPr>
        <w:t> </w:t>
      </w:r>
      <w:r>
        <w:rPr/>
        <w:t>arrendamiento</w:t>
      </w:r>
      <w:r>
        <w:rPr>
          <w:spacing w:val="-8"/>
        </w:rPr>
        <w:t> </w:t>
      </w:r>
      <w:r>
        <w:rPr/>
        <w:t>de</w:t>
      </w:r>
      <w:r>
        <w:rPr>
          <w:spacing w:val="-7"/>
        </w:rPr>
        <w:t> </w:t>
      </w:r>
      <w:r>
        <w:rPr/>
        <w:t>tractor.</w:t>
      </w:r>
      <w:r>
        <w:rPr>
          <w:spacing w:val="-4"/>
        </w:rPr>
        <w:t> </w:t>
      </w:r>
      <w:r>
        <w:rPr/>
        <w:t>El</w:t>
      </w:r>
      <w:r>
        <w:rPr>
          <w:spacing w:val="-8"/>
        </w:rPr>
        <w:t> </w:t>
      </w:r>
      <w:r>
        <w:rPr/>
        <w:t>comportamiento</w:t>
      </w:r>
      <w:r>
        <w:rPr>
          <w:spacing w:val="-8"/>
        </w:rPr>
        <w:t> </w:t>
      </w:r>
      <w:r>
        <w:rPr/>
        <w:t>del</w:t>
      </w:r>
      <w:r>
        <w:rPr>
          <w:spacing w:val="-8"/>
        </w:rPr>
        <w:t> </w:t>
      </w:r>
      <w:r>
        <w:rPr/>
        <w:t>PCIP</w:t>
      </w:r>
      <w:r>
        <w:rPr>
          <w:spacing w:val="-8"/>
        </w:rPr>
        <w:t> </w:t>
      </w:r>
      <w:r>
        <w:rPr/>
        <w:t>refleja</w:t>
      </w:r>
      <w:r>
        <w:rPr>
          <w:spacing w:val="-5"/>
        </w:rPr>
        <w:t> </w:t>
      </w:r>
      <w:r>
        <w:rPr/>
        <w:t>el</w:t>
      </w:r>
      <w:r>
        <w:rPr>
          <w:spacing w:val="-6"/>
        </w:rPr>
        <w:t> </w:t>
      </w:r>
      <w:r>
        <w:rPr/>
        <w:t>rol central que juaga la producción de insumos en la eficiencia económica de los sistemas lecheros de pequeña escala del municipio de Texcoco (Tabla</w:t>
      </w:r>
      <w:r>
        <w:rPr>
          <w:spacing w:val="-7"/>
        </w:rPr>
        <w:t> </w:t>
      </w:r>
      <w:r>
        <w:rPr/>
        <w:t>14).</w:t>
      </w:r>
    </w:p>
    <w:p>
      <w:pPr>
        <w:spacing w:after="0" w:line="360" w:lineRule="auto"/>
        <w:jc w:val="both"/>
        <w:sectPr>
          <w:pgSz w:w="12240" w:h="15840"/>
          <w:pgMar w:header="0" w:footer="657" w:top="1360" w:bottom="840" w:left="1600" w:right="1580"/>
        </w:sectPr>
      </w:pPr>
    </w:p>
    <w:p>
      <w:pPr>
        <w:pStyle w:val="Heading2"/>
        <w:numPr>
          <w:ilvl w:val="2"/>
          <w:numId w:val="27"/>
        </w:numPr>
        <w:tabs>
          <w:tab w:pos="645" w:val="left" w:leader="none"/>
        </w:tabs>
        <w:spacing w:line="240" w:lineRule="auto" w:before="55" w:after="0"/>
        <w:ind w:left="644" w:right="0" w:hanging="542"/>
        <w:jc w:val="both"/>
        <w:rPr>
          <w:i/>
        </w:rPr>
      </w:pPr>
      <w:r>
        <w:rPr>
          <w:i/>
        </w:rPr>
        <w:t>Valor agregado en el ingreso</w:t>
      </w:r>
      <w:r>
        <w:rPr>
          <w:i/>
          <w:spacing w:val="-6"/>
        </w:rPr>
        <w:t> </w:t>
      </w:r>
      <w:r>
        <w:rPr>
          <w:i/>
        </w:rPr>
        <w:t>total</w:t>
      </w:r>
    </w:p>
    <w:p>
      <w:pPr>
        <w:pStyle w:val="BodyText"/>
        <w:rPr>
          <w:b/>
          <w:i/>
        </w:rPr>
      </w:pPr>
    </w:p>
    <w:p>
      <w:pPr>
        <w:pStyle w:val="BodyText"/>
        <w:spacing w:before="7"/>
        <w:rPr>
          <w:b/>
          <w:i/>
          <w:sz w:val="23"/>
        </w:rPr>
      </w:pPr>
    </w:p>
    <w:p>
      <w:pPr>
        <w:pStyle w:val="BodyText"/>
        <w:spacing w:line="360" w:lineRule="auto"/>
        <w:ind w:left="102" w:right="117"/>
        <w:jc w:val="both"/>
      </w:pPr>
      <w:r>
        <w:rPr/>
        <w:t>El VPAP se ubicó entre 39 y 79% con respecto al ingreso total, lo cual indicó una alta participación del eslabón de producción de insumos en el empleo regional, tanto para los miembros de la familia como de la región (Tabla 14).</w:t>
      </w:r>
    </w:p>
    <w:p>
      <w:pPr>
        <w:pStyle w:val="BodyText"/>
      </w:pPr>
    </w:p>
    <w:p>
      <w:pPr>
        <w:pStyle w:val="Heading2"/>
        <w:numPr>
          <w:ilvl w:val="2"/>
          <w:numId w:val="27"/>
        </w:numPr>
        <w:tabs>
          <w:tab w:pos="645" w:val="left" w:leader="none"/>
        </w:tabs>
        <w:spacing w:line="240" w:lineRule="auto" w:before="148" w:after="0"/>
        <w:ind w:left="644" w:right="0" w:hanging="542"/>
        <w:jc w:val="both"/>
        <w:rPr>
          <w:i/>
        </w:rPr>
      </w:pPr>
      <w:r>
        <w:rPr>
          <w:i/>
        </w:rPr>
        <w:t>Valor gregado a precios</w:t>
      </w:r>
      <w:r>
        <w:rPr>
          <w:i/>
          <w:spacing w:val="-8"/>
        </w:rPr>
        <w:t> </w:t>
      </w:r>
      <w:r>
        <w:rPr>
          <w:i/>
        </w:rPr>
        <w:t>privados</w:t>
      </w:r>
    </w:p>
    <w:p>
      <w:pPr>
        <w:pStyle w:val="BodyText"/>
        <w:rPr>
          <w:b/>
          <w:i/>
        </w:rPr>
      </w:pPr>
    </w:p>
    <w:p>
      <w:pPr>
        <w:pStyle w:val="BodyText"/>
        <w:spacing w:before="6"/>
        <w:rPr>
          <w:b/>
          <w:i/>
          <w:sz w:val="23"/>
        </w:rPr>
      </w:pPr>
    </w:p>
    <w:p>
      <w:pPr>
        <w:pStyle w:val="BodyText"/>
        <w:spacing w:line="360" w:lineRule="auto"/>
        <w:ind w:left="102" w:right="117"/>
        <w:jc w:val="both"/>
      </w:pPr>
      <w:r>
        <w:rPr/>
        <w:t>Este</w:t>
      </w:r>
      <w:r>
        <w:rPr>
          <w:spacing w:val="-9"/>
        </w:rPr>
        <w:t> </w:t>
      </w:r>
      <w:r>
        <w:rPr/>
        <w:t>indicador</w:t>
      </w:r>
      <w:r>
        <w:rPr>
          <w:spacing w:val="-9"/>
        </w:rPr>
        <w:t> </w:t>
      </w:r>
      <w:r>
        <w:rPr/>
        <w:t>valoriza</w:t>
      </w:r>
      <w:r>
        <w:rPr>
          <w:spacing w:val="-10"/>
        </w:rPr>
        <w:t> </w:t>
      </w:r>
      <w:r>
        <w:rPr/>
        <w:t>la</w:t>
      </w:r>
      <w:r>
        <w:rPr>
          <w:spacing w:val="-7"/>
        </w:rPr>
        <w:t> </w:t>
      </w:r>
      <w:r>
        <w:rPr/>
        <w:t>retribución</w:t>
      </w:r>
      <w:r>
        <w:rPr>
          <w:spacing w:val="-8"/>
        </w:rPr>
        <w:t> </w:t>
      </w:r>
      <w:r>
        <w:rPr/>
        <w:t>de</w:t>
      </w:r>
      <w:r>
        <w:rPr>
          <w:spacing w:val="-10"/>
        </w:rPr>
        <w:t> </w:t>
      </w:r>
      <w:r>
        <w:rPr/>
        <w:t>los</w:t>
      </w:r>
      <w:r>
        <w:rPr>
          <w:spacing w:val="-8"/>
        </w:rPr>
        <w:t> </w:t>
      </w:r>
      <w:r>
        <w:rPr/>
        <w:t>factores</w:t>
      </w:r>
      <w:r>
        <w:rPr>
          <w:spacing w:val="-8"/>
        </w:rPr>
        <w:t> </w:t>
      </w:r>
      <w:r>
        <w:rPr/>
        <w:t>internos,</w:t>
      </w:r>
      <w:r>
        <w:rPr>
          <w:spacing w:val="-9"/>
        </w:rPr>
        <w:t> </w:t>
      </w:r>
      <w:r>
        <w:rPr/>
        <w:t>incluido</w:t>
      </w:r>
      <w:r>
        <w:rPr>
          <w:spacing w:val="-8"/>
        </w:rPr>
        <w:t> </w:t>
      </w:r>
      <w:r>
        <w:rPr/>
        <w:t>el</w:t>
      </w:r>
      <w:r>
        <w:rPr>
          <w:spacing w:val="-8"/>
        </w:rPr>
        <w:t> </w:t>
      </w:r>
      <w:r>
        <w:rPr/>
        <w:t>pago</w:t>
      </w:r>
      <w:r>
        <w:rPr>
          <w:spacing w:val="-9"/>
        </w:rPr>
        <w:t> </w:t>
      </w:r>
      <w:r>
        <w:rPr/>
        <w:t>del</w:t>
      </w:r>
      <w:r>
        <w:rPr>
          <w:spacing w:val="-8"/>
        </w:rPr>
        <w:t> </w:t>
      </w:r>
      <w:r>
        <w:rPr/>
        <w:t>trabajo</w:t>
      </w:r>
      <w:r>
        <w:rPr>
          <w:spacing w:val="-8"/>
        </w:rPr>
        <w:t> </w:t>
      </w:r>
      <w:r>
        <w:rPr/>
        <w:t>del productor. El cultivo de maíz y alfalfa presentaron un ahorro para el productor una vez que se</w:t>
      </w:r>
      <w:r>
        <w:rPr>
          <w:spacing w:val="-12"/>
        </w:rPr>
        <w:t> </w:t>
      </w:r>
      <w:r>
        <w:rPr/>
        <w:t>liquidó</w:t>
      </w:r>
      <w:r>
        <w:rPr>
          <w:spacing w:val="-11"/>
        </w:rPr>
        <w:t> </w:t>
      </w:r>
      <w:r>
        <w:rPr/>
        <w:t>el</w:t>
      </w:r>
      <w:r>
        <w:rPr>
          <w:spacing w:val="-11"/>
        </w:rPr>
        <w:t> </w:t>
      </w:r>
      <w:r>
        <w:rPr/>
        <w:t>costo</w:t>
      </w:r>
      <w:r>
        <w:rPr>
          <w:spacing w:val="-10"/>
        </w:rPr>
        <w:t> </w:t>
      </w:r>
      <w:r>
        <w:rPr/>
        <w:t>de</w:t>
      </w:r>
      <w:r>
        <w:rPr>
          <w:spacing w:val="-10"/>
        </w:rPr>
        <w:t> </w:t>
      </w:r>
      <w:r>
        <w:rPr/>
        <w:t>los</w:t>
      </w:r>
      <w:r>
        <w:rPr>
          <w:spacing w:val="-10"/>
        </w:rPr>
        <w:t> </w:t>
      </w:r>
      <w:r>
        <w:rPr/>
        <w:t>insumos</w:t>
      </w:r>
      <w:r>
        <w:rPr>
          <w:spacing w:val="-10"/>
        </w:rPr>
        <w:t> </w:t>
      </w:r>
      <w:r>
        <w:rPr/>
        <w:t>comercializables</w:t>
      </w:r>
      <w:r>
        <w:rPr>
          <w:spacing w:val="-9"/>
        </w:rPr>
        <w:t> </w:t>
      </w:r>
      <w:r>
        <w:rPr/>
        <w:t>y</w:t>
      </w:r>
      <w:r>
        <w:rPr>
          <w:spacing w:val="-13"/>
        </w:rPr>
        <w:t> </w:t>
      </w:r>
      <w:r>
        <w:rPr/>
        <w:t>no</w:t>
      </w:r>
      <w:r>
        <w:rPr>
          <w:spacing w:val="-9"/>
        </w:rPr>
        <w:t> </w:t>
      </w:r>
      <w:r>
        <w:rPr/>
        <w:t>comercializables</w:t>
      </w:r>
      <w:r>
        <w:rPr>
          <w:spacing w:val="-11"/>
        </w:rPr>
        <w:t> </w:t>
      </w:r>
      <w:r>
        <w:rPr/>
        <w:t>de</w:t>
      </w:r>
      <w:r>
        <w:rPr>
          <w:spacing w:val="-10"/>
        </w:rPr>
        <w:t> </w:t>
      </w:r>
      <w:r>
        <w:rPr/>
        <w:t>1.03</w:t>
      </w:r>
      <w:r>
        <w:rPr>
          <w:spacing w:val="-9"/>
        </w:rPr>
        <w:t> </w:t>
      </w:r>
      <w:r>
        <w:rPr/>
        <w:t>y</w:t>
      </w:r>
      <w:r>
        <w:rPr>
          <w:spacing w:val="-16"/>
        </w:rPr>
        <w:t> </w:t>
      </w:r>
      <w:r>
        <w:rPr/>
        <w:t>0.33$/kg, por el hecho de producir los insumos en lugar de comprarlos. Este ahorro se destina principalmente para el pago de mano de obra y la generación de valor a la producción de leche, cantidad que fue menor con respecto a los cultivos de ensilado de maíz y avena, representando un ahorro para el productor de 0.23 y 0.16$/kg con respecto al precio de los insumos</w:t>
      </w:r>
      <w:r>
        <w:rPr>
          <w:spacing w:val="-5"/>
        </w:rPr>
        <w:t> </w:t>
      </w:r>
      <w:r>
        <w:rPr/>
        <w:t>en</w:t>
      </w:r>
      <w:r>
        <w:rPr>
          <w:spacing w:val="-5"/>
        </w:rPr>
        <w:t> </w:t>
      </w:r>
      <w:r>
        <w:rPr/>
        <w:t>el</w:t>
      </w:r>
      <w:r>
        <w:rPr>
          <w:spacing w:val="-4"/>
        </w:rPr>
        <w:t> </w:t>
      </w:r>
      <w:r>
        <w:rPr/>
        <w:t>mercado</w:t>
      </w:r>
      <w:r>
        <w:rPr>
          <w:spacing w:val="-4"/>
        </w:rPr>
        <w:t> </w:t>
      </w:r>
      <w:r>
        <w:rPr/>
        <w:t>(Tabla</w:t>
      </w:r>
      <w:r>
        <w:rPr>
          <w:spacing w:val="-5"/>
        </w:rPr>
        <w:t> </w:t>
      </w:r>
      <w:r>
        <w:rPr/>
        <w:t>14).</w:t>
      </w:r>
      <w:r>
        <w:rPr>
          <w:spacing w:val="-2"/>
        </w:rPr>
        <w:t> </w:t>
      </w:r>
      <w:r>
        <w:rPr/>
        <w:t>Los</w:t>
      </w:r>
      <w:r>
        <w:rPr>
          <w:spacing w:val="-5"/>
        </w:rPr>
        <w:t> </w:t>
      </w:r>
      <w:r>
        <w:rPr/>
        <w:t>resultados</w:t>
      </w:r>
      <w:r>
        <w:rPr>
          <w:spacing w:val="-2"/>
        </w:rPr>
        <w:t> </w:t>
      </w:r>
      <w:r>
        <w:rPr/>
        <w:t>demuestran</w:t>
      </w:r>
      <w:r>
        <w:rPr>
          <w:spacing w:val="-5"/>
        </w:rPr>
        <w:t> </w:t>
      </w:r>
      <w:r>
        <w:rPr/>
        <w:t>que</w:t>
      </w:r>
      <w:r>
        <w:rPr>
          <w:spacing w:val="-6"/>
        </w:rPr>
        <w:t> </w:t>
      </w:r>
      <w:r>
        <w:rPr/>
        <w:t>la</w:t>
      </w:r>
      <w:r>
        <w:rPr>
          <w:spacing w:val="-5"/>
        </w:rPr>
        <w:t> </w:t>
      </w:r>
      <w:r>
        <w:rPr/>
        <w:t>producción</w:t>
      </w:r>
      <w:r>
        <w:rPr>
          <w:spacing w:val="-4"/>
        </w:rPr>
        <w:t> </w:t>
      </w:r>
      <w:r>
        <w:rPr/>
        <w:t>de</w:t>
      </w:r>
      <w:r>
        <w:rPr>
          <w:spacing w:val="-6"/>
        </w:rPr>
        <w:t> </w:t>
      </w:r>
      <w:r>
        <w:rPr/>
        <w:t>insumos es rentable con respecto a su compra, los cuatro cultivos presentaron un ahorro para el productor</w:t>
      </w:r>
      <w:r>
        <w:rPr>
          <w:spacing w:val="-8"/>
        </w:rPr>
        <w:t> </w:t>
      </w:r>
      <w:r>
        <w:rPr/>
        <w:t>que</w:t>
      </w:r>
      <w:r>
        <w:rPr>
          <w:spacing w:val="-8"/>
        </w:rPr>
        <w:t> </w:t>
      </w:r>
      <w:r>
        <w:rPr/>
        <w:t>le</w:t>
      </w:r>
      <w:r>
        <w:rPr>
          <w:spacing w:val="-8"/>
        </w:rPr>
        <w:t> </w:t>
      </w:r>
      <w:r>
        <w:rPr/>
        <w:t>significa</w:t>
      </w:r>
      <w:r>
        <w:rPr>
          <w:spacing w:val="-6"/>
        </w:rPr>
        <w:t> </w:t>
      </w:r>
      <w:r>
        <w:rPr/>
        <w:t>una</w:t>
      </w:r>
      <w:r>
        <w:rPr>
          <w:spacing w:val="-8"/>
        </w:rPr>
        <w:t> </w:t>
      </w:r>
      <w:r>
        <w:rPr/>
        <w:t>ventaja</w:t>
      </w:r>
      <w:r>
        <w:rPr>
          <w:spacing w:val="-8"/>
        </w:rPr>
        <w:t> </w:t>
      </w:r>
      <w:r>
        <w:rPr/>
        <w:t>comparativa</w:t>
      </w:r>
      <w:r>
        <w:rPr>
          <w:spacing w:val="-6"/>
        </w:rPr>
        <w:t> </w:t>
      </w:r>
      <w:r>
        <w:rPr/>
        <w:t>en</w:t>
      </w:r>
      <w:r>
        <w:rPr>
          <w:spacing w:val="-7"/>
        </w:rPr>
        <w:t> </w:t>
      </w:r>
      <w:r>
        <w:rPr/>
        <w:t>la</w:t>
      </w:r>
      <w:r>
        <w:rPr>
          <w:spacing w:val="-8"/>
        </w:rPr>
        <w:t> </w:t>
      </w:r>
      <w:r>
        <w:rPr/>
        <w:t>producción</w:t>
      </w:r>
      <w:r>
        <w:rPr>
          <w:spacing w:val="-7"/>
        </w:rPr>
        <w:t> </w:t>
      </w:r>
      <w:r>
        <w:rPr/>
        <w:t>de</w:t>
      </w:r>
      <w:r>
        <w:rPr>
          <w:spacing w:val="-8"/>
        </w:rPr>
        <w:t> </w:t>
      </w:r>
      <w:r>
        <w:rPr/>
        <w:t>leche</w:t>
      </w:r>
      <w:r>
        <w:rPr>
          <w:spacing w:val="-4"/>
        </w:rPr>
        <w:t> </w:t>
      </w:r>
      <w:r>
        <w:rPr/>
        <w:t>y</w:t>
      </w:r>
      <w:r>
        <w:rPr>
          <w:spacing w:val="-12"/>
        </w:rPr>
        <w:t> </w:t>
      </w:r>
      <w:r>
        <w:rPr/>
        <w:t>esta</w:t>
      </w:r>
      <w:r>
        <w:rPr>
          <w:spacing w:val="-7"/>
        </w:rPr>
        <w:t> </w:t>
      </w:r>
      <w:r>
        <w:rPr/>
        <w:t>se</w:t>
      </w:r>
      <w:r>
        <w:rPr>
          <w:spacing w:val="-8"/>
        </w:rPr>
        <w:t> </w:t>
      </w:r>
      <w:r>
        <w:rPr/>
        <w:t>refleja en una mayor competitividad del</w:t>
      </w:r>
      <w:r>
        <w:rPr>
          <w:spacing w:val="-6"/>
        </w:rPr>
        <w:t> </w:t>
      </w:r>
      <w:r>
        <w:rPr/>
        <w:t>sistema.</w:t>
      </w:r>
    </w:p>
    <w:p>
      <w:pPr>
        <w:pStyle w:val="BodyText"/>
      </w:pPr>
    </w:p>
    <w:p>
      <w:pPr>
        <w:pStyle w:val="Heading2"/>
        <w:numPr>
          <w:ilvl w:val="2"/>
          <w:numId w:val="27"/>
        </w:numPr>
        <w:tabs>
          <w:tab w:pos="642" w:val="left" w:leader="none"/>
        </w:tabs>
        <w:spacing w:line="240" w:lineRule="auto" w:before="148" w:after="0"/>
        <w:ind w:left="642" w:right="0" w:hanging="540"/>
        <w:jc w:val="both"/>
        <w:rPr>
          <w:i/>
        </w:rPr>
      </w:pPr>
      <w:r>
        <w:rPr>
          <w:i/>
        </w:rPr>
        <w:t>Relación de costo</w:t>
      </w:r>
      <w:r>
        <w:rPr>
          <w:i/>
          <w:spacing w:val="-3"/>
        </w:rPr>
        <w:t> </w:t>
      </w:r>
      <w:r>
        <w:rPr>
          <w:i/>
        </w:rPr>
        <w:t>privado</w:t>
      </w:r>
    </w:p>
    <w:p>
      <w:pPr>
        <w:pStyle w:val="BodyText"/>
        <w:rPr>
          <w:b/>
          <w:i/>
        </w:rPr>
      </w:pPr>
    </w:p>
    <w:p>
      <w:pPr>
        <w:pStyle w:val="BodyText"/>
        <w:spacing w:before="6"/>
        <w:rPr>
          <w:b/>
          <w:i/>
          <w:sz w:val="23"/>
        </w:rPr>
      </w:pPr>
    </w:p>
    <w:p>
      <w:pPr>
        <w:pStyle w:val="BodyText"/>
        <w:spacing w:line="360" w:lineRule="auto"/>
        <w:ind w:left="102" w:right="116"/>
        <w:jc w:val="both"/>
      </w:pPr>
      <w:r>
        <w:rPr/>
        <w:t>La competitividad de un sistema productivo empleando la MAP, se estima con la relación del costo privado, la cual expresa la rentabilidad evaluada a precios privados y mide la capacidad</w:t>
      </w:r>
      <w:r>
        <w:rPr>
          <w:spacing w:val="-14"/>
        </w:rPr>
        <w:t> </w:t>
      </w:r>
      <w:r>
        <w:rPr/>
        <w:t>del</w:t>
      </w:r>
      <w:r>
        <w:rPr>
          <w:spacing w:val="-13"/>
        </w:rPr>
        <w:t> </w:t>
      </w:r>
      <w:r>
        <w:rPr/>
        <w:t>sistema</w:t>
      </w:r>
      <w:r>
        <w:rPr>
          <w:spacing w:val="-14"/>
        </w:rPr>
        <w:t> </w:t>
      </w:r>
      <w:r>
        <w:rPr/>
        <w:t>de</w:t>
      </w:r>
      <w:r>
        <w:rPr>
          <w:spacing w:val="-12"/>
        </w:rPr>
        <w:t> </w:t>
      </w:r>
      <w:r>
        <w:rPr/>
        <w:t>producción</w:t>
      </w:r>
      <w:r>
        <w:rPr>
          <w:spacing w:val="-13"/>
        </w:rPr>
        <w:t> </w:t>
      </w:r>
      <w:r>
        <w:rPr/>
        <w:t>para</w:t>
      </w:r>
      <w:r>
        <w:rPr>
          <w:spacing w:val="-15"/>
        </w:rPr>
        <w:t> </w:t>
      </w:r>
      <w:r>
        <w:rPr/>
        <w:t>pagar</w:t>
      </w:r>
      <w:r>
        <w:rPr>
          <w:spacing w:val="-14"/>
        </w:rPr>
        <w:t> </w:t>
      </w:r>
      <w:r>
        <w:rPr/>
        <w:t>los</w:t>
      </w:r>
      <w:r>
        <w:rPr>
          <w:spacing w:val="-11"/>
        </w:rPr>
        <w:t> </w:t>
      </w:r>
      <w:r>
        <w:rPr/>
        <w:t>recursos</w:t>
      </w:r>
      <w:r>
        <w:rPr>
          <w:spacing w:val="-14"/>
        </w:rPr>
        <w:t> </w:t>
      </w:r>
      <w:r>
        <w:rPr/>
        <w:t>domésticos</w:t>
      </w:r>
      <w:r>
        <w:rPr>
          <w:spacing w:val="-13"/>
        </w:rPr>
        <w:t> </w:t>
      </w:r>
      <w:r>
        <w:rPr/>
        <w:t>(mano</w:t>
      </w:r>
      <w:r>
        <w:rPr>
          <w:spacing w:val="-13"/>
        </w:rPr>
        <w:t> </w:t>
      </w:r>
      <w:r>
        <w:rPr/>
        <w:t>de</w:t>
      </w:r>
      <w:r>
        <w:rPr>
          <w:spacing w:val="-14"/>
        </w:rPr>
        <w:t> </w:t>
      </w:r>
      <w:r>
        <w:rPr/>
        <w:t>obra,</w:t>
      </w:r>
      <w:r>
        <w:rPr>
          <w:spacing w:val="-13"/>
        </w:rPr>
        <w:t> </w:t>
      </w:r>
      <w:r>
        <w:rPr/>
        <w:t>tierra y</w:t>
      </w:r>
      <w:r>
        <w:rPr>
          <w:spacing w:val="-13"/>
        </w:rPr>
        <w:t> </w:t>
      </w:r>
      <w:r>
        <w:rPr/>
        <w:t>capital)</w:t>
      </w:r>
      <w:r>
        <w:rPr>
          <w:spacing w:val="-11"/>
        </w:rPr>
        <w:t> </w:t>
      </w:r>
      <w:r>
        <w:rPr/>
        <w:t>incluyendo</w:t>
      </w:r>
      <w:r>
        <w:rPr>
          <w:spacing w:val="-11"/>
        </w:rPr>
        <w:t> </w:t>
      </w:r>
      <w:r>
        <w:rPr/>
        <w:t>un</w:t>
      </w:r>
      <w:r>
        <w:rPr>
          <w:spacing w:val="-11"/>
        </w:rPr>
        <w:t> </w:t>
      </w:r>
      <w:r>
        <w:rPr/>
        <w:t>retorno</w:t>
      </w:r>
      <w:r>
        <w:rPr>
          <w:spacing w:val="-11"/>
        </w:rPr>
        <w:t> </w:t>
      </w:r>
      <w:r>
        <w:rPr/>
        <w:t>al</w:t>
      </w:r>
      <w:r>
        <w:rPr>
          <w:spacing w:val="-11"/>
        </w:rPr>
        <w:t> </w:t>
      </w:r>
      <w:r>
        <w:rPr/>
        <w:t>capital</w:t>
      </w:r>
      <w:r>
        <w:rPr>
          <w:spacing w:val="-11"/>
        </w:rPr>
        <w:t> </w:t>
      </w:r>
      <w:r>
        <w:rPr/>
        <w:t>que</w:t>
      </w:r>
      <w:r>
        <w:rPr>
          <w:spacing w:val="-12"/>
        </w:rPr>
        <w:t> </w:t>
      </w:r>
      <w:r>
        <w:rPr/>
        <w:t>representa</w:t>
      </w:r>
      <w:r>
        <w:rPr>
          <w:spacing w:val="-11"/>
        </w:rPr>
        <w:t> </w:t>
      </w:r>
      <w:r>
        <w:rPr/>
        <w:t>la</w:t>
      </w:r>
      <w:r>
        <w:rPr>
          <w:spacing w:val="-12"/>
        </w:rPr>
        <w:t> </w:t>
      </w:r>
      <w:r>
        <w:rPr/>
        <w:t>utilidad</w:t>
      </w:r>
      <w:r>
        <w:rPr>
          <w:spacing w:val="-11"/>
        </w:rPr>
        <w:t> </w:t>
      </w:r>
      <w:r>
        <w:rPr/>
        <w:t>(Monke</w:t>
      </w:r>
      <w:r>
        <w:rPr>
          <w:spacing w:val="-8"/>
        </w:rPr>
        <w:t> </w:t>
      </w:r>
      <w:r>
        <w:rPr/>
        <w:t>y</w:t>
      </w:r>
      <w:r>
        <w:rPr>
          <w:spacing w:val="-16"/>
        </w:rPr>
        <w:t> </w:t>
      </w:r>
      <w:r>
        <w:rPr/>
        <w:t>Pearson,</w:t>
      </w:r>
      <w:r>
        <w:rPr>
          <w:spacing w:val="-12"/>
        </w:rPr>
        <w:t> </w:t>
      </w:r>
      <w:r>
        <w:rPr/>
        <w:t>1989; Barrón-Aguilar et al.,</w:t>
      </w:r>
      <w:r>
        <w:rPr>
          <w:spacing w:val="-6"/>
        </w:rPr>
        <w:t> </w:t>
      </w:r>
      <w:r>
        <w:rPr/>
        <w:t>2000).</w:t>
      </w:r>
    </w:p>
    <w:p>
      <w:pPr>
        <w:pStyle w:val="BodyText"/>
      </w:pPr>
    </w:p>
    <w:p>
      <w:pPr>
        <w:pStyle w:val="BodyText"/>
        <w:spacing w:line="360" w:lineRule="auto" w:before="143"/>
        <w:ind w:left="102" w:right="115"/>
        <w:jc w:val="both"/>
      </w:pPr>
      <w:r>
        <w:rPr/>
        <w:t>Los</w:t>
      </w:r>
      <w:r>
        <w:rPr>
          <w:spacing w:val="-5"/>
        </w:rPr>
        <w:t> </w:t>
      </w:r>
      <w:r>
        <w:rPr/>
        <w:t>cuatro</w:t>
      </w:r>
      <w:r>
        <w:rPr>
          <w:spacing w:val="-5"/>
        </w:rPr>
        <w:t> </w:t>
      </w:r>
      <w:r>
        <w:rPr/>
        <w:t>cultivos</w:t>
      </w:r>
      <w:r>
        <w:rPr>
          <w:spacing w:val="-6"/>
        </w:rPr>
        <w:t> </w:t>
      </w:r>
      <w:r>
        <w:rPr/>
        <w:t>analizados</w:t>
      </w:r>
      <w:r>
        <w:rPr>
          <w:spacing w:val="-6"/>
        </w:rPr>
        <w:t> </w:t>
      </w:r>
      <w:r>
        <w:rPr/>
        <w:t>presentaron</w:t>
      </w:r>
      <w:r>
        <w:rPr>
          <w:spacing w:val="-8"/>
        </w:rPr>
        <w:t> </w:t>
      </w:r>
      <w:r>
        <w:rPr/>
        <w:t>una</w:t>
      </w:r>
      <w:r>
        <w:rPr>
          <w:spacing w:val="-6"/>
        </w:rPr>
        <w:t> </w:t>
      </w:r>
      <w:r>
        <w:rPr/>
        <w:t>RCP</w:t>
      </w:r>
      <w:r>
        <w:rPr>
          <w:spacing w:val="-7"/>
        </w:rPr>
        <w:t> </w:t>
      </w:r>
      <w:r>
        <w:rPr/>
        <w:t>favorable,</w:t>
      </w:r>
      <w:r>
        <w:rPr>
          <w:spacing w:val="-6"/>
        </w:rPr>
        <w:t> </w:t>
      </w:r>
      <w:r>
        <w:rPr/>
        <w:t>sus</w:t>
      </w:r>
      <w:r>
        <w:rPr>
          <w:spacing w:val="-7"/>
        </w:rPr>
        <w:t> </w:t>
      </w:r>
      <w:r>
        <w:rPr/>
        <w:t>valores</w:t>
      </w:r>
      <w:r>
        <w:rPr>
          <w:spacing w:val="-5"/>
        </w:rPr>
        <w:t> </w:t>
      </w:r>
      <w:r>
        <w:rPr/>
        <w:t>fueron</w:t>
      </w:r>
      <w:r>
        <w:rPr>
          <w:spacing w:val="-6"/>
        </w:rPr>
        <w:t> </w:t>
      </w:r>
      <w:r>
        <w:rPr/>
        <w:t>mayores</w:t>
      </w:r>
      <w:r>
        <w:rPr>
          <w:spacing w:val="-7"/>
        </w:rPr>
        <w:t> </w:t>
      </w:r>
      <w:r>
        <w:rPr/>
        <w:t>a cero,</w:t>
      </w:r>
      <w:r>
        <w:rPr>
          <w:spacing w:val="-12"/>
        </w:rPr>
        <w:t> </w:t>
      </w:r>
      <w:r>
        <w:rPr/>
        <w:t>pero</w:t>
      </w:r>
      <w:r>
        <w:rPr>
          <w:spacing w:val="-12"/>
        </w:rPr>
        <w:t> </w:t>
      </w:r>
      <w:r>
        <w:rPr/>
        <w:t>menores</w:t>
      </w:r>
      <w:r>
        <w:rPr>
          <w:spacing w:val="-11"/>
        </w:rPr>
        <w:t> </w:t>
      </w:r>
      <w:r>
        <w:rPr/>
        <w:t>a</w:t>
      </w:r>
      <w:r>
        <w:rPr>
          <w:spacing w:val="-12"/>
        </w:rPr>
        <w:t> </w:t>
      </w:r>
      <w:r>
        <w:rPr/>
        <w:t>uno;</w:t>
      </w:r>
      <w:r>
        <w:rPr>
          <w:spacing w:val="-9"/>
        </w:rPr>
        <w:t> </w:t>
      </w:r>
      <w:r>
        <w:rPr/>
        <w:t>lo</w:t>
      </w:r>
      <w:r>
        <w:rPr>
          <w:spacing w:val="-11"/>
        </w:rPr>
        <w:t> </w:t>
      </w:r>
      <w:r>
        <w:rPr/>
        <w:t>cual</w:t>
      </w:r>
      <w:r>
        <w:rPr>
          <w:spacing w:val="-9"/>
        </w:rPr>
        <w:t> </w:t>
      </w:r>
      <w:r>
        <w:rPr/>
        <w:t>indicó</w:t>
      </w:r>
      <w:r>
        <w:rPr>
          <w:spacing w:val="-11"/>
        </w:rPr>
        <w:t> </w:t>
      </w:r>
      <w:r>
        <w:rPr/>
        <w:t>que</w:t>
      </w:r>
      <w:r>
        <w:rPr>
          <w:spacing w:val="-12"/>
        </w:rPr>
        <w:t> </w:t>
      </w:r>
      <w:r>
        <w:rPr/>
        <w:t>el</w:t>
      </w:r>
      <w:r>
        <w:rPr>
          <w:spacing w:val="-11"/>
        </w:rPr>
        <w:t> </w:t>
      </w:r>
      <w:r>
        <w:rPr/>
        <w:t>eslabón</w:t>
      </w:r>
      <w:r>
        <w:rPr>
          <w:spacing w:val="-11"/>
        </w:rPr>
        <w:t> </w:t>
      </w:r>
      <w:r>
        <w:rPr/>
        <w:t>de</w:t>
      </w:r>
      <w:r>
        <w:rPr>
          <w:spacing w:val="-12"/>
        </w:rPr>
        <w:t> </w:t>
      </w:r>
      <w:r>
        <w:rPr/>
        <w:t>producción</w:t>
      </w:r>
      <w:r>
        <w:rPr>
          <w:spacing w:val="-11"/>
        </w:rPr>
        <w:t> </w:t>
      </w:r>
      <w:r>
        <w:rPr/>
        <w:t>de</w:t>
      </w:r>
      <w:r>
        <w:rPr>
          <w:spacing w:val="-12"/>
        </w:rPr>
        <w:t> </w:t>
      </w:r>
      <w:r>
        <w:rPr/>
        <w:t>insumos</w:t>
      </w:r>
      <w:r>
        <w:rPr>
          <w:spacing w:val="-11"/>
        </w:rPr>
        <w:t> </w:t>
      </w:r>
      <w:r>
        <w:rPr/>
        <w:t>es</w:t>
      </w:r>
      <w:r>
        <w:rPr>
          <w:spacing w:val="-11"/>
        </w:rPr>
        <w:t> </w:t>
      </w:r>
      <w:r>
        <w:rPr/>
        <w:t>eficiente y  competitivo  a  precios  privados,  dado  que  después  de  remunerar  los  factores  de  </w:t>
      </w:r>
      <w:r>
        <w:rPr>
          <w:spacing w:val="26"/>
        </w:rPr>
        <w:t> </w:t>
      </w:r>
      <w:r>
        <w:rPr/>
        <w:t>la</w:t>
      </w:r>
    </w:p>
    <w:p>
      <w:pPr>
        <w:spacing w:after="0" w:line="360" w:lineRule="auto"/>
        <w:jc w:val="both"/>
        <w:sectPr>
          <w:pgSz w:w="12240" w:h="15840"/>
          <w:pgMar w:header="0" w:footer="657" w:top="1360" w:bottom="840" w:left="1600" w:right="1580"/>
        </w:sectPr>
      </w:pPr>
    </w:p>
    <w:p>
      <w:pPr>
        <w:pStyle w:val="BodyText"/>
        <w:spacing w:line="360" w:lineRule="auto" w:before="50"/>
        <w:ind w:left="122" w:right="117"/>
        <w:jc w:val="both"/>
      </w:pPr>
      <w:r>
        <w:rPr/>
        <w:t>producción, tanto propios como contratados, la RCP representó 57, 31, 47 y 23% del valor agregado</w:t>
      </w:r>
      <w:r>
        <w:rPr>
          <w:spacing w:val="3"/>
        </w:rPr>
        <w:t> </w:t>
      </w:r>
      <w:r>
        <w:rPr/>
        <w:t>y</w:t>
      </w:r>
      <w:r>
        <w:rPr>
          <w:spacing w:val="-9"/>
        </w:rPr>
        <w:t> </w:t>
      </w:r>
      <w:r>
        <w:rPr/>
        <w:t>43,</w:t>
      </w:r>
      <w:r>
        <w:rPr>
          <w:spacing w:val="-4"/>
        </w:rPr>
        <w:t> </w:t>
      </w:r>
      <w:r>
        <w:rPr/>
        <w:t>69,</w:t>
      </w:r>
      <w:r>
        <w:rPr>
          <w:spacing w:val="-4"/>
        </w:rPr>
        <w:t> </w:t>
      </w:r>
      <w:r>
        <w:rPr/>
        <w:t>53</w:t>
      </w:r>
      <w:r>
        <w:rPr>
          <w:spacing w:val="1"/>
        </w:rPr>
        <w:t> </w:t>
      </w:r>
      <w:r>
        <w:rPr/>
        <w:t>y</w:t>
      </w:r>
      <w:r>
        <w:rPr>
          <w:spacing w:val="-7"/>
        </w:rPr>
        <w:t> </w:t>
      </w:r>
      <w:r>
        <w:rPr/>
        <w:t>77%</w:t>
      </w:r>
      <w:r>
        <w:rPr>
          <w:spacing w:val="-5"/>
        </w:rPr>
        <w:t> </w:t>
      </w:r>
      <w:r>
        <w:rPr/>
        <w:t>de</w:t>
      </w:r>
      <w:r>
        <w:rPr>
          <w:spacing w:val="-5"/>
        </w:rPr>
        <w:t> </w:t>
      </w:r>
      <w:r>
        <w:rPr/>
        <w:t>ahorro</w:t>
      </w:r>
      <w:r>
        <w:rPr>
          <w:spacing w:val="-4"/>
        </w:rPr>
        <w:t> </w:t>
      </w:r>
      <w:r>
        <w:rPr/>
        <w:t>para</w:t>
      </w:r>
      <w:r>
        <w:rPr>
          <w:spacing w:val="-6"/>
        </w:rPr>
        <w:t> </w:t>
      </w:r>
      <w:r>
        <w:rPr/>
        <w:t>el</w:t>
      </w:r>
      <w:r>
        <w:rPr>
          <w:spacing w:val="-3"/>
        </w:rPr>
        <w:t> </w:t>
      </w:r>
      <w:r>
        <w:rPr/>
        <w:t>productor</w:t>
      </w:r>
      <w:r>
        <w:rPr>
          <w:spacing w:val="-3"/>
        </w:rPr>
        <w:t> </w:t>
      </w:r>
      <w:r>
        <w:rPr/>
        <w:t>por</w:t>
      </w:r>
      <w:r>
        <w:rPr>
          <w:spacing w:val="-5"/>
        </w:rPr>
        <w:t> </w:t>
      </w:r>
      <w:r>
        <w:rPr/>
        <w:t>kilogramo</w:t>
      </w:r>
      <w:r>
        <w:rPr>
          <w:spacing w:val="-3"/>
        </w:rPr>
        <w:t> </w:t>
      </w:r>
      <w:r>
        <w:rPr/>
        <w:t>de</w:t>
      </w:r>
      <w:r>
        <w:rPr>
          <w:spacing w:val="-2"/>
        </w:rPr>
        <w:t> </w:t>
      </w:r>
      <w:r>
        <w:rPr/>
        <w:t>ensilado</w:t>
      </w:r>
      <w:r>
        <w:rPr>
          <w:spacing w:val="-4"/>
        </w:rPr>
        <w:t> </w:t>
      </w:r>
      <w:r>
        <w:rPr/>
        <w:t>de</w:t>
      </w:r>
      <w:r>
        <w:rPr>
          <w:spacing w:val="-5"/>
        </w:rPr>
        <w:t> </w:t>
      </w:r>
      <w:r>
        <w:rPr/>
        <w:t>maíz, alfalfa, avena y maíz (Tabla 14). La competitividad del eslabón de producción se puede explicar, entre otros factores, por el aprovechamiento de abono orgánico y empleo de MOF en el proceso de producción que ayuda a disminuir considerablemente los costos de producción por</w:t>
      </w:r>
      <w:r>
        <w:rPr>
          <w:spacing w:val="-2"/>
        </w:rPr>
        <w:t> </w:t>
      </w:r>
      <w:r>
        <w:rPr/>
        <w:t>cultivo.</w:t>
      </w:r>
    </w:p>
    <w:p>
      <w:pPr>
        <w:pStyle w:val="BodyText"/>
      </w:pPr>
    </w:p>
    <w:p>
      <w:pPr>
        <w:pStyle w:val="BodyText"/>
        <w:spacing w:before="140" w:after="30"/>
        <w:ind w:left="191" w:right="51"/>
      </w:pPr>
      <w:r>
        <w:rPr>
          <w:b/>
        </w:rPr>
        <w:t>Tabla</w:t>
      </w:r>
      <w:r>
        <w:rPr>
          <w:b/>
          <w:spacing w:val="-15"/>
        </w:rPr>
        <w:t> </w:t>
      </w:r>
      <w:r>
        <w:rPr>
          <w:b/>
        </w:rPr>
        <w:t>14.</w:t>
      </w:r>
      <w:r>
        <w:rPr>
          <w:b/>
          <w:spacing w:val="-16"/>
        </w:rPr>
        <w:t> </w:t>
      </w:r>
      <w:r>
        <w:rPr/>
        <w:t>Coeficientes</w:t>
      </w:r>
      <w:r>
        <w:rPr>
          <w:spacing w:val="-16"/>
        </w:rPr>
        <w:t> </w:t>
      </w:r>
      <w:r>
        <w:rPr/>
        <w:t>de</w:t>
      </w:r>
      <w:r>
        <w:rPr>
          <w:spacing w:val="-17"/>
        </w:rPr>
        <w:t> </w:t>
      </w:r>
      <w:r>
        <w:rPr/>
        <w:t>protección</w:t>
      </w:r>
      <w:r>
        <w:rPr>
          <w:spacing w:val="-15"/>
        </w:rPr>
        <w:t> </w:t>
      </w:r>
      <w:r>
        <w:rPr/>
        <w:t>de</w:t>
      </w:r>
      <w:r>
        <w:rPr>
          <w:spacing w:val="-14"/>
        </w:rPr>
        <w:t> </w:t>
      </w:r>
      <w:r>
        <w:rPr/>
        <w:t>rentabilidad</w:t>
      </w:r>
      <w:r>
        <w:rPr>
          <w:spacing w:val="-16"/>
        </w:rPr>
        <w:t> </w:t>
      </w:r>
      <w:r>
        <w:rPr/>
        <w:t>efectiva</w:t>
      </w:r>
      <w:r>
        <w:rPr>
          <w:spacing w:val="-14"/>
        </w:rPr>
        <w:t> </w:t>
      </w:r>
      <w:r>
        <w:rPr/>
        <w:t>para</w:t>
      </w:r>
      <w:r>
        <w:rPr>
          <w:spacing w:val="-15"/>
        </w:rPr>
        <w:t> </w:t>
      </w:r>
      <w:r>
        <w:rPr/>
        <w:t>el</w:t>
      </w:r>
      <w:r>
        <w:rPr>
          <w:spacing w:val="-15"/>
        </w:rPr>
        <w:t> </w:t>
      </w:r>
      <w:r>
        <w:rPr/>
        <w:t>eslabón</w:t>
      </w:r>
      <w:r>
        <w:rPr>
          <w:spacing w:val="-16"/>
        </w:rPr>
        <w:t> </w:t>
      </w:r>
      <w:r>
        <w:rPr/>
        <w:t>de</w:t>
      </w:r>
      <w:r>
        <w:rPr>
          <w:spacing w:val="-17"/>
        </w:rPr>
        <w:t> </w:t>
      </w:r>
      <w:r>
        <w:rPr/>
        <w:t>producción de</w:t>
      </w:r>
      <w:r>
        <w:rPr>
          <w:spacing w:val="-2"/>
        </w:rPr>
        <w:t> </w:t>
      </w:r>
      <w:r>
        <w:rPr/>
        <w:t>insumos</w:t>
      </w:r>
    </w:p>
    <w:tbl>
      <w:tblPr>
        <w:tblW w:w="0" w:type="auto"/>
        <w:jc w:val="left"/>
        <w:tblInd w:w="10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871"/>
        <w:gridCol w:w="1347"/>
        <w:gridCol w:w="1070"/>
        <w:gridCol w:w="826"/>
        <w:gridCol w:w="691"/>
      </w:tblGrid>
      <w:tr>
        <w:trPr>
          <w:trHeight w:val="598" w:hRule="exact"/>
        </w:trPr>
        <w:tc>
          <w:tcPr>
            <w:tcW w:w="4871" w:type="dxa"/>
            <w:tcBorders>
              <w:left w:val="nil"/>
              <w:right w:val="nil"/>
            </w:tcBorders>
          </w:tcPr>
          <w:p>
            <w:pPr>
              <w:pStyle w:val="TableParagraph"/>
              <w:spacing w:before="6"/>
              <w:jc w:val="left"/>
              <w:rPr>
                <w:sz w:val="23"/>
              </w:rPr>
            </w:pPr>
          </w:p>
          <w:p>
            <w:pPr>
              <w:pStyle w:val="TableParagraph"/>
              <w:ind w:left="144" w:right="1388"/>
              <w:jc w:val="left"/>
              <w:rPr>
                <w:sz w:val="24"/>
              </w:rPr>
            </w:pPr>
            <w:r>
              <w:rPr>
                <w:sz w:val="24"/>
              </w:rPr>
              <w:t>Concepto</w:t>
            </w:r>
          </w:p>
        </w:tc>
        <w:tc>
          <w:tcPr>
            <w:tcW w:w="1347" w:type="dxa"/>
            <w:tcBorders>
              <w:left w:val="nil"/>
              <w:right w:val="nil"/>
            </w:tcBorders>
          </w:tcPr>
          <w:p>
            <w:pPr>
              <w:pStyle w:val="TableParagraph"/>
              <w:ind w:left="532" w:right="42" w:hanging="87"/>
              <w:jc w:val="left"/>
              <w:rPr>
                <w:sz w:val="24"/>
              </w:rPr>
            </w:pPr>
            <w:r>
              <w:rPr>
                <w:sz w:val="24"/>
              </w:rPr>
              <w:t>Ensilado de maíz</w:t>
            </w:r>
          </w:p>
        </w:tc>
        <w:tc>
          <w:tcPr>
            <w:tcW w:w="1070" w:type="dxa"/>
            <w:tcBorders>
              <w:left w:val="nil"/>
              <w:right w:val="nil"/>
            </w:tcBorders>
          </w:tcPr>
          <w:p>
            <w:pPr>
              <w:pStyle w:val="TableParagraph"/>
              <w:spacing w:before="6"/>
              <w:jc w:val="left"/>
              <w:rPr>
                <w:sz w:val="23"/>
              </w:rPr>
            </w:pPr>
          </w:p>
          <w:p>
            <w:pPr>
              <w:pStyle w:val="TableParagraph"/>
              <w:ind w:left="315"/>
              <w:jc w:val="left"/>
              <w:rPr>
                <w:sz w:val="24"/>
              </w:rPr>
            </w:pPr>
            <w:r>
              <w:rPr>
                <w:sz w:val="24"/>
              </w:rPr>
              <w:t>Alfalfa</w:t>
            </w:r>
          </w:p>
        </w:tc>
        <w:tc>
          <w:tcPr>
            <w:tcW w:w="826" w:type="dxa"/>
            <w:tcBorders>
              <w:left w:val="nil"/>
              <w:right w:val="nil"/>
            </w:tcBorders>
          </w:tcPr>
          <w:p>
            <w:pPr>
              <w:pStyle w:val="TableParagraph"/>
              <w:spacing w:before="6"/>
              <w:jc w:val="left"/>
              <w:rPr>
                <w:sz w:val="23"/>
              </w:rPr>
            </w:pPr>
          </w:p>
          <w:p>
            <w:pPr>
              <w:pStyle w:val="TableParagraph"/>
              <w:ind w:left="57" w:right="19"/>
              <w:jc w:val="center"/>
              <w:rPr>
                <w:sz w:val="24"/>
              </w:rPr>
            </w:pPr>
            <w:r>
              <w:rPr>
                <w:sz w:val="24"/>
              </w:rPr>
              <w:t>Avena</w:t>
            </w:r>
          </w:p>
        </w:tc>
        <w:tc>
          <w:tcPr>
            <w:tcW w:w="691" w:type="dxa"/>
            <w:tcBorders>
              <w:left w:val="nil"/>
              <w:right w:val="nil"/>
            </w:tcBorders>
          </w:tcPr>
          <w:p>
            <w:pPr>
              <w:pStyle w:val="TableParagraph"/>
              <w:spacing w:before="6"/>
              <w:jc w:val="left"/>
              <w:rPr>
                <w:sz w:val="23"/>
              </w:rPr>
            </w:pPr>
          </w:p>
          <w:p>
            <w:pPr>
              <w:pStyle w:val="TableParagraph"/>
              <w:ind w:left="60" w:right="1"/>
              <w:jc w:val="center"/>
              <w:rPr>
                <w:sz w:val="24"/>
              </w:rPr>
            </w:pPr>
            <w:r>
              <w:rPr>
                <w:sz w:val="24"/>
              </w:rPr>
              <w:t>Maíz</w:t>
            </w:r>
          </w:p>
        </w:tc>
      </w:tr>
      <w:tr>
        <w:trPr>
          <w:trHeight w:val="590" w:hRule="exact"/>
        </w:trPr>
        <w:tc>
          <w:tcPr>
            <w:tcW w:w="4871" w:type="dxa"/>
            <w:tcBorders>
              <w:left w:val="nil"/>
              <w:bottom w:val="nil"/>
              <w:right w:val="nil"/>
            </w:tcBorders>
          </w:tcPr>
          <w:p>
            <w:pPr>
              <w:pStyle w:val="TableParagraph"/>
              <w:ind w:left="84" w:right="1388"/>
              <w:jc w:val="left"/>
              <w:rPr>
                <w:sz w:val="24"/>
              </w:rPr>
            </w:pPr>
            <w:r>
              <w:rPr>
                <w:sz w:val="24"/>
              </w:rPr>
              <w:t>Coeficiente de rentabilidad privada (%/peso invertido)</w:t>
            </w:r>
          </w:p>
        </w:tc>
        <w:tc>
          <w:tcPr>
            <w:tcW w:w="1347" w:type="dxa"/>
            <w:tcBorders>
              <w:left w:val="nil"/>
              <w:bottom w:val="nil"/>
              <w:right w:val="nil"/>
            </w:tcBorders>
          </w:tcPr>
          <w:p>
            <w:pPr>
              <w:pStyle w:val="TableParagraph"/>
              <w:spacing w:before="3"/>
              <w:jc w:val="left"/>
              <w:rPr>
                <w:sz w:val="23"/>
              </w:rPr>
            </w:pPr>
          </w:p>
          <w:p>
            <w:pPr>
              <w:pStyle w:val="TableParagraph"/>
              <w:ind w:right="193"/>
              <w:rPr>
                <w:sz w:val="24"/>
              </w:rPr>
            </w:pPr>
            <w:r>
              <w:rPr>
                <w:sz w:val="24"/>
              </w:rPr>
              <w:t>32.28</w:t>
            </w:r>
          </w:p>
        </w:tc>
        <w:tc>
          <w:tcPr>
            <w:tcW w:w="1070" w:type="dxa"/>
            <w:tcBorders>
              <w:left w:val="nil"/>
              <w:bottom w:val="nil"/>
              <w:right w:val="nil"/>
            </w:tcBorders>
          </w:tcPr>
          <w:p>
            <w:pPr>
              <w:pStyle w:val="TableParagraph"/>
              <w:spacing w:before="3"/>
              <w:jc w:val="left"/>
              <w:rPr>
                <w:sz w:val="23"/>
              </w:rPr>
            </w:pPr>
          </w:p>
          <w:p>
            <w:pPr>
              <w:pStyle w:val="TableParagraph"/>
              <w:ind w:left="61"/>
              <w:jc w:val="left"/>
              <w:rPr>
                <w:sz w:val="24"/>
              </w:rPr>
            </w:pPr>
            <w:r>
              <w:rPr>
                <w:sz w:val="24"/>
              </w:rPr>
              <w:t>123.05</w:t>
            </w:r>
          </w:p>
        </w:tc>
        <w:tc>
          <w:tcPr>
            <w:tcW w:w="826" w:type="dxa"/>
            <w:tcBorders>
              <w:left w:val="nil"/>
              <w:bottom w:val="nil"/>
              <w:right w:val="nil"/>
            </w:tcBorders>
          </w:tcPr>
          <w:p>
            <w:pPr>
              <w:pStyle w:val="TableParagraph"/>
              <w:spacing w:before="3"/>
              <w:jc w:val="left"/>
              <w:rPr>
                <w:sz w:val="23"/>
              </w:rPr>
            </w:pPr>
          </w:p>
          <w:p>
            <w:pPr>
              <w:pStyle w:val="TableParagraph"/>
              <w:ind w:left="57" w:right="187"/>
              <w:jc w:val="center"/>
              <w:rPr>
                <w:sz w:val="24"/>
              </w:rPr>
            </w:pPr>
            <w:r>
              <w:rPr>
                <w:sz w:val="24"/>
              </w:rPr>
              <w:t>26.14</w:t>
            </w:r>
          </w:p>
        </w:tc>
        <w:tc>
          <w:tcPr>
            <w:tcW w:w="691" w:type="dxa"/>
            <w:tcBorders>
              <w:left w:val="nil"/>
              <w:bottom w:val="nil"/>
              <w:right w:val="nil"/>
            </w:tcBorders>
          </w:tcPr>
          <w:p>
            <w:pPr>
              <w:pStyle w:val="TableParagraph"/>
              <w:spacing w:before="3"/>
              <w:jc w:val="left"/>
              <w:rPr>
                <w:sz w:val="23"/>
              </w:rPr>
            </w:pPr>
          </w:p>
          <w:p>
            <w:pPr>
              <w:pStyle w:val="TableParagraph"/>
              <w:ind w:left="60" w:right="49"/>
              <w:jc w:val="center"/>
              <w:rPr>
                <w:sz w:val="24"/>
              </w:rPr>
            </w:pPr>
            <w:r>
              <w:rPr>
                <w:sz w:val="24"/>
              </w:rPr>
              <w:t>46.78</w:t>
            </w:r>
          </w:p>
        </w:tc>
      </w:tr>
      <w:tr>
        <w:trPr>
          <w:trHeight w:val="300" w:hRule="exact"/>
        </w:trPr>
        <w:tc>
          <w:tcPr>
            <w:tcW w:w="4871" w:type="dxa"/>
            <w:tcBorders>
              <w:top w:val="nil"/>
              <w:left w:val="nil"/>
              <w:bottom w:val="nil"/>
              <w:right w:val="nil"/>
            </w:tcBorders>
          </w:tcPr>
          <w:p>
            <w:pPr>
              <w:pStyle w:val="TableParagraph"/>
              <w:spacing w:line="275" w:lineRule="exact"/>
              <w:ind w:left="84" w:right="1388"/>
              <w:jc w:val="left"/>
              <w:rPr>
                <w:sz w:val="24"/>
              </w:rPr>
            </w:pPr>
            <w:r>
              <w:rPr>
                <w:sz w:val="24"/>
              </w:rPr>
              <w:t>Relación del costo privado</w:t>
            </w:r>
          </w:p>
        </w:tc>
        <w:tc>
          <w:tcPr>
            <w:tcW w:w="1347" w:type="dxa"/>
            <w:tcBorders>
              <w:top w:val="nil"/>
              <w:left w:val="nil"/>
              <w:bottom w:val="nil"/>
              <w:right w:val="nil"/>
            </w:tcBorders>
          </w:tcPr>
          <w:p>
            <w:pPr>
              <w:pStyle w:val="TableParagraph"/>
              <w:spacing w:line="275" w:lineRule="exact"/>
              <w:ind w:right="193"/>
              <w:rPr>
                <w:sz w:val="24"/>
              </w:rPr>
            </w:pPr>
            <w:r>
              <w:rPr>
                <w:sz w:val="24"/>
              </w:rPr>
              <w:t>0.57</w:t>
            </w:r>
          </w:p>
        </w:tc>
        <w:tc>
          <w:tcPr>
            <w:tcW w:w="1070" w:type="dxa"/>
            <w:tcBorders>
              <w:top w:val="nil"/>
              <w:left w:val="nil"/>
              <w:bottom w:val="nil"/>
              <w:right w:val="nil"/>
            </w:tcBorders>
          </w:tcPr>
          <w:p>
            <w:pPr>
              <w:pStyle w:val="TableParagraph"/>
              <w:spacing w:line="275" w:lineRule="exact"/>
              <w:ind w:left="301"/>
              <w:jc w:val="left"/>
              <w:rPr>
                <w:sz w:val="24"/>
              </w:rPr>
            </w:pPr>
            <w:r>
              <w:rPr>
                <w:sz w:val="24"/>
              </w:rPr>
              <w:t>0.31</w:t>
            </w:r>
          </w:p>
        </w:tc>
        <w:tc>
          <w:tcPr>
            <w:tcW w:w="826" w:type="dxa"/>
            <w:tcBorders>
              <w:top w:val="nil"/>
              <w:left w:val="nil"/>
              <w:bottom w:val="nil"/>
              <w:right w:val="nil"/>
            </w:tcBorders>
          </w:tcPr>
          <w:p>
            <w:pPr>
              <w:pStyle w:val="TableParagraph"/>
              <w:spacing w:line="275" w:lineRule="exact"/>
              <w:ind w:left="50" w:right="60"/>
              <w:jc w:val="center"/>
              <w:rPr>
                <w:sz w:val="24"/>
              </w:rPr>
            </w:pPr>
            <w:r>
              <w:rPr>
                <w:sz w:val="24"/>
              </w:rPr>
              <w:t>0.47</w:t>
            </w:r>
          </w:p>
        </w:tc>
        <w:tc>
          <w:tcPr>
            <w:tcW w:w="691" w:type="dxa"/>
            <w:tcBorders>
              <w:top w:val="nil"/>
              <w:left w:val="nil"/>
              <w:bottom w:val="nil"/>
              <w:right w:val="nil"/>
            </w:tcBorders>
          </w:tcPr>
          <w:p>
            <w:pPr>
              <w:pStyle w:val="TableParagraph"/>
              <w:spacing w:line="275" w:lineRule="exact"/>
              <w:ind w:left="180" w:right="49"/>
              <w:jc w:val="center"/>
              <w:rPr>
                <w:sz w:val="24"/>
              </w:rPr>
            </w:pPr>
            <w:r>
              <w:rPr>
                <w:sz w:val="24"/>
              </w:rPr>
              <w:t>0.23</w:t>
            </w:r>
          </w:p>
        </w:tc>
      </w:tr>
      <w:tr>
        <w:trPr>
          <w:trHeight w:val="300" w:hRule="exact"/>
        </w:trPr>
        <w:tc>
          <w:tcPr>
            <w:tcW w:w="4871" w:type="dxa"/>
            <w:tcBorders>
              <w:top w:val="nil"/>
              <w:left w:val="nil"/>
              <w:bottom w:val="nil"/>
              <w:right w:val="nil"/>
            </w:tcBorders>
          </w:tcPr>
          <w:p>
            <w:pPr>
              <w:pStyle w:val="TableParagraph"/>
              <w:spacing w:line="275" w:lineRule="exact"/>
              <w:ind w:left="84"/>
              <w:jc w:val="left"/>
              <w:rPr>
                <w:sz w:val="24"/>
              </w:rPr>
            </w:pPr>
            <w:r>
              <w:rPr>
                <w:sz w:val="24"/>
              </w:rPr>
              <w:t>Valor agregado a precios privados ($)</w:t>
            </w:r>
          </w:p>
        </w:tc>
        <w:tc>
          <w:tcPr>
            <w:tcW w:w="1347" w:type="dxa"/>
            <w:tcBorders>
              <w:top w:val="nil"/>
              <w:left w:val="nil"/>
              <w:bottom w:val="nil"/>
              <w:right w:val="nil"/>
            </w:tcBorders>
          </w:tcPr>
          <w:p>
            <w:pPr>
              <w:pStyle w:val="TableParagraph"/>
              <w:spacing w:line="275" w:lineRule="exact"/>
              <w:ind w:right="193"/>
              <w:rPr>
                <w:sz w:val="24"/>
              </w:rPr>
            </w:pPr>
            <w:r>
              <w:rPr>
                <w:sz w:val="24"/>
              </w:rPr>
              <w:t>0.23</w:t>
            </w:r>
          </w:p>
        </w:tc>
        <w:tc>
          <w:tcPr>
            <w:tcW w:w="1070" w:type="dxa"/>
            <w:tcBorders>
              <w:top w:val="nil"/>
              <w:left w:val="nil"/>
              <w:bottom w:val="nil"/>
              <w:right w:val="nil"/>
            </w:tcBorders>
          </w:tcPr>
          <w:p>
            <w:pPr>
              <w:pStyle w:val="TableParagraph"/>
              <w:spacing w:line="275" w:lineRule="exact"/>
              <w:ind w:left="301"/>
              <w:jc w:val="left"/>
              <w:rPr>
                <w:sz w:val="24"/>
              </w:rPr>
            </w:pPr>
            <w:r>
              <w:rPr>
                <w:sz w:val="24"/>
              </w:rPr>
              <w:t>0.33</w:t>
            </w:r>
          </w:p>
        </w:tc>
        <w:tc>
          <w:tcPr>
            <w:tcW w:w="826" w:type="dxa"/>
            <w:tcBorders>
              <w:top w:val="nil"/>
              <w:left w:val="nil"/>
              <w:bottom w:val="nil"/>
              <w:right w:val="nil"/>
            </w:tcBorders>
          </w:tcPr>
          <w:p>
            <w:pPr>
              <w:pStyle w:val="TableParagraph"/>
              <w:spacing w:line="275" w:lineRule="exact"/>
              <w:ind w:left="50" w:right="60"/>
              <w:jc w:val="center"/>
              <w:rPr>
                <w:sz w:val="24"/>
              </w:rPr>
            </w:pPr>
            <w:r>
              <w:rPr>
                <w:sz w:val="24"/>
              </w:rPr>
              <w:t>0.16</w:t>
            </w:r>
          </w:p>
        </w:tc>
        <w:tc>
          <w:tcPr>
            <w:tcW w:w="691" w:type="dxa"/>
            <w:tcBorders>
              <w:top w:val="nil"/>
              <w:left w:val="nil"/>
              <w:bottom w:val="nil"/>
              <w:right w:val="nil"/>
            </w:tcBorders>
          </w:tcPr>
          <w:p>
            <w:pPr>
              <w:pStyle w:val="TableParagraph"/>
              <w:spacing w:line="275" w:lineRule="exact"/>
              <w:ind w:left="180" w:right="49"/>
              <w:jc w:val="center"/>
              <w:rPr>
                <w:sz w:val="24"/>
              </w:rPr>
            </w:pPr>
            <w:r>
              <w:rPr>
                <w:sz w:val="24"/>
              </w:rPr>
              <w:t>1.03</w:t>
            </w:r>
          </w:p>
        </w:tc>
      </w:tr>
      <w:tr>
        <w:trPr>
          <w:trHeight w:val="300" w:hRule="exact"/>
        </w:trPr>
        <w:tc>
          <w:tcPr>
            <w:tcW w:w="4871" w:type="dxa"/>
            <w:tcBorders>
              <w:top w:val="nil"/>
              <w:left w:val="nil"/>
              <w:bottom w:val="nil"/>
              <w:right w:val="nil"/>
            </w:tcBorders>
          </w:tcPr>
          <w:p>
            <w:pPr>
              <w:pStyle w:val="TableParagraph"/>
              <w:spacing w:line="275" w:lineRule="exact"/>
              <w:ind w:left="84"/>
              <w:jc w:val="left"/>
              <w:rPr>
                <w:sz w:val="24"/>
              </w:rPr>
            </w:pPr>
            <w:r>
              <w:rPr>
                <w:sz w:val="24"/>
              </w:rPr>
              <w:t>Consumo intermedio en el ingreso total (%)</w:t>
            </w:r>
          </w:p>
        </w:tc>
        <w:tc>
          <w:tcPr>
            <w:tcW w:w="1347" w:type="dxa"/>
            <w:tcBorders>
              <w:top w:val="nil"/>
              <w:left w:val="nil"/>
              <w:bottom w:val="nil"/>
              <w:right w:val="nil"/>
            </w:tcBorders>
          </w:tcPr>
          <w:p>
            <w:pPr>
              <w:pStyle w:val="TableParagraph"/>
              <w:spacing w:line="275" w:lineRule="exact"/>
              <w:ind w:right="193"/>
              <w:rPr>
                <w:sz w:val="24"/>
              </w:rPr>
            </w:pPr>
            <w:r>
              <w:rPr>
                <w:sz w:val="24"/>
              </w:rPr>
              <w:t>43.89</w:t>
            </w:r>
          </w:p>
        </w:tc>
        <w:tc>
          <w:tcPr>
            <w:tcW w:w="1070" w:type="dxa"/>
            <w:tcBorders>
              <w:top w:val="nil"/>
              <w:left w:val="nil"/>
              <w:bottom w:val="nil"/>
              <w:right w:val="nil"/>
            </w:tcBorders>
          </w:tcPr>
          <w:p>
            <w:pPr>
              <w:pStyle w:val="TableParagraph"/>
              <w:spacing w:line="275" w:lineRule="exact"/>
              <w:ind w:left="181"/>
              <w:jc w:val="left"/>
              <w:rPr>
                <w:sz w:val="24"/>
              </w:rPr>
            </w:pPr>
            <w:r>
              <w:rPr>
                <w:sz w:val="24"/>
              </w:rPr>
              <w:t>20.44</w:t>
            </w:r>
          </w:p>
        </w:tc>
        <w:tc>
          <w:tcPr>
            <w:tcW w:w="826" w:type="dxa"/>
            <w:tcBorders>
              <w:top w:val="nil"/>
              <w:left w:val="nil"/>
              <w:bottom w:val="nil"/>
              <w:right w:val="nil"/>
            </w:tcBorders>
          </w:tcPr>
          <w:p>
            <w:pPr>
              <w:pStyle w:val="TableParagraph"/>
              <w:spacing w:line="275" w:lineRule="exact"/>
              <w:ind w:left="57" w:right="187"/>
              <w:jc w:val="center"/>
              <w:rPr>
                <w:sz w:val="24"/>
              </w:rPr>
            </w:pPr>
            <w:r>
              <w:rPr>
                <w:sz w:val="24"/>
              </w:rPr>
              <w:t>60.53</w:t>
            </w:r>
          </w:p>
        </w:tc>
        <w:tc>
          <w:tcPr>
            <w:tcW w:w="691" w:type="dxa"/>
            <w:tcBorders>
              <w:top w:val="nil"/>
              <w:left w:val="nil"/>
              <w:bottom w:val="nil"/>
              <w:right w:val="nil"/>
            </w:tcBorders>
          </w:tcPr>
          <w:p>
            <w:pPr>
              <w:pStyle w:val="TableParagraph"/>
              <w:spacing w:line="275" w:lineRule="exact"/>
              <w:ind w:left="60" w:right="49"/>
              <w:jc w:val="center"/>
              <w:rPr>
                <w:sz w:val="24"/>
              </w:rPr>
            </w:pPr>
            <w:r>
              <w:rPr>
                <w:sz w:val="24"/>
              </w:rPr>
              <w:t>58.85</w:t>
            </w:r>
          </w:p>
        </w:tc>
      </w:tr>
      <w:tr>
        <w:trPr>
          <w:trHeight w:val="307" w:hRule="exact"/>
        </w:trPr>
        <w:tc>
          <w:tcPr>
            <w:tcW w:w="4871" w:type="dxa"/>
            <w:tcBorders>
              <w:top w:val="nil"/>
              <w:left w:val="nil"/>
              <w:right w:val="nil"/>
            </w:tcBorders>
          </w:tcPr>
          <w:p>
            <w:pPr>
              <w:pStyle w:val="TableParagraph"/>
              <w:spacing w:line="275" w:lineRule="exact"/>
              <w:ind w:left="84"/>
              <w:jc w:val="left"/>
              <w:rPr>
                <w:sz w:val="24"/>
              </w:rPr>
            </w:pPr>
            <w:r>
              <w:rPr>
                <w:sz w:val="24"/>
              </w:rPr>
              <w:t>Valor agregado en el ingreso total (%)</w:t>
            </w:r>
          </w:p>
        </w:tc>
        <w:tc>
          <w:tcPr>
            <w:tcW w:w="1347" w:type="dxa"/>
            <w:tcBorders>
              <w:top w:val="nil"/>
              <w:left w:val="nil"/>
              <w:right w:val="nil"/>
            </w:tcBorders>
          </w:tcPr>
          <w:p>
            <w:pPr>
              <w:pStyle w:val="TableParagraph"/>
              <w:spacing w:line="275" w:lineRule="exact"/>
              <w:ind w:right="193"/>
              <w:rPr>
                <w:sz w:val="24"/>
              </w:rPr>
            </w:pPr>
            <w:r>
              <w:rPr>
                <w:sz w:val="24"/>
              </w:rPr>
              <w:t>56.11</w:t>
            </w:r>
          </w:p>
        </w:tc>
        <w:tc>
          <w:tcPr>
            <w:tcW w:w="1070" w:type="dxa"/>
            <w:tcBorders>
              <w:top w:val="nil"/>
              <w:left w:val="nil"/>
              <w:right w:val="nil"/>
            </w:tcBorders>
          </w:tcPr>
          <w:p>
            <w:pPr>
              <w:pStyle w:val="TableParagraph"/>
              <w:spacing w:line="275" w:lineRule="exact"/>
              <w:ind w:left="181"/>
              <w:jc w:val="left"/>
              <w:rPr>
                <w:sz w:val="24"/>
              </w:rPr>
            </w:pPr>
            <w:r>
              <w:rPr>
                <w:sz w:val="24"/>
              </w:rPr>
              <w:t>79.56</w:t>
            </w:r>
          </w:p>
        </w:tc>
        <w:tc>
          <w:tcPr>
            <w:tcW w:w="826" w:type="dxa"/>
            <w:tcBorders>
              <w:top w:val="nil"/>
              <w:left w:val="nil"/>
              <w:right w:val="nil"/>
            </w:tcBorders>
          </w:tcPr>
          <w:p>
            <w:pPr>
              <w:pStyle w:val="TableParagraph"/>
              <w:spacing w:line="275" w:lineRule="exact"/>
              <w:ind w:left="57" w:right="187"/>
              <w:jc w:val="center"/>
              <w:rPr>
                <w:sz w:val="24"/>
              </w:rPr>
            </w:pPr>
            <w:r>
              <w:rPr>
                <w:sz w:val="24"/>
              </w:rPr>
              <w:t>39.48</w:t>
            </w:r>
          </w:p>
        </w:tc>
        <w:tc>
          <w:tcPr>
            <w:tcW w:w="691" w:type="dxa"/>
            <w:tcBorders>
              <w:top w:val="nil"/>
              <w:left w:val="nil"/>
              <w:right w:val="nil"/>
            </w:tcBorders>
          </w:tcPr>
          <w:p>
            <w:pPr>
              <w:pStyle w:val="TableParagraph"/>
              <w:spacing w:line="275" w:lineRule="exact"/>
              <w:ind w:left="60" w:right="49"/>
              <w:jc w:val="center"/>
              <w:rPr>
                <w:sz w:val="24"/>
              </w:rPr>
            </w:pPr>
            <w:r>
              <w:rPr>
                <w:sz w:val="24"/>
              </w:rPr>
              <w:t>41.15</w:t>
            </w:r>
          </w:p>
        </w:tc>
      </w:tr>
      <w:tr>
        <w:trPr>
          <w:trHeight w:val="341" w:hRule="exact"/>
        </w:trPr>
        <w:tc>
          <w:tcPr>
            <w:tcW w:w="4871" w:type="dxa"/>
            <w:tcBorders>
              <w:left w:val="nil"/>
              <w:bottom w:val="nil"/>
              <w:right w:val="nil"/>
            </w:tcBorders>
          </w:tcPr>
          <w:p>
            <w:pPr>
              <w:pStyle w:val="TableParagraph"/>
              <w:spacing w:line="223" w:lineRule="exact"/>
              <w:ind w:left="14"/>
              <w:jc w:val="left"/>
              <w:rPr>
                <w:sz w:val="20"/>
              </w:rPr>
            </w:pPr>
            <w:r>
              <w:rPr>
                <w:sz w:val="20"/>
              </w:rPr>
              <w:t>Fuente: Elaboración propia con información de campo.</w:t>
            </w:r>
          </w:p>
        </w:tc>
        <w:tc>
          <w:tcPr>
            <w:tcW w:w="1347" w:type="dxa"/>
            <w:tcBorders>
              <w:left w:val="nil"/>
              <w:bottom w:val="nil"/>
              <w:right w:val="nil"/>
            </w:tcBorders>
          </w:tcPr>
          <w:p>
            <w:pPr/>
          </w:p>
        </w:tc>
        <w:tc>
          <w:tcPr>
            <w:tcW w:w="1070" w:type="dxa"/>
            <w:tcBorders>
              <w:left w:val="nil"/>
              <w:bottom w:val="nil"/>
              <w:right w:val="nil"/>
            </w:tcBorders>
          </w:tcPr>
          <w:p>
            <w:pPr/>
          </w:p>
        </w:tc>
        <w:tc>
          <w:tcPr>
            <w:tcW w:w="826" w:type="dxa"/>
            <w:tcBorders>
              <w:left w:val="nil"/>
              <w:bottom w:val="nil"/>
              <w:right w:val="nil"/>
            </w:tcBorders>
          </w:tcPr>
          <w:p>
            <w:pPr/>
          </w:p>
        </w:tc>
        <w:tc>
          <w:tcPr>
            <w:tcW w:w="691" w:type="dxa"/>
            <w:tcBorders>
              <w:left w:val="nil"/>
              <w:bottom w:val="nil"/>
              <w:right w:val="nil"/>
            </w:tcBorders>
          </w:tcPr>
          <w:p>
            <w:pPr/>
          </w:p>
        </w:tc>
      </w:tr>
    </w:tbl>
    <w:p>
      <w:pPr>
        <w:pStyle w:val="BodyText"/>
        <w:rPr>
          <w:sz w:val="20"/>
        </w:rPr>
      </w:pPr>
    </w:p>
    <w:p>
      <w:pPr>
        <w:pStyle w:val="Heading1"/>
        <w:numPr>
          <w:ilvl w:val="1"/>
          <w:numId w:val="27"/>
        </w:numPr>
        <w:tabs>
          <w:tab w:pos="482" w:val="left" w:leader="none"/>
        </w:tabs>
        <w:spacing w:line="240" w:lineRule="auto" w:before="208" w:after="0"/>
        <w:ind w:left="482" w:right="0" w:hanging="360"/>
        <w:jc w:val="both"/>
      </w:pPr>
      <w:r>
        <w:rPr/>
        <w:t>Análisis de competitividad para el eslabón de producción de</w:t>
      </w:r>
      <w:r>
        <w:rPr>
          <w:spacing w:val="-14"/>
        </w:rPr>
        <w:t> </w:t>
      </w:r>
      <w:r>
        <w:rPr/>
        <w:t>leche</w:t>
      </w:r>
    </w:p>
    <w:p>
      <w:pPr>
        <w:pStyle w:val="BodyText"/>
        <w:rPr>
          <w:b/>
        </w:rPr>
      </w:pPr>
    </w:p>
    <w:p>
      <w:pPr>
        <w:pStyle w:val="BodyText"/>
        <w:spacing w:before="7"/>
        <w:rPr>
          <w:b/>
          <w:sz w:val="23"/>
        </w:rPr>
      </w:pPr>
    </w:p>
    <w:p>
      <w:pPr>
        <w:pStyle w:val="BodyText"/>
        <w:spacing w:line="360" w:lineRule="auto"/>
        <w:ind w:left="122" w:right="117"/>
        <w:jc w:val="both"/>
      </w:pPr>
      <w:r>
        <w:rPr/>
        <w:t>La estructura de costos de producción por litro de leche a precios privados, se constituyó principalmente por el valor de los insumos comercializables, al tener una participación total de 61, 61 y 66% en las tres escalas de estratos analizados. Este alto costo se explica por el componente del principal insumo en la producción (alimentación). Los factores internos integraron</w:t>
      </w:r>
      <w:r>
        <w:rPr>
          <w:spacing w:val="-12"/>
        </w:rPr>
        <w:t> </w:t>
      </w:r>
      <w:r>
        <w:rPr/>
        <w:t>el</w:t>
      </w:r>
      <w:r>
        <w:rPr>
          <w:spacing w:val="-11"/>
        </w:rPr>
        <w:t> </w:t>
      </w:r>
      <w:r>
        <w:rPr/>
        <w:t>segundo</w:t>
      </w:r>
      <w:r>
        <w:rPr>
          <w:spacing w:val="-11"/>
        </w:rPr>
        <w:t> </w:t>
      </w:r>
      <w:r>
        <w:rPr/>
        <w:t>rubro</w:t>
      </w:r>
      <w:r>
        <w:rPr>
          <w:spacing w:val="-10"/>
        </w:rPr>
        <w:t> </w:t>
      </w:r>
      <w:r>
        <w:rPr/>
        <w:t>con</w:t>
      </w:r>
      <w:r>
        <w:rPr>
          <w:spacing w:val="-11"/>
        </w:rPr>
        <w:t> </w:t>
      </w:r>
      <w:r>
        <w:rPr/>
        <w:t>el</w:t>
      </w:r>
      <w:r>
        <w:rPr>
          <w:spacing w:val="-11"/>
        </w:rPr>
        <w:t> </w:t>
      </w:r>
      <w:r>
        <w:rPr/>
        <w:t>mayor</w:t>
      </w:r>
      <w:r>
        <w:rPr>
          <w:spacing w:val="-12"/>
        </w:rPr>
        <w:t> </w:t>
      </w:r>
      <w:r>
        <w:rPr/>
        <w:t>costo,</w:t>
      </w:r>
      <w:r>
        <w:rPr>
          <w:spacing w:val="-11"/>
        </w:rPr>
        <w:t> </w:t>
      </w:r>
      <w:r>
        <w:rPr/>
        <w:t>al</w:t>
      </w:r>
      <w:r>
        <w:rPr>
          <w:spacing w:val="-8"/>
        </w:rPr>
        <w:t> </w:t>
      </w:r>
      <w:r>
        <w:rPr/>
        <w:t>participar</w:t>
      </w:r>
      <w:r>
        <w:rPr>
          <w:spacing w:val="-10"/>
        </w:rPr>
        <w:t> </w:t>
      </w:r>
      <w:r>
        <w:rPr/>
        <w:t>con</w:t>
      </w:r>
      <w:r>
        <w:rPr>
          <w:spacing w:val="-11"/>
        </w:rPr>
        <w:t> </w:t>
      </w:r>
      <w:r>
        <w:rPr/>
        <w:t>el</w:t>
      </w:r>
      <w:r>
        <w:rPr>
          <w:spacing w:val="-11"/>
        </w:rPr>
        <w:t> </w:t>
      </w:r>
      <w:r>
        <w:rPr/>
        <w:t>29,</w:t>
      </w:r>
      <w:r>
        <w:rPr>
          <w:spacing w:val="-11"/>
        </w:rPr>
        <w:t> </w:t>
      </w:r>
      <w:r>
        <w:rPr/>
        <w:t>32</w:t>
      </w:r>
      <w:r>
        <w:rPr>
          <w:spacing w:val="-6"/>
        </w:rPr>
        <w:t> </w:t>
      </w:r>
      <w:r>
        <w:rPr/>
        <w:t>y</w:t>
      </w:r>
      <w:r>
        <w:rPr>
          <w:spacing w:val="-13"/>
        </w:rPr>
        <w:t> </w:t>
      </w:r>
      <w:r>
        <w:rPr/>
        <w:t>33%,</w:t>
      </w:r>
      <w:r>
        <w:rPr>
          <w:spacing w:val="-11"/>
        </w:rPr>
        <w:t> </w:t>
      </w:r>
      <w:r>
        <w:rPr/>
        <w:t>el</w:t>
      </w:r>
      <w:r>
        <w:rPr>
          <w:spacing w:val="-11"/>
        </w:rPr>
        <w:t> </w:t>
      </w:r>
      <w:r>
        <w:rPr/>
        <w:t>principal componente de valor en este rubro lo ocupó la mano de obra con el 27, 17 y 13%. El rubro con menos participación en costo, lo obtuvo los insumos indirectamente comercializables, erogando 7, 6 y 0.5% del costo total de producción para un litro de leche, este comportamiento refleja la ventaja del estrato III, para disminuir costos al presentar la mayor escala de vacas en línea de producción (Tabla</w:t>
      </w:r>
      <w:r>
        <w:rPr>
          <w:spacing w:val="-5"/>
        </w:rPr>
        <w:t> </w:t>
      </w:r>
      <w:r>
        <w:rPr/>
        <w:t>15).</w:t>
      </w:r>
    </w:p>
    <w:p>
      <w:pPr>
        <w:spacing w:after="0" w:line="360" w:lineRule="auto"/>
        <w:jc w:val="both"/>
        <w:sectPr>
          <w:footerReference w:type="default" r:id="rId202"/>
          <w:pgSz w:w="12240" w:h="15840"/>
          <w:pgMar w:footer="657" w:header="0" w:top="1360" w:bottom="840" w:left="1580" w:right="1580"/>
          <w:pgNumType w:start="200"/>
        </w:sectPr>
      </w:pPr>
    </w:p>
    <w:p>
      <w:pPr>
        <w:pStyle w:val="BodyText"/>
        <w:spacing w:before="52" w:after="30"/>
        <w:ind w:left="278" w:right="51"/>
      </w:pPr>
      <w:r>
        <w:rPr>
          <w:b/>
        </w:rPr>
        <w:t>Tabla 15. </w:t>
      </w:r>
      <w:r>
        <w:rPr/>
        <w:t>Costos de producción por litro de leche. Margen absoluto ($/L) y relativo (%)</w:t>
      </w:r>
    </w:p>
    <w:tbl>
      <w:tblPr>
        <w:tblW w:w="0" w:type="auto"/>
        <w:jc w:val="left"/>
        <w:tblInd w:w="10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203"/>
        <w:gridCol w:w="1220"/>
        <w:gridCol w:w="923"/>
        <w:gridCol w:w="874"/>
        <w:gridCol w:w="923"/>
        <w:gridCol w:w="874"/>
        <w:gridCol w:w="787"/>
      </w:tblGrid>
      <w:tr>
        <w:trPr>
          <w:trHeight w:val="646" w:hRule="exact"/>
        </w:trPr>
        <w:tc>
          <w:tcPr>
            <w:tcW w:w="3203" w:type="dxa"/>
            <w:tcBorders>
              <w:left w:val="nil"/>
              <w:right w:val="nil"/>
            </w:tcBorders>
          </w:tcPr>
          <w:p>
            <w:pPr>
              <w:pStyle w:val="TableParagraph"/>
              <w:spacing w:before="7"/>
              <w:jc w:val="left"/>
              <w:rPr>
                <w:sz w:val="27"/>
              </w:rPr>
            </w:pPr>
          </w:p>
          <w:p>
            <w:pPr>
              <w:pStyle w:val="TableParagraph"/>
              <w:spacing w:before="1"/>
              <w:ind w:left="84"/>
              <w:jc w:val="left"/>
              <w:rPr>
                <w:sz w:val="24"/>
              </w:rPr>
            </w:pPr>
            <w:r>
              <w:rPr>
                <w:sz w:val="24"/>
              </w:rPr>
              <w:t>Concepto</w:t>
            </w:r>
          </w:p>
        </w:tc>
        <w:tc>
          <w:tcPr>
            <w:tcW w:w="2144" w:type="dxa"/>
            <w:gridSpan w:val="2"/>
            <w:tcBorders>
              <w:left w:val="nil"/>
              <w:right w:val="nil"/>
            </w:tcBorders>
          </w:tcPr>
          <w:p>
            <w:pPr>
              <w:pStyle w:val="TableParagraph"/>
              <w:spacing w:before="18"/>
              <w:ind w:left="436"/>
              <w:jc w:val="center"/>
              <w:rPr>
                <w:sz w:val="24"/>
              </w:rPr>
            </w:pPr>
            <w:r>
              <w:rPr>
                <w:sz w:val="24"/>
              </w:rPr>
              <w:t>Estrato I</w:t>
            </w:r>
          </w:p>
          <w:p>
            <w:pPr>
              <w:pStyle w:val="TableParagraph"/>
              <w:tabs>
                <w:tab w:pos="1375" w:val="left" w:leader="none"/>
              </w:tabs>
              <w:spacing w:before="24"/>
              <w:ind w:left="343"/>
              <w:jc w:val="center"/>
              <w:rPr>
                <w:sz w:val="24"/>
              </w:rPr>
            </w:pPr>
            <w:r>
              <w:rPr>
                <w:sz w:val="24"/>
              </w:rPr>
              <w:t>($/L)</w:t>
              <w:tab/>
              <w:t>(%)</w:t>
            </w:r>
          </w:p>
        </w:tc>
        <w:tc>
          <w:tcPr>
            <w:tcW w:w="1797" w:type="dxa"/>
            <w:gridSpan w:val="2"/>
            <w:tcBorders>
              <w:left w:val="nil"/>
              <w:right w:val="nil"/>
            </w:tcBorders>
          </w:tcPr>
          <w:p>
            <w:pPr>
              <w:pStyle w:val="TableParagraph"/>
              <w:spacing w:before="18"/>
              <w:ind w:left="91" w:right="1"/>
              <w:jc w:val="center"/>
              <w:rPr>
                <w:sz w:val="24"/>
              </w:rPr>
            </w:pPr>
            <w:r>
              <w:rPr>
                <w:sz w:val="24"/>
              </w:rPr>
              <w:t>Estrato II</w:t>
            </w:r>
          </w:p>
          <w:p>
            <w:pPr>
              <w:pStyle w:val="TableParagraph"/>
              <w:tabs>
                <w:tab w:pos="1029" w:val="left" w:leader="none"/>
              </w:tabs>
              <w:spacing w:before="24"/>
              <w:ind w:right="1"/>
              <w:jc w:val="center"/>
              <w:rPr>
                <w:sz w:val="24"/>
              </w:rPr>
            </w:pPr>
            <w:r>
              <w:rPr>
                <w:sz w:val="24"/>
              </w:rPr>
              <w:t>($/L)</w:t>
              <w:tab/>
              <w:t>(%)</w:t>
            </w:r>
          </w:p>
        </w:tc>
        <w:tc>
          <w:tcPr>
            <w:tcW w:w="1661" w:type="dxa"/>
            <w:gridSpan w:val="2"/>
            <w:tcBorders>
              <w:left w:val="nil"/>
              <w:right w:val="nil"/>
            </w:tcBorders>
          </w:tcPr>
          <w:p>
            <w:pPr>
              <w:pStyle w:val="TableParagraph"/>
              <w:tabs>
                <w:tab w:pos="1231" w:val="left" w:leader="none"/>
              </w:tabs>
              <w:spacing w:line="261" w:lineRule="auto" w:before="18"/>
              <w:ind w:left="204" w:right="71" w:firstLine="160"/>
              <w:jc w:val="left"/>
              <w:rPr>
                <w:sz w:val="24"/>
              </w:rPr>
            </w:pPr>
            <w:r>
              <w:rPr>
                <w:sz w:val="24"/>
              </w:rPr>
              <w:t>Estrato III ($/L)</w:t>
              <w:tab/>
            </w:r>
            <w:r>
              <w:rPr>
                <w:spacing w:val="-1"/>
                <w:sz w:val="24"/>
              </w:rPr>
              <w:t>(%)</w:t>
            </w:r>
          </w:p>
        </w:tc>
      </w:tr>
      <w:tr>
        <w:trPr>
          <w:trHeight w:val="343" w:hRule="exact"/>
        </w:trPr>
        <w:tc>
          <w:tcPr>
            <w:tcW w:w="3203" w:type="dxa"/>
            <w:tcBorders>
              <w:left w:val="nil"/>
              <w:bottom w:val="nil"/>
              <w:right w:val="nil"/>
            </w:tcBorders>
          </w:tcPr>
          <w:p>
            <w:pPr>
              <w:pStyle w:val="TableParagraph"/>
              <w:spacing w:before="23"/>
              <w:ind w:left="84"/>
              <w:jc w:val="left"/>
              <w:rPr>
                <w:b/>
                <w:sz w:val="24"/>
              </w:rPr>
            </w:pPr>
            <w:r>
              <w:rPr>
                <w:b/>
                <w:sz w:val="24"/>
              </w:rPr>
              <w:t>Insumos comerciables</w:t>
            </w:r>
          </w:p>
        </w:tc>
        <w:tc>
          <w:tcPr>
            <w:tcW w:w="2144" w:type="dxa"/>
            <w:gridSpan w:val="2"/>
            <w:tcBorders>
              <w:left w:val="nil"/>
              <w:bottom w:val="nil"/>
              <w:right w:val="nil"/>
            </w:tcBorders>
          </w:tcPr>
          <w:p>
            <w:pPr>
              <w:pStyle w:val="TableParagraph"/>
              <w:spacing w:before="23"/>
              <w:ind w:left="1400"/>
              <w:jc w:val="left"/>
              <w:rPr>
                <w:b/>
                <w:sz w:val="24"/>
              </w:rPr>
            </w:pPr>
            <w:r>
              <w:rPr>
                <w:b/>
                <w:sz w:val="24"/>
              </w:rPr>
              <w:t>60.65</w:t>
            </w:r>
          </w:p>
        </w:tc>
        <w:tc>
          <w:tcPr>
            <w:tcW w:w="1797" w:type="dxa"/>
            <w:gridSpan w:val="2"/>
            <w:tcBorders>
              <w:left w:val="nil"/>
              <w:bottom w:val="nil"/>
              <w:right w:val="nil"/>
            </w:tcBorders>
          </w:tcPr>
          <w:p>
            <w:pPr>
              <w:pStyle w:val="TableParagraph"/>
              <w:spacing w:before="23"/>
              <w:ind w:left="1052"/>
              <w:jc w:val="left"/>
              <w:rPr>
                <w:b/>
                <w:sz w:val="24"/>
              </w:rPr>
            </w:pPr>
            <w:r>
              <w:rPr>
                <w:b/>
                <w:sz w:val="24"/>
              </w:rPr>
              <w:t>60.79</w:t>
            </w:r>
          </w:p>
        </w:tc>
        <w:tc>
          <w:tcPr>
            <w:tcW w:w="1661" w:type="dxa"/>
            <w:gridSpan w:val="2"/>
            <w:tcBorders>
              <w:left w:val="nil"/>
              <w:bottom w:val="nil"/>
              <w:right w:val="nil"/>
            </w:tcBorders>
          </w:tcPr>
          <w:p>
            <w:pPr>
              <w:pStyle w:val="TableParagraph"/>
              <w:spacing w:before="23"/>
              <w:ind w:left="1051"/>
              <w:jc w:val="left"/>
              <w:rPr>
                <w:b/>
                <w:sz w:val="24"/>
              </w:rPr>
            </w:pPr>
            <w:r>
              <w:rPr>
                <w:b/>
                <w:sz w:val="24"/>
              </w:rPr>
              <w:t>66.54</w:t>
            </w:r>
          </w:p>
        </w:tc>
      </w:tr>
      <w:tr>
        <w:trPr>
          <w:trHeight w:val="298" w:hRule="exact"/>
        </w:trPr>
        <w:tc>
          <w:tcPr>
            <w:tcW w:w="3203" w:type="dxa"/>
            <w:tcBorders>
              <w:top w:val="nil"/>
              <w:left w:val="nil"/>
              <w:bottom w:val="nil"/>
              <w:right w:val="nil"/>
            </w:tcBorders>
          </w:tcPr>
          <w:p>
            <w:pPr>
              <w:pStyle w:val="TableParagraph"/>
              <w:spacing w:line="273" w:lineRule="exact"/>
              <w:ind w:left="264"/>
              <w:jc w:val="left"/>
              <w:rPr>
                <w:sz w:val="24"/>
              </w:rPr>
            </w:pPr>
            <w:r>
              <w:rPr>
                <w:sz w:val="24"/>
              </w:rPr>
              <w:t>Alimentación</w:t>
            </w:r>
          </w:p>
        </w:tc>
        <w:tc>
          <w:tcPr>
            <w:tcW w:w="1220" w:type="dxa"/>
            <w:tcBorders>
              <w:top w:val="nil"/>
              <w:left w:val="nil"/>
              <w:bottom w:val="nil"/>
              <w:right w:val="nil"/>
            </w:tcBorders>
          </w:tcPr>
          <w:p>
            <w:pPr>
              <w:pStyle w:val="TableParagraph"/>
              <w:spacing w:line="273" w:lineRule="exact"/>
              <w:ind w:right="179"/>
              <w:rPr>
                <w:sz w:val="24"/>
              </w:rPr>
            </w:pPr>
            <w:r>
              <w:rPr>
                <w:sz w:val="24"/>
              </w:rPr>
              <w:t>2.70</w:t>
            </w:r>
          </w:p>
        </w:tc>
        <w:tc>
          <w:tcPr>
            <w:tcW w:w="923" w:type="dxa"/>
            <w:tcBorders>
              <w:top w:val="nil"/>
              <w:left w:val="nil"/>
              <w:bottom w:val="nil"/>
              <w:right w:val="nil"/>
            </w:tcBorders>
          </w:tcPr>
          <w:p>
            <w:pPr>
              <w:pStyle w:val="TableParagraph"/>
              <w:spacing w:line="273" w:lineRule="exact"/>
              <w:ind w:left="161" w:right="182"/>
              <w:jc w:val="center"/>
              <w:rPr>
                <w:sz w:val="24"/>
              </w:rPr>
            </w:pPr>
            <w:r>
              <w:rPr>
                <w:sz w:val="24"/>
              </w:rPr>
              <w:t>58.13</w:t>
            </w:r>
          </w:p>
        </w:tc>
        <w:tc>
          <w:tcPr>
            <w:tcW w:w="874" w:type="dxa"/>
            <w:tcBorders>
              <w:top w:val="nil"/>
              <w:left w:val="nil"/>
              <w:bottom w:val="nil"/>
              <w:right w:val="nil"/>
            </w:tcBorders>
          </w:tcPr>
          <w:p>
            <w:pPr>
              <w:pStyle w:val="TableParagraph"/>
              <w:spacing w:line="273" w:lineRule="exact"/>
              <w:ind w:right="176"/>
              <w:rPr>
                <w:sz w:val="24"/>
              </w:rPr>
            </w:pPr>
            <w:r>
              <w:rPr>
                <w:sz w:val="24"/>
              </w:rPr>
              <w:t>2.20</w:t>
            </w:r>
          </w:p>
        </w:tc>
        <w:tc>
          <w:tcPr>
            <w:tcW w:w="923" w:type="dxa"/>
            <w:tcBorders>
              <w:top w:val="nil"/>
              <w:left w:val="nil"/>
              <w:bottom w:val="nil"/>
              <w:right w:val="nil"/>
            </w:tcBorders>
          </w:tcPr>
          <w:p>
            <w:pPr>
              <w:pStyle w:val="TableParagraph"/>
              <w:spacing w:line="273" w:lineRule="exact"/>
              <w:ind w:right="202"/>
              <w:rPr>
                <w:sz w:val="24"/>
              </w:rPr>
            </w:pPr>
            <w:r>
              <w:rPr>
                <w:sz w:val="24"/>
              </w:rPr>
              <w:t>57.62</w:t>
            </w:r>
          </w:p>
        </w:tc>
        <w:tc>
          <w:tcPr>
            <w:tcW w:w="874" w:type="dxa"/>
            <w:tcBorders>
              <w:top w:val="nil"/>
              <w:left w:val="nil"/>
              <w:bottom w:val="nil"/>
              <w:right w:val="nil"/>
            </w:tcBorders>
          </w:tcPr>
          <w:p>
            <w:pPr>
              <w:pStyle w:val="TableParagraph"/>
              <w:spacing w:line="273" w:lineRule="exact"/>
              <w:ind w:right="175"/>
              <w:rPr>
                <w:sz w:val="24"/>
              </w:rPr>
            </w:pPr>
            <w:r>
              <w:rPr>
                <w:sz w:val="24"/>
              </w:rPr>
              <w:t>2.14</w:t>
            </w:r>
          </w:p>
        </w:tc>
        <w:tc>
          <w:tcPr>
            <w:tcW w:w="787" w:type="dxa"/>
            <w:tcBorders>
              <w:top w:val="nil"/>
              <w:left w:val="nil"/>
              <w:bottom w:val="nil"/>
              <w:right w:val="nil"/>
            </w:tcBorders>
          </w:tcPr>
          <w:p>
            <w:pPr>
              <w:pStyle w:val="TableParagraph"/>
              <w:spacing w:line="273" w:lineRule="exact"/>
              <w:ind w:right="67"/>
              <w:rPr>
                <w:sz w:val="24"/>
              </w:rPr>
            </w:pPr>
            <w:r>
              <w:rPr>
                <w:sz w:val="24"/>
              </w:rPr>
              <w:t>62.43</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Medicamentos</w:t>
            </w:r>
          </w:p>
        </w:tc>
        <w:tc>
          <w:tcPr>
            <w:tcW w:w="1220" w:type="dxa"/>
            <w:tcBorders>
              <w:top w:val="nil"/>
              <w:left w:val="nil"/>
              <w:bottom w:val="nil"/>
              <w:right w:val="nil"/>
            </w:tcBorders>
          </w:tcPr>
          <w:p>
            <w:pPr>
              <w:pStyle w:val="TableParagraph"/>
              <w:spacing w:line="275" w:lineRule="exact"/>
              <w:ind w:right="179"/>
              <w:rPr>
                <w:sz w:val="24"/>
              </w:rPr>
            </w:pPr>
            <w:r>
              <w:rPr>
                <w:sz w:val="24"/>
              </w:rPr>
              <w:t>0.07</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1.51</w:t>
            </w:r>
          </w:p>
        </w:tc>
        <w:tc>
          <w:tcPr>
            <w:tcW w:w="874" w:type="dxa"/>
            <w:tcBorders>
              <w:top w:val="nil"/>
              <w:left w:val="nil"/>
              <w:bottom w:val="nil"/>
              <w:right w:val="nil"/>
            </w:tcBorders>
          </w:tcPr>
          <w:p>
            <w:pPr>
              <w:pStyle w:val="TableParagraph"/>
              <w:spacing w:line="275" w:lineRule="exact"/>
              <w:ind w:right="176"/>
              <w:rPr>
                <w:sz w:val="24"/>
              </w:rPr>
            </w:pPr>
            <w:r>
              <w:rPr>
                <w:sz w:val="24"/>
              </w:rPr>
              <w:t>0.04</w:t>
            </w:r>
          </w:p>
        </w:tc>
        <w:tc>
          <w:tcPr>
            <w:tcW w:w="923" w:type="dxa"/>
            <w:tcBorders>
              <w:top w:val="nil"/>
              <w:left w:val="nil"/>
              <w:bottom w:val="nil"/>
              <w:right w:val="nil"/>
            </w:tcBorders>
          </w:tcPr>
          <w:p>
            <w:pPr>
              <w:pStyle w:val="TableParagraph"/>
              <w:spacing w:line="275" w:lineRule="exact"/>
              <w:ind w:right="202"/>
              <w:rPr>
                <w:sz w:val="24"/>
              </w:rPr>
            </w:pPr>
            <w:r>
              <w:rPr>
                <w:sz w:val="24"/>
              </w:rPr>
              <w:t>1.05</w:t>
            </w:r>
          </w:p>
        </w:tc>
        <w:tc>
          <w:tcPr>
            <w:tcW w:w="874" w:type="dxa"/>
            <w:tcBorders>
              <w:top w:val="nil"/>
              <w:left w:val="nil"/>
              <w:bottom w:val="nil"/>
              <w:right w:val="nil"/>
            </w:tcBorders>
          </w:tcPr>
          <w:p>
            <w:pPr>
              <w:pStyle w:val="TableParagraph"/>
              <w:spacing w:line="275" w:lineRule="exact"/>
              <w:ind w:right="175"/>
              <w:rPr>
                <w:sz w:val="24"/>
              </w:rPr>
            </w:pPr>
            <w:r>
              <w:rPr>
                <w:sz w:val="24"/>
              </w:rPr>
              <w:t>0.06</w:t>
            </w:r>
          </w:p>
        </w:tc>
        <w:tc>
          <w:tcPr>
            <w:tcW w:w="787" w:type="dxa"/>
            <w:tcBorders>
              <w:top w:val="nil"/>
              <w:left w:val="nil"/>
              <w:bottom w:val="nil"/>
              <w:right w:val="nil"/>
            </w:tcBorders>
          </w:tcPr>
          <w:p>
            <w:pPr>
              <w:pStyle w:val="TableParagraph"/>
              <w:spacing w:line="275" w:lineRule="exact"/>
              <w:ind w:right="67"/>
              <w:rPr>
                <w:sz w:val="24"/>
              </w:rPr>
            </w:pPr>
            <w:r>
              <w:rPr>
                <w:sz w:val="24"/>
              </w:rPr>
              <w:t>1.75</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Combustibles</w:t>
            </w:r>
          </w:p>
        </w:tc>
        <w:tc>
          <w:tcPr>
            <w:tcW w:w="1220" w:type="dxa"/>
            <w:tcBorders>
              <w:top w:val="nil"/>
              <w:left w:val="nil"/>
              <w:bottom w:val="nil"/>
              <w:right w:val="nil"/>
            </w:tcBorders>
          </w:tcPr>
          <w:p>
            <w:pPr>
              <w:pStyle w:val="TableParagraph"/>
              <w:spacing w:line="275" w:lineRule="exact"/>
              <w:ind w:right="179"/>
              <w:rPr>
                <w:sz w:val="24"/>
              </w:rPr>
            </w:pPr>
            <w:r>
              <w:rPr>
                <w:sz w:val="24"/>
              </w:rPr>
              <w:t>0.08</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1.72</w:t>
            </w:r>
          </w:p>
        </w:tc>
        <w:tc>
          <w:tcPr>
            <w:tcW w:w="874" w:type="dxa"/>
            <w:tcBorders>
              <w:top w:val="nil"/>
              <w:left w:val="nil"/>
              <w:bottom w:val="nil"/>
              <w:right w:val="nil"/>
            </w:tcBorders>
          </w:tcPr>
          <w:p>
            <w:pPr>
              <w:pStyle w:val="TableParagraph"/>
              <w:spacing w:line="275" w:lineRule="exact"/>
              <w:ind w:right="176"/>
              <w:rPr>
                <w:sz w:val="24"/>
              </w:rPr>
            </w:pPr>
            <w:r>
              <w:rPr>
                <w:sz w:val="24"/>
              </w:rPr>
              <w:t>0.04</w:t>
            </w:r>
          </w:p>
        </w:tc>
        <w:tc>
          <w:tcPr>
            <w:tcW w:w="923" w:type="dxa"/>
            <w:tcBorders>
              <w:top w:val="nil"/>
              <w:left w:val="nil"/>
              <w:bottom w:val="nil"/>
              <w:right w:val="nil"/>
            </w:tcBorders>
          </w:tcPr>
          <w:p>
            <w:pPr>
              <w:pStyle w:val="TableParagraph"/>
              <w:spacing w:line="275" w:lineRule="exact"/>
              <w:ind w:right="202"/>
              <w:rPr>
                <w:sz w:val="24"/>
              </w:rPr>
            </w:pPr>
            <w:r>
              <w:rPr>
                <w:sz w:val="24"/>
              </w:rPr>
              <w:t>1.05</w:t>
            </w:r>
          </w:p>
        </w:tc>
        <w:tc>
          <w:tcPr>
            <w:tcW w:w="874" w:type="dxa"/>
            <w:tcBorders>
              <w:top w:val="nil"/>
              <w:left w:val="nil"/>
              <w:bottom w:val="nil"/>
              <w:right w:val="nil"/>
            </w:tcBorders>
          </w:tcPr>
          <w:p>
            <w:pPr>
              <w:pStyle w:val="TableParagraph"/>
              <w:spacing w:line="275" w:lineRule="exact"/>
              <w:ind w:right="175"/>
              <w:rPr>
                <w:sz w:val="24"/>
              </w:rPr>
            </w:pPr>
            <w:r>
              <w:rPr>
                <w:sz w:val="24"/>
              </w:rPr>
              <w:t>0.03</w:t>
            </w:r>
          </w:p>
        </w:tc>
        <w:tc>
          <w:tcPr>
            <w:tcW w:w="787" w:type="dxa"/>
            <w:tcBorders>
              <w:top w:val="nil"/>
              <w:left w:val="nil"/>
              <w:bottom w:val="nil"/>
              <w:right w:val="nil"/>
            </w:tcBorders>
          </w:tcPr>
          <w:p>
            <w:pPr>
              <w:pStyle w:val="TableParagraph"/>
              <w:spacing w:line="275" w:lineRule="exact"/>
              <w:ind w:right="67"/>
              <w:rPr>
                <w:sz w:val="24"/>
              </w:rPr>
            </w:pPr>
            <w:r>
              <w:rPr>
                <w:sz w:val="24"/>
              </w:rPr>
              <w:t>0.88</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Materiales diversos</w:t>
            </w:r>
          </w:p>
        </w:tc>
        <w:tc>
          <w:tcPr>
            <w:tcW w:w="1220" w:type="dxa"/>
            <w:tcBorders>
              <w:top w:val="nil"/>
              <w:left w:val="nil"/>
              <w:bottom w:val="nil"/>
              <w:right w:val="nil"/>
            </w:tcBorders>
          </w:tcPr>
          <w:p>
            <w:pPr>
              <w:pStyle w:val="TableParagraph"/>
              <w:spacing w:line="275" w:lineRule="exact"/>
              <w:ind w:right="179"/>
              <w:rPr>
                <w:sz w:val="24"/>
              </w:rPr>
            </w:pPr>
            <w:r>
              <w:rPr>
                <w:sz w:val="24"/>
              </w:rPr>
              <w:t>0.02</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0.43</w:t>
            </w:r>
          </w:p>
        </w:tc>
        <w:tc>
          <w:tcPr>
            <w:tcW w:w="874" w:type="dxa"/>
            <w:tcBorders>
              <w:top w:val="nil"/>
              <w:left w:val="nil"/>
              <w:bottom w:val="nil"/>
              <w:right w:val="nil"/>
            </w:tcBorders>
          </w:tcPr>
          <w:p>
            <w:pPr>
              <w:pStyle w:val="TableParagraph"/>
              <w:spacing w:line="275" w:lineRule="exact"/>
              <w:ind w:right="176"/>
              <w:rPr>
                <w:sz w:val="24"/>
              </w:rPr>
            </w:pPr>
            <w:r>
              <w:rPr>
                <w:sz w:val="24"/>
              </w:rPr>
              <w:t>0.01</w:t>
            </w:r>
          </w:p>
        </w:tc>
        <w:tc>
          <w:tcPr>
            <w:tcW w:w="923" w:type="dxa"/>
            <w:tcBorders>
              <w:top w:val="nil"/>
              <w:left w:val="nil"/>
              <w:bottom w:val="nil"/>
              <w:right w:val="nil"/>
            </w:tcBorders>
          </w:tcPr>
          <w:p>
            <w:pPr>
              <w:pStyle w:val="TableParagraph"/>
              <w:spacing w:line="275" w:lineRule="exact"/>
              <w:ind w:right="202"/>
              <w:rPr>
                <w:sz w:val="24"/>
              </w:rPr>
            </w:pPr>
            <w:r>
              <w:rPr>
                <w:sz w:val="24"/>
              </w:rPr>
              <w:t>0.03</w:t>
            </w:r>
          </w:p>
        </w:tc>
        <w:tc>
          <w:tcPr>
            <w:tcW w:w="874" w:type="dxa"/>
            <w:tcBorders>
              <w:top w:val="nil"/>
              <w:left w:val="nil"/>
              <w:bottom w:val="nil"/>
              <w:right w:val="nil"/>
            </w:tcBorders>
          </w:tcPr>
          <w:p>
            <w:pPr>
              <w:pStyle w:val="TableParagraph"/>
              <w:spacing w:line="275" w:lineRule="exact"/>
              <w:ind w:right="175"/>
              <w:rPr>
                <w:sz w:val="24"/>
              </w:rPr>
            </w:pPr>
            <w:r>
              <w:rPr>
                <w:sz w:val="24"/>
              </w:rPr>
              <w:t>0.01</w:t>
            </w:r>
          </w:p>
        </w:tc>
        <w:tc>
          <w:tcPr>
            <w:tcW w:w="787" w:type="dxa"/>
            <w:tcBorders>
              <w:top w:val="nil"/>
              <w:left w:val="nil"/>
              <w:bottom w:val="nil"/>
              <w:right w:val="nil"/>
            </w:tcBorders>
          </w:tcPr>
          <w:p>
            <w:pPr>
              <w:pStyle w:val="TableParagraph"/>
              <w:spacing w:line="275" w:lineRule="exact"/>
              <w:ind w:right="67"/>
              <w:rPr>
                <w:sz w:val="24"/>
              </w:rPr>
            </w:pPr>
            <w:r>
              <w:rPr>
                <w:sz w:val="24"/>
              </w:rPr>
              <w:t>0.03</w:t>
            </w:r>
          </w:p>
        </w:tc>
      </w:tr>
      <w:tr>
        <w:trPr>
          <w:trHeight w:val="452"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Servicio reproductivo</w:t>
            </w:r>
          </w:p>
        </w:tc>
        <w:tc>
          <w:tcPr>
            <w:tcW w:w="1220" w:type="dxa"/>
            <w:tcBorders>
              <w:top w:val="nil"/>
              <w:left w:val="nil"/>
              <w:bottom w:val="nil"/>
              <w:right w:val="nil"/>
            </w:tcBorders>
          </w:tcPr>
          <w:p>
            <w:pPr>
              <w:pStyle w:val="TableParagraph"/>
              <w:spacing w:line="275" w:lineRule="exact"/>
              <w:ind w:right="179"/>
              <w:rPr>
                <w:sz w:val="24"/>
              </w:rPr>
            </w:pPr>
            <w:r>
              <w:rPr>
                <w:sz w:val="24"/>
              </w:rPr>
              <w:t>0.04</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0.86</w:t>
            </w:r>
          </w:p>
        </w:tc>
        <w:tc>
          <w:tcPr>
            <w:tcW w:w="874" w:type="dxa"/>
            <w:tcBorders>
              <w:top w:val="nil"/>
              <w:left w:val="nil"/>
              <w:bottom w:val="nil"/>
              <w:right w:val="nil"/>
            </w:tcBorders>
          </w:tcPr>
          <w:p>
            <w:pPr>
              <w:pStyle w:val="TableParagraph"/>
              <w:spacing w:line="275" w:lineRule="exact"/>
              <w:ind w:right="176"/>
              <w:rPr>
                <w:sz w:val="24"/>
              </w:rPr>
            </w:pPr>
            <w:r>
              <w:rPr>
                <w:sz w:val="24"/>
              </w:rPr>
              <w:t>0.04</w:t>
            </w:r>
          </w:p>
        </w:tc>
        <w:tc>
          <w:tcPr>
            <w:tcW w:w="923" w:type="dxa"/>
            <w:tcBorders>
              <w:top w:val="nil"/>
              <w:left w:val="nil"/>
              <w:bottom w:val="nil"/>
              <w:right w:val="nil"/>
            </w:tcBorders>
          </w:tcPr>
          <w:p>
            <w:pPr>
              <w:pStyle w:val="TableParagraph"/>
              <w:spacing w:line="275" w:lineRule="exact"/>
              <w:ind w:right="202"/>
              <w:rPr>
                <w:sz w:val="24"/>
              </w:rPr>
            </w:pPr>
            <w:r>
              <w:rPr>
                <w:sz w:val="24"/>
              </w:rPr>
              <w:t>1.05</w:t>
            </w:r>
          </w:p>
        </w:tc>
        <w:tc>
          <w:tcPr>
            <w:tcW w:w="874" w:type="dxa"/>
            <w:tcBorders>
              <w:top w:val="nil"/>
              <w:left w:val="nil"/>
              <w:bottom w:val="nil"/>
              <w:right w:val="nil"/>
            </w:tcBorders>
          </w:tcPr>
          <w:p>
            <w:pPr>
              <w:pStyle w:val="TableParagraph"/>
              <w:spacing w:line="275" w:lineRule="exact"/>
              <w:ind w:right="175"/>
              <w:rPr>
                <w:sz w:val="24"/>
              </w:rPr>
            </w:pPr>
            <w:r>
              <w:rPr>
                <w:sz w:val="24"/>
              </w:rPr>
              <w:t>0.05</w:t>
            </w:r>
          </w:p>
        </w:tc>
        <w:tc>
          <w:tcPr>
            <w:tcW w:w="787" w:type="dxa"/>
            <w:tcBorders>
              <w:top w:val="nil"/>
              <w:left w:val="nil"/>
              <w:bottom w:val="nil"/>
              <w:right w:val="nil"/>
            </w:tcBorders>
          </w:tcPr>
          <w:p>
            <w:pPr>
              <w:pStyle w:val="TableParagraph"/>
              <w:spacing w:line="275" w:lineRule="exact"/>
              <w:ind w:right="67"/>
              <w:rPr>
                <w:sz w:val="24"/>
              </w:rPr>
            </w:pPr>
            <w:r>
              <w:rPr>
                <w:sz w:val="24"/>
              </w:rPr>
              <w:t>1.46</w:t>
            </w:r>
          </w:p>
        </w:tc>
      </w:tr>
      <w:tr>
        <w:trPr>
          <w:trHeight w:val="450" w:hRule="exact"/>
        </w:trPr>
        <w:tc>
          <w:tcPr>
            <w:tcW w:w="3203" w:type="dxa"/>
            <w:tcBorders>
              <w:top w:val="nil"/>
              <w:left w:val="nil"/>
              <w:bottom w:val="nil"/>
              <w:right w:val="nil"/>
            </w:tcBorders>
          </w:tcPr>
          <w:p>
            <w:pPr>
              <w:pStyle w:val="TableParagraph"/>
              <w:spacing w:before="151"/>
              <w:ind w:left="84"/>
              <w:jc w:val="left"/>
              <w:rPr>
                <w:b/>
                <w:sz w:val="24"/>
              </w:rPr>
            </w:pPr>
            <w:r>
              <w:rPr>
                <w:b/>
                <w:sz w:val="24"/>
              </w:rPr>
              <w:t>Factores Internos</w:t>
            </w:r>
          </w:p>
        </w:tc>
        <w:tc>
          <w:tcPr>
            <w:tcW w:w="1220" w:type="dxa"/>
            <w:tcBorders>
              <w:top w:val="nil"/>
              <w:left w:val="nil"/>
              <w:bottom w:val="nil"/>
              <w:right w:val="nil"/>
            </w:tcBorders>
          </w:tcPr>
          <w:p>
            <w:pPr/>
          </w:p>
        </w:tc>
        <w:tc>
          <w:tcPr>
            <w:tcW w:w="923" w:type="dxa"/>
            <w:tcBorders>
              <w:top w:val="nil"/>
              <w:left w:val="nil"/>
              <w:bottom w:val="nil"/>
              <w:right w:val="nil"/>
            </w:tcBorders>
          </w:tcPr>
          <w:p>
            <w:pPr>
              <w:pStyle w:val="TableParagraph"/>
              <w:spacing w:before="151"/>
              <w:ind w:left="161" w:right="182"/>
              <w:jc w:val="center"/>
              <w:rPr>
                <w:b/>
                <w:sz w:val="24"/>
              </w:rPr>
            </w:pPr>
            <w:r>
              <w:rPr>
                <w:b/>
                <w:sz w:val="24"/>
              </w:rPr>
              <w:t>29.49</w:t>
            </w:r>
          </w:p>
        </w:tc>
        <w:tc>
          <w:tcPr>
            <w:tcW w:w="874" w:type="dxa"/>
            <w:tcBorders>
              <w:top w:val="nil"/>
              <w:left w:val="nil"/>
              <w:bottom w:val="nil"/>
              <w:right w:val="nil"/>
            </w:tcBorders>
          </w:tcPr>
          <w:p>
            <w:pPr/>
          </w:p>
        </w:tc>
        <w:tc>
          <w:tcPr>
            <w:tcW w:w="923" w:type="dxa"/>
            <w:tcBorders>
              <w:top w:val="nil"/>
              <w:left w:val="nil"/>
              <w:bottom w:val="nil"/>
              <w:right w:val="nil"/>
            </w:tcBorders>
          </w:tcPr>
          <w:p>
            <w:pPr>
              <w:pStyle w:val="TableParagraph"/>
              <w:spacing w:before="151"/>
              <w:ind w:right="202"/>
              <w:rPr>
                <w:b/>
                <w:sz w:val="24"/>
              </w:rPr>
            </w:pPr>
            <w:r>
              <w:rPr>
                <w:b/>
                <w:sz w:val="24"/>
              </w:rPr>
              <w:t>32.48</w:t>
            </w:r>
          </w:p>
        </w:tc>
        <w:tc>
          <w:tcPr>
            <w:tcW w:w="874" w:type="dxa"/>
            <w:tcBorders>
              <w:top w:val="nil"/>
              <w:left w:val="nil"/>
              <w:bottom w:val="nil"/>
              <w:right w:val="nil"/>
            </w:tcBorders>
          </w:tcPr>
          <w:p>
            <w:pPr/>
          </w:p>
        </w:tc>
        <w:tc>
          <w:tcPr>
            <w:tcW w:w="787" w:type="dxa"/>
            <w:tcBorders>
              <w:top w:val="nil"/>
              <w:left w:val="nil"/>
              <w:bottom w:val="nil"/>
              <w:right w:val="nil"/>
            </w:tcBorders>
          </w:tcPr>
          <w:p>
            <w:pPr>
              <w:pStyle w:val="TableParagraph"/>
              <w:spacing w:before="151"/>
              <w:ind w:right="67"/>
              <w:rPr>
                <w:b/>
                <w:sz w:val="24"/>
              </w:rPr>
            </w:pPr>
            <w:r>
              <w:rPr>
                <w:b/>
                <w:sz w:val="24"/>
              </w:rPr>
              <w:t>32.88</w:t>
            </w:r>
          </w:p>
        </w:tc>
      </w:tr>
      <w:tr>
        <w:trPr>
          <w:trHeight w:val="298" w:hRule="exact"/>
        </w:trPr>
        <w:tc>
          <w:tcPr>
            <w:tcW w:w="3203" w:type="dxa"/>
            <w:tcBorders>
              <w:top w:val="nil"/>
              <w:left w:val="nil"/>
              <w:bottom w:val="nil"/>
              <w:right w:val="nil"/>
            </w:tcBorders>
          </w:tcPr>
          <w:p>
            <w:pPr>
              <w:pStyle w:val="TableParagraph"/>
              <w:spacing w:line="273" w:lineRule="exact"/>
              <w:ind w:left="264"/>
              <w:jc w:val="left"/>
              <w:rPr>
                <w:sz w:val="24"/>
              </w:rPr>
            </w:pPr>
            <w:r>
              <w:rPr>
                <w:sz w:val="24"/>
              </w:rPr>
              <w:t>Mano de obra familiar</w:t>
            </w:r>
          </w:p>
        </w:tc>
        <w:tc>
          <w:tcPr>
            <w:tcW w:w="1220" w:type="dxa"/>
            <w:tcBorders>
              <w:top w:val="nil"/>
              <w:left w:val="nil"/>
              <w:bottom w:val="nil"/>
              <w:right w:val="nil"/>
            </w:tcBorders>
          </w:tcPr>
          <w:p>
            <w:pPr>
              <w:pStyle w:val="TableParagraph"/>
              <w:spacing w:line="273" w:lineRule="exact"/>
              <w:ind w:right="179"/>
              <w:rPr>
                <w:sz w:val="24"/>
              </w:rPr>
            </w:pPr>
            <w:r>
              <w:rPr>
                <w:sz w:val="24"/>
              </w:rPr>
              <w:t>1.25</w:t>
            </w:r>
          </w:p>
        </w:tc>
        <w:tc>
          <w:tcPr>
            <w:tcW w:w="923" w:type="dxa"/>
            <w:tcBorders>
              <w:top w:val="nil"/>
              <w:left w:val="nil"/>
              <w:bottom w:val="nil"/>
              <w:right w:val="nil"/>
            </w:tcBorders>
          </w:tcPr>
          <w:p>
            <w:pPr>
              <w:pStyle w:val="TableParagraph"/>
              <w:spacing w:line="273" w:lineRule="exact"/>
              <w:ind w:left="161" w:right="182"/>
              <w:jc w:val="center"/>
              <w:rPr>
                <w:sz w:val="24"/>
              </w:rPr>
            </w:pPr>
            <w:r>
              <w:rPr>
                <w:sz w:val="24"/>
              </w:rPr>
              <w:t>26.91</w:t>
            </w:r>
          </w:p>
        </w:tc>
        <w:tc>
          <w:tcPr>
            <w:tcW w:w="874" w:type="dxa"/>
            <w:tcBorders>
              <w:top w:val="nil"/>
              <w:left w:val="nil"/>
              <w:bottom w:val="nil"/>
              <w:right w:val="nil"/>
            </w:tcBorders>
          </w:tcPr>
          <w:p>
            <w:pPr>
              <w:pStyle w:val="TableParagraph"/>
              <w:spacing w:line="273" w:lineRule="exact"/>
              <w:ind w:right="176"/>
              <w:rPr>
                <w:sz w:val="24"/>
              </w:rPr>
            </w:pPr>
            <w:r>
              <w:rPr>
                <w:sz w:val="24"/>
              </w:rPr>
              <w:t>0.63</w:t>
            </w:r>
          </w:p>
        </w:tc>
        <w:tc>
          <w:tcPr>
            <w:tcW w:w="923" w:type="dxa"/>
            <w:tcBorders>
              <w:top w:val="nil"/>
              <w:left w:val="nil"/>
              <w:bottom w:val="nil"/>
              <w:right w:val="nil"/>
            </w:tcBorders>
          </w:tcPr>
          <w:p>
            <w:pPr>
              <w:pStyle w:val="TableParagraph"/>
              <w:spacing w:line="273" w:lineRule="exact"/>
              <w:ind w:right="202"/>
              <w:rPr>
                <w:sz w:val="24"/>
              </w:rPr>
            </w:pPr>
            <w:r>
              <w:rPr>
                <w:sz w:val="24"/>
              </w:rPr>
              <w:t>16.50</w:t>
            </w:r>
          </w:p>
        </w:tc>
        <w:tc>
          <w:tcPr>
            <w:tcW w:w="874" w:type="dxa"/>
            <w:tcBorders>
              <w:top w:val="nil"/>
              <w:left w:val="nil"/>
              <w:bottom w:val="nil"/>
              <w:right w:val="nil"/>
            </w:tcBorders>
          </w:tcPr>
          <w:p>
            <w:pPr>
              <w:pStyle w:val="TableParagraph"/>
              <w:spacing w:line="273" w:lineRule="exact"/>
              <w:ind w:right="175"/>
              <w:rPr>
                <w:sz w:val="24"/>
              </w:rPr>
            </w:pPr>
            <w:r>
              <w:rPr>
                <w:sz w:val="24"/>
              </w:rPr>
              <w:t>0.42</w:t>
            </w:r>
          </w:p>
        </w:tc>
        <w:tc>
          <w:tcPr>
            <w:tcW w:w="787" w:type="dxa"/>
            <w:tcBorders>
              <w:top w:val="nil"/>
              <w:left w:val="nil"/>
              <w:bottom w:val="nil"/>
              <w:right w:val="nil"/>
            </w:tcBorders>
          </w:tcPr>
          <w:p>
            <w:pPr>
              <w:pStyle w:val="TableParagraph"/>
              <w:spacing w:line="273" w:lineRule="exact"/>
              <w:ind w:right="67"/>
              <w:rPr>
                <w:sz w:val="24"/>
              </w:rPr>
            </w:pPr>
            <w:r>
              <w:rPr>
                <w:sz w:val="24"/>
              </w:rPr>
              <w:t>12.25</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Mano de obra contratada</w:t>
            </w:r>
          </w:p>
        </w:tc>
        <w:tc>
          <w:tcPr>
            <w:tcW w:w="1220" w:type="dxa"/>
            <w:tcBorders>
              <w:top w:val="nil"/>
              <w:left w:val="nil"/>
              <w:bottom w:val="nil"/>
              <w:right w:val="nil"/>
            </w:tcBorders>
          </w:tcPr>
          <w:p>
            <w:pPr>
              <w:pStyle w:val="TableParagraph"/>
              <w:spacing w:line="275" w:lineRule="exact"/>
              <w:ind w:right="179"/>
              <w:rPr>
                <w:sz w:val="24"/>
              </w:rPr>
            </w:pPr>
            <w:r>
              <w:rPr>
                <w:sz w:val="24"/>
              </w:rPr>
              <w:t>0.04</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0.86</w:t>
            </w:r>
          </w:p>
        </w:tc>
        <w:tc>
          <w:tcPr>
            <w:tcW w:w="874" w:type="dxa"/>
            <w:tcBorders>
              <w:top w:val="nil"/>
              <w:left w:val="nil"/>
              <w:bottom w:val="nil"/>
              <w:right w:val="nil"/>
            </w:tcBorders>
          </w:tcPr>
          <w:p>
            <w:pPr>
              <w:pStyle w:val="TableParagraph"/>
              <w:spacing w:line="275" w:lineRule="exact"/>
              <w:ind w:right="176"/>
              <w:rPr>
                <w:sz w:val="24"/>
              </w:rPr>
            </w:pPr>
            <w:r>
              <w:rPr>
                <w:sz w:val="24"/>
              </w:rPr>
              <w:t>0.57</w:t>
            </w:r>
          </w:p>
        </w:tc>
        <w:tc>
          <w:tcPr>
            <w:tcW w:w="923" w:type="dxa"/>
            <w:tcBorders>
              <w:top w:val="nil"/>
              <w:left w:val="nil"/>
              <w:bottom w:val="nil"/>
              <w:right w:val="nil"/>
            </w:tcBorders>
          </w:tcPr>
          <w:p>
            <w:pPr>
              <w:pStyle w:val="TableParagraph"/>
              <w:spacing w:line="275" w:lineRule="exact"/>
              <w:ind w:right="202"/>
              <w:rPr>
                <w:sz w:val="24"/>
              </w:rPr>
            </w:pPr>
            <w:r>
              <w:rPr>
                <w:sz w:val="24"/>
              </w:rPr>
              <w:t>14.93</w:t>
            </w:r>
          </w:p>
        </w:tc>
        <w:tc>
          <w:tcPr>
            <w:tcW w:w="874" w:type="dxa"/>
            <w:tcBorders>
              <w:top w:val="nil"/>
              <w:left w:val="nil"/>
              <w:bottom w:val="nil"/>
              <w:right w:val="nil"/>
            </w:tcBorders>
          </w:tcPr>
          <w:p>
            <w:pPr>
              <w:pStyle w:val="TableParagraph"/>
              <w:spacing w:line="275" w:lineRule="exact"/>
              <w:ind w:right="175"/>
              <w:rPr>
                <w:sz w:val="24"/>
              </w:rPr>
            </w:pPr>
            <w:r>
              <w:rPr>
                <w:sz w:val="24"/>
              </w:rPr>
              <w:t>0.65</w:t>
            </w:r>
          </w:p>
        </w:tc>
        <w:tc>
          <w:tcPr>
            <w:tcW w:w="787" w:type="dxa"/>
            <w:tcBorders>
              <w:top w:val="nil"/>
              <w:left w:val="nil"/>
              <w:bottom w:val="nil"/>
              <w:right w:val="nil"/>
            </w:tcBorders>
          </w:tcPr>
          <w:p>
            <w:pPr>
              <w:pStyle w:val="TableParagraph"/>
              <w:spacing w:line="275" w:lineRule="exact"/>
              <w:ind w:right="67"/>
              <w:rPr>
                <w:sz w:val="24"/>
              </w:rPr>
            </w:pPr>
            <w:r>
              <w:rPr>
                <w:sz w:val="24"/>
              </w:rPr>
              <w:t>18.96</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Electricidad</w:t>
            </w:r>
          </w:p>
        </w:tc>
        <w:tc>
          <w:tcPr>
            <w:tcW w:w="1220" w:type="dxa"/>
            <w:tcBorders>
              <w:top w:val="nil"/>
              <w:left w:val="nil"/>
              <w:bottom w:val="nil"/>
              <w:right w:val="nil"/>
            </w:tcBorders>
          </w:tcPr>
          <w:p>
            <w:pPr>
              <w:pStyle w:val="TableParagraph"/>
              <w:spacing w:line="275" w:lineRule="exact"/>
              <w:ind w:right="179"/>
              <w:rPr>
                <w:sz w:val="24"/>
              </w:rPr>
            </w:pPr>
            <w:r>
              <w:rPr>
                <w:sz w:val="24"/>
              </w:rPr>
              <w:t>0.04</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0.86</w:t>
            </w:r>
          </w:p>
        </w:tc>
        <w:tc>
          <w:tcPr>
            <w:tcW w:w="874" w:type="dxa"/>
            <w:tcBorders>
              <w:top w:val="nil"/>
              <w:left w:val="nil"/>
              <w:bottom w:val="nil"/>
              <w:right w:val="nil"/>
            </w:tcBorders>
          </w:tcPr>
          <w:p>
            <w:pPr>
              <w:pStyle w:val="TableParagraph"/>
              <w:spacing w:line="275" w:lineRule="exact"/>
              <w:ind w:right="176"/>
              <w:rPr>
                <w:sz w:val="24"/>
              </w:rPr>
            </w:pPr>
            <w:r>
              <w:rPr>
                <w:sz w:val="24"/>
              </w:rPr>
              <w:t>0.02</w:t>
            </w:r>
          </w:p>
        </w:tc>
        <w:tc>
          <w:tcPr>
            <w:tcW w:w="923" w:type="dxa"/>
            <w:tcBorders>
              <w:top w:val="nil"/>
              <w:left w:val="nil"/>
              <w:bottom w:val="nil"/>
              <w:right w:val="nil"/>
            </w:tcBorders>
          </w:tcPr>
          <w:p>
            <w:pPr>
              <w:pStyle w:val="TableParagraph"/>
              <w:spacing w:line="275" w:lineRule="exact"/>
              <w:ind w:right="202"/>
              <w:rPr>
                <w:sz w:val="24"/>
              </w:rPr>
            </w:pPr>
            <w:r>
              <w:rPr>
                <w:sz w:val="24"/>
              </w:rPr>
              <w:t>0.52</w:t>
            </w:r>
          </w:p>
        </w:tc>
        <w:tc>
          <w:tcPr>
            <w:tcW w:w="874" w:type="dxa"/>
            <w:tcBorders>
              <w:top w:val="nil"/>
              <w:left w:val="nil"/>
              <w:bottom w:val="nil"/>
              <w:right w:val="nil"/>
            </w:tcBorders>
          </w:tcPr>
          <w:p>
            <w:pPr>
              <w:pStyle w:val="TableParagraph"/>
              <w:spacing w:line="275" w:lineRule="exact"/>
              <w:ind w:right="175"/>
              <w:rPr>
                <w:sz w:val="24"/>
              </w:rPr>
            </w:pPr>
            <w:r>
              <w:rPr>
                <w:sz w:val="24"/>
              </w:rPr>
              <w:t>0.04</w:t>
            </w:r>
          </w:p>
        </w:tc>
        <w:tc>
          <w:tcPr>
            <w:tcW w:w="787" w:type="dxa"/>
            <w:tcBorders>
              <w:top w:val="nil"/>
              <w:left w:val="nil"/>
              <w:bottom w:val="nil"/>
              <w:right w:val="nil"/>
            </w:tcBorders>
          </w:tcPr>
          <w:p>
            <w:pPr>
              <w:pStyle w:val="TableParagraph"/>
              <w:spacing w:line="275" w:lineRule="exact"/>
              <w:ind w:right="67"/>
              <w:rPr>
                <w:sz w:val="24"/>
              </w:rPr>
            </w:pPr>
            <w:r>
              <w:rPr>
                <w:sz w:val="24"/>
              </w:rPr>
              <w:t>1.17</w:t>
            </w:r>
          </w:p>
        </w:tc>
      </w:tr>
      <w:tr>
        <w:trPr>
          <w:trHeight w:val="44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Cuota de agua</w:t>
            </w:r>
          </w:p>
        </w:tc>
        <w:tc>
          <w:tcPr>
            <w:tcW w:w="1220" w:type="dxa"/>
            <w:tcBorders>
              <w:top w:val="nil"/>
              <w:left w:val="nil"/>
              <w:bottom w:val="nil"/>
              <w:right w:val="nil"/>
            </w:tcBorders>
          </w:tcPr>
          <w:p>
            <w:pPr>
              <w:pStyle w:val="TableParagraph"/>
              <w:spacing w:line="275" w:lineRule="exact"/>
              <w:ind w:right="179"/>
              <w:rPr>
                <w:sz w:val="24"/>
              </w:rPr>
            </w:pPr>
            <w:r>
              <w:rPr>
                <w:sz w:val="24"/>
              </w:rPr>
              <w:t>0.04</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0.86</w:t>
            </w:r>
          </w:p>
        </w:tc>
        <w:tc>
          <w:tcPr>
            <w:tcW w:w="874" w:type="dxa"/>
            <w:tcBorders>
              <w:top w:val="nil"/>
              <w:left w:val="nil"/>
              <w:bottom w:val="nil"/>
              <w:right w:val="nil"/>
            </w:tcBorders>
          </w:tcPr>
          <w:p>
            <w:pPr>
              <w:pStyle w:val="TableParagraph"/>
              <w:spacing w:line="275" w:lineRule="exact"/>
              <w:ind w:right="176"/>
              <w:rPr>
                <w:sz w:val="24"/>
              </w:rPr>
            </w:pPr>
            <w:r>
              <w:rPr>
                <w:sz w:val="24"/>
              </w:rPr>
              <w:t>0.02</w:t>
            </w:r>
          </w:p>
        </w:tc>
        <w:tc>
          <w:tcPr>
            <w:tcW w:w="923" w:type="dxa"/>
            <w:tcBorders>
              <w:top w:val="nil"/>
              <w:left w:val="nil"/>
              <w:bottom w:val="nil"/>
              <w:right w:val="nil"/>
            </w:tcBorders>
          </w:tcPr>
          <w:p>
            <w:pPr>
              <w:pStyle w:val="TableParagraph"/>
              <w:spacing w:line="275" w:lineRule="exact"/>
              <w:ind w:right="202"/>
              <w:rPr>
                <w:sz w:val="24"/>
              </w:rPr>
            </w:pPr>
            <w:r>
              <w:rPr>
                <w:sz w:val="24"/>
              </w:rPr>
              <w:t>0.52</w:t>
            </w:r>
          </w:p>
        </w:tc>
        <w:tc>
          <w:tcPr>
            <w:tcW w:w="874" w:type="dxa"/>
            <w:tcBorders>
              <w:top w:val="nil"/>
              <w:left w:val="nil"/>
              <w:bottom w:val="nil"/>
              <w:right w:val="nil"/>
            </w:tcBorders>
          </w:tcPr>
          <w:p>
            <w:pPr>
              <w:pStyle w:val="TableParagraph"/>
              <w:spacing w:line="275" w:lineRule="exact"/>
              <w:ind w:right="175"/>
              <w:rPr>
                <w:sz w:val="24"/>
              </w:rPr>
            </w:pPr>
            <w:r>
              <w:rPr>
                <w:sz w:val="24"/>
              </w:rPr>
              <w:t>0.02</w:t>
            </w:r>
          </w:p>
        </w:tc>
        <w:tc>
          <w:tcPr>
            <w:tcW w:w="787" w:type="dxa"/>
            <w:tcBorders>
              <w:top w:val="nil"/>
              <w:left w:val="nil"/>
              <w:bottom w:val="nil"/>
              <w:right w:val="nil"/>
            </w:tcBorders>
          </w:tcPr>
          <w:p>
            <w:pPr>
              <w:pStyle w:val="TableParagraph"/>
              <w:spacing w:line="275" w:lineRule="exact"/>
              <w:ind w:right="67"/>
              <w:rPr>
                <w:sz w:val="24"/>
              </w:rPr>
            </w:pPr>
            <w:r>
              <w:rPr>
                <w:sz w:val="24"/>
              </w:rPr>
              <w:t>0.50</w:t>
            </w:r>
          </w:p>
        </w:tc>
      </w:tr>
      <w:tr>
        <w:trPr>
          <w:trHeight w:val="714" w:hRule="exact"/>
        </w:trPr>
        <w:tc>
          <w:tcPr>
            <w:tcW w:w="3203" w:type="dxa"/>
            <w:tcBorders>
              <w:top w:val="nil"/>
              <w:left w:val="nil"/>
              <w:bottom w:val="nil"/>
              <w:right w:val="nil"/>
            </w:tcBorders>
          </w:tcPr>
          <w:p>
            <w:pPr>
              <w:pStyle w:val="TableParagraph"/>
              <w:spacing w:before="139"/>
              <w:ind w:left="84" w:right="626"/>
              <w:jc w:val="left"/>
              <w:rPr>
                <w:b/>
                <w:sz w:val="24"/>
              </w:rPr>
            </w:pPr>
            <w:r>
              <w:rPr>
                <w:b/>
                <w:sz w:val="24"/>
              </w:rPr>
              <w:t>Insumos indirectamente comerciables</w:t>
            </w:r>
          </w:p>
        </w:tc>
        <w:tc>
          <w:tcPr>
            <w:tcW w:w="1220" w:type="dxa"/>
            <w:tcBorders>
              <w:top w:val="nil"/>
              <w:left w:val="nil"/>
              <w:bottom w:val="nil"/>
              <w:right w:val="nil"/>
            </w:tcBorders>
          </w:tcPr>
          <w:p>
            <w:pPr/>
          </w:p>
        </w:tc>
        <w:tc>
          <w:tcPr>
            <w:tcW w:w="923" w:type="dxa"/>
            <w:tcBorders>
              <w:top w:val="nil"/>
              <w:left w:val="nil"/>
              <w:bottom w:val="nil"/>
              <w:right w:val="nil"/>
            </w:tcBorders>
          </w:tcPr>
          <w:p>
            <w:pPr>
              <w:pStyle w:val="TableParagraph"/>
              <w:jc w:val="left"/>
              <w:rPr>
                <w:sz w:val="24"/>
              </w:rPr>
            </w:pPr>
          </w:p>
          <w:p>
            <w:pPr>
              <w:pStyle w:val="TableParagraph"/>
              <w:spacing w:before="139"/>
              <w:ind w:left="161" w:right="64"/>
              <w:jc w:val="center"/>
              <w:rPr>
                <w:b/>
                <w:sz w:val="24"/>
              </w:rPr>
            </w:pPr>
            <w:r>
              <w:rPr>
                <w:b/>
                <w:sz w:val="24"/>
              </w:rPr>
              <w:t>7.86</w:t>
            </w:r>
          </w:p>
        </w:tc>
        <w:tc>
          <w:tcPr>
            <w:tcW w:w="874" w:type="dxa"/>
            <w:tcBorders>
              <w:top w:val="nil"/>
              <w:left w:val="nil"/>
              <w:bottom w:val="nil"/>
              <w:right w:val="nil"/>
            </w:tcBorders>
          </w:tcPr>
          <w:p>
            <w:pPr/>
          </w:p>
        </w:tc>
        <w:tc>
          <w:tcPr>
            <w:tcW w:w="923" w:type="dxa"/>
            <w:tcBorders>
              <w:top w:val="nil"/>
              <w:left w:val="nil"/>
              <w:bottom w:val="nil"/>
              <w:right w:val="nil"/>
            </w:tcBorders>
          </w:tcPr>
          <w:p>
            <w:pPr>
              <w:pStyle w:val="TableParagraph"/>
              <w:jc w:val="left"/>
              <w:rPr>
                <w:sz w:val="24"/>
              </w:rPr>
            </w:pPr>
          </w:p>
          <w:p>
            <w:pPr>
              <w:pStyle w:val="TableParagraph"/>
              <w:spacing w:before="139"/>
              <w:ind w:right="202"/>
              <w:rPr>
                <w:b/>
                <w:sz w:val="24"/>
              </w:rPr>
            </w:pPr>
            <w:r>
              <w:rPr>
                <w:b/>
                <w:sz w:val="24"/>
              </w:rPr>
              <w:t>6.73</w:t>
            </w:r>
          </w:p>
        </w:tc>
        <w:tc>
          <w:tcPr>
            <w:tcW w:w="874" w:type="dxa"/>
            <w:tcBorders>
              <w:top w:val="nil"/>
              <w:left w:val="nil"/>
              <w:bottom w:val="nil"/>
              <w:right w:val="nil"/>
            </w:tcBorders>
          </w:tcPr>
          <w:p>
            <w:pPr/>
          </w:p>
        </w:tc>
        <w:tc>
          <w:tcPr>
            <w:tcW w:w="787" w:type="dxa"/>
            <w:tcBorders>
              <w:top w:val="nil"/>
              <w:left w:val="nil"/>
              <w:bottom w:val="nil"/>
              <w:right w:val="nil"/>
            </w:tcBorders>
          </w:tcPr>
          <w:p>
            <w:pPr>
              <w:pStyle w:val="TableParagraph"/>
              <w:jc w:val="left"/>
              <w:rPr>
                <w:sz w:val="24"/>
              </w:rPr>
            </w:pPr>
          </w:p>
          <w:p>
            <w:pPr>
              <w:pStyle w:val="TableParagraph"/>
              <w:spacing w:before="139"/>
              <w:ind w:right="67"/>
              <w:rPr>
                <w:b/>
                <w:sz w:val="24"/>
              </w:rPr>
            </w:pPr>
            <w:r>
              <w:rPr>
                <w:b/>
                <w:sz w:val="24"/>
              </w:rPr>
              <w:t>0.58</w:t>
            </w:r>
          </w:p>
        </w:tc>
      </w:tr>
      <w:tr>
        <w:trPr>
          <w:trHeight w:val="298" w:hRule="exact"/>
        </w:trPr>
        <w:tc>
          <w:tcPr>
            <w:tcW w:w="3203" w:type="dxa"/>
            <w:tcBorders>
              <w:top w:val="nil"/>
              <w:left w:val="nil"/>
              <w:bottom w:val="nil"/>
              <w:right w:val="nil"/>
            </w:tcBorders>
          </w:tcPr>
          <w:p>
            <w:pPr>
              <w:pStyle w:val="TableParagraph"/>
              <w:spacing w:line="273" w:lineRule="exact"/>
              <w:ind w:left="264"/>
              <w:jc w:val="left"/>
              <w:rPr>
                <w:sz w:val="24"/>
              </w:rPr>
            </w:pPr>
            <w:r>
              <w:rPr>
                <w:sz w:val="24"/>
              </w:rPr>
              <w:t>Dep de productoras</w:t>
            </w:r>
          </w:p>
        </w:tc>
        <w:tc>
          <w:tcPr>
            <w:tcW w:w="1220" w:type="dxa"/>
            <w:tcBorders>
              <w:top w:val="nil"/>
              <w:left w:val="nil"/>
              <w:bottom w:val="nil"/>
              <w:right w:val="nil"/>
            </w:tcBorders>
          </w:tcPr>
          <w:p>
            <w:pPr>
              <w:pStyle w:val="TableParagraph"/>
              <w:spacing w:line="273" w:lineRule="exact"/>
              <w:ind w:right="179"/>
              <w:rPr>
                <w:sz w:val="24"/>
              </w:rPr>
            </w:pPr>
            <w:r>
              <w:rPr>
                <w:sz w:val="24"/>
              </w:rPr>
              <w:t>0.27</w:t>
            </w:r>
          </w:p>
        </w:tc>
        <w:tc>
          <w:tcPr>
            <w:tcW w:w="923" w:type="dxa"/>
            <w:tcBorders>
              <w:top w:val="nil"/>
              <w:left w:val="nil"/>
              <w:bottom w:val="nil"/>
              <w:right w:val="nil"/>
            </w:tcBorders>
          </w:tcPr>
          <w:p>
            <w:pPr>
              <w:pStyle w:val="TableParagraph"/>
              <w:spacing w:line="273" w:lineRule="exact"/>
              <w:ind w:left="161" w:right="64"/>
              <w:jc w:val="center"/>
              <w:rPr>
                <w:sz w:val="24"/>
              </w:rPr>
            </w:pPr>
            <w:r>
              <w:rPr>
                <w:sz w:val="24"/>
              </w:rPr>
              <w:t>5.81</w:t>
            </w:r>
          </w:p>
        </w:tc>
        <w:tc>
          <w:tcPr>
            <w:tcW w:w="874" w:type="dxa"/>
            <w:tcBorders>
              <w:top w:val="nil"/>
              <w:left w:val="nil"/>
              <w:bottom w:val="nil"/>
              <w:right w:val="nil"/>
            </w:tcBorders>
          </w:tcPr>
          <w:p>
            <w:pPr>
              <w:pStyle w:val="TableParagraph"/>
              <w:spacing w:line="273" w:lineRule="exact"/>
              <w:ind w:right="176"/>
              <w:rPr>
                <w:sz w:val="24"/>
              </w:rPr>
            </w:pPr>
            <w:r>
              <w:rPr>
                <w:sz w:val="24"/>
              </w:rPr>
              <w:t>0.22</w:t>
            </w:r>
          </w:p>
        </w:tc>
        <w:tc>
          <w:tcPr>
            <w:tcW w:w="923" w:type="dxa"/>
            <w:tcBorders>
              <w:top w:val="nil"/>
              <w:left w:val="nil"/>
              <w:bottom w:val="nil"/>
              <w:right w:val="nil"/>
            </w:tcBorders>
          </w:tcPr>
          <w:p>
            <w:pPr>
              <w:pStyle w:val="TableParagraph"/>
              <w:spacing w:line="273" w:lineRule="exact"/>
              <w:ind w:right="202"/>
              <w:rPr>
                <w:sz w:val="24"/>
              </w:rPr>
            </w:pPr>
            <w:r>
              <w:rPr>
                <w:sz w:val="24"/>
              </w:rPr>
              <w:t>5.76</w:t>
            </w:r>
          </w:p>
        </w:tc>
        <w:tc>
          <w:tcPr>
            <w:tcW w:w="874" w:type="dxa"/>
            <w:tcBorders>
              <w:top w:val="nil"/>
              <w:left w:val="nil"/>
              <w:bottom w:val="nil"/>
              <w:right w:val="nil"/>
            </w:tcBorders>
          </w:tcPr>
          <w:p>
            <w:pPr>
              <w:pStyle w:val="TableParagraph"/>
              <w:spacing w:line="273" w:lineRule="exact"/>
              <w:ind w:right="175"/>
              <w:rPr>
                <w:sz w:val="24"/>
              </w:rPr>
            </w:pPr>
            <w:r>
              <w:rPr>
                <w:sz w:val="24"/>
              </w:rPr>
              <w:t>0.01</w:t>
            </w:r>
          </w:p>
        </w:tc>
        <w:tc>
          <w:tcPr>
            <w:tcW w:w="787" w:type="dxa"/>
            <w:tcBorders>
              <w:top w:val="nil"/>
              <w:left w:val="nil"/>
              <w:bottom w:val="nil"/>
              <w:right w:val="nil"/>
            </w:tcBorders>
          </w:tcPr>
          <w:p>
            <w:pPr>
              <w:pStyle w:val="TableParagraph"/>
              <w:spacing w:line="273" w:lineRule="exact"/>
              <w:ind w:right="67"/>
              <w:rPr>
                <w:sz w:val="24"/>
              </w:rPr>
            </w:pPr>
            <w:r>
              <w:rPr>
                <w:sz w:val="24"/>
              </w:rPr>
              <w:t>0.29</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Dep de bodega</w:t>
            </w:r>
          </w:p>
        </w:tc>
        <w:tc>
          <w:tcPr>
            <w:tcW w:w="1220" w:type="dxa"/>
            <w:tcBorders>
              <w:top w:val="nil"/>
              <w:left w:val="nil"/>
              <w:bottom w:val="nil"/>
              <w:right w:val="nil"/>
            </w:tcBorders>
          </w:tcPr>
          <w:p>
            <w:pPr>
              <w:pStyle w:val="TableParagraph"/>
              <w:spacing w:line="275" w:lineRule="exact"/>
              <w:ind w:right="179"/>
              <w:rPr>
                <w:sz w:val="24"/>
              </w:rPr>
            </w:pPr>
            <w:r>
              <w:rPr>
                <w:sz w:val="24"/>
              </w:rPr>
              <w:t>0.03</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0.65</w:t>
            </w:r>
          </w:p>
        </w:tc>
        <w:tc>
          <w:tcPr>
            <w:tcW w:w="874" w:type="dxa"/>
            <w:tcBorders>
              <w:top w:val="nil"/>
              <w:left w:val="nil"/>
              <w:bottom w:val="nil"/>
              <w:right w:val="nil"/>
            </w:tcBorders>
          </w:tcPr>
          <w:p>
            <w:pPr>
              <w:pStyle w:val="TableParagraph"/>
              <w:spacing w:line="275" w:lineRule="exact"/>
              <w:ind w:right="176"/>
              <w:rPr>
                <w:sz w:val="24"/>
              </w:rPr>
            </w:pPr>
            <w:r>
              <w:rPr>
                <w:sz w:val="24"/>
              </w:rPr>
              <w:t>0.01</w:t>
            </w:r>
          </w:p>
        </w:tc>
        <w:tc>
          <w:tcPr>
            <w:tcW w:w="923" w:type="dxa"/>
            <w:tcBorders>
              <w:top w:val="nil"/>
              <w:left w:val="nil"/>
              <w:bottom w:val="nil"/>
              <w:right w:val="nil"/>
            </w:tcBorders>
          </w:tcPr>
          <w:p>
            <w:pPr>
              <w:pStyle w:val="TableParagraph"/>
              <w:spacing w:line="275" w:lineRule="exact"/>
              <w:ind w:right="202"/>
              <w:rPr>
                <w:sz w:val="24"/>
              </w:rPr>
            </w:pPr>
            <w:r>
              <w:rPr>
                <w:sz w:val="24"/>
              </w:rPr>
              <w:t>0.26</w:t>
            </w:r>
          </w:p>
        </w:tc>
        <w:tc>
          <w:tcPr>
            <w:tcW w:w="874" w:type="dxa"/>
            <w:tcBorders>
              <w:top w:val="nil"/>
              <w:left w:val="nil"/>
              <w:bottom w:val="nil"/>
              <w:right w:val="nil"/>
            </w:tcBorders>
          </w:tcPr>
          <w:p>
            <w:pPr>
              <w:pStyle w:val="TableParagraph"/>
              <w:spacing w:line="275" w:lineRule="exact"/>
              <w:ind w:right="175"/>
              <w:rPr>
                <w:sz w:val="24"/>
              </w:rPr>
            </w:pPr>
            <w:r>
              <w:rPr>
                <w:sz w:val="24"/>
              </w:rPr>
              <w:t>0.01</w:t>
            </w:r>
          </w:p>
        </w:tc>
        <w:tc>
          <w:tcPr>
            <w:tcW w:w="787" w:type="dxa"/>
            <w:tcBorders>
              <w:top w:val="nil"/>
              <w:left w:val="nil"/>
              <w:bottom w:val="nil"/>
              <w:right w:val="nil"/>
            </w:tcBorders>
          </w:tcPr>
          <w:p>
            <w:pPr>
              <w:pStyle w:val="TableParagraph"/>
              <w:spacing w:line="275" w:lineRule="exact"/>
              <w:ind w:right="67"/>
              <w:rPr>
                <w:sz w:val="24"/>
              </w:rPr>
            </w:pPr>
            <w:r>
              <w:rPr>
                <w:sz w:val="24"/>
              </w:rPr>
              <w:t>0.29</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Dep comederos</w:t>
            </w:r>
          </w:p>
        </w:tc>
        <w:tc>
          <w:tcPr>
            <w:tcW w:w="1220" w:type="dxa"/>
            <w:tcBorders>
              <w:top w:val="nil"/>
              <w:left w:val="nil"/>
              <w:bottom w:val="nil"/>
              <w:right w:val="nil"/>
            </w:tcBorders>
          </w:tcPr>
          <w:p>
            <w:pPr>
              <w:pStyle w:val="TableParagraph"/>
              <w:spacing w:line="275" w:lineRule="exact"/>
              <w:ind w:right="179"/>
              <w:rPr>
                <w:sz w:val="24"/>
              </w:rPr>
            </w:pPr>
            <w:r>
              <w:rPr>
                <w:sz w:val="24"/>
              </w:rPr>
              <w:t>0.01</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0.22</w:t>
            </w:r>
          </w:p>
        </w:tc>
        <w:tc>
          <w:tcPr>
            <w:tcW w:w="874" w:type="dxa"/>
            <w:tcBorders>
              <w:top w:val="nil"/>
              <w:left w:val="nil"/>
              <w:bottom w:val="nil"/>
              <w:right w:val="nil"/>
            </w:tcBorders>
          </w:tcPr>
          <w:p>
            <w:pPr>
              <w:pStyle w:val="TableParagraph"/>
              <w:spacing w:line="275" w:lineRule="exact"/>
              <w:ind w:right="176"/>
              <w:rPr>
                <w:sz w:val="24"/>
              </w:rPr>
            </w:pPr>
            <w:r>
              <w:rPr>
                <w:sz w:val="24"/>
              </w:rPr>
              <w:t>0.01</w:t>
            </w:r>
          </w:p>
        </w:tc>
        <w:tc>
          <w:tcPr>
            <w:tcW w:w="923" w:type="dxa"/>
            <w:tcBorders>
              <w:top w:val="nil"/>
              <w:left w:val="nil"/>
              <w:bottom w:val="nil"/>
              <w:right w:val="nil"/>
            </w:tcBorders>
          </w:tcPr>
          <w:p>
            <w:pPr>
              <w:pStyle w:val="TableParagraph"/>
              <w:spacing w:line="275" w:lineRule="exact"/>
              <w:ind w:right="202"/>
              <w:rPr>
                <w:sz w:val="24"/>
              </w:rPr>
            </w:pPr>
            <w:r>
              <w:rPr>
                <w:sz w:val="24"/>
              </w:rPr>
              <w:t>0.13</w:t>
            </w:r>
          </w:p>
        </w:tc>
        <w:tc>
          <w:tcPr>
            <w:tcW w:w="874" w:type="dxa"/>
            <w:tcBorders>
              <w:top w:val="nil"/>
              <w:left w:val="nil"/>
              <w:bottom w:val="nil"/>
              <w:right w:val="nil"/>
            </w:tcBorders>
          </w:tcPr>
          <w:p>
            <w:pPr>
              <w:pStyle w:val="TableParagraph"/>
              <w:spacing w:line="275" w:lineRule="exact"/>
              <w:ind w:right="175"/>
              <w:rPr>
                <w:sz w:val="24"/>
              </w:rPr>
            </w:pPr>
            <w:r>
              <w:rPr>
                <w:sz w:val="24"/>
              </w:rPr>
              <w:t>0.01</w:t>
            </w:r>
          </w:p>
        </w:tc>
        <w:tc>
          <w:tcPr>
            <w:tcW w:w="787" w:type="dxa"/>
            <w:tcBorders>
              <w:top w:val="nil"/>
              <w:left w:val="nil"/>
              <w:bottom w:val="nil"/>
              <w:right w:val="nil"/>
            </w:tcBorders>
          </w:tcPr>
          <w:p>
            <w:pPr>
              <w:pStyle w:val="TableParagraph"/>
              <w:spacing w:line="275" w:lineRule="exact"/>
              <w:ind w:right="67"/>
              <w:rPr>
                <w:sz w:val="24"/>
              </w:rPr>
            </w:pPr>
            <w:r>
              <w:rPr>
                <w:sz w:val="24"/>
              </w:rPr>
              <w:t>0.01</w:t>
            </w:r>
          </w:p>
        </w:tc>
      </w:tr>
      <w:tr>
        <w:trPr>
          <w:trHeight w:val="300"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Dep de bebederos</w:t>
            </w:r>
          </w:p>
        </w:tc>
        <w:tc>
          <w:tcPr>
            <w:tcW w:w="1220" w:type="dxa"/>
            <w:tcBorders>
              <w:top w:val="nil"/>
              <w:left w:val="nil"/>
              <w:bottom w:val="nil"/>
              <w:right w:val="nil"/>
            </w:tcBorders>
          </w:tcPr>
          <w:p>
            <w:pPr>
              <w:pStyle w:val="TableParagraph"/>
              <w:spacing w:line="275" w:lineRule="exact"/>
              <w:ind w:right="179"/>
              <w:rPr>
                <w:sz w:val="24"/>
              </w:rPr>
            </w:pPr>
            <w:r>
              <w:rPr>
                <w:sz w:val="24"/>
              </w:rPr>
              <w:t>0.01</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0.11</w:t>
            </w:r>
          </w:p>
        </w:tc>
        <w:tc>
          <w:tcPr>
            <w:tcW w:w="874" w:type="dxa"/>
            <w:tcBorders>
              <w:top w:val="nil"/>
              <w:left w:val="nil"/>
              <w:bottom w:val="nil"/>
              <w:right w:val="nil"/>
            </w:tcBorders>
          </w:tcPr>
          <w:p>
            <w:pPr>
              <w:pStyle w:val="TableParagraph"/>
              <w:spacing w:line="275" w:lineRule="exact"/>
              <w:ind w:right="176"/>
              <w:rPr>
                <w:sz w:val="24"/>
              </w:rPr>
            </w:pPr>
            <w:r>
              <w:rPr>
                <w:sz w:val="24"/>
              </w:rPr>
              <w:t>0.01</w:t>
            </w:r>
          </w:p>
        </w:tc>
        <w:tc>
          <w:tcPr>
            <w:tcW w:w="923" w:type="dxa"/>
            <w:tcBorders>
              <w:top w:val="nil"/>
              <w:left w:val="nil"/>
              <w:bottom w:val="nil"/>
              <w:right w:val="nil"/>
            </w:tcBorders>
          </w:tcPr>
          <w:p>
            <w:pPr>
              <w:pStyle w:val="TableParagraph"/>
              <w:spacing w:line="275" w:lineRule="exact"/>
              <w:ind w:right="202"/>
              <w:rPr>
                <w:sz w:val="24"/>
              </w:rPr>
            </w:pPr>
            <w:r>
              <w:rPr>
                <w:sz w:val="24"/>
              </w:rPr>
              <w:t>0.05</w:t>
            </w:r>
          </w:p>
        </w:tc>
        <w:tc>
          <w:tcPr>
            <w:tcW w:w="874" w:type="dxa"/>
            <w:tcBorders>
              <w:top w:val="nil"/>
              <w:left w:val="nil"/>
              <w:bottom w:val="nil"/>
              <w:right w:val="nil"/>
            </w:tcBorders>
          </w:tcPr>
          <w:p>
            <w:pPr>
              <w:pStyle w:val="TableParagraph"/>
              <w:spacing w:line="275" w:lineRule="exact"/>
              <w:ind w:right="175"/>
              <w:rPr>
                <w:sz w:val="24"/>
              </w:rPr>
            </w:pPr>
            <w:r>
              <w:rPr>
                <w:sz w:val="24"/>
              </w:rPr>
              <w:t>0.01</w:t>
            </w:r>
          </w:p>
        </w:tc>
        <w:tc>
          <w:tcPr>
            <w:tcW w:w="787" w:type="dxa"/>
            <w:tcBorders>
              <w:top w:val="nil"/>
              <w:left w:val="nil"/>
              <w:bottom w:val="nil"/>
              <w:right w:val="nil"/>
            </w:tcBorders>
          </w:tcPr>
          <w:p>
            <w:pPr>
              <w:pStyle w:val="TableParagraph"/>
              <w:spacing w:line="275" w:lineRule="exact"/>
              <w:ind w:right="67"/>
              <w:rPr>
                <w:sz w:val="24"/>
              </w:rPr>
            </w:pPr>
            <w:r>
              <w:rPr>
                <w:sz w:val="24"/>
              </w:rPr>
              <w:t>0.01</w:t>
            </w:r>
          </w:p>
        </w:tc>
      </w:tr>
      <w:tr>
        <w:trPr>
          <w:trHeight w:val="453" w:hRule="exact"/>
        </w:trPr>
        <w:tc>
          <w:tcPr>
            <w:tcW w:w="3203" w:type="dxa"/>
            <w:tcBorders>
              <w:top w:val="nil"/>
              <w:left w:val="nil"/>
              <w:bottom w:val="nil"/>
              <w:right w:val="nil"/>
            </w:tcBorders>
          </w:tcPr>
          <w:p>
            <w:pPr>
              <w:pStyle w:val="TableParagraph"/>
              <w:spacing w:line="275" w:lineRule="exact"/>
              <w:ind w:left="264"/>
              <w:jc w:val="left"/>
              <w:rPr>
                <w:sz w:val="24"/>
              </w:rPr>
            </w:pPr>
            <w:r>
              <w:rPr>
                <w:sz w:val="24"/>
              </w:rPr>
              <w:t>Dep de construcciones</w:t>
            </w:r>
          </w:p>
        </w:tc>
        <w:tc>
          <w:tcPr>
            <w:tcW w:w="1220" w:type="dxa"/>
            <w:tcBorders>
              <w:top w:val="nil"/>
              <w:left w:val="nil"/>
              <w:bottom w:val="nil"/>
              <w:right w:val="nil"/>
            </w:tcBorders>
          </w:tcPr>
          <w:p>
            <w:pPr>
              <w:pStyle w:val="TableParagraph"/>
              <w:spacing w:line="275" w:lineRule="exact"/>
              <w:ind w:right="179"/>
              <w:rPr>
                <w:sz w:val="24"/>
              </w:rPr>
            </w:pPr>
            <w:r>
              <w:rPr>
                <w:sz w:val="24"/>
              </w:rPr>
              <w:t>0.05</w:t>
            </w:r>
          </w:p>
        </w:tc>
        <w:tc>
          <w:tcPr>
            <w:tcW w:w="923" w:type="dxa"/>
            <w:tcBorders>
              <w:top w:val="nil"/>
              <w:left w:val="nil"/>
              <w:bottom w:val="nil"/>
              <w:right w:val="nil"/>
            </w:tcBorders>
          </w:tcPr>
          <w:p>
            <w:pPr>
              <w:pStyle w:val="TableParagraph"/>
              <w:spacing w:line="275" w:lineRule="exact"/>
              <w:ind w:left="161" w:right="64"/>
              <w:jc w:val="center"/>
              <w:rPr>
                <w:sz w:val="24"/>
              </w:rPr>
            </w:pPr>
            <w:r>
              <w:rPr>
                <w:sz w:val="24"/>
              </w:rPr>
              <w:t>1.08</w:t>
            </w:r>
          </w:p>
        </w:tc>
        <w:tc>
          <w:tcPr>
            <w:tcW w:w="874" w:type="dxa"/>
            <w:tcBorders>
              <w:top w:val="nil"/>
              <w:left w:val="nil"/>
              <w:bottom w:val="nil"/>
              <w:right w:val="nil"/>
            </w:tcBorders>
          </w:tcPr>
          <w:p>
            <w:pPr>
              <w:pStyle w:val="TableParagraph"/>
              <w:spacing w:line="275" w:lineRule="exact"/>
              <w:ind w:right="176"/>
              <w:rPr>
                <w:sz w:val="24"/>
              </w:rPr>
            </w:pPr>
            <w:r>
              <w:rPr>
                <w:sz w:val="24"/>
              </w:rPr>
              <w:t>0.02</w:t>
            </w:r>
          </w:p>
        </w:tc>
        <w:tc>
          <w:tcPr>
            <w:tcW w:w="923" w:type="dxa"/>
            <w:tcBorders>
              <w:top w:val="nil"/>
              <w:left w:val="nil"/>
              <w:bottom w:val="nil"/>
              <w:right w:val="nil"/>
            </w:tcBorders>
          </w:tcPr>
          <w:p>
            <w:pPr>
              <w:pStyle w:val="TableParagraph"/>
              <w:spacing w:line="275" w:lineRule="exact"/>
              <w:ind w:right="202"/>
              <w:rPr>
                <w:sz w:val="24"/>
              </w:rPr>
            </w:pPr>
            <w:r>
              <w:rPr>
                <w:sz w:val="24"/>
              </w:rPr>
              <w:t>0.52</w:t>
            </w:r>
          </w:p>
        </w:tc>
        <w:tc>
          <w:tcPr>
            <w:tcW w:w="874" w:type="dxa"/>
            <w:tcBorders>
              <w:top w:val="nil"/>
              <w:left w:val="nil"/>
              <w:bottom w:val="nil"/>
              <w:right w:val="nil"/>
            </w:tcBorders>
          </w:tcPr>
          <w:p>
            <w:pPr>
              <w:pStyle w:val="TableParagraph"/>
              <w:spacing w:line="275" w:lineRule="exact"/>
              <w:ind w:right="175"/>
              <w:rPr>
                <w:sz w:val="24"/>
              </w:rPr>
            </w:pPr>
            <w:r>
              <w:rPr>
                <w:sz w:val="24"/>
              </w:rPr>
              <w:t>0.01</w:t>
            </w:r>
          </w:p>
        </w:tc>
        <w:tc>
          <w:tcPr>
            <w:tcW w:w="787" w:type="dxa"/>
            <w:tcBorders>
              <w:top w:val="nil"/>
              <w:left w:val="nil"/>
              <w:bottom w:val="nil"/>
              <w:right w:val="nil"/>
            </w:tcBorders>
          </w:tcPr>
          <w:p>
            <w:pPr>
              <w:pStyle w:val="TableParagraph"/>
              <w:spacing w:line="275" w:lineRule="exact"/>
              <w:ind w:right="67"/>
              <w:rPr>
                <w:sz w:val="24"/>
              </w:rPr>
            </w:pPr>
            <w:r>
              <w:rPr>
                <w:sz w:val="24"/>
              </w:rPr>
              <w:t>0.01</w:t>
            </w:r>
          </w:p>
        </w:tc>
      </w:tr>
      <w:tr>
        <w:trPr>
          <w:trHeight w:val="445" w:hRule="exact"/>
        </w:trPr>
        <w:tc>
          <w:tcPr>
            <w:tcW w:w="3203" w:type="dxa"/>
            <w:tcBorders>
              <w:top w:val="nil"/>
              <w:left w:val="nil"/>
              <w:bottom w:val="nil"/>
              <w:right w:val="nil"/>
            </w:tcBorders>
          </w:tcPr>
          <w:p>
            <w:pPr>
              <w:pStyle w:val="TableParagraph"/>
              <w:spacing w:before="151"/>
              <w:ind w:left="84"/>
              <w:jc w:val="left"/>
              <w:rPr>
                <w:b/>
                <w:sz w:val="24"/>
              </w:rPr>
            </w:pPr>
            <w:r>
              <w:rPr>
                <w:b/>
                <w:sz w:val="24"/>
              </w:rPr>
              <w:t>Costo por litro</w:t>
            </w:r>
          </w:p>
        </w:tc>
        <w:tc>
          <w:tcPr>
            <w:tcW w:w="1220" w:type="dxa"/>
            <w:tcBorders>
              <w:top w:val="nil"/>
              <w:left w:val="nil"/>
              <w:bottom w:val="nil"/>
              <w:right w:val="nil"/>
            </w:tcBorders>
          </w:tcPr>
          <w:p>
            <w:pPr>
              <w:pStyle w:val="TableParagraph"/>
              <w:spacing w:before="151"/>
              <w:ind w:right="179"/>
              <w:rPr>
                <w:b/>
                <w:sz w:val="24"/>
              </w:rPr>
            </w:pPr>
            <w:r>
              <w:rPr>
                <w:b/>
                <w:sz w:val="24"/>
              </w:rPr>
              <w:t>4.65</w:t>
            </w:r>
          </w:p>
        </w:tc>
        <w:tc>
          <w:tcPr>
            <w:tcW w:w="1797" w:type="dxa"/>
            <w:gridSpan w:val="2"/>
            <w:tcBorders>
              <w:top w:val="nil"/>
              <w:left w:val="nil"/>
              <w:bottom w:val="nil"/>
              <w:right w:val="nil"/>
            </w:tcBorders>
          </w:tcPr>
          <w:p>
            <w:pPr>
              <w:pStyle w:val="TableParagraph"/>
              <w:spacing w:before="151"/>
              <w:ind w:right="176"/>
              <w:rPr>
                <w:b/>
                <w:sz w:val="24"/>
              </w:rPr>
            </w:pPr>
            <w:r>
              <w:rPr>
                <w:b/>
                <w:sz w:val="24"/>
              </w:rPr>
              <w:t>3.82</w:t>
            </w:r>
          </w:p>
        </w:tc>
        <w:tc>
          <w:tcPr>
            <w:tcW w:w="2584" w:type="dxa"/>
            <w:gridSpan w:val="3"/>
            <w:tcBorders>
              <w:top w:val="nil"/>
              <w:left w:val="nil"/>
              <w:bottom w:val="nil"/>
              <w:right w:val="nil"/>
            </w:tcBorders>
          </w:tcPr>
          <w:p>
            <w:pPr>
              <w:pStyle w:val="TableParagraph"/>
              <w:spacing w:before="151"/>
              <w:ind w:left="1179" w:right="945"/>
              <w:jc w:val="center"/>
              <w:rPr>
                <w:b/>
                <w:sz w:val="24"/>
              </w:rPr>
            </w:pPr>
            <w:r>
              <w:rPr>
                <w:b/>
                <w:sz w:val="24"/>
              </w:rPr>
              <w:t>3.43</w:t>
            </w:r>
          </w:p>
        </w:tc>
      </w:tr>
      <w:tr>
        <w:trPr>
          <w:trHeight w:val="308" w:hRule="exact"/>
        </w:trPr>
        <w:tc>
          <w:tcPr>
            <w:tcW w:w="3203" w:type="dxa"/>
            <w:tcBorders>
              <w:top w:val="nil"/>
              <w:left w:val="nil"/>
              <w:bottom w:val="nil"/>
              <w:right w:val="nil"/>
            </w:tcBorders>
          </w:tcPr>
          <w:p>
            <w:pPr>
              <w:pStyle w:val="TableParagraph"/>
              <w:spacing w:before="1"/>
              <w:ind w:left="84"/>
              <w:jc w:val="left"/>
              <w:rPr>
                <w:b/>
                <w:sz w:val="24"/>
              </w:rPr>
            </w:pPr>
            <w:r>
              <w:rPr>
                <w:b/>
                <w:position w:val="8"/>
                <w:sz w:val="16"/>
              </w:rPr>
              <w:t>Ŧ</w:t>
            </w:r>
            <w:r>
              <w:rPr>
                <w:b/>
                <w:sz w:val="24"/>
              </w:rPr>
              <w:t>Ingreso por litro</w:t>
            </w:r>
          </w:p>
        </w:tc>
        <w:tc>
          <w:tcPr>
            <w:tcW w:w="1220" w:type="dxa"/>
            <w:tcBorders>
              <w:top w:val="nil"/>
              <w:left w:val="nil"/>
              <w:bottom w:val="nil"/>
              <w:right w:val="nil"/>
            </w:tcBorders>
          </w:tcPr>
          <w:p>
            <w:pPr>
              <w:pStyle w:val="TableParagraph"/>
              <w:spacing w:before="6"/>
              <w:ind w:right="179"/>
              <w:rPr>
                <w:b/>
                <w:sz w:val="24"/>
              </w:rPr>
            </w:pPr>
            <w:r>
              <w:rPr>
                <w:b/>
                <w:sz w:val="24"/>
              </w:rPr>
              <w:t>5.60</w:t>
            </w:r>
          </w:p>
        </w:tc>
        <w:tc>
          <w:tcPr>
            <w:tcW w:w="1797" w:type="dxa"/>
            <w:gridSpan w:val="2"/>
            <w:tcBorders>
              <w:top w:val="nil"/>
              <w:left w:val="nil"/>
              <w:bottom w:val="nil"/>
              <w:right w:val="nil"/>
            </w:tcBorders>
          </w:tcPr>
          <w:p>
            <w:pPr>
              <w:pStyle w:val="TableParagraph"/>
              <w:spacing w:before="6"/>
              <w:ind w:right="176"/>
              <w:rPr>
                <w:b/>
                <w:sz w:val="24"/>
              </w:rPr>
            </w:pPr>
            <w:r>
              <w:rPr>
                <w:b/>
                <w:sz w:val="24"/>
              </w:rPr>
              <w:t>5.90</w:t>
            </w:r>
          </w:p>
        </w:tc>
        <w:tc>
          <w:tcPr>
            <w:tcW w:w="2584" w:type="dxa"/>
            <w:gridSpan w:val="3"/>
            <w:tcBorders>
              <w:top w:val="nil"/>
              <w:left w:val="nil"/>
              <w:bottom w:val="nil"/>
              <w:right w:val="nil"/>
            </w:tcBorders>
          </w:tcPr>
          <w:p>
            <w:pPr>
              <w:pStyle w:val="TableParagraph"/>
              <w:spacing w:before="6"/>
              <w:ind w:left="1179" w:right="945"/>
              <w:jc w:val="center"/>
              <w:rPr>
                <w:b/>
                <w:sz w:val="24"/>
              </w:rPr>
            </w:pPr>
            <w:r>
              <w:rPr>
                <w:b/>
                <w:sz w:val="24"/>
              </w:rPr>
              <w:t>5.25</w:t>
            </w:r>
          </w:p>
        </w:tc>
      </w:tr>
      <w:tr>
        <w:trPr>
          <w:trHeight w:val="302" w:hRule="exact"/>
        </w:trPr>
        <w:tc>
          <w:tcPr>
            <w:tcW w:w="3203" w:type="dxa"/>
            <w:tcBorders>
              <w:top w:val="nil"/>
              <w:left w:val="nil"/>
              <w:right w:val="nil"/>
            </w:tcBorders>
          </w:tcPr>
          <w:p>
            <w:pPr>
              <w:pStyle w:val="TableParagraph"/>
              <w:spacing w:line="275" w:lineRule="exact"/>
              <w:ind w:left="84"/>
              <w:jc w:val="left"/>
              <w:rPr>
                <w:b/>
                <w:sz w:val="24"/>
              </w:rPr>
            </w:pPr>
            <w:r>
              <w:rPr>
                <w:b/>
                <w:sz w:val="24"/>
              </w:rPr>
              <w:t>Ganancia</w:t>
            </w:r>
          </w:p>
        </w:tc>
        <w:tc>
          <w:tcPr>
            <w:tcW w:w="1220" w:type="dxa"/>
            <w:tcBorders>
              <w:top w:val="nil"/>
              <w:left w:val="nil"/>
              <w:right w:val="nil"/>
            </w:tcBorders>
          </w:tcPr>
          <w:p>
            <w:pPr>
              <w:pStyle w:val="TableParagraph"/>
              <w:spacing w:line="275" w:lineRule="exact"/>
              <w:ind w:right="179"/>
              <w:rPr>
                <w:b/>
                <w:sz w:val="24"/>
              </w:rPr>
            </w:pPr>
            <w:r>
              <w:rPr>
                <w:b/>
                <w:sz w:val="24"/>
              </w:rPr>
              <w:t>0.95</w:t>
            </w:r>
          </w:p>
        </w:tc>
        <w:tc>
          <w:tcPr>
            <w:tcW w:w="1797" w:type="dxa"/>
            <w:gridSpan w:val="2"/>
            <w:tcBorders>
              <w:top w:val="nil"/>
              <w:left w:val="nil"/>
              <w:right w:val="nil"/>
            </w:tcBorders>
          </w:tcPr>
          <w:p>
            <w:pPr>
              <w:pStyle w:val="TableParagraph"/>
              <w:spacing w:line="275" w:lineRule="exact"/>
              <w:ind w:right="176"/>
              <w:rPr>
                <w:b/>
                <w:sz w:val="24"/>
              </w:rPr>
            </w:pPr>
            <w:r>
              <w:rPr>
                <w:b/>
                <w:sz w:val="24"/>
              </w:rPr>
              <w:t>2.08</w:t>
            </w:r>
          </w:p>
        </w:tc>
        <w:tc>
          <w:tcPr>
            <w:tcW w:w="2584" w:type="dxa"/>
            <w:gridSpan w:val="3"/>
            <w:tcBorders>
              <w:top w:val="nil"/>
              <w:left w:val="nil"/>
              <w:right w:val="nil"/>
            </w:tcBorders>
          </w:tcPr>
          <w:p>
            <w:pPr>
              <w:pStyle w:val="TableParagraph"/>
              <w:spacing w:line="275" w:lineRule="exact"/>
              <w:ind w:left="1179" w:right="945"/>
              <w:jc w:val="center"/>
              <w:rPr>
                <w:b/>
                <w:sz w:val="24"/>
              </w:rPr>
            </w:pPr>
            <w:r>
              <w:rPr>
                <w:b/>
                <w:sz w:val="24"/>
              </w:rPr>
              <w:t>1.82</w:t>
            </w:r>
          </w:p>
        </w:tc>
      </w:tr>
    </w:tbl>
    <w:p>
      <w:pPr>
        <w:spacing w:line="202" w:lineRule="exact" w:before="0"/>
        <w:ind w:left="122" w:right="504" w:firstLine="0"/>
        <w:jc w:val="left"/>
        <w:rPr>
          <w:sz w:val="20"/>
        </w:rPr>
      </w:pPr>
      <w:r>
        <w:rPr>
          <w:sz w:val="20"/>
        </w:rPr>
        <w:t>Fuente: Elaboración propia con información de campo.</w:t>
      </w:r>
    </w:p>
    <w:p>
      <w:pPr>
        <w:spacing w:before="113"/>
        <w:ind w:left="122" w:right="504" w:firstLine="0"/>
        <w:jc w:val="left"/>
        <w:rPr>
          <w:sz w:val="20"/>
        </w:rPr>
      </w:pPr>
      <w:r>
        <w:rPr>
          <w:b/>
          <w:position w:val="8"/>
          <w:sz w:val="16"/>
        </w:rPr>
        <w:t>Ŧ</w:t>
      </w:r>
      <w:r>
        <w:rPr>
          <w:sz w:val="20"/>
        </w:rPr>
        <w:t>El ingreso por litro de leche consideró el precio promedio de venta al menudeo y mayoreo.</w:t>
      </w:r>
    </w:p>
    <w:p>
      <w:pPr>
        <w:pStyle w:val="BodyText"/>
      </w:pPr>
    </w:p>
    <w:p>
      <w:pPr>
        <w:pStyle w:val="BodyText"/>
        <w:spacing w:before="8"/>
      </w:pPr>
    </w:p>
    <w:p>
      <w:pPr>
        <w:pStyle w:val="Heading2"/>
        <w:numPr>
          <w:ilvl w:val="2"/>
          <w:numId w:val="27"/>
        </w:numPr>
        <w:tabs>
          <w:tab w:pos="662" w:val="left" w:leader="none"/>
        </w:tabs>
        <w:spacing w:line="240" w:lineRule="auto" w:before="0" w:after="0"/>
        <w:ind w:left="662" w:right="0" w:hanging="540"/>
        <w:jc w:val="left"/>
        <w:rPr>
          <w:i/>
        </w:rPr>
      </w:pPr>
      <w:r>
        <w:rPr>
          <w:i/>
        </w:rPr>
        <w:t>Coeficiente de rentabilidad</w:t>
      </w:r>
      <w:r>
        <w:rPr>
          <w:i/>
          <w:spacing w:val="-6"/>
        </w:rPr>
        <w:t> </w:t>
      </w:r>
      <w:r>
        <w:rPr>
          <w:i/>
        </w:rPr>
        <w:t>privada</w:t>
      </w:r>
    </w:p>
    <w:p>
      <w:pPr>
        <w:pStyle w:val="BodyText"/>
        <w:rPr>
          <w:b/>
          <w:i/>
        </w:rPr>
      </w:pPr>
    </w:p>
    <w:p>
      <w:pPr>
        <w:pStyle w:val="BodyText"/>
        <w:spacing w:before="7"/>
        <w:rPr>
          <w:b/>
          <w:i/>
          <w:sz w:val="23"/>
        </w:rPr>
      </w:pPr>
    </w:p>
    <w:p>
      <w:pPr>
        <w:pStyle w:val="BodyText"/>
        <w:spacing w:line="360" w:lineRule="auto"/>
        <w:ind w:left="122" w:right="504"/>
      </w:pPr>
      <w:r>
        <w:rPr/>
        <w:t>El análisis del CRP indicó que los tres estratos analizados son rentables, al presentar un coeficiente de rentabilidad por cada peso invertido de 20.56, 54.33 y 53.15 (Tabla 16).</w:t>
      </w:r>
    </w:p>
    <w:p>
      <w:pPr>
        <w:pStyle w:val="BodyText"/>
      </w:pPr>
    </w:p>
    <w:p>
      <w:pPr>
        <w:pStyle w:val="Heading2"/>
        <w:numPr>
          <w:ilvl w:val="2"/>
          <w:numId w:val="27"/>
        </w:numPr>
        <w:tabs>
          <w:tab w:pos="658" w:val="left" w:leader="none"/>
        </w:tabs>
        <w:spacing w:line="240" w:lineRule="auto" w:before="148" w:after="0"/>
        <w:ind w:left="657" w:right="0" w:hanging="535"/>
        <w:jc w:val="left"/>
        <w:rPr>
          <w:i/>
        </w:rPr>
      </w:pPr>
      <w:r>
        <w:rPr>
          <w:i/>
        </w:rPr>
        <w:t>Derrama</w:t>
      </w:r>
      <w:r>
        <w:rPr>
          <w:i/>
          <w:spacing w:val="-7"/>
        </w:rPr>
        <w:t> </w:t>
      </w:r>
      <w:r>
        <w:rPr>
          <w:i/>
        </w:rPr>
        <w:t>económica</w:t>
      </w:r>
      <w:r>
        <w:rPr>
          <w:i/>
          <w:spacing w:val="-7"/>
        </w:rPr>
        <w:t> </w:t>
      </w:r>
      <w:r>
        <w:rPr>
          <w:i/>
        </w:rPr>
        <w:t>de</w:t>
      </w:r>
      <w:r>
        <w:rPr>
          <w:i/>
          <w:spacing w:val="-8"/>
        </w:rPr>
        <w:t> </w:t>
      </w:r>
      <w:r>
        <w:rPr>
          <w:i/>
        </w:rPr>
        <w:t>la</w:t>
      </w:r>
      <w:r>
        <w:rPr>
          <w:i/>
          <w:spacing w:val="-7"/>
        </w:rPr>
        <w:t> </w:t>
      </w:r>
      <w:r>
        <w:rPr>
          <w:i/>
        </w:rPr>
        <w:t>actividad</w:t>
      </w:r>
      <w:r>
        <w:rPr>
          <w:i/>
          <w:spacing w:val="-7"/>
        </w:rPr>
        <w:t> </w:t>
      </w:r>
      <w:r>
        <w:rPr>
          <w:i/>
        </w:rPr>
        <w:t>lechera</w:t>
      </w:r>
      <w:r>
        <w:rPr>
          <w:i/>
          <w:spacing w:val="-9"/>
        </w:rPr>
        <w:t> </w:t>
      </w:r>
      <w:r>
        <w:rPr>
          <w:i/>
        </w:rPr>
        <w:t>hacia</w:t>
      </w:r>
      <w:r>
        <w:rPr>
          <w:i/>
          <w:spacing w:val="-7"/>
        </w:rPr>
        <w:t> </w:t>
      </w:r>
      <w:r>
        <w:rPr>
          <w:i/>
        </w:rPr>
        <w:t>el</w:t>
      </w:r>
      <w:r>
        <w:rPr>
          <w:i/>
          <w:spacing w:val="-7"/>
        </w:rPr>
        <w:t> </w:t>
      </w:r>
      <w:r>
        <w:rPr>
          <w:i/>
        </w:rPr>
        <w:t>resto</w:t>
      </w:r>
      <w:r>
        <w:rPr>
          <w:i/>
          <w:spacing w:val="-7"/>
        </w:rPr>
        <w:t> </w:t>
      </w:r>
      <w:r>
        <w:rPr>
          <w:i/>
        </w:rPr>
        <w:t>de</w:t>
      </w:r>
      <w:r>
        <w:rPr>
          <w:i/>
          <w:spacing w:val="-8"/>
        </w:rPr>
        <w:t> </w:t>
      </w:r>
      <w:r>
        <w:rPr>
          <w:i/>
        </w:rPr>
        <w:t>los</w:t>
      </w:r>
      <w:r>
        <w:rPr>
          <w:i/>
          <w:spacing w:val="-9"/>
        </w:rPr>
        <w:t> </w:t>
      </w:r>
      <w:r>
        <w:rPr>
          <w:i/>
        </w:rPr>
        <w:t>sectores</w:t>
      </w:r>
      <w:r>
        <w:rPr>
          <w:i/>
          <w:spacing w:val="-7"/>
        </w:rPr>
        <w:t> </w:t>
      </w:r>
      <w:r>
        <w:rPr>
          <w:i/>
        </w:rPr>
        <w:t>económicos</w:t>
      </w:r>
    </w:p>
    <w:p>
      <w:pPr>
        <w:pStyle w:val="BodyText"/>
        <w:rPr>
          <w:b/>
          <w:i/>
        </w:rPr>
      </w:pPr>
    </w:p>
    <w:p>
      <w:pPr>
        <w:pStyle w:val="BodyText"/>
        <w:spacing w:before="6"/>
        <w:rPr>
          <w:b/>
          <w:i/>
          <w:sz w:val="23"/>
        </w:rPr>
      </w:pPr>
    </w:p>
    <w:p>
      <w:pPr>
        <w:pStyle w:val="BodyText"/>
        <w:spacing w:line="360" w:lineRule="auto"/>
        <w:ind w:left="122" w:right="51"/>
      </w:pPr>
      <w:r>
        <w:rPr/>
        <w:t>La</w:t>
      </w:r>
      <w:r>
        <w:rPr>
          <w:spacing w:val="-12"/>
        </w:rPr>
        <w:t> </w:t>
      </w:r>
      <w:r>
        <w:rPr/>
        <w:t>derrama</w:t>
      </w:r>
      <w:r>
        <w:rPr>
          <w:spacing w:val="-12"/>
        </w:rPr>
        <w:t> </w:t>
      </w:r>
      <w:r>
        <w:rPr/>
        <w:t>económica</w:t>
      </w:r>
      <w:r>
        <w:rPr>
          <w:spacing w:val="-12"/>
        </w:rPr>
        <w:t> </w:t>
      </w:r>
      <w:r>
        <w:rPr/>
        <w:t>de</w:t>
      </w:r>
      <w:r>
        <w:rPr>
          <w:spacing w:val="-10"/>
        </w:rPr>
        <w:t> </w:t>
      </w:r>
      <w:r>
        <w:rPr/>
        <w:t>la</w:t>
      </w:r>
      <w:r>
        <w:rPr>
          <w:spacing w:val="-12"/>
        </w:rPr>
        <w:t> </w:t>
      </w:r>
      <w:r>
        <w:rPr/>
        <w:t>actividad</w:t>
      </w:r>
      <w:r>
        <w:rPr>
          <w:spacing w:val="-11"/>
        </w:rPr>
        <w:t> </w:t>
      </w:r>
      <w:r>
        <w:rPr/>
        <w:t>lechera</w:t>
      </w:r>
      <w:r>
        <w:rPr>
          <w:spacing w:val="-12"/>
        </w:rPr>
        <w:t> </w:t>
      </w:r>
      <w:r>
        <w:rPr/>
        <w:t>de</w:t>
      </w:r>
      <w:r>
        <w:rPr>
          <w:spacing w:val="-12"/>
        </w:rPr>
        <w:t> </w:t>
      </w:r>
      <w:r>
        <w:rPr/>
        <w:t>pequeña</w:t>
      </w:r>
      <w:r>
        <w:rPr>
          <w:spacing w:val="-12"/>
        </w:rPr>
        <w:t> </w:t>
      </w:r>
      <w:r>
        <w:rPr/>
        <w:t>escala</w:t>
      </w:r>
      <w:r>
        <w:rPr>
          <w:spacing w:val="-12"/>
        </w:rPr>
        <w:t> </w:t>
      </w:r>
      <w:r>
        <w:rPr/>
        <w:t>hacia</w:t>
      </w:r>
      <w:r>
        <w:rPr>
          <w:spacing w:val="-12"/>
        </w:rPr>
        <w:t> </w:t>
      </w:r>
      <w:r>
        <w:rPr/>
        <w:t>el</w:t>
      </w:r>
      <w:r>
        <w:rPr>
          <w:spacing w:val="-11"/>
        </w:rPr>
        <w:t> </w:t>
      </w:r>
      <w:r>
        <w:rPr/>
        <w:t>resto</w:t>
      </w:r>
      <w:r>
        <w:rPr>
          <w:spacing w:val="-11"/>
        </w:rPr>
        <w:t> </w:t>
      </w:r>
      <w:r>
        <w:rPr/>
        <w:t>de</w:t>
      </w:r>
      <w:r>
        <w:rPr>
          <w:spacing w:val="-12"/>
        </w:rPr>
        <w:t> </w:t>
      </w:r>
      <w:r>
        <w:rPr/>
        <w:t>los</w:t>
      </w:r>
      <w:r>
        <w:rPr>
          <w:spacing w:val="-10"/>
        </w:rPr>
        <w:t> </w:t>
      </w:r>
      <w:r>
        <w:rPr/>
        <w:t>sectores de</w:t>
      </w:r>
      <w:r>
        <w:rPr>
          <w:spacing w:val="-10"/>
        </w:rPr>
        <w:t> </w:t>
      </w:r>
      <w:r>
        <w:rPr/>
        <w:t>la</w:t>
      </w:r>
      <w:r>
        <w:rPr>
          <w:spacing w:val="-9"/>
        </w:rPr>
        <w:t> </w:t>
      </w:r>
      <w:r>
        <w:rPr/>
        <w:t>economía,</w:t>
      </w:r>
      <w:r>
        <w:rPr>
          <w:spacing w:val="-9"/>
        </w:rPr>
        <w:t> </w:t>
      </w:r>
      <w:r>
        <w:rPr/>
        <w:t>se</w:t>
      </w:r>
      <w:r>
        <w:rPr>
          <w:spacing w:val="-7"/>
        </w:rPr>
        <w:t> </w:t>
      </w:r>
      <w:r>
        <w:rPr/>
        <w:t>midió</w:t>
      </w:r>
      <w:r>
        <w:rPr>
          <w:spacing w:val="-8"/>
        </w:rPr>
        <w:t> </w:t>
      </w:r>
      <w:r>
        <w:rPr/>
        <w:t>a</w:t>
      </w:r>
      <w:r>
        <w:rPr>
          <w:spacing w:val="-10"/>
        </w:rPr>
        <w:t> </w:t>
      </w:r>
      <w:r>
        <w:rPr/>
        <w:t>través</w:t>
      </w:r>
      <w:r>
        <w:rPr>
          <w:spacing w:val="-6"/>
        </w:rPr>
        <w:t> </w:t>
      </w:r>
      <w:r>
        <w:rPr/>
        <w:t>del</w:t>
      </w:r>
      <w:r>
        <w:rPr>
          <w:spacing w:val="-8"/>
        </w:rPr>
        <w:t> </w:t>
      </w:r>
      <w:r>
        <w:rPr/>
        <w:t>indicador</w:t>
      </w:r>
      <w:r>
        <w:rPr>
          <w:spacing w:val="-7"/>
        </w:rPr>
        <w:t> </w:t>
      </w:r>
      <w:r>
        <w:rPr/>
        <w:t>PCIP.</w:t>
      </w:r>
      <w:r>
        <w:rPr>
          <w:spacing w:val="-9"/>
        </w:rPr>
        <w:t> </w:t>
      </w:r>
      <w:r>
        <w:rPr/>
        <w:t>Este</w:t>
      </w:r>
      <w:r>
        <w:rPr>
          <w:spacing w:val="-7"/>
        </w:rPr>
        <w:t> </w:t>
      </w:r>
      <w:r>
        <w:rPr/>
        <w:t>indicador</w:t>
      </w:r>
      <w:r>
        <w:rPr>
          <w:spacing w:val="-9"/>
        </w:rPr>
        <w:t> </w:t>
      </w:r>
      <w:r>
        <w:rPr/>
        <w:t>se</w:t>
      </w:r>
      <w:r>
        <w:rPr>
          <w:spacing w:val="-10"/>
        </w:rPr>
        <w:t> </w:t>
      </w:r>
      <w:r>
        <w:rPr/>
        <w:t>ubicó</w:t>
      </w:r>
      <w:r>
        <w:rPr>
          <w:spacing w:val="-9"/>
        </w:rPr>
        <w:t> </w:t>
      </w:r>
      <w:r>
        <w:rPr/>
        <w:t>entre</w:t>
      </w:r>
      <w:r>
        <w:rPr>
          <w:spacing w:val="-10"/>
        </w:rPr>
        <w:t> </w:t>
      </w:r>
      <w:r>
        <w:rPr/>
        <w:t>43</w:t>
      </w:r>
      <w:r>
        <w:rPr>
          <w:spacing w:val="-2"/>
        </w:rPr>
        <w:t> </w:t>
      </w:r>
      <w:r>
        <w:rPr/>
        <w:t>y</w:t>
      </w:r>
      <w:r>
        <w:rPr>
          <w:spacing w:val="-13"/>
        </w:rPr>
        <w:t> </w:t>
      </w:r>
      <w:r>
        <w:rPr/>
        <w:t>58%</w:t>
      </w:r>
    </w:p>
    <w:p>
      <w:pPr>
        <w:spacing w:after="0" w:line="360" w:lineRule="auto"/>
        <w:sectPr>
          <w:pgSz w:w="12240" w:h="15840"/>
          <w:pgMar w:header="0" w:footer="657" w:top="1380" w:bottom="840" w:left="1580" w:right="1580"/>
        </w:sectPr>
      </w:pPr>
    </w:p>
    <w:p>
      <w:pPr>
        <w:pStyle w:val="BodyText"/>
        <w:spacing w:line="360" w:lineRule="auto" w:before="50"/>
        <w:ind w:left="102" w:right="115"/>
        <w:jc w:val="both"/>
      </w:pPr>
      <w:r>
        <w:rPr/>
        <w:t>(Tabla</w:t>
      </w:r>
      <w:r>
        <w:rPr>
          <w:spacing w:val="-4"/>
        </w:rPr>
        <w:t> </w:t>
      </w:r>
      <w:r>
        <w:rPr/>
        <w:t>16),</w:t>
      </w:r>
      <w:r>
        <w:rPr>
          <w:spacing w:val="-5"/>
        </w:rPr>
        <w:t> </w:t>
      </w:r>
      <w:r>
        <w:rPr/>
        <w:t>lo</w:t>
      </w:r>
      <w:r>
        <w:rPr>
          <w:spacing w:val="-3"/>
        </w:rPr>
        <w:t> </w:t>
      </w:r>
      <w:r>
        <w:rPr/>
        <w:t>que</w:t>
      </w:r>
      <w:r>
        <w:rPr>
          <w:spacing w:val="-5"/>
        </w:rPr>
        <w:t> </w:t>
      </w:r>
      <w:r>
        <w:rPr/>
        <w:t>señala</w:t>
      </w:r>
      <w:r>
        <w:rPr>
          <w:spacing w:val="-5"/>
        </w:rPr>
        <w:t> </w:t>
      </w:r>
      <w:r>
        <w:rPr/>
        <w:t>que</w:t>
      </w:r>
      <w:r>
        <w:rPr>
          <w:spacing w:val="-5"/>
        </w:rPr>
        <w:t> </w:t>
      </w:r>
      <w:r>
        <w:rPr/>
        <w:t>en</w:t>
      </w:r>
      <w:r>
        <w:rPr>
          <w:spacing w:val="-4"/>
        </w:rPr>
        <w:t> </w:t>
      </w:r>
      <w:r>
        <w:rPr/>
        <w:t>promedio</w:t>
      </w:r>
      <w:r>
        <w:rPr>
          <w:spacing w:val="-3"/>
        </w:rPr>
        <w:t> </w:t>
      </w:r>
      <w:r>
        <w:rPr/>
        <w:t>48%</w:t>
      </w:r>
      <w:r>
        <w:rPr>
          <w:spacing w:val="-5"/>
        </w:rPr>
        <w:t> </w:t>
      </w:r>
      <w:r>
        <w:rPr/>
        <w:t>de</w:t>
      </w:r>
      <w:r>
        <w:rPr>
          <w:spacing w:val="-2"/>
        </w:rPr>
        <w:t> </w:t>
      </w:r>
      <w:r>
        <w:rPr/>
        <w:t>los</w:t>
      </w:r>
      <w:r>
        <w:rPr>
          <w:spacing w:val="-3"/>
        </w:rPr>
        <w:t> </w:t>
      </w:r>
      <w:r>
        <w:rPr/>
        <w:t>ingresos</w:t>
      </w:r>
      <w:r>
        <w:rPr>
          <w:spacing w:val="-1"/>
        </w:rPr>
        <w:t> </w:t>
      </w:r>
      <w:r>
        <w:rPr/>
        <w:t>generados</w:t>
      </w:r>
      <w:r>
        <w:rPr>
          <w:spacing w:val="-4"/>
        </w:rPr>
        <w:t> </w:t>
      </w:r>
      <w:r>
        <w:rPr/>
        <w:t>por</w:t>
      </w:r>
      <w:r>
        <w:rPr>
          <w:spacing w:val="-5"/>
        </w:rPr>
        <w:t> </w:t>
      </w:r>
      <w:r>
        <w:rPr/>
        <w:t>la</w:t>
      </w:r>
      <w:r>
        <w:rPr>
          <w:spacing w:val="-4"/>
        </w:rPr>
        <w:t> </w:t>
      </w:r>
      <w:r>
        <w:rPr/>
        <w:t>actividad</w:t>
      </w:r>
      <w:r>
        <w:rPr>
          <w:spacing w:val="-4"/>
        </w:rPr>
        <w:t> </w:t>
      </w:r>
      <w:r>
        <w:rPr/>
        <w:t>se distribuyeron hacia el resto de los sectores económicos (secundario y terciario) que guardan una relación directa o indirecta con la producción lechera. El promedio del PCIP refleja el alto porcentaje generado por las unidades de producción lecheras de pequeña escala en independencia de insumos externos estrato </w:t>
      </w:r>
      <w:r>
        <w:rPr>
          <w:spacing w:val="-3"/>
        </w:rPr>
        <w:t>I, </w:t>
      </w:r>
      <w:r>
        <w:rPr/>
        <w:t>(95%), estrato II (70) y estrato III (48%), lo cual es indicador de fortaleza del sistema y de economías que pueden alcanzar mayor grado de competitividad y rentabilidad sectorial, dado que su sistema productivo genera en promedio 70% de los insumos alimentarios que utilizan (rubro que eroga el mayor costo de producción 60-70%), esta fortaleza genera un amortiguamiento al cambio inmediato en el precio de los insumos para la producción, en comparación con su</w:t>
      </w:r>
      <w:r>
        <w:rPr>
          <w:spacing w:val="-11"/>
        </w:rPr>
        <w:t> </w:t>
      </w:r>
      <w:r>
        <w:rPr/>
        <w:t>compra.</w:t>
      </w:r>
    </w:p>
    <w:p>
      <w:pPr>
        <w:pStyle w:val="BodyText"/>
      </w:pPr>
    </w:p>
    <w:p>
      <w:pPr>
        <w:pStyle w:val="Heading2"/>
        <w:numPr>
          <w:ilvl w:val="2"/>
          <w:numId w:val="27"/>
        </w:numPr>
        <w:tabs>
          <w:tab w:pos="642" w:val="left" w:leader="none"/>
        </w:tabs>
        <w:spacing w:line="240" w:lineRule="auto" w:before="148" w:after="0"/>
        <w:ind w:left="642" w:right="0" w:hanging="540"/>
        <w:jc w:val="both"/>
        <w:rPr>
          <w:i/>
        </w:rPr>
      </w:pPr>
      <w:r>
        <w:rPr>
          <w:i/>
        </w:rPr>
        <w:t>Contribución a la economía sectorial y</w:t>
      </w:r>
      <w:r>
        <w:rPr>
          <w:i/>
          <w:spacing w:val="-10"/>
        </w:rPr>
        <w:t> </w:t>
      </w:r>
      <w:r>
        <w:rPr>
          <w:i/>
        </w:rPr>
        <w:t>regional</w:t>
      </w:r>
    </w:p>
    <w:p>
      <w:pPr>
        <w:pStyle w:val="BodyText"/>
        <w:rPr>
          <w:b/>
          <w:i/>
        </w:rPr>
      </w:pPr>
    </w:p>
    <w:p>
      <w:pPr>
        <w:pStyle w:val="BodyText"/>
        <w:spacing w:before="6"/>
        <w:rPr>
          <w:b/>
          <w:i/>
          <w:sz w:val="23"/>
        </w:rPr>
      </w:pPr>
    </w:p>
    <w:p>
      <w:pPr>
        <w:pStyle w:val="BodyText"/>
        <w:spacing w:line="360" w:lineRule="auto"/>
        <w:ind w:left="102" w:right="115"/>
        <w:jc w:val="both"/>
      </w:pPr>
      <w:r>
        <w:rPr/>
        <w:t>La contribución a la economía sectorial y regional se midió con el índice generado por el PVAP, el cual varió de 41 a 56% con respecto al ingreso total, este comportamiento indicó la capacidad de la actividad para retribuir el pago de los factores de la producción y generar un beneficio para el productor (Tabla 16). El comportamiento del PVAP, se ubicó en un promedio de 51%, este alto porcentaje refleja el efecto del sistema de producción hacia la contribución</w:t>
      </w:r>
      <w:r>
        <w:rPr>
          <w:spacing w:val="-9"/>
        </w:rPr>
        <w:t> </w:t>
      </w:r>
      <w:r>
        <w:rPr/>
        <w:t>sectorial</w:t>
      </w:r>
      <w:r>
        <w:rPr>
          <w:spacing w:val="-7"/>
        </w:rPr>
        <w:t> </w:t>
      </w:r>
      <w:r>
        <w:rPr/>
        <w:t>y</w:t>
      </w:r>
      <w:r>
        <w:rPr>
          <w:spacing w:val="-11"/>
        </w:rPr>
        <w:t> </w:t>
      </w:r>
      <w:r>
        <w:rPr/>
        <w:t>regional,</w:t>
      </w:r>
      <w:r>
        <w:rPr>
          <w:spacing w:val="-9"/>
        </w:rPr>
        <w:t> </w:t>
      </w:r>
      <w:r>
        <w:rPr/>
        <w:t>basado</w:t>
      </w:r>
      <w:r>
        <w:rPr>
          <w:spacing w:val="-6"/>
        </w:rPr>
        <w:t> </w:t>
      </w:r>
      <w:r>
        <w:rPr/>
        <w:t>en</w:t>
      </w:r>
      <w:r>
        <w:rPr>
          <w:spacing w:val="-9"/>
        </w:rPr>
        <w:t> </w:t>
      </w:r>
      <w:r>
        <w:rPr/>
        <w:t>el</w:t>
      </w:r>
      <w:r>
        <w:rPr>
          <w:spacing w:val="-9"/>
        </w:rPr>
        <w:t> </w:t>
      </w:r>
      <w:r>
        <w:rPr/>
        <w:t>aporte</w:t>
      </w:r>
      <w:r>
        <w:rPr>
          <w:spacing w:val="-10"/>
        </w:rPr>
        <w:t> </w:t>
      </w:r>
      <w:r>
        <w:rPr/>
        <w:t>que</w:t>
      </w:r>
      <w:r>
        <w:rPr>
          <w:spacing w:val="-8"/>
        </w:rPr>
        <w:t> </w:t>
      </w:r>
      <w:r>
        <w:rPr/>
        <w:t>genera</w:t>
      </w:r>
      <w:r>
        <w:rPr>
          <w:spacing w:val="-10"/>
        </w:rPr>
        <w:t> </w:t>
      </w:r>
      <w:r>
        <w:rPr/>
        <w:t>la</w:t>
      </w:r>
      <w:r>
        <w:rPr>
          <w:spacing w:val="-9"/>
        </w:rPr>
        <w:t> </w:t>
      </w:r>
      <w:r>
        <w:rPr/>
        <w:t>actividad</w:t>
      </w:r>
      <w:r>
        <w:rPr>
          <w:spacing w:val="-9"/>
        </w:rPr>
        <w:t> </w:t>
      </w:r>
      <w:r>
        <w:rPr/>
        <w:t>en</w:t>
      </w:r>
      <w:r>
        <w:rPr>
          <w:spacing w:val="-9"/>
        </w:rPr>
        <w:t> </w:t>
      </w:r>
      <w:r>
        <w:rPr/>
        <w:t>crear</w:t>
      </w:r>
      <w:r>
        <w:rPr>
          <w:spacing w:val="-8"/>
        </w:rPr>
        <w:t> </w:t>
      </w:r>
      <w:r>
        <w:rPr/>
        <w:t>fuentes de</w:t>
      </w:r>
      <w:r>
        <w:rPr>
          <w:spacing w:val="-5"/>
        </w:rPr>
        <w:t> </w:t>
      </w:r>
      <w:r>
        <w:rPr/>
        <w:t>empleo</w:t>
      </w:r>
      <w:r>
        <w:rPr>
          <w:spacing w:val="-4"/>
        </w:rPr>
        <w:t> </w:t>
      </w:r>
      <w:r>
        <w:rPr/>
        <w:t>para</w:t>
      </w:r>
      <w:r>
        <w:rPr>
          <w:spacing w:val="-6"/>
        </w:rPr>
        <w:t> </w:t>
      </w:r>
      <w:r>
        <w:rPr/>
        <w:t>los</w:t>
      </w:r>
      <w:r>
        <w:rPr>
          <w:spacing w:val="-3"/>
        </w:rPr>
        <w:t> </w:t>
      </w:r>
      <w:r>
        <w:rPr/>
        <w:t>miembros</w:t>
      </w:r>
      <w:r>
        <w:rPr>
          <w:spacing w:val="-4"/>
        </w:rPr>
        <w:t> </w:t>
      </w:r>
      <w:r>
        <w:rPr/>
        <w:t>de</w:t>
      </w:r>
      <w:r>
        <w:rPr>
          <w:spacing w:val="-5"/>
        </w:rPr>
        <w:t> </w:t>
      </w:r>
      <w:r>
        <w:rPr/>
        <w:t>la</w:t>
      </w:r>
      <w:r>
        <w:rPr>
          <w:spacing w:val="-4"/>
        </w:rPr>
        <w:t> </w:t>
      </w:r>
      <w:r>
        <w:rPr/>
        <w:t>familia</w:t>
      </w:r>
      <w:r>
        <w:rPr>
          <w:spacing w:val="-3"/>
        </w:rPr>
        <w:t> </w:t>
      </w:r>
      <w:r>
        <w:rPr/>
        <w:t>(niños,</w:t>
      </w:r>
      <w:r>
        <w:rPr>
          <w:spacing w:val="-4"/>
        </w:rPr>
        <w:t> </w:t>
      </w:r>
      <w:r>
        <w:rPr/>
        <w:t>adultos</w:t>
      </w:r>
      <w:r>
        <w:rPr>
          <w:spacing w:val="-4"/>
        </w:rPr>
        <w:t> </w:t>
      </w:r>
      <w:r>
        <w:rPr/>
        <w:t>de</w:t>
      </w:r>
      <w:r>
        <w:rPr>
          <w:spacing w:val="-5"/>
        </w:rPr>
        <w:t> </w:t>
      </w:r>
      <w:r>
        <w:rPr/>
        <w:t>la</w:t>
      </w:r>
      <w:r>
        <w:rPr>
          <w:spacing w:val="-4"/>
        </w:rPr>
        <w:t> </w:t>
      </w:r>
      <w:r>
        <w:rPr/>
        <w:t>tercera</w:t>
      </w:r>
      <w:r>
        <w:rPr>
          <w:spacing w:val="-5"/>
        </w:rPr>
        <w:t> </w:t>
      </w:r>
      <w:r>
        <w:rPr/>
        <w:t>edad</w:t>
      </w:r>
      <w:r>
        <w:rPr>
          <w:spacing w:val="1"/>
        </w:rPr>
        <w:t> </w:t>
      </w:r>
      <w:r>
        <w:rPr/>
        <w:t>y</w:t>
      </w:r>
      <w:r>
        <w:rPr>
          <w:spacing w:val="-6"/>
        </w:rPr>
        <w:t> </w:t>
      </w:r>
      <w:r>
        <w:rPr/>
        <w:t>amas</w:t>
      </w:r>
      <w:r>
        <w:rPr>
          <w:spacing w:val="-4"/>
        </w:rPr>
        <w:t> </w:t>
      </w:r>
      <w:r>
        <w:rPr/>
        <w:t>de</w:t>
      </w:r>
      <w:r>
        <w:rPr>
          <w:spacing w:val="-2"/>
        </w:rPr>
        <w:t> </w:t>
      </w:r>
      <w:r>
        <w:rPr/>
        <w:t>casa) y de la comunidad en los tres estratos</w:t>
      </w:r>
      <w:r>
        <w:rPr>
          <w:spacing w:val="-10"/>
        </w:rPr>
        <w:t> </w:t>
      </w:r>
      <w:r>
        <w:rPr/>
        <w:t>analizados.</w:t>
      </w:r>
    </w:p>
    <w:p>
      <w:pPr>
        <w:pStyle w:val="BodyText"/>
      </w:pPr>
    </w:p>
    <w:p>
      <w:pPr>
        <w:pStyle w:val="Heading2"/>
        <w:numPr>
          <w:ilvl w:val="2"/>
          <w:numId w:val="27"/>
        </w:numPr>
        <w:tabs>
          <w:tab w:pos="645" w:val="left" w:leader="none"/>
        </w:tabs>
        <w:spacing w:line="240" w:lineRule="auto" w:before="148" w:after="0"/>
        <w:ind w:left="644" w:right="0" w:hanging="542"/>
        <w:jc w:val="both"/>
        <w:rPr>
          <w:i/>
        </w:rPr>
      </w:pPr>
      <w:r>
        <w:rPr>
          <w:i/>
        </w:rPr>
        <w:t>Valor agregado a precios</w:t>
      </w:r>
      <w:r>
        <w:rPr>
          <w:i/>
          <w:spacing w:val="-8"/>
        </w:rPr>
        <w:t> </w:t>
      </w:r>
      <w:r>
        <w:rPr>
          <w:i/>
        </w:rPr>
        <w:t>privados</w:t>
      </w:r>
    </w:p>
    <w:p>
      <w:pPr>
        <w:pStyle w:val="BodyText"/>
        <w:rPr>
          <w:b/>
          <w:i/>
        </w:rPr>
      </w:pPr>
    </w:p>
    <w:p>
      <w:pPr>
        <w:pStyle w:val="BodyText"/>
        <w:spacing w:before="6"/>
        <w:rPr>
          <w:b/>
          <w:i/>
          <w:sz w:val="23"/>
        </w:rPr>
      </w:pPr>
    </w:p>
    <w:p>
      <w:pPr>
        <w:pStyle w:val="BodyText"/>
        <w:spacing w:line="360" w:lineRule="auto"/>
        <w:ind w:left="102" w:right="116"/>
        <w:jc w:val="both"/>
      </w:pPr>
      <w:r>
        <w:rPr/>
        <w:t>Este</w:t>
      </w:r>
      <w:r>
        <w:rPr>
          <w:spacing w:val="-9"/>
        </w:rPr>
        <w:t> </w:t>
      </w:r>
      <w:r>
        <w:rPr/>
        <w:t>indicador</w:t>
      </w:r>
      <w:r>
        <w:rPr>
          <w:spacing w:val="-9"/>
        </w:rPr>
        <w:t> </w:t>
      </w:r>
      <w:r>
        <w:rPr/>
        <w:t>valoriza</w:t>
      </w:r>
      <w:r>
        <w:rPr>
          <w:spacing w:val="-10"/>
        </w:rPr>
        <w:t> </w:t>
      </w:r>
      <w:r>
        <w:rPr/>
        <w:t>la</w:t>
      </w:r>
      <w:r>
        <w:rPr>
          <w:spacing w:val="-7"/>
        </w:rPr>
        <w:t> </w:t>
      </w:r>
      <w:r>
        <w:rPr/>
        <w:t>retribución</w:t>
      </w:r>
      <w:r>
        <w:rPr>
          <w:spacing w:val="-8"/>
        </w:rPr>
        <w:t> </w:t>
      </w:r>
      <w:r>
        <w:rPr/>
        <w:t>de</w:t>
      </w:r>
      <w:r>
        <w:rPr>
          <w:spacing w:val="-10"/>
        </w:rPr>
        <w:t> </w:t>
      </w:r>
      <w:r>
        <w:rPr/>
        <w:t>los</w:t>
      </w:r>
      <w:r>
        <w:rPr>
          <w:spacing w:val="-8"/>
        </w:rPr>
        <w:t> </w:t>
      </w:r>
      <w:r>
        <w:rPr/>
        <w:t>factores</w:t>
      </w:r>
      <w:r>
        <w:rPr>
          <w:spacing w:val="-8"/>
        </w:rPr>
        <w:t> </w:t>
      </w:r>
      <w:r>
        <w:rPr/>
        <w:t>internos,</w:t>
      </w:r>
      <w:r>
        <w:rPr>
          <w:spacing w:val="-9"/>
        </w:rPr>
        <w:t> </w:t>
      </w:r>
      <w:r>
        <w:rPr/>
        <w:t>incluido</w:t>
      </w:r>
      <w:r>
        <w:rPr>
          <w:spacing w:val="-8"/>
        </w:rPr>
        <w:t> </w:t>
      </w:r>
      <w:r>
        <w:rPr/>
        <w:t>el</w:t>
      </w:r>
      <w:r>
        <w:rPr>
          <w:spacing w:val="-8"/>
        </w:rPr>
        <w:t> </w:t>
      </w:r>
      <w:r>
        <w:rPr/>
        <w:t>pago</w:t>
      </w:r>
      <w:r>
        <w:rPr>
          <w:spacing w:val="-9"/>
        </w:rPr>
        <w:t> </w:t>
      </w:r>
      <w:r>
        <w:rPr/>
        <w:t>del</w:t>
      </w:r>
      <w:r>
        <w:rPr>
          <w:spacing w:val="-8"/>
        </w:rPr>
        <w:t> </w:t>
      </w:r>
      <w:r>
        <w:rPr/>
        <w:t>trabajo</w:t>
      </w:r>
      <w:r>
        <w:rPr>
          <w:spacing w:val="-8"/>
        </w:rPr>
        <w:t> </w:t>
      </w:r>
      <w:r>
        <w:rPr/>
        <w:t>del productor. Los resultados en los tres estratos analizados muestran que los productores obtuvieron</w:t>
      </w:r>
      <w:r>
        <w:rPr>
          <w:spacing w:val="-10"/>
        </w:rPr>
        <w:t> </w:t>
      </w:r>
      <w:r>
        <w:rPr/>
        <w:t>un</w:t>
      </w:r>
      <w:r>
        <w:rPr>
          <w:spacing w:val="-10"/>
        </w:rPr>
        <w:t> </w:t>
      </w:r>
      <w:r>
        <w:rPr/>
        <w:t>beneficio</w:t>
      </w:r>
      <w:r>
        <w:rPr>
          <w:spacing w:val="-9"/>
        </w:rPr>
        <w:t> </w:t>
      </w:r>
      <w:r>
        <w:rPr/>
        <w:t>en</w:t>
      </w:r>
      <w:r>
        <w:rPr>
          <w:spacing w:val="-10"/>
        </w:rPr>
        <w:t> </w:t>
      </w:r>
      <w:r>
        <w:rPr/>
        <w:t>el</w:t>
      </w:r>
      <w:r>
        <w:rPr>
          <w:spacing w:val="-9"/>
        </w:rPr>
        <w:t> </w:t>
      </w:r>
      <w:r>
        <w:rPr/>
        <w:t>ingreso</w:t>
      </w:r>
      <w:r>
        <w:rPr>
          <w:spacing w:val="-9"/>
        </w:rPr>
        <w:t> </w:t>
      </w:r>
      <w:r>
        <w:rPr/>
        <w:t>total,</w:t>
      </w:r>
      <w:r>
        <w:rPr>
          <w:spacing w:val="-9"/>
        </w:rPr>
        <w:t> </w:t>
      </w:r>
      <w:r>
        <w:rPr/>
        <w:t>después</w:t>
      </w:r>
      <w:r>
        <w:rPr>
          <w:spacing w:val="-7"/>
        </w:rPr>
        <w:t> </w:t>
      </w:r>
      <w:r>
        <w:rPr/>
        <w:t>de</w:t>
      </w:r>
      <w:r>
        <w:rPr>
          <w:spacing w:val="-11"/>
        </w:rPr>
        <w:t> </w:t>
      </w:r>
      <w:r>
        <w:rPr/>
        <w:t>haber</w:t>
      </w:r>
      <w:r>
        <w:rPr>
          <w:spacing w:val="-10"/>
        </w:rPr>
        <w:t> </w:t>
      </w:r>
      <w:r>
        <w:rPr/>
        <w:t>cubierto</w:t>
      </w:r>
      <w:r>
        <w:rPr>
          <w:spacing w:val="-9"/>
        </w:rPr>
        <w:t> </w:t>
      </w:r>
      <w:r>
        <w:rPr/>
        <w:t>el</w:t>
      </w:r>
      <w:r>
        <w:rPr>
          <w:spacing w:val="-9"/>
        </w:rPr>
        <w:t> </w:t>
      </w:r>
      <w:r>
        <w:rPr/>
        <w:t>costo</w:t>
      </w:r>
      <w:r>
        <w:rPr>
          <w:spacing w:val="-10"/>
        </w:rPr>
        <w:t> </w:t>
      </w:r>
      <w:r>
        <w:rPr/>
        <w:t>de</w:t>
      </w:r>
      <w:r>
        <w:rPr>
          <w:spacing w:val="-11"/>
        </w:rPr>
        <w:t> </w:t>
      </w:r>
      <w:r>
        <w:rPr/>
        <w:t>los</w:t>
      </w:r>
      <w:r>
        <w:rPr>
          <w:spacing w:val="-9"/>
        </w:rPr>
        <w:t> </w:t>
      </w:r>
      <w:r>
        <w:rPr/>
        <w:t>insumos comerciables y no comerciables, expresado en términos monetarios por la venta de un litro de</w:t>
      </w:r>
      <w:r>
        <w:rPr>
          <w:spacing w:val="-6"/>
        </w:rPr>
        <w:t> </w:t>
      </w:r>
      <w:r>
        <w:rPr/>
        <w:t>leche.</w:t>
      </w:r>
      <w:r>
        <w:rPr>
          <w:spacing w:val="-2"/>
        </w:rPr>
        <w:t> </w:t>
      </w:r>
      <w:r>
        <w:rPr/>
        <w:t>La</w:t>
      </w:r>
      <w:r>
        <w:rPr>
          <w:spacing w:val="-6"/>
        </w:rPr>
        <w:t> </w:t>
      </w:r>
      <w:r>
        <w:rPr/>
        <w:t>diferencia</w:t>
      </w:r>
      <w:r>
        <w:rPr>
          <w:spacing w:val="-5"/>
        </w:rPr>
        <w:t> </w:t>
      </w:r>
      <w:r>
        <w:rPr/>
        <w:t>de</w:t>
      </w:r>
      <w:r>
        <w:rPr>
          <w:spacing w:val="-6"/>
        </w:rPr>
        <w:t> </w:t>
      </w:r>
      <w:r>
        <w:rPr/>
        <w:t>valores</w:t>
      </w:r>
      <w:r>
        <w:rPr>
          <w:spacing w:val="-5"/>
        </w:rPr>
        <w:t> </w:t>
      </w:r>
      <w:r>
        <w:rPr/>
        <w:t>obtenidos</w:t>
      </w:r>
      <w:r>
        <w:rPr>
          <w:spacing w:val="-5"/>
        </w:rPr>
        <w:t> </w:t>
      </w:r>
      <w:r>
        <w:rPr/>
        <w:t>entre</w:t>
      </w:r>
      <w:r>
        <w:rPr>
          <w:spacing w:val="-6"/>
        </w:rPr>
        <w:t> </w:t>
      </w:r>
      <w:r>
        <w:rPr/>
        <w:t>estratos</w:t>
      </w:r>
      <w:r>
        <w:rPr>
          <w:spacing w:val="-3"/>
        </w:rPr>
        <w:t> </w:t>
      </w:r>
      <w:r>
        <w:rPr/>
        <w:t>se</w:t>
      </w:r>
      <w:r>
        <w:rPr>
          <w:spacing w:val="-6"/>
        </w:rPr>
        <w:t> </w:t>
      </w:r>
      <w:r>
        <w:rPr/>
        <w:t>puede</w:t>
      </w:r>
      <w:r>
        <w:rPr>
          <w:spacing w:val="-6"/>
        </w:rPr>
        <w:t> </w:t>
      </w:r>
      <w:r>
        <w:rPr/>
        <w:t>deber</w:t>
      </w:r>
      <w:r>
        <w:rPr>
          <w:spacing w:val="-6"/>
        </w:rPr>
        <w:t> </w:t>
      </w:r>
      <w:r>
        <w:rPr/>
        <w:t>a</w:t>
      </w:r>
      <w:r>
        <w:rPr>
          <w:spacing w:val="-3"/>
        </w:rPr>
        <w:t> </w:t>
      </w:r>
      <w:r>
        <w:rPr/>
        <w:t>las</w:t>
      </w:r>
      <w:r>
        <w:rPr>
          <w:spacing w:val="-5"/>
        </w:rPr>
        <w:t> </w:t>
      </w:r>
      <w:r>
        <w:rPr/>
        <w:t>estrategias</w:t>
      </w:r>
      <w:r>
        <w:rPr>
          <w:spacing w:val="-5"/>
        </w:rPr>
        <w:t> </w:t>
      </w:r>
      <w:r>
        <w:rPr/>
        <w:t>de comercialización de los productores, donde el Estrato II destinan el mayor porcentaje de leche al menudeo (48%) por solo 35% del Estrato I, y 18% del Estrato III (Tabla</w:t>
      </w:r>
      <w:r>
        <w:rPr>
          <w:spacing w:val="-13"/>
        </w:rPr>
        <w:t> </w:t>
      </w:r>
      <w:r>
        <w:rPr/>
        <w:t>16).</w:t>
      </w:r>
    </w:p>
    <w:p>
      <w:pPr>
        <w:spacing w:after="0" w:line="360" w:lineRule="auto"/>
        <w:jc w:val="both"/>
        <w:sectPr>
          <w:pgSz w:w="12240" w:h="15840"/>
          <w:pgMar w:header="0" w:footer="657" w:top="1360" w:bottom="840" w:left="1600" w:right="1580"/>
        </w:sectPr>
      </w:pPr>
    </w:p>
    <w:p>
      <w:pPr>
        <w:pStyle w:val="Heading2"/>
        <w:numPr>
          <w:ilvl w:val="2"/>
          <w:numId w:val="27"/>
        </w:numPr>
        <w:tabs>
          <w:tab w:pos="662" w:val="left" w:leader="none"/>
        </w:tabs>
        <w:spacing w:line="240" w:lineRule="auto" w:before="55" w:after="0"/>
        <w:ind w:left="662" w:right="0" w:hanging="540"/>
        <w:jc w:val="both"/>
        <w:rPr>
          <w:i/>
        </w:rPr>
      </w:pPr>
      <w:r>
        <w:rPr>
          <w:i/>
        </w:rPr>
        <w:t>Relación de costo</w:t>
      </w:r>
      <w:r>
        <w:rPr>
          <w:i/>
          <w:spacing w:val="-3"/>
        </w:rPr>
        <w:t> </w:t>
      </w:r>
      <w:r>
        <w:rPr>
          <w:i/>
        </w:rPr>
        <w:t>privado</w:t>
      </w:r>
    </w:p>
    <w:p>
      <w:pPr>
        <w:pStyle w:val="BodyText"/>
        <w:rPr>
          <w:b/>
          <w:i/>
        </w:rPr>
      </w:pPr>
    </w:p>
    <w:p>
      <w:pPr>
        <w:pStyle w:val="BodyText"/>
        <w:spacing w:before="7"/>
        <w:rPr>
          <w:b/>
          <w:i/>
          <w:sz w:val="23"/>
        </w:rPr>
      </w:pPr>
    </w:p>
    <w:p>
      <w:pPr>
        <w:pStyle w:val="BodyText"/>
        <w:spacing w:line="360" w:lineRule="auto"/>
        <w:ind w:left="122" w:right="118"/>
        <w:jc w:val="both"/>
      </w:pPr>
      <w:r>
        <w:rPr/>
        <w:t>La</w:t>
      </w:r>
      <w:r>
        <w:rPr>
          <w:spacing w:val="-10"/>
        </w:rPr>
        <w:t> </w:t>
      </w:r>
      <w:r>
        <w:rPr/>
        <w:t>RCP</w:t>
      </w:r>
      <w:r>
        <w:rPr>
          <w:spacing w:val="-8"/>
        </w:rPr>
        <w:t> </w:t>
      </w:r>
      <w:r>
        <w:rPr/>
        <w:t>representó</w:t>
      </w:r>
      <w:r>
        <w:rPr>
          <w:spacing w:val="-8"/>
        </w:rPr>
        <w:t> </w:t>
      </w:r>
      <w:r>
        <w:rPr/>
        <w:t>59,</w:t>
      </w:r>
      <w:r>
        <w:rPr>
          <w:spacing w:val="-9"/>
        </w:rPr>
        <w:t> </w:t>
      </w:r>
      <w:r>
        <w:rPr/>
        <w:t>37</w:t>
      </w:r>
      <w:r>
        <w:rPr>
          <w:spacing w:val="-4"/>
        </w:rPr>
        <w:t> </w:t>
      </w:r>
      <w:r>
        <w:rPr/>
        <w:t>y</w:t>
      </w:r>
      <w:r>
        <w:rPr>
          <w:spacing w:val="-16"/>
        </w:rPr>
        <w:t> </w:t>
      </w:r>
      <w:r>
        <w:rPr/>
        <w:t>38%</w:t>
      </w:r>
      <w:r>
        <w:rPr>
          <w:spacing w:val="-9"/>
        </w:rPr>
        <w:t> </w:t>
      </w:r>
      <w:r>
        <w:rPr/>
        <w:t>del</w:t>
      </w:r>
      <w:r>
        <w:rPr>
          <w:spacing w:val="-8"/>
        </w:rPr>
        <w:t> </w:t>
      </w:r>
      <w:r>
        <w:rPr/>
        <w:t>valor</w:t>
      </w:r>
      <w:r>
        <w:rPr>
          <w:spacing w:val="-9"/>
        </w:rPr>
        <w:t> </w:t>
      </w:r>
      <w:r>
        <w:rPr/>
        <w:t>agregado</w:t>
      </w:r>
      <w:r>
        <w:rPr>
          <w:spacing w:val="-6"/>
        </w:rPr>
        <w:t> </w:t>
      </w:r>
      <w:r>
        <w:rPr/>
        <w:t>y</w:t>
      </w:r>
      <w:r>
        <w:rPr>
          <w:spacing w:val="-16"/>
        </w:rPr>
        <w:t> </w:t>
      </w:r>
      <w:r>
        <w:rPr/>
        <w:t>41,</w:t>
      </w:r>
      <w:r>
        <w:rPr>
          <w:spacing w:val="-9"/>
        </w:rPr>
        <w:t> </w:t>
      </w:r>
      <w:r>
        <w:rPr/>
        <w:t>63</w:t>
      </w:r>
      <w:r>
        <w:rPr>
          <w:spacing w:val="-4"/>
        </w:rPr>
        <w:t> </w:t>
      </w:r>
      <w:r>
        <w:rPr/>
        <w:t>y</w:t>
      </w:r>
      <w:r>
        <w:rPr>
          <w:spacing w:val="-16"/>
        </w:rPr>
        <w:t> </w:t>
      </w:r>
      <w:r>
        <w:rPr/>
        <w:t>62%</w:t>
      </w:r>
      <w:r>
        <w:rPr>
          <w:spacing w:val="-9"/>
        </w:rPr>
        <w:t> </w:t>
      </w:r>
      <w:r>
        <w:rPr/>
        <w:t>de</w:t>
      </w:r>
      <w:r>
        <w:rPr>
          <w:spacing w:val="-10"/>
        </w:rPr>
        <w:t> </w:t>
      </w:r>
      <w:r>
        <w:rPr/>
        <w:t>las</w:t>
      </w:r>
      <w:r>
        <w:rPr>
          <w:spacing w:val="-9"/>
        </w:rPr>
        <w:t> </w:t>
      </w:r>
      <w:r>
        <w:rPr/>
        <w:t>ganancias</w:t>
      </w:r>
      <w:r>
        <w:rPr>
          <w:spacing w:val="-9"/>
        </w:rPr>
        <w:t> </w:t>
      </w:r>
      <w:r>
        <w:rPr/>
        <w:t>por</w:t>
      </w:r>
      <w:r>
        <w:rPr>
          <w:spacing w:val="-9"/>
        </w:rPr>
        <w:t> </w:t>
      </w:r>
      <w:r>
        <w:rPr/>
        <w:t>litro de leche, por tanto, los tres estratos fueron rentables y competitivos a precios privados toda vez que cubrieron los costos de producción y el productor obtuvo ganancias (Tabla</w:t>
      </w:r>
      <w:r>
        <w:rPr>
          <w:spacing w:val="-13"/>
        </w:rPr>
        <w:t> </w:t>
      </w:r>
      <w:r>
        <w:rPr/>
        <w:t>16).</w:t>
      </w:r>
    </w:p>
    <w:p>
      <w:pPr>
        <w:pStyle w:val="BodyText"/>
      </w:pPr>
    </w:p>
    <w:p>
      <w:pPr>
        <w:pStyle w:val="BodyText"/>
        <w:spacing w:line="360" w:lineRule="auto" w:before="143" w:after="31"/>
        <w:ind w:left="191" w:right="188"/>
        <w:jc w:val="both"/>
      </w:pPr>
      <w:r>
        <w:rPr>
          <w:b/>
        </w:rPr>
        <w:t>Tabla</w:t>
      </w:r>
      <w:r>
        <w:rPr>
          <w:b/>
          <w:spacing w:val="-11"/>
        </w:rPr>
        <w:t> </w:t>
      </w:r>
      <w:r>
        <w:rPr>
          <w:b/>
        </w:rPr>
        <w:t>16.</w:t>
      </w:r>
      <w:r>
        <w:rPr>
          <w:b/>
          <w:spacing w:val="-11"/>
        </w:rPr>
        <w:t> </w:t>
      </w:r>
      <w:r>
        <w:rPr/>
        <w:t>Coeficientes</w:t>
      </w:r>
      <w:r>
        <w:rPr>
          <w:spacing w:val="-11"/>
        </w:rPr>
        <w:t> </w:t>
      </w:r>
      <w:r>
        <w:rPr/>
        <w:t>de</w:t>
      </w:r>
      <w:r>
        <w:rPr>
          <w:spacing w:val="-12"/>
        </w:rPr>
        <w:t> </w:t>
      </w:r>
      <w:r>
        <w:rPr/>
        <w:t>protección</w:t>
      </w:r>
      <w:r>
        <w:rPr>
          <w:spacing w:val="-11"/>
        </w:rPr>
        <w:t> </w:t>
      </w:r>
      <w:r>
        <w:rPr/>
        <w:t>de</w:t>
      </w:r>
      <w:r>
        <w:rPr>
          <w:spacing w:val="-12"/>
        </w:rPr>
        <w:t> </w:t>
      </w:r>
      <w:r>
        <w:rPr/>
        <w:t>rentabilidad</w:t>
      </w:r>
      <w:r>
        <w:rPr>
          <w:spacing w:val="-11"/>
        </w:rPr>
        <w:t> </w:t>
      </w:r>
      <w:r>
        <w:rPr/>
        <w:t>efectiva</w:t>
      </w:r>
      <w:r>
        <w:rPr>
          <w:spacing w:val="-10"/>
        </w:rPr>
        <w:t> </w:t>
      </w:r>
      <w:r>
        <w:rPr/>
        <w:t>para</w:t>
      </w:r>
      <w:r>
        <w:rPr>
          <w:spacing w:val="-12"/>
        </w:rPr>
        <w:t> </w:t>
      </w:r>
      <w:r>
        <w:rPr/>
        <w:t>el</w:t>
      </w:r>
      <w:r>
        <w:rPr>
          <w:spacing w:val="-11"/>
        </w:rPr>
        <w:t> </w:t>
      </w:r>
      <w:r>
        <w:rPr/>
        <w:t>eslabón</w:t>
      </w:r>
      <w:r>
        <w:rPr>
          <w:spacing w:val="-11"/>
        </w:rPr>
        <w:t> </w:t>
      </w:r>
      <w:r>
        <w:rPr/>
        <w:t>de</w:t>
      </w:r>
      <w:r>
        <w:rPr>
          <w:spacing w:val="-12"/>
        </w:rPr>
        <w:t> </w:t>
      </w:r>
      <w:r>
        <w:rPr/>
        <w:t>producción de</w:t>
      </w:r>
      <w:r>
        <w:rPr>
          <w:spacing w:val="-3"/>
        </w:rPr>
        <w:t> </w:t>
      </w:r>
      <w:r>
        <w:rPr/>
        <w:t>leche</w:t>
      </w:r>
    </w:p>
    <w:tbl>
      <w:tblPr>
        <w:tblW w:w="0" w:type="auto"/>
        <w:jc w:val="left"/>
        <w:tblInd w:w="10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532"/>
        <w:gridCol w:w="1151"/>
        <w:gridCol w:w="1049"/>
        <w:gridCol w:w="1124"/>
      </w:tblGrid>
      <w:tr>
        <w:trPr>
          <w:trHeight w:val="461" w:hRule="exact"/>
        </w:trPr>
        <w:tc>
          <w:tcPr>
            <w:tcW w:w="5532" w:type="dxa"/>
            <w:tcBorders>
              <w:left w:val="nil"/>
              <w:right w:val="nil"/>
            </w:tcBorders>
          </w:tcPr>
          <w:p>
            <w:pPr>
              <w:pStyle w:val="TableParagraph"/>
              <w:spacing w:line="273" w:lineRule="exact"/>
              <w:ind w:left="84"/>
              <w:jc w:val="left"/>
              <w:rPr>
                <w:sz w:val="24"/>
              </w:rPr>
            </w:pPr>
            <w:r>
              <w:rPr>
                <w:sz w:val="24"/>
              </w:rPr>
              <w:t>Concepto</w:t>
            </w:r>
          </w:p>
        </w:tc>
        <w:tc>
          <w:tcPr>
            <w:tcW w:w="1151" w:type="dxa"/>
            <w:tcBorders>
              <w:left w:val="nil"/>
              <w:right w:val="nil"/>
            </w:tcBorders>
          </w:tcPr>
          <w:p>
            <w:pPr>
              <w:pStyle w:val="TableParagraph"/>
              <w:spacing w:line="273" w:lineRule="exact"/>
              <w:ind w:right="72"/>
              <w:rPr>
                <w:sz w:val="24"/>
              </w:rPr>
            </w:pPr>
            <w:r>
              <w:rPr>
                <w:sz w:val="24"/>
              </w:rPr>
              <w:t>Estrato 1</w:t>
            </w:r>
          </w:p>
        </w:tc>
        <w:tc>
          <w:tcPr>
            <w:tcW w:w="1049" w:type="dxa"/>
            <w:tcBorders>
              <w:left w:val="nil"/>
              <w:right w:val="nil"/>
            </w:tcBorders>
          </w:tcPr>
          <w:p>
            <w:pPr>
              <w:pStyle w:val="TableParagraph"/>
              <w:spacing w:line="273" w:lineRule="exact"/>
              <w:ind w:right="70"/>
              <w:rPr>
                <w:sz w:val="24"/>
              </w:rPr>
            </w:pPr>
            <w:r>
              <w:rPr>
                <w:sz w:val="24"/>
              </w:rPr>
              <w:t>Estrato II</w:t>
            </w:r>
          </w:p>
        </w:tc>
        <w:tc>
          <w:tcPr>
            <w:tcW w:w="1124" w:type="dxa"/>
            <w:tcBorders>
              <w:left w:val="nil"/>
              <w:right w:val="nil"/>
            </w:tcBorders>
          </w:tcPr>
          <w:p>
            <w:pPr>
              <w:pStyle w:val="TableParagraph"/>
              <w:spacing w:line="273" w:lineRule="exact"/>
              <w:ind w:right="69"/>
              <w:rPr>
                <w:sz w:val="24"/>
              </w:rPr>
            </w:pPr>
            <w:r>
              <w:rPr>
                <w:sz w:val="24"/>
              </w:rPr>
              <w:t>Estrato III</w:t>
            </w:r>
          </w:p>
        </w:tc>
      </w:tr>
      <w:tr>
        <w:trPr>
          <w:trHeight w:val="374" w:hRule="exact"/>
        </w:trPr>
        <w:tc>
          <w:tcPr>
            <w:tcW w:w="5532" w:type="dxa"/>
            <w:tcBorders>
              <w:left w:val="nil"/>
              <w:bottom w:val="nil"/>
              <w:right w:val="nil"/>
            </w:tcBorders>
          </w:tcPr>
          <w:p>
            <w:pPr>
              <w:pStyle w:val="TableParagraph"/>
              <w:spacing w:line="270" w:lineRule="exact"/>
              <w:ind w:left="84"/>
              <w:jc w:val="left"/>
              <w:rPr>
                <w:sz w:val="24"/>
              </w:rPr>
            </w:pPr>
            <w:r>
              <w:rPr>
                <w:sz w:val="24"/>
              </w:rPr>
              <w:t>Coeficiente de rentabilidad privada (%/peso invertido)</w:t>
            </w:r>
          </w:p>
        </w:tc>
        <w:tc>
          <w:tcPr>
            <w:tcW w:w="1151" w:type="dxa"/>
            <w:tcBorders>
              <w:left w:val="nil"/>
              <w:bottom w:val="nil"/>
              <w:right w:val="nil"/>
            </w:tcBorders>
          </w:tcPr>
          <w:p>
            <w:pPr>
              <w:pStyle w:val="TableParagraph"/>
              <w:spacing w:line="270" w:lineRule="exact"/>
              <w:ind w:right="72"/>
              <w:rPr>
                <w:sz w:val="24"/>
              </w:rPr>
            </w:pPr>
            <w:r>
              <w:rPr>
                <w:sz w:val="24"/>
              </w:rPr>
              <w:t>20.56</w:t>
            </w:r>
          </w:p>
        </w:tc>
        <w:tc>
          <w:tcPr>
            <w:tcW w:w="1049" w:type="dxa"/>
            <w:tcBorders>
              <w:left w:val="nil"/>
              <w:bottom w:val="nil"/>
              <w:right w:val="nil"/>
            </w:tcBorders>
          </w:tcPr>
          <w:p>
            <w:pPr>
              <w:pStyle w:val="TableParagraph"/>
              <w:spacing w:line="270" w:lineRule="exact"/>
              <w:ind w:right="72"/>
              <w:rPr>
                <w:sz w:val="24"/>
              </w:rPr>
            </w:pPr>
            <w:r>
              <w:rPr>
                <w:sz w:val="24"/>
              </w:rPr>
              <w:t>54.53</w:t>
            </w:r>
          </w:p>
        </w:tc>
        <w:tc>
          <w:tcPr>
            <w:tcW w:w="1124" w:type="dxa"/>
            <w:tcBorders>
              <w:left w:val="nil"/>
              <w:bottom w:val="nil"/>
              <w:right w:val="nil"/>
            </w:tcBorders>
          </w:tcPr>
          <w:p>
            <w:pPr>
              <w:pStyle w:val="TableParagraph"/>
              <w:spacing w:line="270" w:lineRule="exact"/>
              <w:ind w:right="71"/>
              <w:rPr>
                <w:sz w:val="24"/>
              </w:rPr>
            </w:pPr>
            <w:r>
              <w:rPr>
                <w:sz w:val="24"/>
              </w:rPr>
              <w:t>53.15</w:t>
            </w:r>
          </w:p>
        </w:tc>
      </w:tr>
      <w:tr>
        <w:trPr>
          <w:trHeight w:val="414" w:hRule="exact"/>
        </w:trPr>
        <w:tc>
          <w:tcPr>
            <w:tcW w:w="5532" w:type="dxa"/>
            <w:tcBorders>
              <w:top w:val="nil"/>
              <w:left w:val="nil"/>
              <w:bottom w:val="nil"/>
              <w:right w:val="nil"/>
            </w:tcBorders>
          </w:tcPr>
          <w:p>
            <w:pPr>
              <w:pStyle w:val="TableParagraph"/>
              <w:spacing w:before="56"/>
              <w:ind w:left="84"/>
              <w:jc w:val="left"/>
              <w:rPr>
                <w:sz w:val="24"/>
              </w:rPr>
            </w:pPr>
            <w:r>
              <w:rPr>
                <w:sz w:val="24"/>
              </w:rPr>
              <w:t>Relación del costo privado</w:t>
            </w:r>
          </w:p>
        </w:tc>
        <w:tc>
          <w:tcPr>
            <w:tcW w:w="1151" w:type="dxa"/>
            <w:tcBorders>
              <w:top w:val="nil"/>
              <w:left w:val="nil"/>
              <w:bottom w:val="nil"/>
              <w:right w:val="nil"/>
            </w:tcBorders>
          </w:tcPr>
          <w:p>
            <w:pPr>
              <w:pStyle w:val="TableParagraph"/>
              <w:spacing w:before="56"/>
              <w:ind w:right="72"/>
              <w:rPr>
                <w:sz w:val="24"/>
              </w:rPr>
            </w:pPr>
            <w:r>
              <w:rPr>
                <w:sz w:val="24"/>
              </w:rPr>
              <w:t>0.59</w:t>
            </w:r>
          </w:p>
        </w:tc>
        <w:tc>
          <w:tcPr>
            <w:tcW w:w="1049" w:type="dxa"/>
            <w:tcBorders>
              <w:top w:val="nil"/>
              <w:left w:val="nil"/>
              <w:bottom w:val="nil"/>
              <w:right w:val="nil"/>
            </w:tcBorders>
          </w:tcPr>
          <w:p>
            <w:pPr>
              <w:pStyle w:val="TableParagraph"/>
              <w:spacing w:before="56"/>
              <w:ind w:right="72"/>
              <w:rPr>
                <w:sz w:val="24"/>
              </w:rPr>
            </w:pPr>
            <w:r>
              <w:rPr>
                <w:sz w:val="24"/>
              </w:rPr>
              <w:t>0.37</w:t>
            </w:r>
          </w:p>
        </w:tc>
        <w:tc>
          <w:tcPr>
            <w:tcW w:w="1124" w:type="dxa"/>
            <w:tcBorders>
              <w:top w:val="nil"/>
              <w:left w:val="nil"/>
              <w:bottom w:val="nil"/>
              <w:right w:val="nil"/>
            </w:tcBorders>
          </w:tcPr>
          <w:p>
            <w:pPr>
              <w:pStyle w:val="TableParagraph"/>
              <w:spacing w:before="56"/>
              <w:ind w:right="71"/>
              <w:rPr>
                <w:sz w:val="24"/>
              </w:rPr>
            </w:pPr>
            <w:r>
              <w:rPr>
                <w:sz w:val="24"/>
              </w:rPr>
              <w:t>0.38</w:t>
            </w:r>
          </w:p>
        </w:tc>
      </w:tr>
      <w:tr>
        <w:trPr>
          <w:trHeight w:val="414" w:hRule="exact"/>
        </w:trPr>
        <w:tc>
          <w:tcPr>
            <w:tcW w:w="5532" w:type="dxa"/>
            <w:tcBorders>
              <w:top w:val="nil"/>
              <w:left w:val="nil"/>
              <w:bottom w:val="nil"/>
              <w:right w:val="nil"/>
            </w:tcBorders>
          </w:tcPr>
          <w:p>
            <w:pPr>
              <w:pStyle w:val="TableParagraph"/>
              <w:spacing w:before="55"/>
              <w:ind w:left="84"/>
              <w:jc w:val="left"/>
              <w:rPr>
                <w:sz w:val="24"/>
              </w:rPr>
            </w:pPr>
            <w:r>
              <w:rPr>
                <w:sz w:val="24"/>
              </w:rPr>
              <w:t>Valor agregado a precios privados ($)</w:t>
            </w:r>
          </w:p>
        </w:tc>
        <w:tc>
          <w:tcPr>
            <w:tcW w:w="1151" w:type="dxa"/>
            <w:tcBorders>
              <w:top w:val="nil"/>
              <w:left w:val="nil"/>
              <w:bottom w:val="nil"/>
              <w:right w:val="nil"/>
            </w:tcBorders>
          </w:tcPr>
          <w:p>
            <w:pPr>
              <w:pStyle w:val="TableParagraph"/>
              <w:spacing w:before="55"/>
              <w:ind w:right="72"/>
              <w:rPr>
                <w:sz w:val="24"/>
              </w:rPr>
            </w:pPr>
            <w:r>
              <w:rPr>
                <w:sz w:val="24"/>
              </w:rPr>
              <w:t>2.33</w:t>
            </w:r>
          </w:p>
        </w:tc>
        <w:tc>
          <w:tcPr>
            <w:tcW w:w="1049" w:type="dxa"/>
            <w:tcBorders>
              <w:top w:val="nil"/>
              <w:left w:val="nil"/>
              <w:bottom w:val="nil"/>
              <w:right w:val="nil"/>
            </w:tcBorders>
          </w:tcPr>
          <w:p>
            <w:pPr>
              <w:pStyle w:val="TableParagraph"/>
              <w:spacing w:before="55"/>
              <w:ind w:right="71"/>
              <w:rPr>
                <w:sz w:val="24"/>
              </w:rPr>
            </w:pPr>
            <w:r>
              <w:rPr>
                <w:sz w:val="24"/>
              </w:rPr>
              <w:t>3.32</w:t>
            </w:r>
          </w:p>
        </w:tc>
        <w:tc>
          <w:tcPr>
            <w:tcW w:w="1124" w:type="dxa"/>
            <w:tcBorders>
              <w:top w:val="nil"/>
              <w:left w:val="nil"/>
              <w:bottom w:val="nil"/>
              <w:right w:val="nil"/>
            </w:tcBorders>
          </w:tcPr>
          <w:p>
            <w:pPr>
              <w:pStyle w:val="TableParagraph"/>
              <w:spacing w:before="55"/>
              <w:ind w:right="71"/>
              <w:rPr>
                <w:sz w:val="24"/>
              </w:rPr>
            </w:pPr>
            <w:r>
              <w:rPr>
                <w:sz w:val="24"/>
              </w:rPr>
              <w:t>2.94</w:t>
            </w:r>
          </w:p>
        </w:tc>
      </w:tr>
      <w:tr>
        <w:trPr>
          <w:trHeight w:val="414" w:hRule="exact"/>
        </w:trPr>
        <w:tc>
          <w:tcPr>
            <w:tcW w:w="5532" w:type="dxa"/>
            <w:tcBorders>
              <w:top w:val="nil"/>
              <w:left w:val="nil"/>
              <w:bottom w:val="nil"/>
              <w:right w:val="nil"/>
            </w:tcBorders>
          </w:tcPr>
          <w:p>
            <w:pPr>
              <w:pStyle w:val="TableParagraph"/>
              <w:spacing w:before="56"/>
              <w:ind w:left="84"/>
              <w:jc w:val="left"/>
              <w:rPr>
                <w:sz w:val="24"/>
              </w:rPr>
            </w:pPr>
            <w:r>
              <w:rPr>
                <w:sz w:val="24"/>
              </w:rPr>
              <w:t>Consumo intermedio en el ingreso total (%)</w:t>
            </w:r>
          </w:p>
        </w:tc>
        <w:tc>
          <w:tcPr>
            <w:tcW w:w="1151" w:type="dxa"/>
            <w:tcBorders>
              <w:top w:val="nil"/>
              <w:left w:val="nil"/>
              <w:bottom w:val="nil"/>
              <w:right w:val="nil"/>
            </w:tcBorders>
          </w:tcPr>
          <w:p>
            <w:pPr>
              <w:pStyle w:val="TableParagraph"/>
              <w:spacing w:before="56"/>
              <w:ind w:right="72"/>
              <w:rPr>
                <w:sz w:val="24"/>
              </w:rPr>
            </w:pPr>
            <w:r>
              <w:rPr>
                <w:sz w:val="24"/>
              </w:rPr>
              <w:t>58.48</w:t>
            </w:r>
          </w:p>
        </w:tc>
        <w:tc>
          <w:tcPr>
            <w:tcW w:w="1049" w:type="dxa"/>
            <w:tcBorders>
              <w:top w:val="nil"/>
              <w:left w:val="nil"/>
              <w:bottom w:val="nil"/>
              <w:right w:val="nil"/>
            </w:tcBorders>
          </w:tcPr>
          <w:p>
            <w:pPr>
              <w:pStyle w:val="TableParagraph"/>
              <w:spacing w:before="56"/>
              <w:ind w:right="72"/>
              <w:rPr>
                <w:sz w:val="24"/>
              </w:rPr>
            </w:pPr>
            <w:r>
              <w:rPr>
                <w:sz w:val="24"/>
              </w:rPr>
              <w:t>43.69</w:t>
            </w:r>
          </w:p>
        </w:tc>
        <w:tc>
          <w:tcPr>
            <w:tcW w:w="1124" w:type="dxa"/>
            <w:tcBorders>
              <w:top w:val="nil"/>
              <w:left w:val="nil"/>
              <w:bottom w:val="nil"/>
              <w:right w:val="nil"/>
            </w:tcBorders>
          </w:tcPr>
          <w:p>
            <w:pPr>
              <w:pStyle w:val="TableParagraph"/>
              <w:spacing w:before="56"/>
              <w:ind w:right="71"/>
              <w:rPr>
                <w:sz w:val="24"/>
              </w:rPr>
            </w:pPr>
            <w:r>
              <w:rPr>
                <w:sz w:val="24"/>
              </w:rPr>
              <w:t>43.83</w:t>
            </w:r>
          </w:p>
        </w:tc>
      </w:tr>
      <w:tr>
        <w:trPr>
          <w:trHeight w:val="498" w:hRule="exact"/>
        </w:trPr>
        <w:tc>
          <w:tcPr>
            <w:tcW w:w="5532" w:type="dxa"/>
            <w:tcBorders>
              <w:top w:val="nil"/>
              <w:left w:val="nil"/>
              <w:right w:val="nil"/>
            </w:tcBorders>
          </w:tcPr>
          <w:p>
            <w:pPr>
              <w:pStyle w:val="TableParagraph"/>
              <w:spacing w:before="55"/>
              <w:ind w:left="84"/>
              <w:jc w:val="left"/>
              <w:rPr>
                <w:sz w:val="24"/>
              </w:rPr>
            </w:pPr>
            <w:r>
              <w:rPr>
                <w:sz w:val="24"/>
              </w:rPr>
              <w:t>Valor agregado en el ingreso total (%)</w:t>
            </w:r>
          </w:p>
        </w:tc>
        <w:tc>
          <w:tcPr>
            <w:tcW w:w="1151" w:type="dxa"/>
            <w:tcBorders>
              <w:top w:val="nil"/>
              <w:left w:val="nil"/>
              <w:right w:val="nil"/>
            </w:tcBorders>
          </w:tcPr>
          <w:p>
            <w:pPr>
              <w:pStyle w:val="TableParagraph"/>
              <w:spacing w:before="55"/>
              <w:ind w:right="72"/>
              <w:rPr>
                <w:sz w:val="24"/>
              </w:rPr>
            </w:pPr>
            <w:r>
              <w:rPr>
                <w:sz w:val="24"/>
              </w:rPr>
              <w:t>41.52</w:t>
            </w:r>
          </w:p>
        </w:tc>
        <w:tc>
          <w:tcPr>
            <w:tcW w:w="1049" w:type="dxa"/>
            <w:tcBorders>
              <w:top w:val="nil"/>
              <w:left w:val="nil"/>
              <w:right w:val="nil"/>
            </w:tcBorders>
          </w:tcPr>
          <w:p>
            <w:pPr>
              <w:pStyle w:val="TableParagraph"/>
              <w:spacing w:before="55"/>
              <w:ind w:right="72"/>
              <w:rPr>
                <w:sz w:val="24"/>
              </w:rPr>
            </w:pPr>
            <w:r>
              <w:rPr>
                <w:sz w:val="24"/>
              </w:rPr>
              <w:t>56.31</w:t>
            </w:r>
          </w:p>
        </w:tc>
        <w:tc>
          <w:tcPr>
            <w:tcW w:w="1124" w:type="dxa"/>
            <w:tcBorders>
              <w:top w:val="nil"/>
              <w:left w:val="nil"/>
              <w:right w:val="nil"/>
            </w:tcBorders>
          </w:tcPr>
          <w:p>
            <w:pPr>
              <w:pStyle w:val="TableParagraph"/>
              <w:spacing w:before="55"/>
              <w:ind w:right="71"/>
              <w:rPr>
                <w:sz w:val="24"/>
              </w:rPr>
            </w:pPr>
            <w:r>
              <w:rPr>
                <w:sz w:val="24"/>
              </w:rPr>
              <w:t>56.17</w:t>
            </w:r>
          </w:p>
        </w:tc>
      </w:tr>
      <w:tr>
        <w:trPr>
          <w:trHeight w:val="341" w:hRule="exact"/>
        </w:trPr>
        <w:tc>
          <w:tcPr>
            <w:tcW w:w="5532" w:type="dxa"/>
            <w:tcBorders>
              <w:left w:val="nil"/>
              <w:bottom w:val="nil"/>
              <w:right w:val="nil"/>
            </w:tcBorders>
          </w:tcPr>
          <w:p>
            <w:pPr>
              <w:pStyle w:val="TableParagraph"/>
              <w:spacing w:line="223" w:lineRule="exact"/>
              <w:ind w:left="14"/>
              <w:jc w:val="left"/>
              <w:rPr>
                <w:sz w:val="20"/>
              </w:rPr>
            </w:pPr>
            <w:r>
              <w:rPr>
                <w:sz w:val="20"/>
              </w:rPr>
              <w:t>Fuente: Elaboración propia con información de campo.</w:t>
            </w:r>
          </w:p>
        </w:tc>
        <w:tc>
          <w:tcPr>
            <w:tcW w:w="1151" w:type="dxa"/>
            <w:tcBorders>
              <w:left w:val="nil"/>
              <w:bottom w:val="nil"/>
              <w:right w:val="nil"/>
            </w:tcBorders>
          </w:tcPr>
          <w:p>
            <w:pPr/>
          </w:p>
        </w:tc>
        <w:tc>
          <w:tcPr>
            <w:tcW w:w="1049" w:type="dxa"/>
            <w:tcBorders>
              <w:left w:val="nil"/>
              <w:bottom w:val="nil"/>
              <w:right w:val="nil"/>
            </w:tcBorders>
          </w:tcPr>
          <w:p>
            <w:pPr/>
          </w:p>
        </w:tc>
        <w:tc>
          <w:tcPr>
            <w:tcW w:w="1124" w:type="dxa"/>
            <w:tcBorders>
              <w:left w:val="nil"/>
              <w:bottom w:val="nil"/>
              <w:right w:val="nil"/>
            </w:tcBorders>
          </w:tcPr>
          <w:p>
            <w:pPr/>
          </w:p>
        </w:tc>
      </w:tr>
    </w:tbl>
    <w:p>
      <w:pPr>
        <w:pStyle w:val="BodyText"/>
        <w:rPr>
          <w:sz w:val="20"/>
        </w:rPr>
      </w:pPr>
    </w:p>
    <w:p>
      <w:pPr>
        <w:pStyle w:val="Heading1"/>
        <w:numPr>
          <w:ilvl w:val="1"/>
          <w:numId w:val="28"/>
        </w:numPr>
        <w:tabs>
          <w:tab w:pos="482" w:val="left" w:leader="none"/>
        </w:tabs>
        <w:spacing w:line="240" w:lineRule="auto" w:before="211" w:after="0"/>
        <w:ind w:left="482" w:right="0" w:hanging="360"/>
        <w:jc w:val="both"/>
      </w:pPr>
      <w:r>
        <w:rPr/>
        <w:t>Análisis de competitividad para el eslabón de</w:t>
      </w:r>
      <w:r>
        <w:rPr>
          <w:spacing w:val="-15"/>
        </w:rPr>
        <w:t> </w:t>
      </w:r>
      <w:r>
        <w:rPr/>
        <w:t>transformación</w:t>
      </w:r>
    </w:p>
    <w:p>
      <w:pPr>
        <w:pStyle w:val="BodyText"/>
        <w:rPr>
          <w:b/>
        </w:rPr>
      </w:pPr>
    </w:p>
    <w:p>
      <w:pPr>
        <w:pStyle w:val="BodyText"/>
        <w:spacing w:before="7"/>
        <w:rPr>
          <w:b/>
          <w:sz w:val="23"/>
        </w:rPr>
      </w:pPr>
    </w:p>
    <w:p>
      <w:pPr>
        <w:pStyle w:val="BodyText"/>
        <w:spacing w:line="360" w:lineRule="auto"/>
        <w:ind w:left="122" w:right="118"/>
        <w:jc w:val="both"/>
      </w:pPr>
      <w:r>
        <w:rPr/>
        <w:t>La estructura de costos de producción por kilogramo de queso panela y ranchero a precios privados,</w:t>
      </w:r>
      <w:r>
        <w:rPr>
          <w:spacing w:val="-4"/>
        </w:rPr>
        <w:t> </w:t>
      </w:r>
      <w:r>
        <w:rPr/>
        <w:t>se</w:t>
      </w:r>
      <w:r>
        <w:rPr>
          <w:spacing w:val="-5"/>
        </w:rPr>
        <w:t> </w:t>
      </w:r>
      <w:r>
        <w:rPr/>
        <w:t>constituyó</w:t>
      </w:r>
      <w:r>
        <w:rPr>
          <w:spacing w:val="-4"/>
        </w:rPr>
        <w:t> </w:t>
      </w:r>
      <w:r>
        <w:rPr/>
        <w:t>principalmente</w:t>
      </w:r>
      <w:r>
        <w:rPr>
          <w:spacing w:val="-5"/>
        </w:rPr>
        <w:t> </w:t>
      </w:r>
      <w:r>
        <w:rPr/>
        <w:t>por</w:t>
      </w:r>
      <w:r>
        <w:rPr>
          <w:spacing w:val="-1"/>
        </w:rPr>
        <w:t> </w:t>
      </w:r>
      <w:r>
        <w:rPr/>
        <w:t>el</w:t>
      </w:r>
      <w:r>
        <w:rPr>
          <w:spacing w:val="-3"/>
        </w:rPr>
        <w:t> </w:t>
      </w:r>
      <w:r>
        <w:rPr/>
        <w:t>valor</w:t>
      </w:r>
      <w:r>
        <w:rPr>
          <w:spacing w:val="-5"/>
        </w:rPr>
        <w:t> </w:t>
      </w:r>
      <w:r>
        <w:rPr/>
        <w:t>de</w:t>
      </w:r>
      <w:r>
        <w:rPr>
          <w:spacing w:val="-5"/>
        </w:rPr>
        <w:t> </w:t>
      </w:r>
      <w:r>
        <w:rPr/>
        <w:t>los</w:t>
      </w:r>
      <w:r>
        <w:rPr>
          <w:spacing w:val="-3"/>
        </w:rPr>
        <w:t> </w:t>
      </w:r>
      <w:r>
        <w:rPr/>
        <w:t>insumos</w:t>
      </w:r>
      <w:r>
        <w:rPr>
          <w:spacing w:val="-4"/>
        </w:rPr>
        <w:t> </w:t>
      </w:r>
      <w:r>
        <w:rPr/>
        <w:t>comercializables,</w:t>
      </w:r>
      <w:r>
        <w:rPr>
          <w:spacing w:val="-4"/>
        </w:rPr>
        <w:t> </w:t>
      </w:r>
      <w:r>
        <w:rPr/>
        <w:t>al</w:t>
      </w:r>
      <w:r>
        <w:rPr>
          <w:spacing w:val="-3"/>
        </w:rPr>
        <w:t> </w:t>
      </w:r>
      <w:r>
        <w:rPr/>
        <w:t>tener una</w:t>
      </w:r>
      <w:r>
        <w:rPr>
          <w:spacing w:val="-17"/>
        </w:rPr>
        <w:t> </w:t>
      </w:r>
      <w:r>
        <w:rPr/>
        <w:t>participación</w:t>
      </w:r>
      <w:r>
        <w:rPr>
          <w:spacing w:val="-15"/>
        </w:rPr>
        <w:t> </w:t>
      </w:r>
      <w:r>
        <w:rPr/>
        <w:t>total</w:t>
      </w:r>
      <w:r>
        <w:rPr>
          <w:spacing w:val="-15"/>
        </w:rPr>
        <w:t> </w:t>
      </w:r>
      <w:r>
        <w:rPr/>
        <w:t>de</w:t>
      </w:r>
      <w:r>
        <w:rPr>
          <w:spacing w:val="-12"/>
        </w:rPr>
        <w:t> </w:t>
      </w:r>
      <w:r>
        <w:rPr/>
        <w:t>85</w:t>
      </w:r>
      <w:r>
        <w:rPr>
          <w:spacing w:val="-13"/>
        </w:rPr>
        <w:t> </w:t>
      </w:r>
      <w:r>
        <w:rPr/>
        <w:t>y</w:t>
      </w:r>
      <w:r>
        <w:rPr>
          <w:spacing w:val="-18"/>
        </w:rPr>
        <w:t> </w:t>
      </w:r>
      <w:r>
        <w:rPr/>
        <w:t>93%.</w:t>
      </w:r>
      <w:r>
        <w:rPr>
          <w:spacing w:val="-16"/>
        </w:rPr>
        <w:t> </w:t>
      </w:r>
      <w:r>
        <w:rPr/>
        <w:t>Este</w:t>
      </w:r>
      <w:r>
        <w:rPr>
          <w:spacing w:val="-14"/>
        </w:rPr>
        <w:t> </w:t>
      </w:r>
      <w:r>
        <w:rPr/>
        <w:t>alto</w:t>
      </w:r>
      <w:r>
        <w:rPr>
          <w:spacing w:val="-16"/>
        </w:rPr>
        <w:t> </w:t>
      </w:r>
      <w:r>
        <w:rPr/>
        <w:t>costo</w:t>
      </w:r>
      <w:r>
        <w:rPr>
          <w:spacing w:val="-13"/>
        </w:rPr>
        <w:t> </w:t>
      </w:r>
      <w:r>
        <w:rPr/>
        <w:t>se</w:t>
      </w:r>
      <w:r>
        <w:rPr>
          <w:spacing w:val="-17"/>
        </w:rPr>
        <w:t> </w:t>
      </w:r>
      <w:r>
        <w:rPr/>
        <w:t>explica</w:t>
      </w:r>
      <w:r>
        <w:rPr>
          <w:spacing w:val="-17"/>
        </w:rPr>
        <w:t> </w:t>
      </w:r>
      <w:r>
        <w:rPr/>
        <w:t>por</w:t>
      </w:r>
      <w:r>
        <w:rPr>
          <w:spacing w:val="-14"/>
        </w:rPr>
        <w:t> </w:t>
      </w:r>
      <w:r>
        <w:rPr/>
        <w:t>el</w:t>
      </w:r>
      <w:r>
        <w:rPr>
          <w:spacing w:val="-15"/>
        </w:rPr>
        <w:t> </w:t>
      </w:r>
      <w:r>
        <w:rPr/>
        <w:t>componente</w:t>
      </w:r>
      <w:r>
        <w:rPr>
          <w:spacing w:val="-16"/>
        </w:rPr>
        <w:t> </w:t>
      </w:r>
      <w:r>
        <w:rPr/>
        <w:t>del</w:t>
      </w:r>
      <w:r>
        <w:rPr>
          <w:spacing w:val="-15"/>
        </w:rPr>
        <w:t> </w:t>
      </w:r>
      <w:r>
        <w:rPr/>
        <w:t>principal insumo en la producción (leche) con una participación de 80% en la elaboración del queso panela y 87% en el queso ranchero. Los factores internos integraron el segundo rubro con el mayor costo, al participar con el 14 y 6%, el principal componente de valor en este rubro lo ocupó la MOF, seguido por la mano de obra contratada. El rubro con menos participación en</w:t>
      </w:r>
      <w:r>
        <w:rPr>
          <w:spacing w:val="-6"/>
        </w:rPr>
        <w:t> </w:t>
      </w:r>
      <w:r>
        <w:rPr/>
        <w:t>costo,</w:t>
      </w:r>
      <w:r>
        <w:rPr>
          <w:spacing w:val="-6"/>
        </w:rPr>
        <w:t> </w:t>
      </w:r>
      <w:r>
        <w:rPr/>
        <w:t>lo</w:t>
      </w:r>
      <w:r>
        <w:rPr>
          <w:spacing w:val="-6"/>
        </w:rPr>
        <w:t> </w:t>
      </w:r>
      <w:r>
        <w:rPr/>
        <w:t>obtuvo</w:t>
      </w:r>
      <w:r>
        <w:rPr>
          <w:spacing w:val="-6"/>
        </w:rPr>
        <w:t> </w:t>
      </w:r>
      <w:r>
        <w:rPr/>
        <w:t>los</w:t>
      </w:r>
      <w:r>
        <w:rPr>
          <w:spacing w:val="-6"/>
        </w:rPr>
        <w:t> </w:t>
      </w:r>
      <w:r>
        <w:rPr/>
        <w:t>insumos</w:t>
      </w:r>
      <w:r>
        <w:rPr>
          <w:spacing w:val="-6"/>
        </w:rPr>
        <w:t> </w:t>
      </w:r>
      <w:r>
        <w:rPr/>
        <w:t>indirectamente</w:t>
      </w:r>
      <w:r>
        <w:rPr>
          <w:spacing w:val="-4"/>
        </w:rPr>
        <w:t> </w:t>
      </w:r>
      <w:r>
        <w:rPr/>
        <w:t>comercializables,</w:t>
      </w:r>
      <w:r>
        <w:rPr>
          <w:spacing w:val="-6"/>
        </w:rPr>
        <w:t> </w:t>
      </w:r>
      <w:r>
        <w:rPr/>
        <w:t>erogando</w:t>
      </w:r>
      <w:r>
        <w:rPr>
          <w:spacing w:val="-2"/>
        </w:rPr>
        <w:t> </w:t>
      </w:r>
      <w:r>
        <w:rPr/>
        <w:t>0.30</w:t>
      </w:r>
      <w:r>
        <w:rPr>
          <w:spacing w:val="-4"/>
        </w:rPr>
        <w:t> </w:t>
      </w:r>
      <w:r>
        <w:rPr/>
        <w:t>y</w:t>
      </w:r>
      <w:r>
        <w:rPr>
          <w:spacing w:val="-11"/>
        </w:rPr>
        <w:t> </w:t>
      </w:r>
      <w:r>
        <w:rPr/>
        <w:t>0.14%</w:t>
      </w:r>
      <w:r>
        <w:rPr>
          <w:spacing w:val="-7"/>
        </w:rPr>
        <w:t> </w:t>
      </w:r>
      <w:r>
        <w:rPr/>
        <w:t>del costo total, este comportamiento refleja la limitada tecnología que utilizan las queserías regionales en el proceso de producción (Tabla</w:t>
      </w:r>
      <w:r>
        <w:rPr>
          <w:spacing w:val="-1"/>
        </w:rPr>
        <w:t> </w:t>
      </w:r>
      <w:r>
        <w:rPr/>
        <w:t>17).</w:t>
      </w:r>
    </w:p>
    <w:p>
      <w:pPr>
        <w:spacing w:after="0" w:line="360" w:lineRule="auto"/>
        <w:jc w:val="both"/>
        <w:sectPr>
          <w:pgSz w:w="12240" w:h="15840"/>
          <w:pgMar w:header="0" w:footer="657" w:top="1360" w:bottom="840" w:left="1580" w:right="1580"/>
        </w:sectPr>
      </w:pPr>
    </w:p>
    <w:p>
      <w:pPr>
        <w:pStyle w:val="BodyText"/>
        <w:spacing w:before="48" w:after="8"/>
        <w:ind w:left="261" w:right="8"/>
      </w:pPr>
      <w:r>
        <w:rPr>
          <w:b/>
        </w:rPr>
        <w:t>Tabla 17. </w:t>
      </w:r>
      <w:r>
        <w:rPr/>
        <w:t>Costos de producción por kilogramo de queso panela y ranchero. Margen absoluto ($/kg) y relativo (%)</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5013,22" stroked="true" strokeweight="2.16pt" strokecolor="#000000"/>
            <v:line style="position:absolute" from="5013,22" to="5056,22" stroked="true" strokeweight="2.16pt" strokecolor="#000000"/>
            <v:line style="position:absolute" from="5056,22" to="6928,22" stroked="true" strokeweight="2.16pt" strokecolor="#000000"/>
            <v:line style="position:absolute" from="6928,22" to="6971,22" stroked="true" strokeweight="2.16pt" strokecolor="#000000"/>
            <v:line style="position:absolute" from="6971,22" to="8863,22" stroked="true" strokeweight="2.16pt" strokecolor="#000000"/>
          </v:group>
        </w:pict>
      </w:r>
      <w:r>
        <w:rPr>
          <w:position w:val="0"/>
          <w:sz w:val="4"/>
        </w:rPr>
      </w:r>
    </w:p>
    <w:p>
      <w:pPr>
        <w:tabs>
          <w:tab w:pos="5419" w:val="left" w:leader="none"/>
          <w:tab w:pos="7236" w:val="left" w:leader="none"/>
        </w:tabs>
        <w:spacing w:before="70"/>
        <w:ind w:left="191" w:right="8" w:firstLine="0"/>
        <w:jc w:val="left"/>
        <w:rPr>
          <w:sz w:val="24"/>
        </w:rPr>
      </w:pPr>
      <w:r>
        <w:rPr/>
        <w:pict>
          <v:shape style="position:absolute;margin-left:84.384003pt;margin-top:21.967014pt;width:442.8pt;height:513.85pt;mso-position-horizontal-relative:page;mso-position-vertical-relative:paragraph;z-index:74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77"/>
                    <w:gridCol w:w="1234"/>
                    <w:gridCol w:w="937"/>
                    <w:gridCol w:w="991"/>
                    <w:gridCol w:w="816"/>
                  </w:tblGrid>
                  <w:tr>
                    <w:trPr>
                      <w:trHeight w:val="275" w:hRule="exact"/>
                    </w:trPr>
                    <w:tc>
                      <w:tcPr>
                        <w:tcW w:w="4877" w:type="dxa"/>
                        <w:tcBorders>
                          <w:bottom w:val="single" w:sz="17" w:space="0" w:color="000000"/>
                        </w:tcBorders>
                      </w:tcPr>
                      <w:p>
                        <w:pPr/>
                      </w:p>
                    </w:tc>
                    <w:tc>
                      <w:tcPr>
                        <w:tcW w:w="1234" w:type="dxa"/>
                        <w:tcBorders>
                          <w:bottom w:val="single" w:sz="17" w:space="0" w:color="000000"/>
                        </w:tcBorders>
                      </w:tcPr>
                      <w:p>
                        <w:pPr>
                          <w:pStyle w:val="TableParagraph"/>
                          <w:spacing w:line="245" w:lineRule="exact"/>
                          <w:ind w:right="198"/>
                          <w:rPr>
                            <w:sz w:val="24"/>
                          </w:rPr>
                        </w:pPr>
                        <w:r>
                          <w:rPr>
                            <w:sz w:val="24"/>
                          </w:rPr>
                          <w:t>($/kg)</w:t>
                        </w:r>
                      </w:p>
                    </w:tc>
                    <w:tc>
                      <w:tcPr>
                        <w:tcW w:w="937" w:type="dxa"/>
                        <w:tcBorders>
                          <w:bottom w:val="single" w:sz="17" w:space="0" w:color="000000"/>
                        </w:tcBorders>
                      </w:tcPr>
                      <w:p>
                        <w:pPr>
                          <w:pStyle w:val="TableParagraph"/>
                          <w:spacing w:line="245" w:lineRule="exact"/>
                          <w:ind w:right="198"/>
                          <w:rPr>
                            <w:sz w:val="24"/>
                          </w:rPr>
                        </w:pPr>
                        <w:r>
                          <w:rPr>
                            <w:sz w:val="24"/>
                          </w:rPr>
                          <w:t>(%)</w:t>
                        </w:r>
                      </w:p>
                    </w:tc>
                    <w:tc>
                      <w:tcPr>
                        <w:tcW w:w="991" w:type="dxa"/>
                        <w:tcBorders>
                          <w:bottom w:val="single" w:sz="17" w:space="0" w:color="000000"/>
                        </w:tcBorders>
                      </w:tcPr>
                      <w:p>
                        <w:pPr>
                          <w:pStyle w:val="TableParagraph"/>
                          <w:spacing w:line="245" w:lineRule="exact"/>
                          <w:ind w:right="206"/>
                          <w:rPr>
                            <w:sz w:val="24"/>
                          </w:rPr>
                        </w:pPr>
                        <w:r>
                          <w:rPr>
                            <w:sz w:val="24"/>
                          </w:rPr>
                          <w:t>($/kg)</w:t>
                        </w:r>
                      </w:p>
                    </w:tc>
                    <w:tc>
                      <w:tcPr>
                        <w:tcW w:w="816" w:type="dxa"/>
                        <w:tcBorders>
                          <w:bottom w:val="single" w:sz="17" w:space="0" w:color="000000"/>
                        </w:tcBorders>
                      </w:tcPr>
                      <w:p>
                        <w:pPr>
                          <w:pStyle w:val="TableParagraph"/>
                          <w:spacing w:line="245" w:lineRule="exact"/>
                          <w:ind w:right="71"/>
                          <w:rPr>
                            <w:sz w:val="24"/>
                          </w:rPr>
                        </w:pPr>
                        <w:r>
                          <w:rPr>
                            <w:sz w:val="24"/>
                          </w:rPr>
                          <w:t>(%)</w:t>
                        </w:r>
                      </w:p>
                    </w:tc>
                  </w:tr>
                  <w:tr>
                    <w:trPr>
                      <w:trHeight w:val="556" w:hRule="exact"/>
                    </w:trPr>
                    <w:tc>
                      <w:tcPr>
                        <w:tcW w:w="4877" w:type="dxa"/>
                        <w:tcBorders>
                          <w:top w:val="single" w:sz="17" w:space="0" w:color="000000"/>
                        </w:tcBorders>
                      </w:tcPr>
                      <w:p>
                        <w:pPr>
                          <w:pStyle w:val="TableParagraph"/>
                          <w:spacing w:line="258" w:lineRule="exact"/>
                          <w:ind w:left="84"/>
                          <w:jc w:val="left"/>
                          <w:rPr>
                            <w:b/>
                            <w:sz w:val="24"/>
                          </w:rPr>
                        </w:pPr>
                        <w:r>
                          <w:rPr>
                            <w:b/>
                            <w:sz w:val="24"/>
                          </w:rPr>
                          <w:t>Insumos comerciables</w:t>
                        </w:r>
                      </w:p>
                      <w:p>
                        <w:pPr>
                          <w:pStyle w:val="TableParagraph"/>
                          <w:spacing w:line="259" w:lineRule="exact"/>
                          <w:ind w:left="266"/>
                          <w:jc w:val="left"/>
                          <w:rPr>
                            <w:sz w:val="24"/>
                          </w:rPr>
                        </w:pPr>
                        <w:r>
                          <w:rPr>
                            <w:sz w:val="24"/>
                          </w:rPr>
                          <w:t>Leche</w:t>
                        </w:r>
                      </w:p>
                    </w:tc>
                    <w:tc>
                      <w:tcPr>
                        <w:tcW w:w="1234" w:type="dxa"/>
                        <w:tcBorders>
                          <w:top w:val="single" w:sz="17" w:space="0" w:color="000000"/>
                        </w:tcBorders>
                      </w:tcPr>
                      <w:p>
                        <w:pPr>
                          <w:pStyle w:val="TableParagraph"/>
                          <w:jc w:val="left"/>
                          <w:rPr>
                            <w:sz w:val="21"/>
                          </w:rPr>
                        </w:pPr>
                      </w:p>
                      <w:p>
                        <w:pPr>
                          <w:pStyle w:val="TableParagraph"/>
                          <w:ind w:right="197"/>
                          <w:rPr>
                            <w:sz w:val="24"/>
                          </w:rPr>
                        </w:pPr>
                        <w:r>
                          <w:rPr>
                            <w:sz w:val="24"/>
                          </w:rPr>
                          <w:t>36.67</w:t>
                        </w:r>
                      </w:p>
                    </w:tc>
                    <w:tc>
                      <w:tcPr>
                        <w:tcW w:w="937" w:type="dxa"/>
                        <w:tcBorders>
                          <w:top w:val="single" w:sz="17" w:space="0" w:color="000000"/>
                        </w:tcBorders>
                      </w:tcPr>
                      <w:p>
                        <w:pPr>
                          <w:pStyle w:val="TableParagraph"/>
                          <w:jc w:val="left"/>
                          <w:rPr>
                            <w:sz w:val="21"/>
                          </w:rPr>
                        </w:pPr>
                      </w:p>
                      <w:p>
                        <w:pPr>
                          <w:pStyle w:val="TableParagraph"/>
                          <w:ind w:right="197"/>
                          <w:rPr>
                            <w:sz w:val="24"/>
                          </w:rPr>
                        </w:pPr>
                        <w:r>
                          <w:rPr>
                            <w:sz w:val="24"/>
                          </w:rPr>
                          <w:t>80.35</w:t>
                        </w:r>
                      </w:p>
                    </w:tc>
                    <w:tc>
                      <w:tcPr>
                        <w:tcW w:w="991" w:type="dxa"/>
                        <w:tcBorders>
                          <w:top w:val="single" w:sz="17" w:space="0" w:color="000000"/>
                        </w:tcBorders>
                      </w:tcPr>
                      <w:p>
                        <w:pPr>
                          <w:pStyle w:val="TableParagraph"/>
                          <w:jc w:val="left"/>
                          <w:rPr>
                            <w:sz w:val="21"/>
                          </w:rPr>
                        </w:pPr>
                      </w:p>
                      <w:p>
                        <w:pPr>
                          <w:pStyle w:val="TableParagraph"/>
                          <w:ind w:right="204"/>
                          <w:rPr>
                            <w:sz w:val="24"/>
                          </w:rPr>
                        </w:pPr>
                        <w:r>
                          <w:rPr>
                            <w:sz w:val="24"/>
                          </w:rPr>
                          <w:t>44.00</w:t>
                        </w:r>
                      </w:p>
                    </w:tc>
                    <w:tc>
                      <w:tcPr>
                        <w:tcW w:w="816" w:type="dxa"/>
                        <w:tcBorders>
                          <w:top w:val="single" w:sz="17" w:space="0" w:color="000000"/>
                        </w:tcBorders>
                      </w:tcPr>
                      <w:p>
                        <w:pPr>
                          <w:pStyle w:val="TableParagraph"/>
                          <w:jc w:val="left"/>
                          <w:rPr>
                            <w:sz w:val="21"/>
                          </w:rPr>
                        </w:pPr>
                      </w:p>
                      <w:p>
                        <w:pPr>
                          <w:pStyle w:val="TableParagraph"/>
                          <w:ind w:right="67"/>
                          <w:rPr>
                            <w:sz w:val="24"/>
                          </w:rPr>
                        </w:pPr>
                        <w:r>
                          <w:rPr>
                            <w:sz w:val="24"/>
                          </w:rPr>
                          <w:t>87.53</w:t>
                        </w:r>
                      </w:p>
                    </w:tc>
                  </w:tr>
                  <w:tr>
                    <w:trPr>
                      <w:trHeight w:val="284" w:hRule="exact"/>
                    </w:trPr>
                    <w:tc>
                      <w:tcPr>
                        <w:tcW w:w="4877" w:type="dxa"/>
                      </w:tcPr>
                      <w:p>
                        <w:pPr>
                          <w:pStyle w:val="TableParagraph"/>
                          <w:spacing w:line="267" w:lineRule="exact"/>
                          <w:ind w:left="264"/>
                          <w:jc w:val="left"/>
                          <w:rPr>
                            <w:sz w:val="24"/>
                          </w:rPr>
                        </w:pPr>
                        <w:r>
                          <w:rPr>
                            <w:sz w:val="24"/>
                          </w:rPr>
                          <w:t>Cuajo</w:t>
                        </w:r>
                      </w:p>
                    </w:tc>
                    <w:tc>
                      <w:tcPr>
                        <w:tcW w:w="1234" w:type="dxa"/>
                      </w:tcPr>
                      <w:p>
                        <w:pPr>
                          <w:pStyle w:val="TableParagraph"/>
                          <w:spacing w:line="267" w:lineRule="exact"/>
                          <w:ind w:right="197"/>
                          <w:rPr>
                            <w:sz w:val="24"/>
                          </w:rPr>
                        </w:pPr>
                        <w:r>
                          <w:rPr>
                            <w:sz w:val="24"/>
                          </w:rPr>
                          <w:t>0.05</w:t>
                        </w:r>
                      </w:p>
                    </w:tc>
                    <w:tc>
                      <w:tcPr>
                        <w:tcW w:w="937" w:type="dxa"/>
                      </w:tcPr>
                      <w:p>
                        <w:pPr>
                          <w:pStyle w:val="TableParagraph"/>
                          <w:spacing w:line="267" w:lineRule="exact"/>
                          <w:ind w:right="197"/>
                          <w:rPr>
                            <w:sz w:val="24"/>
                          </w:rPr>
                        </w:pPr>
                        <w:r>
                          <w:rPr>
                            <w:sz w:val="24"/>
                          </w:rPr>
                          <w:t>0.12</w:t>
                        </w:r>
                      </w:p>
                    </w:tc>
                    <w:tc>
                      <w:tcPr>
                        <w:tcW w:w="991" w:type="dxa"/>
                      </w:tcPr>
                      <w:p>
                        <w:pPr>
                          <w:pStyle w:val="TableParagraph"/>
                          <w:spacing w:line="267" w:lineRule="exact"/>
                          <w:ind w:right="204"/>
                          <w:rPr>
                            <w:sz w:val="24"/>
                          </w:rPr>
                        </w:pPr>
                        <w:r>
                          <w:rPr>
                            <w:sz w:val="24"/>
                          </w:rPr>
                          <w:t>0.06</w:t>
                        </w:r>
                      </w:p>
                    </w:tc>
                    <w:tc>
                      <w:tcPr>
                        <w:tcW w:w="816" w:type="dxa"/>
                      </w:tcPr>
                      <w:p>
                        <w:pPr>
                          <w:pStyle w:val="TableParagraph"/>
                          <w:spacing w:line="267" w:lineRule="exact"/>
                          <w:ind w:right="67"/>
                          <w:rPr>
                            <w:sz w:val="24"/>
                          </w:rPr>
                        </w:pPr>
                        <w:r>
                          <w:rPr>
                            <w:sz w:val="24"/>
                          </w:rPr>
                          <w:t>0.13</w:t>
                        </w:r>
                      </w:p>
                    </w:tc>
                  </w:tr>
                  <w:tr>
                    <w:trPr>
                      <w:trHeight w:val="284" w:hRule="exact"/>
                    </w:trPr>
                    <w:tc>
                      <w:tcPr>
                        <w:tcW w:w="4877" w:type="dxa"/>
                      </w:tcPr>
                      <w:p>
                        <w:pPr>
                          <w:pStyle w:val="TableParagraph"/>
                          <w:spacing w:line="268" w:lineRule="exact"/>
                          <w:ind w:left="264"/>
                          <w:jc w:val="left"/>
                          <w:rPr>
                            <w:sz w:val="24"/>
                          </w:rPr>
                        </w:pPr>
                        <w:r>
                          <w:rPr>
                            <w:sz w:val="24"/>
                          </w:rPr>
                          <w:t>Conservador</w:t>
                        </w:r>
                      </w:p>
                    </w:tc>
                    <w:tc>
                      <w:tcPr>
                        <w:tcW w:w="1234" w:type="dxa"/>
                      </w:tcPr>
                      <w:p>
                        <w:pPr>
                          <w:pStyle w:val="TableParagraph"/>
                          <w:spacing w:line="268" w:lineRule="exact"/>
                          <w:ind w:right="197"/>
                          <w:rPr>
                            <w:sz w:val="24"/>
                          </w:rPr>
                        </w:pPr>
                        <w:r>
                          <w:rPr>
                            <w:sz w:val="24"/>
                          </w:rPr>
                          <w:t>0.03</w:t>
                        </w:r>
                      </w:p>
                    </w:tc>
                    <w:tc>
                      <w:tcPr>
                        <w:tcW w:w="937" w:type="dxa"/>
                      </w:tcPr>
                      <w:p>
                        <w:pPr>
                          <w:pStyle w:val="TableParagraph"/>
                          <w:spacing w:line="268" w:lineRule="exact"/>
                          <w:ind w:right="197"/>
                          <w:rPr>
                            <w:sz w:val="24"/>
                          </w:rPr>
                        </w:pPr>
                        <w:r>
                          <w:rPr>
                            <w:sz w:val="24"/>
                          </w:rPr>
                          <w:t>0.07</w:t>
                        </w:r>
                      </w:p>
                    </w:tc>
                    <w:tc>
                      <w:tcPr>
                        <w:tcW w:w="991" w:type="dxa"/>
                      </w:tcPr>
                      <w:p>
                        <w:pPr>
                          <w:pStyle w:val="TableParagraph"/>
                          <w:spacing w:line="268" w:lineRule="exact"/>
                          <w:ind w:right="204"/>
                          <w:rPr>
                            <w:sz w:val="24"/>
                          </w:rPr>
                        </w:pPr>
                        <w:r>
                          <w:rPr>
                            <w:sz w:val="24"/>
                          </w:rPr>
                          <w:t>0.04</w:t>
                        </w:r>
                      </w:p>
                    </w:tc>
                    <w:tc>
                      <w:tcPr>
                        <w:tcW w:w="816" w:type="dxa"/>
                      </w:tcPr>
                      <w:p>
                        <w:pPr>
                          <w:pStyle w:val="TableParagraph"/>
                          <w:spacing w:line="268" w:lineRule="exact"/>
                          <w:ind w:right="67"/>
                          <w:rPr>
                            <w:sz w:val="24"/>
                          </w:rPr>
                        </w:pPr>
                        <w:r>
                          <w:rPr>
                            <w:sz w:val="24"/>
                          </w:rPr>
                          <w:t>0.08</w:t>
                        </w:r>
                      </w:p>
                    </w:tc>
                  </w:tr>
                  <w:tr>
                    <w:trPr>
                      <w:trHeight w:val="283" w:hRule="exact"/>
                    </w:trPr>
                    <w:tc>
                      <w:tcPr>
                        <w:tcW w:w="4877" w:type="dxa"/>
                      </w:tcPr>
                      <w:p>
                        <w:pPr>
                          <w:pStyle w:val="TableParagraph"/>
                          <w:spacing w:line="267" w:lineRule="exact"/>
                          <w:ind w:left="264"/>
                          <w:jc w:val="left"/>
                          <w:rPr>
                            <w:sz w:val="24"/>
                          </w:rPr>
                        </w:pPr>
                        <w:r>
                          <w:rPr>
                            <w:sz w:val="24"/>
                          </w:rPr>
                          <w:t>Calcio</w:t>
                        </w:r>
                      </w:p>
                    </w:tc>
                    <w:tc>
                      <w:tcPr>
                        <w:tcW w:w="1234" w:type="dxa"/>
                      </w:tcPr>
                      <w:p>
                        <w:pPr>
                          <w:pStyle w:val="TableParagraph"/>
                          <w:spacing w:line="267" w:lineRule="exact"/>
                          <w:ind w:right="197"/>
                          <w:rPr>
                            <w:sz w:val="24"/>
                          </w:rPr>
                        </w:pPr>
                        <w:r>
                          <w:rPr>
                            <w:sz w:val="24"/>
                          </w:rPr>
                          <w:t>0.09</w:t>
                        </w:r>
                      </w:p>
                    </w:tc>
                    <w:tc>
                      <w:tcPr>
                        <w:tcW w:w="937" w:type="dxa"/>
                      </w:tcPr>
                      <w:p>
                        <w:pPr>
                          <w:pStyle w:val="TableParagraph"/>
                          <w:spacing w:line="267" w:lineRule="exact"/>
                          <w:ind w:right="197"/>
                          <w:rPr>
                            <w:sz w:val="24"/>
                          </w:rPr>
                        </w:pPr>
                        <w:r>
                          <w:rPr>
                            <w:sz w:val="24"/>
                          </w:rPr>
                          <w:t>0.21</w:t>
                        </w:r>
                      </w:p>
                    </w:tc>
                    <w:tc>
                      <w:tcPr>
                        <w:tcW w:w="991" w:type="dxa"/>
                      </w:tcPr>
                      <w:p>
                        <w:pPr>
                          <w:pStyle w:val="TableParagraph"/>
                          <w:spacing w:line="267" w:lineRule="exact"/>
                          <w:ind w:right="204"/>
                          <w:rPr>
                            <w:sz w:val="24"/>
                          </w:rPr>
                        </w:pPr>
                        <w:r>
                          <w:rPr>
                            <w:sz w:val="24"/>
                          </w:rPr>
                          <w:t>0.11</w:t>
                        </w:r>
                      </w:p>
                    </w:tc>
                    <w:tc>
                      <w:tcPr>
                        <w:tcW w:w="816" w:type="dxa"/>
                      </w:tcPr>
                      <w:p>
                        <w:pPr>
                          <w:pStyle w:val="TableParagraph"/>
                          <w:spacing w:line="267" w:lineRule="exact"/>
                          <w:ind w:right="67"/>
                          <w:rPr>
                            <w:sz w:val="24"/>
                          </w:rPr>
                        </w:pPr>
                        <w:r>
                          <w:rPr>
                            <w:sz w:val="24"/>
                          </w:rPr>
                          <w:t>0.23</w:t>
                        </w:r>
                      </w:p>
                    </w:tc>
                  </w:tr>
                  <w:tr>
                    <w:trPr>
                      <w:trHeight w:val="284" w:hRule="exact"/>
                    </w:trPr>
                    <w:tc>
                      <w:tcPr>
                        <w:tcW w:w="4877" w:type="dxa"/>
                      </w:tcPr>
                      <w:p>
                        <w:pPr>
                          <w:pStyle w:val="TableParagraph"/>
                          <w:spacing w:line="267" w:lineRule="exact"/>
                          <w:ind w:left="264"/>
                          <w:jc w:val="left"/>
                          <w:rPr>
                            <w:sz w:val="24"/>
                          </w:rPr>
                        </w:pPr>
                        <w:r>
                          <w:rPr>
                            <w:sz w:val="24"/>
                          </w:rPr>
                          <w:t>Sal</w:t>
                        </w:r>
                      </w:p>
                    </w:tc>
                    <w:tc>
                      <w:tcPr>
                        <w:tcW w:w="1234" w:type="dxa"/>
                      </w:tcPr>
                      <w:p>
                        <w:pPr>
                          <w:pStyle w:val="TableParagraph"/>
                          <w:spacing w:line="267" w:lineRule="exact"/>
                          <w:ind w:right="197"/>
                          <w:rPr>
                            <w:sz w:val="24"/>
                          </w:rPr>
                        </w:pPr>
                        <w:r>
                          <w:rPr>
                            <w:sz w:val="24"/>
                          </w:rPr>
                          <w:t>0.16</w:t>
                        </w:r>
                      </w:p>
                    </w:tc>
                    <w:tc>
                      <w:tcPr>
                        <w:tcW w:w="937" w:type="dxa"/>
                      </w:tcPr>
                      <w:p>
                        <w:pPr>
                          <w:pStyle w:val="TableParagraph"/>
                          <w:spacing w:line="267" w:lineRule="exact"/>
                          <w:ind w:right="197"/>
                          <w:rPr>
                            <w:sz w:val="24"/>
                          </w:rPr>
                        </w:pPr>
                        <w:r>
                          <w:rPr>
                            <w:sz w:val="24"/>
                          </w:rPr>
                          <w:t>0.36</w:t>
                        </w:r>
                      </w:p>
                    </w:tc>
                    <w:tc>
                      <w:tcPr>
                        <w:tcW w:w="991" w:type="dxa"/>
                      </w:tcPr>
                      <w:p>
                        <w:pPr>
                          <w:pStyle w:val="TableParagraph"/>
                          <w:spacing w:line="267" w:lineRule="exact"/>
                          <w:ind w:right="204"/>
                          <w:rPr>
                            <w:sz w:val="24"/>
                          </w:rPr>
                        </w:pPr>
                        <w:r>
                          <w:rPr>
                            <w:sz w:val="24"/>
                          </w:rPr>
                          <w:t>0.20</w:t>
                        </w:r>
                      </w:p>
                    </w:tc>
                    <w:tc>
                      <w:tcPr>
                        <w:tcW w:w="816" w:type="dxa"/>
                      </w:tcPr>
                      <w:p>
                        <w:pPr>
                          <w:pStyle w:val="TableParagraph"/>
                          <w:spacing w:line="267" w:lineRule="exact"/>
                          <w:ind w:right="67"/>
                          <w:rPr>
                            <w:sz w:val="24"/>
                          </w:rPr>
                        </w:pPr>
                        <w:r>
                          <w:rPr>
                            <w:sz w:val="24"/>
                          </w:rPr>
                          <w:t>0.39</w:t>
                        </w:r>
                      </w:p>
                    </w:tc>
                  </w:tr>
                  <w:tr>
                    <w:trPr>
                      <w:trHeight w:val="284" w:hRule="exact"/>
                    </w:trPr>
                    <w:tc>
                      <w:tcPr>
                        <w:tcW w:w="4877" w:type="dxa"/>
                      </w:tcPr>
                      <w:p>
                        <w:pPr>
                          <w:pStyle w:val="TableParagraph"/>
                          <w:spacing w:line="268" w:lineRule="exact"/>
                          <w:ind w:left="264"/>
                          <w:jc w:val="left"/>
                          <w:rPr>
                            <w:sz w:val="24"/>
                          </w:rPr>
                        </w:pPr>
                        <w:r>
                          <w:rPr>
                            <w:sz w:val="24"/>
                          </w:rPr>
                          <w:t>Bolsas</w:t>
                        </w:r>
                      </w:p>
                    </w:tc>
                    <w:tc>
                      <w:tcPr>
                        <w:tcW w:w="1234" w:type="dxa"/>
                      </w:tcPr>
                      <w:p>
                        <w:pPr>
                          <w:pStyle w:val="TableParagraph"/>
                          <w:spacing w:line="268" w:lineRule="exact"/>
                          <w:ind w:right="197"/>
                          <w:rPr>
                            <w:sz w:val="24"/>
                          </w:rPr>
                        </w:pPr>
                        <w:r>
                          <w:rPr>
                            <w:sz w:val="24"/>
                          </w:rPr>
                          <w:t>0.08</w:t>
                        </w:r>
                      </w:p>
                    </w:tc>
                    <w:tc>
                      <w:tcPr>
                        <w:tcW w:w="937" w:type="dxa"/>
                      </w:tcPr>
                      <w:p>
                        <w:pPr>
                          <w:pStyle w:val="TableParagraph"/>
                          <w:spacing w:line="268" w:lineRule="exact"/>
                          <w:ind w:right="197"/>
                          <w:rPr>
                            <w:sz w:val="24"/>
                          </w:rPr>
                        </w:pPr>
                        <w:r>
                          <w:rPr>
                            <w:sz w:val="24"/>
                          </w:rPr>
                          <w:t>0.16</w:t>
                        </w:r>
                      </w:p>
                    </w:tc>
                    <w:tc>
                      <w:tcPr>
                        <w:tcW w:w="991" w:type="dxa"/>
                      </w:tcPr>
                      <w:p>
                        <w:pPr>
                          <w:pStyle w:val="TableParagraph"/>
                          <w:spacing w:line="268" w:lineRule="exact"/>
                          <w:ind w:right="204"/>
                          <w:rPr>
                            <w:sz w:val="24"/>
                          </w:rPr>
                        </w:pPr>
                        <w:r>
                          <w:rPr>
                            <w:sz w:val="24"/>
                          </w:rPr>
                          <w:t>0.10</w:t>
                        </w:r>
                      </w:p>
                    </w:tc>
                    <w:tc>
                      <w:tcPr>
                        <w:tcW w:w="816" w:type="dxa"/>
                      </w:tcPr>
                      <w:p>
                        <w:pPr>
                          <w:pStyle w:val="TableParagraph"/>
                          <w:spacing w:line="268" w:lineRule="exact"/>
                          <w:ind w:right="67"/>
                          <w:rPr>
                            <w:sz w:val="24"/>
                          </w:rPr>
                        </w:pPr>
                        <w:r>
                          <w:rPr>
                            <w:sz w:val="24"/>
                          </w:rPr>
                          <w:t>0.20</w:t>
                        </w:r>
                      </w:p>
                    </w:tc>
                  </w:tr>
                  <w:tr>
                    <w:trPr>
                      <w:trHeight w:val="284" w:hRule="exact"/>
                    </w:trPr>
                    <w:tc>
                      <w:tcPr>
                        <w:tcW w:w="4877" w:type="dxa"/>
                      </w:tcPr>
                      <w:p>
                        <w:pPr>
                          <w:pStyle w:val="TableParagraph"/>
                          <w:spacing w:line="267" w:lineRule="exact"/>
                          <w:ind w:left="264"/>
                          <w:jc w:val="left"/>
                          <w:rPr>
                            <w:sz w:val="24"/>
                          </w:rPr>
                        </w:pPr>
                        <w:r>
                          <w:rPr>
                            <w:sz w:val="24"/>
                          </w:rPr>
                          <w:t>Hielo</w:t>
                        </w:r>
                      </w:p>
                    </w:tc>
                    <w:tc>
                      <w:tcPr>
                        <w:tcW w:w="1234" w:type="dxa"/>
                      </w:tcPr>
                      <w:p>
                        <w:pPr>
                          <w:pStyle w:val="TableParagraph"/>
                          <w:spacing w:line="267" w:lineRule="exact"/>
                          <w:ind w:right="197"/>
                          <w:rPr>
                            <w:sz w:val="24"/>
                          </w:rPr>
                        </w:pPr>
                        <w:r>
                          <w:rPr>
                            <w:sz w:val="24"/>
                          </w:rPr>
                          <w:t>0.00</w:t>
                        </w:r>
                      </w:p>
                    </w:tc>
                    <w:tc>
                      <w:tcPr>
                        <w:tcW w:w="937" w:type="dxa"/>
                      </w:tcPr>
                      <w:p>
                        <w:pPr>
                          <w:pStyle w:val="TableParagraph"/>
                          <w:spacing w:line="267" w:lineRule="exact"/>
                          <w:ind w:right="197"/>
                          <w:rPr>
                            <w:sz w:val="24"/>
                          </w:rPr>
                        </w:pPr>
                        <w:r>
                          <w:rPr>
                            <w:sz w:val="24"/>
                          </w:rPr>
                          <w:t>0.00</w:t>
                        </w:r>
                      </w:p>
                    </w:tc>
                    <w:tc>
                      <w:tcPr>
                        <w:tcW w:w="991" w:type="dxa"/>
                      </w:tcPr>
                      <w:p>
                        <w:pPr>
                          <w:pStyle w:val="TableParagraph"/>
                          <w:spacing w:line="267" w:lineRule="exact"/>
                          <w:ind w:right="204"/>
                          <w:rPr>
                            <w:sz w:val="24"/>
                          </w:rPr>
                        </w:pPr>
                        <w:r>
                          <w:rPr>
                            <w:sz w:val="24"/>
                          </w:rPr>
                          <w:t>0.57</w:t>
                        </w:r>
                      </w:p>
                    </w:tc>
                    <w:tc>
                      <w:tcPr>
                        <w:tcW w:w="816" w:type="dxa"/>
                      </w:tcPr>
                      <w:p>
                        <w:pPr>
                          <w:pStyle w:val="TableParagraph"/>
                          <w:spacing w:line="267" w:lineRule="exact"/>
                          <w:ind w:right="67"/>
                          <w:rPr>
                            <w:sz w:val="24"/>
                          </w:rPr>
                        </w:pPr>
                        <w:r>
                          <w:rPr>
                            <w:sz w:val="24"/>
                          </w:rPr>
                          <w:t>1.14</w:t>
                        </w:r>
                      </w:p>
                    </w:tc>
                  </w:tr>
                  <w:tr>
                    <w:trPr>
                      <w:trHeight w:val="285" w:hRule="exact"/>
                    </w:trPr>
                    <w:tc>
                      <w:tcPr>
                        <w:tcW w:w="4877" w:type="dxa"/>
                      </w:tcPr>
                      <w:p>
                        <w:pPr>
                          <w:pStyle w:val="TableParagraph"/>
                          <w:spacing w:line="267" w:lineRule="exact"/>
                          <w:ind w:left="264"/>
                          <w:jc w:val="left"/>
                          <w:rPr>
                            <w:sz w:val="24"/>
                          </w:rPr>
                        </w:pPr>
                        <w:r>
                          <w:rPr>
                            <w:sz w:val="24"/>
                          </w:rPr>
                          <w:t>Combustible</w:t>
                        </w:r>
                      </w:p>
                    </w:tc>
                    <w:tc>
                      <w:tcPr>
                        <w:tcW w:w="1234" w:type="dxa"/>
                      </w:tcPr>
                      <w:p>
                        <w:pPr>
                          <w:pStyle w:val="TableParagraph"/>
                          <w:spacing w:line="267" w:lineRule="exact"/>
                          <w:ind w:right="197"/>
                          <w:rPr>
                            <w:sz w:val="24"/>
                          </w:rPr>
                        </w:pPr>
                        <w:r>
                          <w:rPr>
                            <w:sz w:val="24"/>
                          </w:rPr>
                          <w:t>1.64</w:t>
                        </w:r>
                      </w:p>
                    </w:tc>
                    <w:tc>
                      <w:tcPr>
                        <w:tcW w:w="937" w:type="dxa"/>
                      </w:tcPr>
                      <w:p>
                        <w:pPr>
                          <w:pStyle w:val="TableParagraph"/>
                          <w:spacing w:line="267" w:lineRule="exact"/>
                          <w:ind w:right="197"/>
                          <w:rPr>
                            <w:sz w:val="24"/>
                          </w:rPr>
                        </w:pPr>
                        <w:r>
                          <w:rPr>
                            <w:sz w:val="24"/>
                          </w:rPr>
                          <w:t>3.60</w:t>
                        </w:r>
                      </w:p>
                    </w:tc>
                    <w:tc>
                      <w:tcPr>
                        <w:tcW w:w="991" w:type="dxa"/>
                      </w:tcPr>
                      <w:p>
                        <w:pPr>
                          <w:pStyle w:val="TableParagraph"/>
                          <w:spacing w:line="267" w:lineRule="exact"/>
                          <w:ind w:right="204"/>
                          <w:rPr>
                            <w:sz w:val="24"/>
                          </w:rPr>
                        </w:pPr>
                        <w:r>
                          <w:rPr>
                            <w:sz w:val="24"/>
                          </w:rPr>
                          <w:t>1.64</w:t>
                        </w:r>
                      </w:p>
                    </w:tc>
                    <w:tc>
                      <w:tcPr>
                        <w:tcW w:w="816" w:type="dxa"/>
                      </w:tcPr>
                      <w:p>
                        <w:pPr>
                          <w:pStyle w:val="TableParagraph"/>
                          <w:spacing w:line="267" w:lineRule="exact"/>
                          <w:ind w:right="67"/>
                          <w:rPr>
                            <w:sz w:val="24"/>
                          </w:rPr>
                        </w:pPr>
                        <w:r>
                          <w:rPr>
                            <w:sz w:val="24"/>
                          </w:rPr>
                          <w:t>3.27</w:t>
                        </w:r>
                      </w:p>
                    </w:tc>
                  </w:tr>
                  <w:tr>
                    <w:trPr>
                      <w:trHeight w:val="284" w:hRule="exact"/>
                    </w:trPr>
                    <w:tc>
                      <w:tcPr>
                        <w:tcW w:w="4877" w:type="dxa"/>
                      </w:tcPr>
                      <w:p>
                        <w:pPr>
                          <w:pStyle w:val="TableParagraph"/>
                          <w:spacing w:line="268" w:lineRule="exact"/>
                          <w:ind w:left="84"/>
                          <w:jc w:val="left"/>
                          <w:rPr>
                            <w:sz w:val="24"/>
                          </w:rPr>
                        </w:pPr>
                        <w:r>
                          <w:rPr>
                            <w:sz w:val="24"/>
                          </w:rPr>
                          <w:t>Materiales diversos</w:t>
                        </w:r>
                      </w:p>
                    </w:tc>
                    <w:tc>
                      <w:tcPr>
                        <w:tcW w:w="1234" w:type="dxa"/>
                      </w:tcPr>
                      <w:p>
                        <w:pPr>
                          <w:pStyle w:val="TableParagraph"/>
                          <w:spacing w:line="268" w:lineRule="exact"/>
                          <w:ind w:right="197"/>
                          <w:rPr>
                            <w:sz w:val="24"/>
                          </w:rPr>
                        </w:pPr>
                        <w:r>
                          <w:rPr>
                            <w:sz w:val="24"/>
                          </w:rPr>
                          <w:t>0.13</w:t>
                        </w:r>
                      </w:p>
                    </w:tc>
                    <w:tc>
                      <w:tcPr>
                        <w:tcW w:w="937" w:type="dxa"/>
                      </w:tcPr>
                      <w:p>
                        <w:pPr>
                          <w:pStyle w:val="TableParagraph"/>
                          <w:spacing w:line="268" w:lineRule="exact"/>
                          <w:ind w:right="197"/>
                          <w:rPr>
                            <w:sz w:val="24"/>
                          </w:rPr>
                        </w:pPr>
                        <w:r>
                          <w:rPr>
                            <w:sz w:val="24"/>
                          </w:rPr>
                          <w:t>0.29</w:t>
                        </w:r>
                      </w:p>
                    </w:tc>
                    <w:tc>
                      <w:tcPr>
                        <w:tcW w:w="991" w:type="dxa"/>
                      </w:tcPr>
                      <w:p>
                        <w:pPr>
                          <w:pStyle w:val="TableParagraph"/>
                          <w:spacing w:line="268" w:lineRule="exact"/>
                          <w:ind w:right="204"/>
                          <w:rPr>
                            <w:sz w:val="24"/>
                          </w:rPr>
                        </w:pPr>
                        <w:r>
                          <w:rPr>
                            <w:sz w:val="24"/>
                          </w:rPr>
                          <w:t>0.05</w:t>
                        </w:r>
                      </w:p>
                    </w:tc>
                    <w:tc>
                      <w:tcPr>
                        <w:tcW w:w="816" w:type="dxa"/>
                      </w:tcPr>
                      <w:p>
                        <w:pPr>
                          <w:pStyle w:val="TableParagraph"/>
                          <w:spacing w:line="268" w:lineRule="exact"/>
                          <w:ind w:right="67"/>
                          <w:rPr>
                            <w:sz w:val="24"/>
                          </w:rPr>
                        </w:pPr>
                        <w:r>
                          <w:rPr>
                            <w:sz w:val="24"/>
                          </w:rPr>
                          <w:t>0.10</w:t>
                        </w:r>
                      </w:p>
                    </w:tc>
                  </w:tr>
                  <w:tr>
                    <w:trPr>
                      <w:trHeight w:val="283" w:hRule="exact"/>
                    </w:trPr>
                    <w:tc>
                      <w:tcPr>
                        <w:tcW w:w="4877" w:type="dxa"/>
                      </w:tcPr>
                      <w:p>
                        <w:pPr>
                          <w:pStyle w:val="TableParagraph"/>
                          <w:spacing w:line="267" w:lineRule="exact"/>
                          <w:ind w:left="323"/>
                          <w:jc w:val="left"/>
                          <w:rPr>
                            <w:sz w:val="24"/>
                          </w:rPr>
                        </w:pPr>
                        <w:r>
                          <w:rPr>
                            <w:sz w:val="24"/>
                          </w:rPr>
                          <w:t>Cajas de plástico (taras)</w:t>
                        </w:r>
                      </w:p>
                    </w:tc>
                    <w:tc>
                      <w:tcPr>
                        <w:tcW w:w="1234" w:type="dxa"/>
                      </w:tcPr>
                      <w:p>
                        <w:pPr>
                          <w:pStyle w:val="TableParagraph"/>
                          <w:spacing w:line="267" w:lineRule="exact"/>
                          <w:ind w:right="197"/>
                          <w:rPr>
                            <w:sz w:val="24"/>
                          </w:rPr>
                        </w:pPr>
                        <w:r>
                          <w:rPr>
                            <w:sz w:val="24"/>
                          </w:rPr>
                          <w:t>0.02</w:t>
                        </w:r>
                      </w:p>
                    </w:tc>
                    <w:tc>
                      <w:tcPr>
                        <w:tcW w:w="937" w:type="dxa"/>
                      </w:tcPr>
                      <w:p>
                        <w:pPr>
                          <w:pStyle w:val="TableParagraph"/>
                          <w:spacing w:line="267" w:lineRule="exact"/>
                          <w:ind w:right="197"/>
                          <w:rPr>
                            <w:sz w:val="24"/>
                          </w:rPr>
                        </w:pPr>
                        <w:r>
                          <w:rPr>
                            <w:sz w:val="24"/>
                          </w:rPr>
                          <w:t>0.04</w:t>
                        </w:r>
                      </w:p>
                    </w:tc>
                    <w:tc>
                      <w:tcPr>
                        <w:tcW w:w="991" w:type="dxa"/>
                      </w:tcPr>
                      <w:p>
                        <w:pPr>
                          <w:pStyle w:val="TableParagraph"/>
                          <w:spacing w:line="267" w:lineRule="exact"/>
                          <w:ind w:right="204"/>
                          <w:rPr>
                            <w:sz w:val="24"/>
                          </w:rPr>
                        </w:pPr>
                        <w:r>
                          <w:rPr>
                            <w:sz w:val="24"/>
                          </w:rPr>
                          <w:t>0.01</w:t>
                        </w:r>
                      </w:p>
                    </w:tc>
                    <w:tc>
                      <w:tcPr>
                        <w:tcW w:w="816" w:type="dxa"/>
                      </w:tcPr>
                      <w:p>
                        <w:pPr>
                          <w:pStyle w:val="TableParagraph"/>
                          <w:spacing w:line="267" w:lineRule="exact"/>
                          <w:ind w:right="67"/>
                          <w:rPr>
                            <w:sz w:val="24"/>
                          </w:rPr>
                        </w:pPr>
                        <w:r>
                          <w:rPr>
                            <w:sz w:val="24"/>
                          </w:rPr>
                          <w:t>0.02</w:t>
                        </w:r>
                      </w:p>
                    </w:tc>
                  </w:tr>
                  <w:tr>
                    <w:trPr>
                      <w:trHeight w:val="284" w:hRule="exact"/>
                    </w:trPr>
                    <w:tc>
                      <w:tcPr>
                        <w:tcW w:w="4877" w:type="dxa"/>
                      </w:tcPr>
                      <w:p>
                        <w:pPr>
                          <w:pStyle w:val="TableParagraph"/>
                          <w:spacing w:line="267" w:lineRule="exact"/>
                          <w:ind w:left="323"/>
                          <w:jc w:val="left"/>
                          <w:rPr>
                            <w:sz w:val="24"/>
                          </w:rPr>
                        </w:pPr>
                        <w:r>
                          <w:rPr>
                            <w:sz w:val="24"/>
                          </w:rPr>
                          <w:t>Botes plástico</w:t>
                        </w:r>
                      </w:p>
                    </w:tc>
                    <w:tc>
                      <w:tcPr>
                        <w:tcW w:w="1234" w:type="dxa"/>
                      </w:tcPr>
                      <w:p>
                        <w:pPr>
                          <w:pStyle w:val="TableParagraph"/>
                          <w:spacing w:line="267" w:lineRule="exact"/>
                          <w:ind w:right="197"/>
                          <w:rPr>
                            <w:sz w:val="24"/>
                          </w:rPr>
                        </w:pPr>
                        <w:r>
                          <w:rPr>
                            <w:sz w:val="24"/>
                          </w:rPr>
                          <w:t>0.01</w:t>
                        </w:r>
                      </w:p>
                    </w:tc>
                    <w:tc>
                      <w:tcPr>
                        <w:tcW w:w="937" w:type="dxa"/>
                      </w:tcPr>
                      <w:p>
                        <w:pPr>
                          <w:pStyle w:val="TableParagraph"/>
                          <w:spacing w:line="267" w:lineRule="exact"/>
                          <w:ind w:right="197"/>
                          <w:rPr>
                            <w:sz w:val="24"/>
                          </w:rPr>
                        </w:pPr>
                        <w:r>
                          <w:rPr>
                            <w:sz w:val="24"/>
                          </w:rPr>
                          <w:t>0.03</w:t>
                        </w:r>
                      </w:p>
                    </w:tc>
                    <w:tc>
                      <w:tcPr>
                        <w:tcW w:w="991" w:type="dxa"/>
                      </w:tcPr>
                      <w:p>
                        <w:pPr>
                          <w:pStyle w:val="TableParagraph"/>
                          <w:spacing w:line="267" w:lineRule="exact"/>
                          <w:ind w:right="204"/>
                          <w:rPr>
                            <w:sz w:val="24"/>
                          </w:rPr>
                        </w:pPr>
                        <w:r>
                          <w:rPr>
                            <w:sz w:val="24"/>
                          </w:rPr>
                          <w:t>0.01</w:t>
                        </w:r>
                      </w:p>
                    </w:tc>
                    <w:tc>
                      <w:tcPr>
                        <w:tcW w:w="816" w:type="dxa"/>
                      </w:tcPr>
                      <w:p>
                        <w:pPr>
                          <w:pStyle w:val="TableParagraph"/>
                          <w:spacing w:line="267" w:lineRule="exact"/>
                          <w:ind w:right="67"/>
                          <w:rPr>
                            <w:sz w:val="24"/>
                          </w:rPr>
                        </w:pPr>
                        <w:r>
                          <w:rPr>
                            <w:sz w:val="24"/>
                          </w:rPr>
                          <w:t>0.01</w:t>
                        </w:r>
                      </w:p>
                    </w:tc>
                  </w:tr>
                  <w:tr>
                    <w:trPr>
                      <w:trHeight w:val="284" w:hRule="exact"/>
                    </w:trPr>
                    <w:tc>
                      <w:tcPr>
                        <w:tcW w:w="4877" w:type="dxa"/>
                      </w:tcPr>
                      <w:p>
                        <w:pPr>
                          <w:pStyle w:val="TableParagraph"/>
                          <w:spacing w:line="268" w:lineRule="exact"/>
                          <w:ind w:left="323"/>
                          <w:jc w:val="left"/>
                          <w:rPr>
                            <w:sz w:val="24"/>
                          </w:rPr>
                        </w:pPr>
                        <w:r>
                          <w:rPr>
                            <w:sz w:val="24"/>
                          </w:rPr>
                          <w:t>Cubetas</w:t>
                        </w:r>
                      </w:p>
                    </w:tc>
                    <w:tc>
                      <w:tcPr>
                        <w:tcW w:w="1234" w:type="dxa"/>
                      </w:tcPr>
                      <w:p>
                        <w:pPr>
                          <w:pStyle w:val="TableParagraph"/>
                          <w:spacing w:line="268" w:lineRule="exact"/>
                          <w:ind w:right="197"/>
                          <w:rPr>
                            <w:sz w:val="24"/>
                          </w:rPr>
                        </w:pPr>
                        <w:r>
                          <w:rPr>
                            <w:sz w:val="24"/>
                          </w:rPr>
                          <w:t>0.01</w:t>
                        </w:r>
                      </w:p>
                    </w:tc>
                    <w:tc>
                      <w:tcPr>
                        <w:tcW w:w="937" w:type="dxa"/>
                      </w:tcPr>
                      <w:p>
                        <w:pPr>
                          <w:pStyle w:val="TableParagraph"/>
                          <w:spacing w:line="268" w:lineRule="exact"/>
                          <w:ind w:right="197"/>
                          <w:rPr>
                            <w:sz w:val="24"/>
                          </w:rPr>
                        </w:pPr>
                        <w:r>
                          <w:rPr>
                            <w:sz w:val="24"/>
                          </w:rPr>
                          <w:t>0.01</w:t>
                        </w:r>
                      </w:p>
                    </w:tc>
                    <w:tc>
                      <w:tcPr>
                        <w:tcW w:w="991" w:type="dxa"/>
                      </w:tcPr>
                      <w:p>
                        <w:pPr>
                          <w:pStyle w:val="TableParagraph"/>
                          <w:spacing w:line="268" w:lineRule="exact"/>
                          <w:ind w:right="204"/>
                          <w:rPr>
                            <w:sz w:val="24"/>
                          </w:rPr>
                        </w:pPr>
                        <w:r>
                          <w:rPr>
                            <w:sz w:val="24"/>
                          </w:rPr>
                          <w:t>0.01</w:t>
                        </w:r>
                      </w:p>
                    </w:tc>
                    <w:tc>
                      <w:tcPr>
                        <w:tcW w:w="816" w:type="dxa"/>
                      </w:tcPr>
                      <w:p>
                        <w:pPr>
                          <w:pStyle w:val="TableParagraph"/>
                          <w:spacing w:line="268" w:lineRule="exact"/>
                          <w:ind w:right="67"/>
                          <w:rPr>
                            <w:sz w:val="24"/>
                          </w:rPr>
                        </w:pPr>
                        <w:r>
                          <w:rPr>
                            <w:sz w:val="24"/>
                          </w:rPr>
                          <w:t>0.01</w:t>
                        </w:r>
                      </w:p>
                    </w:tc>
                  </w:tr>
                  <w:tr>
                    <w:trPr>
                      <w:trHeight w:val="283" w:hRule="exact"/>
                    </w:trPr>
                    <w:tc>
                      <w:tcPr>
                        <w:tcW w:w="4877" w:type="dxa"/>
                      </w:tcPr>
                      <w:p>
                        <w:pPr>
                          <w:pStyle w:val="TableParagraph"/>
                          <w:spacing w:line="267" w:lineRule="exact"/>
                          <w:ind w:left="323"/>
                          <w:jc w:val="left"/>
                          <w:rPr>
                            <w:sz w:val="24"/>
                          </w:rPr>
                        </w:pPr>
                        <w:r>
                          <w:rPr>
                            <w:sz w:val="24"/>
                          </w:rPr>
                          <w:t>Agitados</w:t>
                        </w:r>
                      </w:p>
                    </w:tc>
                    <w:tc>
                      <w:tcPr>
                        <w:tcW w:w="1234" w:type="dxa"/>
                      </w:tcPr>
                      <w:p>
                        <w:pPr>
                          <w:pStyle w:val="TableParagraph"/>
                          <w:spacing w:line="267" w:lineRule="exact"/>
                          <w:ind w:right="197"/>
                          <w:rPr>
                            <w:sz w:val="24"/>
                          </w:rPr>
                        </w:pPr>
                        <w:r>
                          <w:rPr>
                            <w:sz w:val="24"/>
                          </w:rPr>
                          <w:t>0.01</w:t>
                        </w:r>
                      </w:p>
                    </w:tc>
                    <w:tc>
                      <w:tcPr>
                        <w:tcW w:w="937" w:type="dxa"/>
                      </w:tcPr>
                      <w:p>
                        <w:pPr>
                          <w:pStyle w:val="TableParagraph"/>
                          <w:spacing w:line="267" w:lineRule="exact"/>
                          <w:ind w:right="197"/>
                          <w:rPr>
                            <w:sz w:val="24"/>
                          </w:rPr>
                        </w:pPr>
                        <w:r>
                          <w:rPr>
                            <w:sz w:val="24"/>
                          </w:rPr>
                          <w:t>0.02</w:t>
                        </w:r>
                      </w:p>
                    </w:tc>
                    <w:tc>
                      <w:tcPr>
                        <w:tcW w:w="991" w:type="dxa"/>
                      </w:tcPr>
                      <w:p>
                        <w:pPr>
                          <w:pStyle w:val="TableParagraph"/>
                          <w:spacing w:line="267" w:lineRule="exact"/>
                          <w:ind w:right="204"/>
                          <w:rPr>
                            <w:sz w:val="24"/>
                          </w:rPr>
                        </w:pPr>
                        <w:r>
                          <w:rPr>
                            <w:sz w:val="24"/>
                          </w:rPr>
                          <w:t>0.01</w:t>
                        </w:r>
                      </w:p>
                    </w:tc>
                    <w:tc>
                      <w:tcPr>
                        <w:tcW w:w="816" w:type="dxa"/>
                      </w:tcPr>
                      <w:p>
                        <w:pPr>
                          <w:pStyle w:val="TableParagraph"/>
                          <w:spacing w:line="267" w:lineRule="exact"/>
                          <w:ind w:right="67"/>
                          <w:rPr>
                            <w:sz w:val="24"/>
                          </w:rPr>
                        </w:pPr>
                        <w:r>
                          <w:rPr>
                            <w:sz w:val="24"/>
                          </w:rPr>
                          <w:t>0.01</w:t>
                        </w:r>
                      </w:p>
                    </w:tc>
                  </w:tr>
                  <w:tr>
                    <w:trPr>
                      <w:trHeight w:val="284" w:hRule="exact"/>
                    </w:trPr>
                    <w:tc>
                      <w:tcPr>
                        <w:tcW w:w="4877" w:type="dxa"/>
                      </w:tcPr>
                      <w:p>
                        <w:pPr>
                          <w:pStyle w:val="TableParagraph"/>
                          <w:spacing w:line="267" w:lineRule="exact"/>
                          <w:ind w:left="323"/>
                          <w:jc w:val="left"/>
                          <w:rPr>
                            <w:sz w:val="24"/>
                          </w:rPr>
                        </w:pPr>
                        <w:r>
                          <w:rPr>
                            <w:sz w:val="24"/>
                          </w:rPr>
                          <w:t>Colocadores</w:t>
                        </w:r>
                      </w:p>
                    </w:tc>
                    <w:tc>
                      <w:tcPr>
                        <w:tcW w:w="1234" w:type="dxa"/>
                      </w:tcPr>
                      <w:p>
                        <w:pPr>
                          <w:pStyle w:val="TableParagraph"/>
                          <w:spacing w:line="267" w:lineRule="exact"/>
                          <w:ind w:right="197"/>
                          <w:rPr>
                            <w:sz w:val="24"/>
                          </w:rPr>
                        </w:pPr>
                        <w:r>
                          <w:rPr>
                            <w:sz w:val="24"/>
                          </w:rPr>
                          <w:t>0.01</w:t>
                        </w:r>
                      </w:p>
                    </w:tc>
                    <w:tc>
                      <w:tcPr>
                        <w:tcW w:w="937" w:type="dxa"/>
                      </w:tcPr>
                      <w:p>
                        <w:pPr>
                          <w:pStyle w:val="TableParagraph"/>
                          <w:spacing w:line="267" w:lineRule="exact"/>
                          <w:ind w:right="197"/>
                          <w:rPr>
                            <w:sz w:val="24"/>
                          </w:rPr>
                        </w:pPr>
                        <w:r>
                          <w:rPr>
                            <w:sz w:val="24"/>
                          </w:rPr>
                          <w:t>0.02</w:t>
                        </w:r>
                      </w:p>
                    </w:tc>
                    <w:tc>
                      <w:tcPr>
                        <w:tcW w:w="991" w:type="dxa"/>
                      </w:tcPr>
                      <w:p>
                        <w:pPr>
                          <w:pStyle w:val="TableParagraph"/>
                          <w:spacing w:line="267" w:lineRule="exact"/>
                          <w:ind w:right="204"/>
                          <w:rPr>
                            <w:sz w:val="24"/>
                          </w:rPr>
                        </w:pPr>
                        <w:r>
                          <w:rPr>
                            <w:sz w:val="24"/>
                          </w:rPr>
                          <w:t>0.01</w:t>
                        </w:r>
                      </w:p>
                    </w:tc>
                    <w:tc>
                      <w:tcPr>
                        <w:tcW w:w="816" w:type="dxa"/>
                      </w:tcPr>
                      <w:p>
                        <w:pPr>
                          <w:pStyle w:val="TableParagraph"/>
                          <w:spacing w:line="267" w:lineRule="exact"/>
                          <w:ind w:right="67"/>
                          <w:rPr>
                            <w:sz w:val="24"/>
                          </w:rPr>
                        </w:pPr>
                        <w:r>
                          <w:rPr>
                            <w:sz w:val="24"/>
                          </w:rPr>
                          <w:t>0.01</w:t>
                        </w:r>
                      </w:p>
                    </w:tc>
                  </w:tr>
                  <w:tr>
                    <w:trPr>
                      <w:trHeight w:val="284" w:hRule="exact"/>
                    </w:trPr>
                    <w:tc>
                      <w:tcPr>
                        <w:tcW w:w="4877" w:type="dxa"/>
                      </w:tcPr>
                      <w:p>
                        <w:pPr>
                          <w:pStyle w:val="TableParagraph"/>
                          <w:spacing w:line="268" w:lineRule="exact"/>
                          <w:ind w:left="323"/>
                          <w:jc w:val="left"/>
                          <w:rPr>
                            <w:sz w:val="24"/>
                          </w:rPr>
                        </w:pPr>
                        <w:r>
                          <w:rPr>
                            <w:sz w:val="24"/>
                          </w:rPr>
                          <w:t>Mandiles</w:t>
                        </w:r>
                      </w:p>
                    </w:tc>
                    <w:tc>
                      <w:tcPr>
                        <w:tcW w:w="1234" w:type="dxa"/>
                      </w:tcPr>
                      <w:p>
                        <w:pPr>
                          <w:pStyle w:val="TableParagraph"/>
                          <w:spacing w:line="268" w:lineRule="exact"/>
                          <w:ind w:right="197"/>
                          <w:rPr>
                            <w:sz w:val="24"/>
                          </w:rPr>
                        </w:pPr>
                        <w:r>
                          <w:rPr>
                            <w:sz w:val="24"/>
                          </w:rPr>
                          <w:t>0.04</w:t>
                        </w:r>
                      </w:p>
                    </w:tc>
                    <w:tc>
                      <w:tcPr>
                        <w:tcW w:w="937" w:type="dxa"/>
                      </w:tcPr>
                      <w:p>
                        <w:pPr>
                          <w:pStyle w:val="TableParagraph"/>
                          <w:spacing w:line="268" w:lineRule="exact"/>
                          <w:ind w:right="197"/>
                          <w:rPr>
                            <w:sz w:val="24"/>
                          </w:rPr>
                        </w:pPr>
                        <w:r>
                          <w:rPr>
                            <w:sz w:val="24"/>
                          </w:rPr>
                          <w:t>0.08</w:t>
                        </w:r>
                      </w:p>
                    </w:tc>
                    <w:tc>
                      <w:tcPr>
                        <w:tcW w:w="991" w:type="dxa"/>
                      </w:tcPr>
                      <w:p>
                        <w:pPr>
                          <w:pStyle w:val="TableParagraph"/>
                          <w:spacing w:line="268" w:lineRule="exact"/>
                          <w:ind w:right="204"/>
                          <w:rPr>
                            <w:sz w:val="24"/>
                          </w:rPr>
                        </w:pPr>
                        <w:r>
                          <w:rPr>
                            <w:sz w:val="24"/>
                          </w:rPr>
                          <w:t>0.02</w:t>
                        </w:r>
                      </w:p>
                    </w:tc>
                    <w:tc>
                      <w:tcPr>
                        <w:tcW w:w="816" w:type="dxa"/>
                      </w:tcPr>
                      <w:p>
                        <w:pPr>
                          <w:pStyle w:val="TableParagraph"/>
                          <w:spacing w:line="268" w:lineRule="exact"/>
                          <w:ind w:right="67"/>
                          <w:rPr>
                            <w:sz w:val="24"/>
                          </w:rPr>
                        </w:pPr>
                        <w:r>
                          <w:rPr>
                            <w:sz w:val="24"/>
                          </w:rPr>
                          <w:t>0.04</w:t>
                        </w:r>
                      </w:p>
                    </w:tc>
                  </w:tr>
                  <w:tr>
                    <w:trPr>
                      <w:trHeight w:val="286" w:hRule="exact"/>
                    </w:trPr>
                    <w:tc>
                      <w:tcPr>
                        <w:tcW w:w="4877" w:type="dxa"/>
                      </w:tcPr>
                      <w:p>
                        <w:pPr>
                          <w:pStyle w:val="TableParagraph"/>
                          <w:spacing w:line="267" w:lineRule="exact"/>
                          <w:ind w:left="323"/>
                          <w:jc w:val="left"/>
                          <w:rPr>
                            <w:sz w:val="24"/>
                          </w:rPr>
                        </w:pPr>
                        <w:r>
                          <w:rPr>
                            <w:sz w:val="24"/>
                          </w:rPr>
                          <w:t>Cuchillos</w:t>
                        </w:r>
                      </w:p>
                    </w:tc>
                    <w:tc>
                      <w:tcPr>
                        <w:tcW w:w="1234" w:type="dxa"/>
                      </w:tcPr>
                      <w:p>
                        <w:pPr>
                          <w:pStyle w:val="TableParagraph"/>
                          <w:spacing w:line="267" w:lineRule="exact"/>
                          <w:ind w:right="197"/>
                          <w:rPr>
                            <w:sz w:val="24"/>
                          </w:rPr>
                        </w:pPr>
                        <w:r>
                          <w:rPr>
                            <w:sz w:val="24"/>
                          </w:rPr>
                          <w:t>0.04</w:t>
                        </w:r>
                      </w:p>
                    </w:tc>
                    <w:tc>
                      <w:tcPr>
                        <w:tcW w:w="937" w:type="dxa"/>
                      </w:tcPr>
                      <w:p>
                        <w:pPr>
                          <w:pStyle w:val="TableParagraph"/>
                          <w:spacing w:line="267" w:lineRule="exact"/>
                          <w:ind w:right="197"/>
                          <w:rPr>
                            <w:sz w:val="24"/>
                          </w:rPr>
                        </w:pPr>
                        <w:r>
                          <w:rPr>
                            <w:sz w:val="24"/>
                          </w:rPr>
                          <w:t>0.09</w:t>
                        </w:r>
                      </w:p>
                    </w:tc>
                    <w:tc>
                      <w:tcPr>
                        <w:tcW w:w="991" w:type="dxa"/>
                      </w:tcPr>
                      <w:p>
                        <w:pPr>
                          <w:pStyle w:val="TableParagraph"/>
                          <w:spacing w:line="267" w:lineRule="exact"/>
                          <w:ind w:right="204"/>
                          <w:rPr>
                            <w:sz w:val="24"/>
                          </w:rPr>
                        </w:pPr>
                        <w:r>
                          <w:rPr>
                            <w:sz w:val="24"/>
                          </w:rPr>
                          <w:t>0.00</w:t>
                        </w:r>
                      </w:p>
                    </w:tc>
                    <w:tc>
                      <w:tcPr>
                        <w:tcW w:w="816" w:type="dxa"/>
                      </w:tcPr>
                      <w:p>
                        <w:pPr>
                          <w:pStyle w:val="TableParagraph"/>
                          <w:spacing w:line="267" w:lineRule="exact"/>
                          <w:ind w:right="67"/>
                          <w:rPr>
                            <w:sz w:val="24"/>
                          </w:rPr>
                        </w:pPr>
                        <w:r>
                          <w:rPr>
                            <w:sz w:val="24"/>
                          </w:rPr>
                          <w:t>0.00</w:t>
                        </w:r>
                      </w:p>
                    </w:tc>
                  </w:tr>
                  <w:tr>
                    <w:trPr>
                      <w:trHeight w:val="428" w:hRule="exact"/>
                    </w:trPr>
                    <w:tc>
                      <w:tcPr>
                        <w:tcW w:w="4877" w:type="dxa"/>
                      </w:tcPr>
                      <w:p>
                        <w:pPr>
                          <w:pStyle w:val="TableParagraph"/>
                          <w:spacing w:line="269" w:lineRule="exact"/>
                          <w:ind w:left="84"/>
                          <w:jc w:val="left"/>
                          <w:rPr>
                            <w:b/>
                            <w:sz w:val="24"/>
                          </w:rPr>
                        </w:pPr>
                        <w:r>
                          <w:rPr>
                            <w:b/>
                            <w:sz w:val="24"/>
                          </w:rPr>
                          <w:t>Subtotal insumos comerciables</w:t>
                        </w:r>
                      </w:p>
                    </w:tc>
                    <w:tc>
                      <w:tcPr>
                        <w:tcW w:w="1234" w:type="dxa"/>
                      </w:tcPr>
                      <w:p>
                        <w:pPr>
                          <w:pStyle w:val="TableParagraph"/>
                          <w:spacing w:line="269" w:lineRule="exact"/>
                          <w:ind w:right="197"/>
                          <w:rPr>
                            <w:b/>
                            <w:sz w:val="24"/>
                          </w:rPr>
                        </w:pPr>
                        <w:r>
                          <w:rPr>
                            <w:b/>
                            <w:sz w:val="24"/>
                          </w:rPr>
                          <w:t>38.86</w:t>
                        </w:r>
                      </w:p>
                    </w:tc>
                    <w:tc>
                      <w:tcPr>
                        <w:tcW w:w="937" w:type="dxa"/>
                      </w:tcPr>
                      <w:p>
                        <w:pPr>
                          <w:pStyle w:val="TableParagraph"/>
                          <w:spacing w:line="269" w:lineRule="exact"/>
                          <w:ind w:right="197"/>
                          <w:rPr>
                            <w:b/>
                            <w:sz w:val="24"/>
                          </w:rPr>
                        </w:pPr>
                        <w:r>
                          <w:rPr>
                            <w:b/>
                            <w:sz w:val="24"/>
                          </w:rPr>
                          <w:t>85.15</w:t>
                        </w:r>
                      </w:p>
                    </w:tc>
                    <w:tc>
                      <w:tcPr>
                        <w:tcW w:w="991" w:type="dxa"/>
                      </w:tcPr>
                      <w:p>
                        <w:pPr>
                          <w:pStyle w:val="TableParagraph"/>
                          <w:spacing w:line="269" w:lineRule="exact"/>
                          <w:ind w:right="204"/>
                          <w:rPr>
                            <w:b/>
                            <w:sz w:val="24"/>
                          </w:rPr>
                        </w:pPr>
                        <w:r>
                          <w:rPr>
                            <w:b/>
                            <w:sz w:val="24"/>
                          </w:rPr>
                          <w:t>46.77</w:t>
                        </w:r>
                      </w:p>
                    </w:tc>
                    <w:tc>
                      <w:tcPr>
                        <w:tcW w:w="816" w:type="dxa"/>
                      </w:tcPr>
                      <w:p>
                        <w:pPr>
                          <w:pStyle w:val="TableParagraph"/>
                          <w:spacing w:line="269" w:lineRule="exact"/>
                          <w:ind w:right="67"/>
                          <w:rPr>
                            <w:b/>
                            <w:sz w:val="24"/>
                          </w:rPr>
                        </w:pPr>
                        <w:r>
                          <w:rPr>
                            <w:b/>
                            <w:sz w:val="24"/>
                          </w:rPr>
                          <w:t>93.05</w:t>
                        </w:r>
                      </w:p>
                    </w:tc>
                  </w:tr>
                  <w:tr>
                    <w:trPr>
                      <w:trHeight w:val="424" w:hRule="exact"/>
                    </w:trPr>
                    <w:tc>
                      <w:tcPr>
                        <w:tcW w:w="4877" w:type="dxa"/>
                      </w:tcPr>
                      <w:p>
                        <w:pPr>
                          <w:pStyle w:val="TableParagraph"/>
                          <w:spacing w:before="133"/>
                          <w:ind w:left="84"/>
                          <w:jc w:val="left"/>
                          <w:rPr>
                            <w:b/>
                            <w:sz w:val="24"/>
                          </w:rPr>
                        </w:pPr>
                        <w:r>
                          <w:rPr>
                            <w:b/>
                            <w:sz w:val="24"/>
                          </w:rPr>
                          <w:t>Factores Internos</w:t>
                        </w:r>
                      </w:p>
                    </w:tc>
                    <w:tc>
                      <w:tcPr>
                        <w:tcW w:w="1234" w:type="dxa"/>
                      </w:tcPr>
                      <w:p>
                        <w:pPr/>
                      </w:p>
                    </w:tc>
                    <w:tc>
                      <w:tcPr>
                        <w:tcW w:w="937" w:type="dxa"/>
                      </w:tcPr>
                      <w:p>
                        <w:pPr/>
                      </w:p>
                    </w:tc>
                    <w:tc>
                      <w:tcPr>
                        <w:tcW w:w="991" w:type="dxa"/>
                      </w:tcPr>
                      <w:p>
                        <w:pPr/>
                      </w:p>
                    </w:tc>
                    <w:tc>
                      <w:tcPr>
                        <w:tcW w:w="816" w:type="dxa"/>
                      </w:tcPr>
                      <w:p>
                        <w:pPr/>
                      </w:p>
                    </w:tc>
                  </w:tr>
                  <w:tr>
                    <w:trPr>
                      <w:trHeight w:val="282" w:hRule="exact"/>
                    </w:trPr>
                    <w:tc>
                      <w:tcPr>
                        <w:tcW w:w="4877" w:type="dxa"/>
                      </w:tcPr>
                      <w:p>
                        <w:pPr>
                          <w:pStyle w:val="TableParagraph"/>
                          <w:spacing w:line="264" w:lineRule="exact"/>
                          <w:ind w:left="264"/>
                          <w:jc w:val="left"/>
                          <w:rPr>
                            <w:sz w:val="24"/>
                          </w:rPr>
                        </w:pPr>
                        <w:r>
                          <w:rPr>
                            <w:sz w:val="24"/>
                          </w:rPr>
                          <w:t>Mano de obra familiar</w:t>
                        </w:r>
                      </w:p>
                    </w:tc>
                    <w:tc>
                      <w:tcPr>
                        <w:tcW w:w="1234" w:type="dxa"/>
                      </w:tcPr>
                      <w:p>
                        <w:pPr>
                          <w:pStyle w:val="TableParagraph"/>
                          <w:spacing w:line="264" w:lineRule="exact"/>
                          <w:ind w:right="197"/>
                          <w:rPr>
                            <w:sz w:val="24"/>
                          </w:rPr>
                        </w:pPr>
                        <w:r>
                          <w:rPr>
                            <w:sz w:val="24"/>
                          </w:rPr>
                          <w:t>5.00</w:t>
                        </w:r>
                      </w:p>
                    </w:tc>
                    <w:tc>
                      <w:tcPr>
                        <w:tcW w:w="937" w:type="dxa"/>
                      </w:tcPr>
                      <w:p>
                        <w:pPr>
                          <w:pStyle w:val="TableParagraph"/>
                          <w:spacing w:line="264" w:lineRule="exact"/>
                          <w:ind w:right="197"/>
                          <w:rPr>
                            <w:sz w:val="24"/>
                          </w:rPr>
                        </w:pPr>
                        <w:r>
                          <w:rPr>
                            <w:sz w:val="24"/>
                          </w:rPr>
                          <w:t>10.96</w:t>
                        </w:r>
                      </w:p>
                    </w:tc>
                    <w:tc>
                      <w:tcPr>
                        <w:tcW w:w="991" w:type="dxa"/>
                      </w:tcPr>
                      <w:p>
                        <w:pPr>
                          <w:pStyle w:val="TableParagraph"/>
                          <w:spacing w:line="264" w:lineRule="exact"/>
                          <w:ind w:right="204"/>
                          <w:rPr>
                            <w:sz w:val="24"/>
                          </w:rPr>
                        </w:pPr>
                        <w:r>
                          <w:rPr>
                            <w:sz w:val="24"/>
                          </w:rPr>
                          <w:t>2.57</w:t>
                        </w:r>
                      </w:p>
                    </w:tc>
                    <w:tc>
                      <w:tcPr>
                        <w:tcW w:w="816" w:type="dxa"/>
                      </w:tcPr>
                      <w:p>
                        <w:pPr>
                          <w:pStyle w:val="TableParagraph"/>
                          <w:spacing w:line="264" w:lineRule="exact"/>
                          <w:ind w:right="67"/>
                          <w:rPr>
                            <w:sz w:val="24"/>
                          </w:rPr>
                        </w:pPr>
                        <w:r>
                          <w:rPr>
                            <w:sz w:val="24"/>
                          </w:rPr>
                          <w:t>5.12</w:t>
                        </w:r>
                      </w:p>
                    </w:tc>
                  </w:tr>
                  <w:tr>
                    <w:trPr>
                      <w:trHeight w:val="284" w:hRule="exact"/>
                    </w:trPr>
                    <w:tc>
                      <w:tcPr>
                        <w:tcW w:w="4877" w:type="dxa"/>
                      </w:tcPr>
                      <w:p>
                        <w:pPr>
                          <w:pStyle w:val="TableParagraph"/>
                          <w:spacing w:line="268" w:lineRule="exact"/>
                          <w:ind w:left="264"/>
                          <w:jc w:val="left"/>
                          <w:rPr>
                            <w:sz w:val="24"/>
                          </w:rPr>
                        </w:pPr>
                        <w:r>
                          <w:rPr>
                            <w:sz w:val="24"/>
                          </w:rPr>
                          <w:t>Mano de obra contratada</w:t>
                        </w:r>
                      </w:p>
                    </w:tc>
                    <w:tc>
                      <w:tcPr>
                        <w:tcW w:w="1234" w:type="dxa"/>
                      </w:tcPr>
                      <w:p>
                        <w:pPr>
                          <w:pStyle w:val="TableParagraph"/>
                          <w:spacing w:line="268" w:lineRule="exact"/>
                          <w:ind w:right="197"/>
                          <w:rPr>
                            <w:sz w:val="24"/>
                          </w:rPr>
                        </w:pPr>
                        <w:r>
                          <w:rPr>
                            <w:sz w:val="24"/>
                          </w:rPr>
                          <w:t>1.62</w:t>
                        </w:r>
                      </w:p>
                    </w:tc>
                    <w:tc>
                      <w:tcPr>
                        <w:tcW w:w="937" w:type="dxa"/>
                      </w:tcPr>
                      <w:p>
                        <w:pPr>
                          <w:pStyle w:val="TableParagraph"/>
                          <w:spacing w:line="268" w:lineRule="exact"/>
                          <w:ind w:right="197"/>
                          <w:rPr>
                            <w:sz w:val="24"/>
                          </w:rPr>
                        </w:pPr>
                        <w:r>
                          <w:rPr>
                            <w:sz w:val="24"/>
                          </w:rPr>
                          <w:t>3.55</w:t>
                        </w:r>
                      </w:p>
                    </w:tc>
                    <w:tc>
                      <w:tcPr>
                        <w:tcW w:w="991" w:type="dxa"/>
                      </w:tcPr>
                      <w:p>
                        <w:pPr>
                          <w:pStyle w:val="TableParagraph"/>
                          <w:spacing w:line="268" w:lineRule="exact"/>
                          <w:ind w:right="204"/>
                          <w:rPr>
                            <w:sz w:val="24"/>
                          </w:rPr>
                        </w:pPr>
                        <w:r>
                          <w:rPr>
                            <w:sz w:val="24"/>
                          </w:rPr>
                          <w:t>0.83</w:t>
                        </w:r>
                      </w:p>
                    </w:tc>
                    <w:tc>
                      <w:tcPr>
                        <w:tcW w:w="816" w:type="dxa"/>
                      </w:tcPr>
                      <w:p>
                        <w:pPr>
                          <w:pStyle w:val="TableParagraph"/>
                          <w:spacing w:line="268" w:lineRule="exact"/>
                          <w:ind w:right="67"/>
                          <w:rPr>
                            <w:sz w:val="24"/>
                          </w:rPr>
                        </w:pPr>
                        <w:r>
                          <w:rPr>
                            <w:sz w:val="24"/>
                          </w:rPr>
                          <w:t>1.66</w:t>
                        </w:r>
                      </w:p>
                    </w:tc>
                  </w:tr>
                  <w:tr>
                    <w:trPr>
                      <w:trHeight w:val="286" w:hRule="exact"/>
                    </w:trPr>
                    <w:tc>
                      <w:tcPr>
                        <w:tcW w:w="4877" w:type="dxa"/>
                      </w:tcPr>
                      <w:p>
                        <w:pPr>
                          <w:pStyle w:val="TableParagraph"/>
                          <w:spacing w:line="267" w:lineRule="exact"/>
                          <w:ind w:left="264"/>
                          <w:jc w:val="left"/>
                          <w:rPr>
                            <w:sz w:val="24"/>
                          </w:rPr>
                        </w:pPr>
                        <w:r>
                          <w:rPr>
                            <w:sz w:val="24"/>
                          </w:rPr>
                          <w:t>Cuota de agua</w:t>
                        </w:r>
                      </w:p>
                    </w:tc>
                    <w:tc>
                      <w:tcPr>
                        <w:tcW w:w="1234" w:type="dxa"/>
                      </w:tcPr>
                      <w:p>
                        <w:pPr>
                          <w:pStyle w:val="TableParagraph"/>
                          <w:spacing w:line="267" w:lineRule="exact"/>
                          <w:ind w:right="197"/>
                          <w:rPr>
                            <w:sz w:val="24"/>
                          </w:rPr>
                        </w:pPr>
                        <w:r>
                          <w:rPr>
                            <w:sz w:val="24"/>
                          </w:rPr>
                          <w:t>0.02</w:t>
                        </w:r>
                      </w:p>
                    </w:tc>
                    <w:tc>
                      <w:tcPr>
                        <w:tcW w:w="937" w:type="dxa"/>
                      </w:tcPr>
                      <w:p>
                        <w:pPr>
                          <w:pStyle w:val="TableParagraph"/>
                          <w:spacing w:line="267" w:lineRule="exact"/>
                          <w:ind w:right="197"/>
                          <w:rPr>
                            <w:sz w:val="24"/>
                          </w:rPr>
                        </w:pPr>
                        <w:r>
                          <w:rPr>
                            <w:sz w:val="24"/>
                          </w:rPr>
                          <w:t>0.04</w:t>
                        </w:r>
                      </w:p>
                    </w:tc>
                    <w:tc>
                      <w:tcPr>
                        <w:tcW w:w="991" w:type="dxa"/>
                      </w:tcPr>
                      <w:p>
                        <w:pPr>
                          <w:pStyle w:val="TableParagraph"/>
                          <w:spacing w:line="267" w:lineRule="exact"/>
                          <w:ind w:right="204"/>
                          <w:rPr>
                            <w:sz w:val="24"/>
                          </w:rPr>
                        </w:pPr>
                        <w:r>
                          <w:rPr>
                            <w:sz w:val="24"/>
                          </w:rPr>
                          <w:t>0.02</w:t>
                        </w:r>
                      </w:p>
                    </w:tc>
                    <w:tc>
                      <w:tcPr>
                        <w:tcW w:w="816" w:type="dxa"/>
                      </w:tcPr>
                      <w:p>
                        <w:pPr>
                          <w:pStyle w:val="TableParagraph"/>
                          <w:spacing w:line="267" w:lineRule="exact"/>
                          <w:ind w:right="67"/>
                          <w:rPr>
                            <w:sz w:val="24"/>
                          </w:rPr>
                        </w:pPr>
                        <w:r>
                          <w:rPr>
                            <w:sz w:val="24"/>
                          </w:rPr>
                          <w:t>0.04</w:t>
                        </w:r>
                      </w:p>
                    </w:tc>
                  </w:tr>
                  <w:tr>
                    <w:trPr>
                      <w:trHeight w:val="428" w:hRule="exact"/>
                    </w:trPr>
                    <w:tc>
                      <w:tcPr>
                        <w:tcW w:w="4877" w:type="dxa"/>
                      </w:tcPr>
                      <w:p>
                        <w:pPr>
                          <w:pStyle w:val="TableParagraph"/>
                          <w:spacing w:line="269" w:lineRule="exact"/>
                          <w:ind w:left="84"/>
                          <w:jc w:val="left"/>
                          <w:rPr>
                            <w:b/>
                            <w:sz w:val="24"/>
                          </w:rPr>
                        </w:pPr>
                        <w:r>
                          <w:rPr>
                            <w:b/>
                            <w:sz w:val="24"/>
                          </w:rPr>
                          <w:t>Subtotal factores internos</w:t>
                        </w:r>
                      </w:p>
                    </w:tc>
                    <w:tc>
                      <w:tcPr>
                        <w:tcW w:w="1234" w:type="dxa"/>
                      </w:tcPr>
                      <w:p>
                        <w:pPr>
                          <w:pStyle w:val="TableParagraph"/>
                          <w:spacing w:line="269" w:lineRule="exact"/>
                          <w:ind w:right="197"/>
                          <w:rPr>
                            <w:b/>
                            <w:sz w:val="24"/>
                          </w:rPr>
                        </w:pPr>
                        <w:r>
                          <w:rPr>
                            <w:b/>
                            <w:sz w:val="24"/>
                          </w:rPr>
                          <w:t>6.64</w:t>
                        </w:r>
                      </w:p>
                    </w:tc>
                    <w:tc>
                      <w:tcPr>
                        <w:tcW w:w="937" w:type="dxa"/>
                      </w:tcPr>
                      <w:p>
                        <w:pPr>
                          <w:pStyle w:val="TableParagraph"/>
                          <w:spacing w:line="269" w:lineRule="exact"/>
                          <w:ind w:right="197"/>
                          <w:rPr>
                            <w:b/>
                            <w:sz w:val="24"/>
                          </w:rPr>
                        </w:pPr>
                        <w:r>
                          <w:rPr>
                            <w:b/>
                            <w:sz w:val="24"/>
                          </w:rPr>
                          <w:t>14.55</w:t>
                        </w:r>
                      </w:p>
                    </w:tc>
                    <w:tc>
                      <w:tcPr>
                        <w:tcW w:w="991" w:type="dxa"/>
                      </w:tcPr>
                      <w:p>
                        <w:pPr>
                          <w:pStyle w:val="TableParagraph"/>
                          <w:spacing w:line="269" w:lineRule="exact"/>
                          <w:ind w:right="204"/>
                          <w:rPr>
                            <w:b/>
                            <w:sz w:val="24"/>
                          </w:rPr>
                        </w:pPr>
                        <w:r>
                          <w:rPr>
                            <w:b/>
                            <w:sz w:val="24"/>
                          </w:rPr>
                          <w:t>3.42</w:t>
                        </w:r>
                      </w:p>
                    </w:tc>
                    <w:tc>
                      <w:tcPr>
                        <w:tcW w:w="816" w:type="dxa"/>
                      </w:tcPr>
                      <w:p>
                        <w:pPr>
                          <w:pStyle w:val="TableParagraph"/>
                          <w:spacing w:line="269" w:lineRule="exact"/>
                          <w:ind w:right="67"/>
                          <w:rPr>
                            <w:b/>
                            <w:sz w:val="24"/>
                          </w:rPr>
                        </w:pPr>
                        <w:r>
                          <w:rPr>
                            <w:b/>
                            <w:sz w:val="24"/>
                          </w:rPr>
                          <w:t>6.81</w:t>
                        </w:r>
                      </w:p>
                    </w:tc>
                  </w:tr>
                  <w:tr>
                    <w:trPr>
                      <w:trHeight w:val="424" w:hRule="exact"/>
                    </w:trPr>
                    <w:tc>
                      <w:tcPr>
                        <w:tcW w:w="4877" w:type="dxa"/>
                      </w:tcPr>
                      <w:p>
                        <w:pPr>
                          <w:pStyle w:val="TableParagraph"/>
                          <w:spacing w:before="133"/>
                          <w:ind w:left="84"/>
                          <w:jc w:val="left"/>
                          <w:rPr>
                            <w:b/>
                            <w:sz w:val="24"/>
                          </w:rPr>
                        </w:pPr>
                        <w:r>
                          <w:rPr>
                            <w:b/>
                            <w:sz w:val="24"/>
                          </w:rPr>
                          <w:t>Insumos no comerciables</w:t>
                        </w:r>
                      </w:p>
                    </w:tc>
                    <w:tc>
                      <w:tcPr>
                        <w:tcW w:w="1234" w:type="dxa"/>
                      </w:tcPr>
                      <w:p>
                        <w:pPr/>
                      </w:p>
                    </w:tc>
                    <w:tc>
                      <w:tcPr>
                        <w:tcW w:w="937" w:type="dxa"/>
                      </w:tcPr>
                      <w:p>
                        <w:pPr/>
                      </w:p>
                    </w:tc>
                    <w:tc>
                      <w:tcPr>
                        <w:tcW w:w="991" w:type="dxa"/>
                      </w:tcPr>
                      <w:p>
                        <w:pPr/>
                      </w:p>
                    </w:tc>
                    <w:tc>
                      <w:tcPr>
                        <w:tcW w:w="816" w:type="dxa"/>
                      </w:tcPr>
                      <w:p>
                        <w:pPr/>
                      </w:p>
                    </w:tc>
                  </w:tr>
                  <w:tr>
                    <w:trPr>
                      <w:trHeight w:val="282" w:hRule="exact"/>
                    </w:trPr>
                    <w:tc>
                      <w:tcPr>
                        <w:tcW w:w="4877" w:type="dxa"/>
                      </w:tcPr>
                      <w:p>
                        <w:pPr>
                          <w:pStyle w:val="TableParagraph"/>
                          <w:spacing w:line="264" w:lineRule="exact"/>
                          <w:ind w:left="264"/>
                          <w:jc w:val="left"/>
                          <w:rPr>
                            <w:sz w:val="24"/>
                          </w:rPr>
                        </w:pPr>
                        <w:r>
                          <w:rPr>
                            <w:sz w:val="24"/>
                          </w:rPr>
                          <w:t>Dep de mesa</w:t>
                        </w:r>
                      </w:p>
                    </w:tc>
                    <w:tc>
                      <w:tcPr>
                        <w:tcW w:w="1234" w:type="dxa"/>
                      </w:tcPr>
                      <w:p>
                        <w:pPr>
                          <w:pStyle w:val="TableParagraph"/>
                          <w:spacing w:line="264" w:lineRule="exact"/>
                          <w:ind w:right="197"/>
                          <w:rPr>
                            <w:sz w:val="24"/>
                          </w:rPr>
                        </w:pPr>
                        <w:r>
                          <w:rPr>
                            <w:sz w:val="24"/>
                          </w:rPr>
                          <w:t>0.01</w:t>
                        </w:r>
                      </w:p>
                    </w:tc>
                    <w:tc>
                      <w:tcPr>
                        <w:tcW w:w="937" w:type="dxa"/>
                      </w:tcPr>
                      <w:p>
                        <w:pPr>
                          <w:pStyle w:val="TableParagraph"/>
                          <w:spacing w:line="264" w:lineRule="exact"/>
                          <w:ind w:right="196"/>
                          <w:rPr>
                            <w:sz w:val="24"/>
                          </w:rPr>
                        </w:pPr>
                        <w:r>
                          <w:rPr>
                            <w:sz w:val="24"/>
                          </w:rPr>
                          <w:t>0.01</w:t>
                        </w:r>
                      </w:p>
                    </w:tc>
                    <w:tc>
                      <w:tcPr>
                        <w:tcW w:w="991" w:type="dxa"/>
                      </w:tcPr>
                      <w:p>
                        <w:pPr>
                          <w:pStyle w:val="TableParagraph"/>
                          <w:spacing w:line="264" w:lineRule="exact"/>
                          <w:ind w:right="204"/>
                          <w:rPr>
                            <w:sz w:val="24"/>
                          </w:rPr>
                        </w:pPr>
                        <w:r>
                          <w:rPr>
                            <w:sz w:val="24"/>
                          </w:rPr>
                          <w:t>0.01</w:t>
                        </w:r>
                      </w:p>
                    </w:tc>
                    <w:tc>
                      <w:tcPr>
                        <w:tcW w:w="816" w:type="dxa"/>
                      </w:tcPr>
                      <w:p>
                        <w:pPr>
                          <w:pStyle w:val="TableParagraph"/>
                          <w:spacing w:line="264" w:lineRule="exact"/>
                          <w:ind w:right="67"/>
                          <w:rPr>
                            <w:sz w:val="24"/>
                          </w:rPr>
                        </w:pPr>
                        <w:r>
                          <w:rPr>
                            <w:sz w:val="24"/>
                          </w:rPr>
                          <w:t>0.01</w:t>
                        </w:r>
                      </w:p>
                    </w:tc>
                  </w:tr>
                  <w:tr>
                    <w:trPr>
                      <w:trHeight w:val="284" w:hRule="exact"/>
                    </w:trPr>
                    <w:tc>
                      <w:tcPr>
                        <w:tcW w:w="4877" w:type="dxa"/>
                      </w:tcPr>
                      <w:p>
                        <w:pPr>
                          <w:pStyle w:val="TableParagraph"/>
                          <w:spacing w:line="268" w:lineRule="exact"/>
                          <w:ind w:left="264"/>
                          <w:jc w:val="left"/>
                          <w:rPr>
                            <w:sz w:val="24"/>
                          </w:rPr>
                        </w:pPr>
                        <w:r>
                          <w:rPr>
                            <w:sz w:val="24"/>
                          </w:rPr>
                          <w:t>Dep de vehículo 1</w:t>
                        </w:r>
                      </w:p>
                    </w:tc>
                    <w:tc>
                      <w:tcPr>
                        <w:tcW w:w="1234" w:type="dxa"/>
                      </w:tcPr>
                      <w:p>
                        <w:pPr>
                          <w:pStyle w:val="TableParagraph"/>
                          <w:spacing w:line="268" w:lineRule="exact"/>
                          <w:ind w:right="197"/>
                          <w:rPr>
                            <w:sz w:val="24"/>
                          </w:rPr>
                        </w:pPr>
                        <w:r>
                          <w:rPr>
                            <w:sz w:val="24"/>
                          </w:rPr>
                          <w:t>0.01</w:t>
                        </w:r>
                      </w:p>
                    </w:tc>
                    <w:tc>
                      <w:tcPr>
                        <w:tcW w:w="937" w:type="dxa"/>
                      </w:tcPr>
                      <w:p>
                        <w:pPr>
                          <w:pStyle w:val="TableParagraph"/>
                          <w:spacing w:line="268" w:lineRule="exact"/>
                          <w:ind w:right="197"/>
                          <w:rPr>
                            <w:sz w:val="24"/>
                          </w:rPr>
                        </w:pPr>
                        <w:r>
                          <w:rPr>
                            <w:sz w:val="24"/>
                          </w:rPr>
                          <w:t>0.03</w:t>
                        </w:r>
                      </w:p>
                    </w:tc>
                    <w:tc>
                      <w:tcPr>
                        <w:tcW w:w="991" w:type="dxa"/>
                      </w:tcPr>
                      <w:p>
                        <w:pPr>
                          <w:pStyle w:val="TableParagraph"/>
                          <w:spacing w:line="268" w:lineRule="exact"/>
                          <w:ind w:right="204"/>
                          <w:rPr>
                            <w:sz w:val="24"/>
                          </w:rPr>
                        </w:pPr>
                        <w:r>
                          <w:rPr>
                            <w:sz w:val="24"/>
                          </w:rPr>
                          <w:t>0.01</w:t>
                        </w:r>
                      </w:p>
                    </w:tc>
                    <w:tc>
                      <w:tcPr>
                        <w:tcW w:w="816" w:type="dxa"/>
                      </w:tcPr>
                      <w:p>
                        <w:pPr>
                          <w:pStyle w:val="TableParagraph"/>
                          <w:spacing w:line="268" w:lineRule="exact"/>
                          <w:ind w:right="67"/>
                          <w:rPr>
                            <w:sz w:val="24"/>
                          </w:rPr>
                        </w:pPr>
                        <w:r>
                          <w:rPr>
                            <w:sz w:val="24"/>
                          </w:rPr>
                          <w:t>0.01</w:t>
                        </w:r>
                      </w:p>
                    </w:tc>
                  </w:tr>
                  <w:tr>
                    <w:trPr>
                      <w:trHeight w:val="286" w:hRule="exact"/>
                    </w:trPr>
                    <w:tc>
                      <w:tcPr>
                        <w:tcW w:w="4877" w:type="dxa"/>
                      </w:tcPr>
                      <w:p>
                        <w:pPr>
                          <w:pStyle w:val="TableParagraph"/>
                          <w:spacing w:line="267" w:lineRule="exact"/>
                          <w:ind w:left="264"/>
                          <w:jc w:val="left"/>
                          <w:rPr>
                            <w:sz w:val="24"/>
                          </w:rPr>
                        </w:pPr>
                        <w:r>
                          <w:rPr>
                            <w:sz w:val="24"/>
                          </w:rPr>
                          <w:t>Dep de vehículo 2</w:t>
                        </w:r>
                      </w:p>
                    </w:tc>
                    <w:tc>
                      <w:tcPr>
                        <w:tcW w:w="1234" w:type="dxa"/>
                      </w:tcPr>
                      <w:p>
                        <w:pPr>
                          <w:pStyle w:val="TableParagraph"/>
                          <w:spacing w:line="267" w:lineRule="exact"/>
                          <w:ind w:right="197"/>
                          <w:rPr>
                            <w:sz w:val="24"/>
                          </w:rPr>
                        </w:pPr>
                        <w:r>
                          <w:rPr>
                            <w:sz w:val="24"/>
                          </w:rPr>
                          <w:t>0.12</w:t>
                        </w:r>
                      </w:p>
                    </w:tc>
                    <w:tc>
                      <w:tcPr>
                        <w:tcW w:w="937" w:type="dxa"/>
                      </w:tcPr>
                      <w:p>
                        <w:pPr>
                          <w:pStyle w:val="TableParagraph"/>
                          <w:spacing w:line="267" w:lineRule="exact"/>
                          <w:ind w:right="197"/>
                          <w:rPr>
                            <w:sz w:val="24"/>
                          </w:rPr>
                        </w:pPr>
                        <w:r>
                          <w:rPr>
                            <w:sz w:val="24"/>
                          </w:rPr>
                          <w:t>0.27</w:t>
                        </w:r>
                      </w:p>
                    </w:tc>
                    <w:tc>
                      <w:tcPr>
                        <w:tcW w:w="991" w:type="dxa"/>
                      </w:tcPr>
                      <w:p>
                        <w:pPr>
                          <w:pStyle w:val="TableParagraph"/>
                          <w:spacing w:line="267" w:lineRule="exact"/>
                          <w:ind w:right="204"/>
                          <w:rPr>
                            <w:sz w:val="24"/>
                          </w:rPr>
                        </w:pPr>
                        <w:r>
                          <w:rPr>
                            <w:sz w:val="24"/>
                          </w:rPr>
                          <w:t>0.06</w:t>
                        </w:r>
                      </w:p>
                    </w:tc>
                    <w:tc>
                      <w:tcPr>
                        <w:tcW w:w="816" w:type="dxa"/>
                      </w:tcPr>
                      <w:p>
                        <w:pPr>
                          <w:pStyle w:val="TableParagraph"/>
                          <w:spacing w:line="267" w:lineRule="exact"/>
                          <w:ind w:right="67"/>
                          <w:rPr>
                            <w:sz w:val="24"/>
                          </w:rPr>
                        </w:pPr>
                        <w:r>
                          <w:rPr>
                            <w:sz w:val="24"/>
                          </w:rPr>
                          <w:t>0.13</w:t>
                        </w:r>
                      </w:p>
                    </w:tc>
                  </w:tr>
                  <w:tr>
                    <w:trPr>
                      <w:trHeight w:val="428" w:hRule="exact"/>
                    </w:trPr>
                    <w:tc>
                      <w:tcPr>
                        <w:tcW w:w="4877" w:type="dxa"/>
                      </w:tcPr>
                      <w:p>
                        <w:pPr>
                          <w:pStyle w:val="TableParagraph"/>
                          <w:spacing w:line="269" w:lineRule="exact"/>
                          <w:ind w:left="84"/>
                          <w:jc w:val="left"/>
                          <w:rPr>
                            <w:b/>
                            <w:sz w:val="24"/>
                          </w:rPr>
                        </w:pPr>
                        <w:r>
                          <w:rPr>
                            <w:b/>
                            <w:sz w:val="24"/>
                          </w:rPr>
                          <w:t>Subtotal insumos no comerciables</w:t>
                        </w:r>
                      </w:p>
                    </w:tc>
                    <w:tc>
                      <w:tcPr>
                        <w:tcW w:w="1234" w:type="dxa"/>
                      </w:tcPr>
                      <w:p>
                        <w:pPr>
                          <w:pStyle w:val="TableParagraph"/>
                          <w:spacing w:line="269" w:lineRule="exact"/>
                          <w:ind w:right="197"/>
                          <w:rPr>
                            <w:b/>
                            <w:sz w:val="24"/>
                          </w:rPr>
                        </w:pPr>
                        <w:r>
                          <w:rPr>
                            <w:b/>
                            <w:sz w:val="24"/>
                          </w:rPr>
                          <w:t>0.14</w:t>
                        </w:r>
                      </w:p>
                    </w:tc>
                    <w:tc>
                      <w:tcPr>
                        <w:tcW w:w="937" w:type="dxa"/>
                      </w:tcPr>
                      <w:p>
                        <w:pPr>
                          <w:pStyle w:val="TableParagraph"/>
                          <w:spacing w:line="269" w:lineRule="exact"/>
                          <w:ind w:right="197"/>
                          <w:rPr>
                            <w:b/>
                            <w:sz w:val="24"/>
                          </w:rPr>
                        </w:pPr>
                        <w:r>
                          <w:rPr>
                            <w:b/>
                            <w:sz w:val="24"/>
                          </w:rPr>
                          <w:t>0.30</w:t>
                        </w:r>
                      </w:p>
                    </w:tc>
                    <w:tc>
                      <w:tcPr>
                        <w:tcW w:w="991" w:type="dxa"/>
                      </w:tcPr>
                      <w:p>
                        <w:pPr>
                          <w:pStyle w:val="TableParagraph"/>
                          <w:spacing w:line="269" w:lineRule="exact"/>
                          <w:ind w:right="204"/>
                          <w:rPr>
                            <w:b/>
                            <w:sz w:val="24"/>
                          </w:rPr>
                        </w:pPr>
                        <w:r>
                          <w:rPr>
                            <w:b/>
                            <w:sz w:val="24"/>
                          </w:rPr>
                          <w:t>0.07</w:t>
                        </w:r>
                      </w:p>
                    </w:tc>
                    <w:tc>
                      <w:tcPr>
                        <w:tcW w:w="816" w:type="dxa"/>
                      </w:tcPr>
                      <w:p>
                        <w:pPr>
                          <w:pStyle w:val="TableParagraph"/>
                          <w:spacing w:line="269" w:lineRule="exact"/>
                          <w:ind w:right="67"/>
                          <w:rPr>
                            <w:b/>
                            <w:sz w:val="24"/>
                          </w:rPr>
                        </w:pPr>
                        <w:r>
                          <w:rPr>
                            <w:b/>
                            <w:sz w:val="24"/>
                          </w:rPr>
                          <w:t>0.14</w:t>
                        </w:r>
                      </w:p>
                    </w:tc>
                  </w:tr>
                  <w:tr>
                    <w:trPr>
                      <w:trHeight w:val="426" w:hRule="exact"/>
                    </w:trPr>
                    <w:tc>
                      <w:tcPr>
                        <w:tcW w:w="4877" w:type="dxa"/>
                      </w:tcPr>
                      <w:p>
                        <w:pPr>
                          <w:pStyle w:val="TableParagraph"/>
                          <w:spacing w:before="133"/>
                          <w:ind w:left="84"/>
                          <w:jc w:val="left"/>
                          <w:rPr>
                            <w:b/>
                            <w:sz w:val="24"/>
                          </w:rPr>
                        </w:pPr>
                        <w:r>
                          <w:rPr>
                            <w:b/>
                            <w:sz w:val="24"/>
                          </w:rPr>
                          <w:t>Costo total de producción</w:t>
                        </w:r>
                      </w:p>
                    </w:tc>
                    <w:tc>
                      <w:tcPr>
                        <w:tcW w:w="1234" w:type="dxa"/>
                      </w:tcPr>
                      <w:p>
                        <w:pPr>
                          <w:pStyle w:val="TableParagraph"/>
                          <w:spacing w:before="133"/>
                          <w:ind w:right="197"/>
                          <w:rPr>
                            <w:b/>
                            <w:sz w:val="24"/>
                          </w:rPr>
                        </w:pPr>
                        <w:r>
                          <w:rPr>
                            <w:b/>
                            <w:sz w:val="24"/>
                          </w:rPr>
                          <w:t>45.63</w:t>
                        </w:r>
                      </w:p>
                    </w:tc>
                    <w:tc>
                      <w:tcPr>
                        <w:tcW w:w="937" w:type="dxa"/>
                      </w:tcPr>
                      <w:p>
                        <w:pPr/>
                      </w:p>
                    </w:tc>
                    <w:tc>
                      <w:tcPr>
                        <w:tcW w:w="991" w:type="dxa"/>
                      </w:tcPr>
                      <w:p>
                        <w:pPr>
                          <w:pStyle w:val="TableParagraph"/>
                          <w:spacing w:before="133"/>
                          <w:ind w:right="204"/>
                          <w:rPr>
                            <w:b/>
                            <w:sz w:val="24"/>
                          </w:rPr>
                        </w:pPr>
                        <w:r>
                          <w:rPr>
                            <w:b/>
                            <w:sz w:val="24"/>
                          </w:rPr>
                          <w:t>50.27</w:t>
                        </w:r>
                      </w:p>
                    </w:tc>
                    <w:tc>
                      <w:tcPr>
                        <w:tcW w:w="816" w:type="dxa"/>
                      </w:tcPr>
                      <w:p>
                        <w:pPr/>
                      </w:p>
                    </w:tc>
                  </w:tr>
                  <w:tr>
                    <w:trPr>
                      <w:trHeight w:val="285" w:hRule="exact"/>
                    </w:trPr>
                    <w:tc>
                      <w:tcPr>
                        <w:tcW w:w="4877" w:type="dxa"/>
                      </w:tcPr>
                      <w:p>
                        <w:pPr>
                          <w:pStyle w:val="TableParagraph"/>
                          <w:spacing w:line="267" w:lineRule="exact"/>
                          <w:ind w:left="84"/>
                          <w:jc w:val="left"/>
                          <w:rPr>
                            <w:b/>
                            <w:sz w:val="24"/>
                          </w:rPr>
                        </w:pPr>
                        <w:r>
                          <w:rPr>
                            <w:b/>
                            <w:sz w:val="24"/>
                          </w:rPr>
                          <w:t>Ingreso por kilogramo</w:t>
                        </w:r>
                      </w:p>
                    </w:tc>
                    <w:tc>
                      <w:tcPr>
                        <w:tcW w:w="1234" w:type="dxa"/>
                      </w:tcPr>
                      <w:p>
                        <w:pPr>
                          <w:pStyle w:val="TableParagraph"/>
                          <w:spacing w:line="267" w:lineRule="exact"/>
                          <w:ind w:right="197"/>
                          <w:rPr>
                            <w:b/>
                            <w:sz w:val="24"/>
                          </w:rPr>
                        </w:pPr>
                        <w:r>
                          <w:rPr>
                            <w:b/>
                            <w:sz w:val="24"/>
                          </w:rPr>
                          <w:t>52.00</w:t>
                        </w:r>
                      </w:p>
                    </w:tc>
                    <w:tc>
                      <w:tcPr>
                        <w:tcW w:w="937" w:type="dxa"/>
                      </w:tcPr>
                      <w:p>
                        <w:pPr/>
                      </w:p>
                    </w:tc>
                    <w:tc>
                      <w:tcPr>
                        <w:tcW w:w="991" w:type="dxa"/>
                      </w:tcPr>
                      <w:p>
                        <w:pPr>
                          <w:pStyle w:val="TableParagraph"/>
                          <w:spacing w:line="267" w:lineRule="exact"/>
                          <w:ind w:right="204"/>
                          <w:rPr>
                            <w:b/>
                            <w:sz w:val="24"/>
                          </w:rPr>
                        </w:pPr>
                        <w:r>
                          <w:rPr>
                            <w:b/>
                            <w:sz w:val="24"/>
                          </w:rPr>
                          <w:t>60.00</w:t>
                        </w:r>
                      </w:p>
                    </w:tc>
                    <w:tc>
                      <w:tcPr>
                        <w:tcW w:w="816" w:type="dxa"/>
                      </w:tcPr>
                      <w:p>
                        <w:pPr/>
                      </w:p>
                    </w:tc>
                  </w:tr>
                  <w:tr>
                    <w:trPr>
                      <w:trHeight w:val="295" w:hRule="exact"/>
                    </w:trPr>
                    <w:tc>
                      <w:tcPr>
                        <w:tcW w:w="4877" w:type="dxa"/>
                        <w:tcBorders>
                          <w:bottom w:val="single" w:sz="17" w:space="0" w:color="000000"/>
                        </w:tcBorders>
                      </w:tcPr>
                      <w:p>
                        <w:pPr>
                          <w:pStyle w:val="TableParagraph"/>
                          <w:spacing w:line="268" w:lineRule="exact"/>
                          <w:ind w:left="84"/>
                          <w:jc w:val="left"/>
                          <w:rPr>
                            <w:b/>
                            <w:sz w:val="24"/>
                          </w:rPr>
                        </w:pPr>
                        <w:r>
                          <w:rPr>
                            <w:b/>
                            <w:sz w:val="24"/>
                          </w:rPr>
                          <w:t>Ganancia</w:t>
                        </w:r>
                      </w:p>
                    </w:tc>
                    <w:tc>
                      <w:tcPr>
                        <w:tcW w:w="1234" w:type="dxa"/>
                        <w:tcBorders>
                          <w:bottom w:val="single" w:sz="17" w:space="0" w:color="000000"/>
                        </w:tcBorders>
                      </w:tcPr>
                      <w:p>
                        <w:pPr>
                          <w:pStyle w:val="TableParagraph"/>
                          <w:spacing w:line="268" w:lineRule="exact"/>
                          <w:ind w:right="197"/>
                          <w:rPr>
                            <w:b/>
                            <w:sz w:val="24"/>
                          </w:rPr>
                        </w:pPr>
                        <w:r>
                          <w:rPr>
                            <w:b/>
                            <w:sz w:val="24"/>
                          </w:rPr>
                          <w:t>6.37</w:t>
                        </w:r>
                      </w:p>
                    </w:tc>
                    <w:tc>
                      <w:tcPr>
                        <w:tcW w:w="937" w:type="dxa"/>
                        <w:tcBorders>
                          <w:bottom w:val="single" w:sz="17" w:space="0" w:color="000000"/>
                        </w:tcBorders>
                      </w:tcPr>
                      <w:p>
                        <w:pPr/>
                      </w:p>
                    </w:tc>
                    <w:tc>
                      <w:tcPr>
                        <w:tcW w:w="991" w:type="dxa"/>
                        <w:tcBorders>
                          <w:bottom w:val="single" w:sz="17" w:space="0" w:color="000000"/>
                        </w:tcBorders>
                      </w:tcPr>
                      <w:p>
                        <w:pPr>
                          <w:pStyle w:val="TableParagraph"/>
                          <w:spacing w:line="268" w:lineRule="exact"/>
                          <w:ind w:right="204"/>
                          <w:rPr>
                            <w:b/>
                            <w:sz w:val="24"/>
                          </w:rPr>
                        </w:pPr>
                        <w:r>
                          <w:rPr>
                            <w:b/>
                            <w:sz w:val="24"/>
                          </w:rPr>
                          <w:t>9.73</w:t>
                        </w:r>
                      </w:p>
                    </w:tc>
                    <w:tc>
                      <w:tcPr>
                        <w:tcW w:w="816" w:type="dxa"/>
                        <w:tcBorders>
                          <w:bottom w:val="single" w:sz="17" w:space="0" w:color="000000"/>
                        </w:tcBorders>
                      </w:tcPr>
                      <w:p>
                        <w:pPr/>
                      </w:p>
                    </w:tc>
                  </w:tr>
                  <w:tr>
                    <w:trPr>
                      <w:trHeight w:val="341" w:hRule="exact"/>
                    </w:trPr>
                    <w:tc>
                      <w:tcPr>
                        <w:tcW w:w="4877" w:type="dxa"/>
                        <w:tcBorders>
                          <w:top w:val="single" w:sz="17" w:space="0" w:color="000000"/>
                        </w:tcBorders>
                      </w:tcPr>
                      <w:p>
                        <w:pPr>
                          <w:pStyle w:val="TableParagraph"/>
                          <w:spacing w:line="223" w:lineRule="exact"/>
                          <w:ind w:left="14"/>
                          <w:jc w:val="left"/>
                          <w:rPr>
                            <w:sz w:val="20"/>
                          </w:rPr>
                        </w:pPr>
                        <w:r>
                          <w:rPr>
                            <w:sz w:val="20"/>
                          </w:rPr>
                          <w:t>Fuente: Elaboración propia con información de campo.</w:t>
                        </w:r>
                      </w:p>
                    </w:tc>
                    <w:tc>
                      <w:tcPr>
                        <w:tcW w:w="1234" w:type="dxa"/>
                        <w:tcBorders>
                          <w:top w:val="single" w:sz="17" w:space="0" w:color="000000"/>
                        </w:tcBorders>
                      </w:tcPr>
                      <w:p>
                        <w:pPr/>
                      </w:p>
                    </w:tc>
                    <w:tc>
                      <w:tcPr>
                        <w:tcW w:w="937" w:type="dxa"/>
                        <w:tcBorders>
                          <w:top w:val="single" w:sz="17" w:space="0" w:color="000000"/>
                        </w:tcBorders>
                      </w:tcPr>
                      <w:p>
                        <w:pPr/>
                      </w:p>
                    </w:tc>
                    <w:tc>
                      <w:tcPr>
                        <w:tcW w:w="991" w:type="dxa"/>
                        <w:tcBorders>
                          <w:top w:val="single" w:sz="17" w:space="0" w:color="000000"/>
                        </w:tcBorders>
                      </w:tcPr>
                      <w:p>
                        <w:pPr/>
                      </w:p>
                    </w:tc>
                    <w:tc>
                      <w:tcPr>
                        <w:tcW w:w="816" w:type="dxa"/>
                        <w:tcBorders>
                          <w:top w:val="single" w:sz="17" w:space="0" w:color="000000"/>
                        </w:tcBorders>
                      </w:tcPr>
                      <w:p>
                        <w:pPr/>
                      </w:p>
                    </w:tc>
                  </w:tr>
                </w:tbl>
                <w:p>
                  <w:pPr>
                    <w:pStyle w:val="BodyText"/>
                  </w:pPr>
                </w:p>
              </w:txbxContent>
            </v:textbox>
            <w10:wrap type="none"/>
          </v:shape>
        </w:pict>
      </w:r>
      <w:r>
        <w:rPr>
          <w:b/>
          <w:position w:val="-13"/>
          <w:sz w:val="24"/>
        </w:rPr>
        <w:t>Concepto</w:t>
        <w:tab/>
      </w:r>
      <w:r>
        <w:rPr>
          <w:sz w:val="24"/>
        </w:rPr>
        <w:t>Queso</w:t>
      </w:r>
      <w:r>
        <w:rPr>
          <w:spacing w:val="-1"/>
          <w:sz w:val="24"/>
        </w:rPr>
        <w:t> </w:t>
      </w:r>
      <w:r>
        <w:rPr>
          <w:sz w:val="24"/>
        </w:rPr>
        <w:t>panela</w:t>
        <w:tab/>
        <w:t>Queso</w:t>
      </w:r>
      <w:r>
        <w:rPr>
          <w:spacing w:val="-4"/>
          <w:sz w:val="24"/>
        </w:rPr>
        <w:t> </w:t>
      </w:r>
      <w:r>
        <w:rPr>
          <w:sz w:val="24"/>
        </w:rPr>
        <w:t>ranchero</w:t>
      </w:r>
    </w:p>
    <w:p>
      <w:pPr>
        <w:spacing w:after="0"/>
        <w:jc w:val="left"/>
        <w:rPr>
          <w:sz w:val="24"/>
        </w:rPr>
        <w:sectPr>
          <w:pgSz w:w="12240" w:h="15840"/>
          <w:pgMar w:header="0" w:footer="657" w:top="1360" w:bottom="840" w:left="1580" w:right="1560"/>
        </w:sectPr>
      </w:pPr>
    </w:p>
    <w:p>
      <w:pPr>
        <w:pStyle w:val="Heading2"/>
        <w:numPr>
          <w:ilvl w:val="2"/>
          <w:numId w:val="28"/>
        </w:numPr>
        <w:tabs>
          <w:tab w:pos="642" w:val="left" w:leader="none"/>
        </w:tabs>
        <w:spacing w:line="240" w:lineRule="auto" w:before="55" w:after="0"/>
        <w:ind w:left="642" w:right="0" w:hanging="540"/>
        <w:jc w:val="both"/>
        <w:rPr>
          <w:i/>
        </w:rPr>
      </w:pPr>
      <w:r>
        <w:rPr>
          <w:i/>
        </w:rPr>
        <w:t>Coeficiente de rentabilidad</w:t>
      </w:r>
      <w:r>
        <w:rPr>
          <w:i/>
          <w:spacing w:val="-6"/>
        </w:rPr>
        <w:t> </w:t>
      </w:r>
      <w:r>
        <w:rPr>
          <w:i/>
        </w:rPr>
        <w:t>privada</w:t>
      </w:r>
    </w:p>
    <w:p>
      <w:pPr>
        <w:pStyle w:val="BodyText"/>
        <w:rPr>
          <w:b/>
          <w:i/>
        </w:rPr>
      </w:pPr>
    </w:p>
    <w:p>
      <w:pPr>
        <w:pStyle w:val="BodyText"/>
        <w:spacing w:before="7"/>
        <w:rPr>
          <w:b/>
          <w:i/>
          <w:sz w:val="23"/>
        </w:rPr>
      </w:pPr>
    </w:p>
    <w:p>
      <w:pPr>
        <w:pStyle w:val="BodyText"/>
        <w:spacing w:line="360" w:lineRule="auto"/>
        <w:ind w:left="102" w:right="118"/>
        <w:jc w:val="both"/>
      </w:pPr>
      <w:r>
        <w:rPr/>
        <w:t>El CRP permitió calcular el costo total, el ingreso neto y las ganancias para el eslabón de transformación.</w:t>
      </w:r>
      <w:r>
        <w:rPr>
          <w:spacing w:val="-16"/>
        </w:rPr>
        <w:t> </w:t>
      </w:r>
      <w:r>
        <w:rPr/>
        <w:t>El</w:t>
      </w:r>
      <w:r>
        <w:rPr>
          <w:spacing w:val="-17"/>
        </w:rPr>
        <w:t> </w:t>
      </w:r>
      <w:r>
        <w:rPr/>
        <w:t>análisis</w:t>
      </w:r>
      <w:r>
        <w:rPr>
          <w:spacing w:val="-17"/>
        </w:rPr>
        <w:t> </w:t>
      </w:r>
      <w:r>
        <w:rPr/>
        <w:t>de</w:t>
      </w:r>
      <w:r>
        <w:rPr>
          <w:spacing w:val="-18"/>
        </w:rPr>
        <w:t> </w:t>
      </w:r>
      <w:r>
        <w:rPr/>
        <w:t>los</w:t>
      </w:r>
      <w:r>
        <w:rPr>
          <w:spacing w:val="-15"/>
        </w:rPr>
        <w:t> </w:t>
      </w:r>
      <w:r>
        <w:rPr/>
        <w:t>resultados</w:t>
      </w:r>
      <w:r>
        <w:rPr>
          <w:spacing w:val="-17"/>
        </w:rPr>
        <w:t> </w:t>
      </w:r>
      <w:r>
        <w:rPr/>
        <w:t>indicó</w:t>
      </w:r>
      <w:r>
        <w:rPr>
          <w:spacing w:val="-11"/>
        </w:rPr>
        <w:t> </w:t>
      </w:r>
      <w:r>
        <w:rPr/>
        <w:t>que</w:t>
      </w:r>
      <w:r>
        <w:rPr>
          <w:spacing w:val="-18"/>
        </w:rPr>
        <w:t> </w:t>
      </w:r>
      <w:r>
        <w:rPr/>
        <w:t>las</w:t>
      </w:r>
      <w:r>
        <w:rPr>
          <w:spacing w:val="-17"/>
        </w:rPr>
        <w:t> </w:t>
      </w:r>
      <w:r>
        <w:rPr/>
        <w:t>queserías</w:t>
      </w:r>
      <w:r>
        <w:rPr>
          <w:spacing w:val="-14"/>
        </w:rPr>
        <w:t> </w:t>
      </w:r>
      <w:r>
        <w:rPr/>
        <w:t>regionales</w:t>
      </w:r>
      <w:r>
        <w:rPr>
          <w:spacing w:val="-17"/>
        </w:rPr>
        <w:t> </w:t>
      </w:r>
      <w:r>
        <w:rPr/>
        <w:t>del</w:t>
      </w:r>
      <w:r>
        <w:rPr>
          <w:spacing w:val="-16"/>
        </w:rPr>
        <w:t> </w:t>
      </w:r>
      <w:r>
        <w:rPr/>
        <w:t>municipio de Texcoco son rentables, al presentar un beneficio por cada peso invertido de 13 y 19%, en la producción de queso panela y ranchero respectivamente (Tabla</w:t>
      </w:r>
      <w:r>
        <w:rPr>
          <w:spacing w:val="-7"/>
        </w:rPr>
        <w:t> </w:t>
      </w:r>
      <w:r>
        <w:rPr/>
        <w:t>18).</w:t>
      </w:r>
    </w:p>
    <w:p>
      <w:pPr>
        <w:pStyle w:val="BodyText"/>
      </w:pPr>
    </w:p>
    <w:p>
      <w:pPr>
        <w:pStyle w:val="Heading2"/>
        <w:numPr>
          <w:ilvl w:val="2"/>
          <w:numId w:val="28"/>
        </w:numPr>
        <w:tabs>
          <w:tab w:pos="642" w:val="left" w:leader="none"/>
        </w:tabs>
        <w:spacing w:line="240" w:lineRule="auto" w:before="148" w:after="0"/>
        <w:ind w:left="642" w:right="0" w:hanging="540"/>
        <w:jc w:val="both"/>
        <w:rPr>
          <w:i/>
        </w:rPr>
      </w:pPr>
      <w:r>
        <w:rPr>
          <w:i/>
        </w:rPr>
        <w:t>Consumo intermedio en el ingreso</w:t>
      </w:r>
      <w:r>
        <w:rPr>
          <w:i/>
          <w:spacing w:val="-6"/>
        </w:rPr>
        <w:t> </w:t>
      </w:r>
      <w:r>
        <w:rPr>
          <w:i/>
        </w:rPr>
        <w:t>total</w:t>
      </w:r>
    </w:p>
    <w:p>
      <w:pPr>
        <w:pStyle w:val="BodyText"/>
        <w:rPr>
          <w:b/>
          <w:i/>
        </w:rPr>
      </w:pPr>
    </w:p>
    <w:p>
      <w:pPr>
        <w:pStyle w:val="BodyText"/>
        <w:spacing w:before="7"/>
        <w:rPr>
          <w:b/>
          <w:i/>
          <w:sz w:val="23"/>
        </w:rPr>
      </w:pPr>
    </w:p>
    <w:p>
      <w:pPr>
        <w:pStyle w:val="BodyText"/>
        <w:spacing w:line="360" w:lineRule="auto"/>
        <w:ind w:left="102" w:right="116"/>
        <w:jc w:val="both"/>
      </w:pPr>
      <w:r>
        <w:rPr/>
        <w:t>Este</w:t>
      </w:r>
      <w:r>
        <w:rPr>
          <w:spacing w:val="-16"/>
        </w:rPr>
        <w:t> </w:t>
      </w:r>
      <w:r>
        <w:rPr/>
        <w:t>indicador</w:t>
      </w:r>
      <w:r>
        <w:rPr>
          <w:spacing w:val="-17"/>
        </w:rPr>
        <w:t> </w:t>
      </w:r>
      <w:r>
        <w:rPr/>
        <w:t>se</w:t>
      </w:r>
      <w:r>
        <w:rPr>
          <w:spacing w:val="-17"/>
        </w:rPr>
        <w:t> </w:t>
      </w:r>
      <w:r>
        <w:rPr/>
        <w:t>ubicó</w:t>
      </w:r>
      <w:r>
        <w:rPr>
          <w:spacing w:val="-16"/>
        </w:rPr>
        <w:t> </w:t>
      </w:r>
      <w:r>
        <w:rPr/>
        <w:t>entre</w:t>
      </w:r>
      <w:r>
        <w:rPr>
          <w:spacing w:val="-17"/>
        </w:rPr>
        <w:t> </w:t>
      </w:r>
      <w:r>
        <w:rPr/>
        <w:t>74</w:t>
      </w:r>
      <w:r>
        <w:rPr>
          <w:spacing w:val="-13"/>
        </w:rPr>
        <w:t> </w:t>
      </w:r>
      <w:r>
        <w:rPr/>
        <w:t>y</w:t>
      </w:r>
      <w:r>
        <w:rPr>
          <w:spacing w:val="-21"/>
        </w:rPr>
        <w:t> </w:t>
      </w:r>
      <w:r>
        <w:rPr/>
        <w:t>78%,</w:t>
      </w:r>
      <w:r>
        <w:rPr>
          <w:spacing w:val="-16"/>
        </w:rPr>
        <w:t> </w:t>
      </w:r>
      <w:r>
        <w:rPr/>
        <w:t>lo</w:t>
      </w:r>
      <w:r>
        <w:rPr>
          <w:spacing w:val="-14"/>
        </w:rPr>
        <w:t> </w:t>
      </w:r>
      <w:r>
        <w:rPr/>
        <w:t>cual</w:t>
      </w:r>
      <w:r>
        <w:rPr>
          <w:spacing w:val="-15"/>
        </w:rPr>
        <w:t> </w:t>
      </w:r>
      <w:r>
        <w:rPr/>
        <w:t>indicó</w:t>
      </w:r>
      <w:r>
        <w:rPr>
          <w:spacing w:val="-16"/>
        </w:rPr>
        <w:t> </w:t>
      </w:r>
      <w:r>
        <w:rPr/>
        <w:t>que</w:t>
      </w:r>
      <w:r>
        <w:rPr>
          <w:spacing w:val="-17"/>
        </w:rPr>
        <w:t> </w:t>
      </w:r>
      <w:r>
        <w:rPr/>
        <w:t>la</w:t>
      </w:r>
      <w:r>
        <w:rPr>
          <w:spacing w:val="-16"/>
        </w:rPr>
        <w:t> </w:t>
      </w:r>
      <w:r>
        <w:rPr/>
        <w:t>mayor</w:t>
      </w:r>
      <w:r>
        <w:rPr>
          <w:spacing w:val="-17"/>
        </w:rPr>
        <w:t> </w:t>
      </w:r>
      <w:r>
        <w:rPr/>
        <w:t>parte</w:t>
      </w:r>
      <w:r>
        <w:rPr>
          <w:spacing w:val="-17"/>
        </w:rPr>
        <w:t> </w:t>
      </w:r>
      <w:r>
        <w:rPr/>
        <w:t>del</w:t>
      </w:r>
      <w:r>
        <w:rPr>
          <w:spacing w:val="-15"/>
        </w:rPr>
        <w:t> </w:t>
      </w:r>
      <w:r>
        <w:rPr/>
        <w:t>ingreso</w:t>
      </w:r>
      <w:r>
        <w:rPr>
          <w:spacing w:val="-13"/>
        </w:rPr>
        <w:t> </w:t>
      </w:r>
      <w:r>
        <w:rPr/>
        <w:t>generado por el eslabón de transformación no se queda en este sector productivo, sino que se va hacia otros sectores de la economía, por concepto de adquisición de insumos comerciables para la elaboración del queso, principalmente la leche que ostenta más del 80% del costo de producción para un kilogramo de queso panela y ranchero. La alta dependencia del eslabón de transformación hacia el sector productor de leche confirma la importancia y el rol central que juegan los sistemas de producción lecheros de pequeña escala en la cadena agroalimentaria productora de leche del municipio de Texcoco (Tabla</w:t>
      </w:r>
      <w:r>
        <w:rPr>
          <w:spacing w:val="-8"/>
        </w:rPr>
        <w:t> </w:t>
      </w:r>
      <w:r>
        <w:rPr/>
        <w:t>18).</w:t>
      </w:r>
    </w:p>
    <w:p>
      <w:pPr>
        <w:pStyle w:val="BodyText"/>
      </w:pPr>
    </w:p>
    <w:p>
      <w:pPr>
        <w:pStyle w:val="Heading2"/>
        <w:numPr>
          <w:ilvl w:val="2"/>
          <w:numId w:val="28"/>
        </w:numPr>
        <w:tabs>
          <w:tab w:pos="645" w:val="left" w:leader="none"/>
        </w:tabs>
        <w:spacing w:line="240" w:lineRule="auto" w:before="148" w:after="0"/>
        <w:ind w:left="644" w:right="0" w:hanging="542"/>
        <w:jc w:val="both"/>
        <w:rPr>
          <w:i/>
        </w:rPr>
      </w:pPr>
      <w:r>
        <w:rPr>
          <w:i/>
        </w:rPr>
        <w:t>Valor agregado en el ingreso</w:t>
      </w:r>
      <w:r>
        <w:rPr>
          <w:i/>
          <w:spacing w:val="-8"/>
        </w:rPr>
        <w:t> </w:t>
      </w:r>
      <w:r>
        <w:rPr>
          <w:i/>
        </w:rPr>
        <w:t>total</w:t>
      </w:r>
    </w:p>
    <w:p>
      <w:pPr>
        <w:pStyle w:val="BodyText"/>
        <w:rPr>
          <w:b/>
          <w:i/>
        </w:rPr>
      </w:pPr>
    </w:p>
    <w:p>
      <w:pPr>
        <w:pStyle w:val="BodyText"/>
        <w:spacing w:before="6"/>
        <w:rPr>
          <w:b/>
          <w:i/>
          <w:sz w:val="23"/>
        </w:rPr>
      </w:pPr>
    </w:p>
    <w:p>
      <w:pPr>
        <w:pStyle w:val="BodyText"/>
        <w:spacing w:line="360" w:lineRule="auto"/>
        <w:ind w:left="102" w:right="115"/>
        <w:jc w:val="both"/>
      </w:pPr>
      <w:r>
        <w:rPr/>
        <w:t>El</w:t>
      </w:r>
      <w:r>
        <w:rPr>
          <w:spacing w:val="-13"/>
        </w:rPr>
        <w:t> </w:t>
      </w:r>
      <w:r>
        <w:rPr/>
        <w:t>PVAP</w:t>
      </w:r>
      <w:r>
        <w:rPr>
          <w:spacing w:val="-13"/>
        </w:rPr>
        <w:t> </w:t>
      </w:r>
      <w:r>
        <w:rPr/>
        <w:t>se</w:t>
      </w:r>
      <w:r>
        <w:rPr>
          <w:spacing w:val="-14"/>
        </w:rPr>
        <w:t> </w:t>
      </w:r>
      <w:r>
        <w:rPr/>
        <w:t>ubicó</w:t>
      </w:r>
      <w:r>
        <w:rPr>
          <w:spacing w:val="-14"/>
        </w:rPr>
        <w:t> </w:t>
      </w:r>
      <w:r>
        <w:rPr/>
        <w:t>entre</w:t>
      </w:r>
      <w:r>
        <w:rPr>
          <w:spacing w:val="-15"/>
        </w:rPr>
        <w:t> </w:t>
      </w:r>
      <w:r>
        <w:rPr/>
        <w:t>22</w:t>
      </w:r>
      <w:r>
        <w:rPr>
          <w:spacing w:val="-11"/>
        </w:rPr>
        <w:t> </w:t>
      </w:r>
      <w:r>
        <w:rPr/>
        <w:t>y</w:t>
      </w:r>
      <w:r>
        <w:rPr>
          <w:spacing w:val="-18"/>
        </w:rPr>
        <w:t> </w:t>
      </w:r>
      <w:r>
        <w:rPr/>
        <w:t>26%</w:t>
      </w:r>
      <w:r>
        <w:rPr>
          <w:spacing w:val="-14"/>
        </w:rPr>
        <w:t> </w:t>
      </w:r>
      <w:r>
        <w:rPr/>
        <w:t>con</w:t>
      </w:r>
      <w:r>
        <w:rPr>
          <w:spacing w:val="-13"/>
        </w:rPr>
        <w:t> </w:t>
      </w:r>
      <w:r>
        <w:rPr/>
        <w:t>respecto</w:t>
      </w:r>
      <w:r>
        <w:rPr>
          <w:spacing w:val="-13"/>
        </w:rPr>
        <w:t> </w:t>
      </w:r>
      <w:r>
        <w:rPr/>
        <w:t>al</w:t>
      </w:r>
      <w:r>
        <w:rPr>
          <w:spacing w:val="-13"/>
        </w:rPr>
        <w:t> </w:t>
      </w:r>
      <w:r>
        <w:rPr/>
        <w:t>ingreso</w:t>
      </w:r>
      <w:r>
        <w:rPr>
          <w:spacing w:val="-13"/>
        </w:rPr>
        <w:t> </w:t>
      </w:r>
      <w:r>
        <w:rPr/>
        <w:t>total,</w:t>
      </w:r>
      <w:r>
        <w:rPr>
          <w:spacing w:val="-13"/>
        </w:rPr>
        <w:t> </w:t>
      </w:r>
      <w:r>
        <w:rPr/>
        <w:t>lo</w:t>
      </w:r>
      <w:r>
        <w:rPr>
          <w:spacing w:val="-12"/>
        </w:rPr>
        <w:t> </w:t>
      </w:r>
      <w:r>
        <w:rPr/>
        <w:t>cual</w:t>
      </w:r>
      <w:r>
        <w:rPr>
          <w:spacing w:val="-13"/>
        </w:rPr>
        <w:t> </w:t>
      </w:r>
      <w:r>
        <w:rPr/>
        <w:t>mostró</w:t>
      </w:r>
      <w:r>
        <w:rPr>
          <w:spacing w:val="-13"/>
        </w:rPr>
        <w:t> </w:t>
      </w:r>
      <w:r>
        <w:rPr/>
        <w:t>la</w:t>
      </w:r>
      <w:r>
        <w:rPr>
          <w:spacing w:val="-14"/>
        </w:rPr>
        <w:t> </w:t>
      </w:r>
      <w:r>
        <w:rPr/>
        <w:t>participación del eslabón de trasformación en el empleo regional, tanto para los miembros de la familia como de la región, y la ganancia del productor, entre mayor sea el porcentaje del PVAP mayor será su aportación a la reactivación económica regional (Tabla</w:t>
      </w:r>
      <w:r>
        <w:rPr>
          <w:spacing w:val="-11"/>
        </w:rPr>
        <w:t> </w:t>
      </w:r>
      <w:r>
        <w:rPr/>
        <w:t>18).</w:t>
      </w:r>
    </w:p>
    <w:p>
      <w:pPr>
        <w:pStyle w:val="BodyText"/>
      </w:pPr>
    </w:p>
    <w:p>
      <w:pPr>
        <w:pStyle w:val="Heading2"/>
        <w:numPr>
          <w:ilvl w:val="2"/>
          <w:numId w:val="28"/>
        </w:numPr>
        <w:tabs>
          <w:tab w:pos="645" w:val="left" w:leader="none"/>
        </w:tabs>
        <w:spacing w:line="240" w:lineRule="auto" w:before="148" w:after="0"/>
        <w:ind w:left="644" w:right="0" w:hanging="542"/>
        <w:jc w:val="both"/>
        <w:rPr>
          <w:i/>
        </w:rPr>
      </w:pPr>
      <w:r>
        <w:rPr>
          <w:i/>
        </w:rPr>
        <w:t>Valor agregado a precios</w:t>
      </w:r>
      <w:r>
        <w:rPr>
          <w:i/>
          <w:spacing w:val="-8"/>
        </w:rPr>
        <w:t> </w:t>
      </w:r>
      <w:r>
        <w:rPr>
          <w:i/>
        </w:rPr>
        <w:t>privados</w:t>
      </w:r>
    </w:p>
    <w:p>
      <w:pPr>
        <w:pStyle w:val="BodyText"/>
        <w:rPr>
          <w:b/>
          <w:i/>
        </w:rPr>
      </w:pPr>
    </w:p>
    <w:p>
      <w:pPr>
        <w:pStyle w:val="BodyText"/>
        <w:spacing w:before="6"/>
        <w:rPr>
          <w:b/>
          <w:i/>
          <w:sz w:val="23"/>
        </w:rPr>
      </w:pPr>
    </w:p>
    <w:p>
      <w:pPr>
        <w:pStyle w:val="BodyText"/>
        <w:spacing w:line="360" w:lineRule="auto"/>
        <w:ind w:left="102" w:right="114"/>
        <w:jc w:val="both"/>
      </w:pPr>
      <w:r>
        <w:rPr/>
        <w:t>La elaboración del queso panela presentó un beneficio de 13.01 $/kg puesto en el mercado, una vez que se liquidó el costo de los insumos comercializables y no comercializables. Este beneficio se destina para el pago de mano de obra y la ganancia de la quesería, cantidad que fue</w:t>
      </w:r>
      <w:r>
        <w:rPr>
          <w:spacing w:val="-18"/>
        </w:rPr>
        <w:t> </w:t>
      </w:r>
      <w:r>
        <w:rPr/>
        <w:t>menor</w:t>
      </w:r>
      <w:r>
        <w:rPr>
          <w:spacing w:val="-15"/>
        </w:rPr>
        <w:t> </w:t>
      </w:r>
      <w:r>
        <w:rPr/>
        <w:t>con</w:t>
      </w:r>
      <w:r>
        <w:rPr>
          <w:spacing w:val="-14"/>
        </w:rPr>
        <w:t> </w:t>
      </w:r>
      <w:r>
        <w:rPr/>
        <w:t>respecto</w:t>
      </w:r>
      <w:r>
        <w:rPr>
          <w:spacing w:val="-14"/>
        </w:rPr>
        <w:t> </w:t>
      </w:r>
      <w:r>
        <w:rPr/>
        <w:t>a</w:t>
      </w:r>
      <w:r>
        <w:rPr>
          <w:spacing w:val="-12"/>
        </w:rPr>
        <w:t> </w:t>
      </w:r>
      <w:r>
        <w:rPr/>
        <w:t>la</w:t>
      </w:r>
      <w:r>
        <w:rPr>
          <w:spacing w:val="-16"/>
        </w:rPr>
        <w:t> </w:t>
      </w:r>
      <w:r>
        <w:rPr/>
        <w:t>obtenida</w:t>
      </w:r>
      <w:r>
        <w:rPr>
          <w:spacing w:val="-14"/>
        </w:rPr>
        <w:t> </w:t>
      </w:r>
      <w:r>
        <w:rPr/>
        <w:t>en</w:t>
      </w:r>
      <w:r>
        <w:rPr>
          <w:spacing w:val="-16"/>
        </w:rPr>
        <w:t> </w:t>
      </w:r>
      <w:r>
        <w:rPr/>
        <w:t>la</w:t>
      </w:r>
      <w:r>
        <w:rPr>
          <w:spacing w:val="-14"/>
        </w:rPr>
        <w:t> </w:t>
      </w:r>
      <w:r>
        <w:rPr/>
        <w:t>elaboración</w:t>
      </w:r>
      <w:r>
        <w:rPr>
          <w:spacing w:val="-15"/>
        </w:rPr>
        <w:t> </w:t>
      </w:r>
      <w:r>
        <w:rPr/>
        <w:t>del</w:t>
      </w:r>
      <w:r>
        <w:rPr>
          <w:spacing w:val="-15"/>
        </w:rPr>
        <w:t> </w:t>
      </w:r>
      <w:r>
        <w:rPr/>
        <w:t>queso</w:t>
      </w:r>
      <w:r>
        <w:rPr>
          <w:spacing w:val="-13"/>
        </w:rPr>
        <w:t> </w:t>
      </w:r>
      <w:r>
        <w:rPr/>
        <w:t>ranchero</w:t>
      </w:r>
      <w:r>
        <w:rPr>
          <w:spacing w:val="-13"/>
        </w:rPr>
        <w:t> </w:t>
      </w:r>
      <w:r>
        <w:rPr/>
        <w:t>(13.16</w:t>
      </w:r>
      <w:r>
        <w:rPr>
          <w:spacing w:val="-15"/>
        </w:rPr>
        <w:t> </w:t>
      </w:r>
      <w:r>
        <w:rPr/>
        <w:t>$/kg).</w:t>
      </w:r>
      <w:r>
        <w:rPr>
          <w:spacing w:val="-14"/>
        </w:rPr>
        <w:t> </w:t>
      </w:r>
      <w:r>
        <w:rPr/>
        <w:t>Dicha</w:t>
      </w:r>
    </w:p>
    <w:p>
      <w:pPr>
        <w:spacing w:after="0" w:line="360" w:lineRule="auto"/>
        <w:jc w:val="both"/>
        <w:sectPr>
          <w:pgSz w:w="12240" w:h="15840"/>
          <w:pgMar w:header="0" w:footer="657" w:top="1360" w:bottom="840" w:left="1600" w:right="1580"/>
        </w:sectPr>
      </w:pPr>
    </w:p>
    <w:p>
      <w:pPr>
        <w:pStyle w:val="BodyText"/>
        <w:spacing w:line="362" w:lineRule="auto" w:before="50"/>
        <w:ind w:left="122" w:right="118"/>
        <w:jc w:val="both"/>
      </w:pPr>
      <w:r>
        <w:rPr/>
        <w:t>diferencia</w:t>
      </w:r>
      <w:r>
        <w:rPr>
          <w:spacing w:val="-16"/>
        </w:rPr>
        <w:t> </w:t>
      </w:r>
      <w:r>
        <w:rPr/>
        <w:t>de</w:t>
      </w:r>
      <w:r>
        <w:rPr>
          <w:spacing w:val="-15"/>
        </w:rPr>
        <w:t> </w:t>
      </w:r>
      <w:r>
        <w:rPr/>
        <w:t>valor</w:t>
      </w:r>
      <w:r>
        <w:rPr>
          <w:spacing w:val="-13"/>
        </w:rPr>
        <w:t> </w:t>
      </w:r>
      <w:r>
        <w:rPr/>
        <w:t>se</w:t>
      </w:r>
      <w:r>
        <w:rPr>
          <w:spacing w:val="-17"/>
        </w:rPr>
        <w:t> </w:t>
      </w:r>
      <w:r>
        <w:rPr/>
        <w:t>debe</w:t>
      </w:r>
      <w:r>
        <w:rPr>
          <w:spacing w:val="-16"/>
        </w:rPr>
        <w:t> </w:t>
      </w:r>
      <w:r>
        <w:rPr/>
        <w:t>principalmente</w:t>
      </w:r>
      <w:r>
        <w:rPr>
          <w:spacing w:val="-17"/>
        </w:rPr>
        <w:t> </w:t>
      </w:r>
      <w:r>
        <w:rPr/>
        <w:t>al</w:t>
      </w:r>
      <w:r>
        <w:rPr>
          <w:spacing w:val="-15"/>
        </w:rPr>
        <w:t> </w:t>
      </w:r>
      <w:r>
        <w:rPr/>
        <w:t>precio</w:t>
      </w:r>
      <w:r>
        <w:rPr>
          <w:spacing w:val="-16"/>
        </w:rPr>
        <w:t> </w:t>
      </w:r>
      <w:r>
        <w:rPr/>
        <w:t>de</w:t>
      </w:r>
      <w:r>
        <w:rPr>
          <w:spacing w:val="-17"/>
        </w:rPr>
        <w:t> </w:t>
      </w:r>
      <w:r>
        <w:rPr/>
        <w:t>venta</w:t>
      </w:r>
      <w:r>
        <w:rPr>
          <w:spacing w:val="-17"/>
        </w:rPr>
        <w:t> </w:t>
      </w:r>
      <w:r>
        <w:rPr/>
        <w:t>del</w:t>
      </w:r>
      <w:r>
        <w:rPr>
          <w:spacing w:val="-15"/>
        </w:rPr>
        <w:t> </w:t>
      </w:r>
      <w:r>
        <w:rPr/>
        <w:t>queso</w:t>
      </w:r>
      <w:r>
        <w:rPr>
          <w:spacing w:val="-16"/>
        </w:rPr>
        <w:t> </w:t>
      </w:r>
      <w:r>
        <w:rPr/>
        <w:t>ranchero</w:t>
      </w:r>
      <w:r>
        <w:rPr>
          <w:spacing w:val="-14"/>
        </w:rPr>
        <w:t> </w:t>
      </w:r>
      <w:r>
        <w:rPr/>
        <w:t>el</w:t>
      </w:r>
      <w:r>
        <w:rPr>
          <w:spacing w:val="-13"/>
        </w:rPr>
        <w:t> </w:t>
      </w:r>
      <w:r>
        <w:rPr/>
        <w:t>cual</w:t>
      </w:r>
      <w:r>
        <w:rPr>
          <w:spacing w:val="-15"/>
        </w:rPr>
        <w:t> </w:t>
      </w:r>
      <w:r>
        <w:rPr/>
        <w:t>tienen una margen de ganancia de 9.73$/kg por solo 6.4$/kg del queso panela (Tabla</w:t>
      </w:r>
      <w:r>
        <w:rPr>
          <w:spacing w:val="-7"/>
        </w:rPr>
        <w:t> </w:t>
      </w:r>
      <w:r>
        <w:rPr/>
        <w:t>18).</w:t>
      </w:r>
    </w:p>
    <w:p>
      <w:pPr>
        <w:pStyle w:val="BodyText"/>
      </w:pPr>
    </w:p>
    <w:p>
      <w:pPr>
        <w:pStyle w:val="Heading2"/>
        <w:numPr>
          <w:ilvl w:val="2"/>
          <w:numId w:val="28"/>
        </w:numPr>
        <w:tabs>
          <w:tab w:pos="662" w:val="left" w:leader="none"/>
        </w:tabs>
        <w:spacing w:line="240" w:lineRule="auto" w:before="145" w:after="0"/>
        <w:ind w:left="662" w:right="0" w:hanging="540"/>
        <w:jc w:val="both"/>
        <w:rPr>
          <w:i/>
        </w:rPr>
      </w:pPr>
      <w:r>
        <w:rPr>
          <w:i/>
        </w:rPr>
        <w:t>Relación de costo</w:t>
      </w:r>
      <w:r>
        <w:rPr>
          <w:i/>
          <w:spacing w:val="-3"/>
        </w:rPr>
        <w:t> </w:t>
      </w:r>
      <w:r>
        <w:rPr>
          <w:i/>
        </w:rPr>
        <w:t>privado</w:t>
      </w:r>
    </w:p>
    <w:p>
      <w:pPr>
        <w:pStyle w:val="BodyText"/>
        <w:rPr>
          <w:b/>
          <w:i/>
        </w:rPr>
      </w:pPr>
    </w:p>
    <w:p>
      <w:pPr>
        <w:pStyle w:val="BodyText"/>
        <w:spacing w:before="6"/>
        <w:rPr>
          <w:b/>
          <w:i/>
          <w:sz w:val="23"/>
        </w:rPr>
      </w:pPr>
    </w:p>
    <w:p>
      <w:pPr>
        <w:pStyle w:val="BodyText"/>
        <w:spacing w:line="360" w:lineRule="auto"/>
        <w:ind w:left="122" w:right="116"/>
        <w:jc w:val="both"/>
      </w:pPr>
      <w:r>
        <w:rPr/>
        <w:t>La elaboración de queso panela y ranchero presentó una RCP favorable, sus valores fueron mayores a cero, pero menores a uno; lo cual indicó que el eslabón de transformación es eficiente y competitivo, dado que después de remunerar los factores de la producción, tanto propios</w:t>
      </w:r>
      <w:r>
        <w:rPr>
          <w:spacing w:val="-9"/>
        </w:rPr>
        <w:t> </w:t>
      </w:r>
      <w:r>
        <w:rPr/>
        <w:t>como</w:t>
      </w:r>
      <w:r>
        <w:rPr>
          <w:spacing w:val="-8"/>
        </w:rPr>
        <w:t> </w:t>
      </w:r>
      <w:r>
        <w:rPr/>
        <w:t>contratados,</w:t>
      </w:r>
      <w:r>
        <w:rPr>
          <w:spacing w:val="-7"/>
        </w:rPr>
        <w:t> </w:t>
      </w:r>
      <w:r>
        <w:rPr/>
        <w:t>la</w:t>
      </w:r>
      <w:r>
        <w:rPr>
          <w:spacing w:val="-10"/>
        </w:rPr>
        <w:t> </w:t>
      </w:r>
      <w:r>
        <w:rPr/>
        <w:t>RCP</w:t>
      </w:r>
      <w:r>
        <w:rPr>
          <w:spacing w:val="-8"/>
        </w:rPr>
        <w:t> </w:t>
      </w:r>
      <w:r>
        <w:rPr/>
        <w:t>representó</w:t>
      </w:r>
      <w:r>
        <w:rPr>
          <w:spacing w:val="-8"/>
        </w:rPr>
        <w:t> </w:t>
      </w:r>
      <w:r>
        <w:rPr/>
        <w:t>51</w:t>
      </w:r>
      <w:r>
        <w:rPr>
          <w:spacing w:val="-2"/>
        </w:rPr>
        <w:t> </w:t>
      </w:r>
      <w:r>
        <w:rPr/>
        <w:t>y</w:t>
      </w:r>
      <w:r>
        <w:rPr>
          <w:spacing w:val="-11"/>
        </w:rPr>
        <w:t> </w:t>
      </w:r>
      <w:r>
        <w:rPr/>
        <w:t>26%</w:t>
      </w:r>
      <w:r>
        <w:rPr>
          <w:spacing w:val="-9"/>
        </w:rPr>
        <w:t> </w:t>
      </w:r>
      <w:r>
        <w:rPr/>
        <w:t>del</w:t>
      </w:r>
      <w:r>
        <w:rPr>
          <w:spacing w:val="-6"/>
        </w:rPr>
        <w:t> </w:t>
      </w:r>
      <w:r>
        <w:rPr/>
        <w:t>valor</w:t>
      </w:r>
      <w:r>
        <w:rPr>
          <w:spacing w:val="-7"/>
        </w:rPr>
        <w:t> </w:t>
      </w:r>
      <w:r>
        <w:rPr/>
        <w:t>agregado</w:t>
      </w:r>
      <w:r>
        <w:rPr>
          <w:spacing w:val="-6"/>
        </w:rPr>
        <w:t> </w:t>
      </w:r>
      <w:r>
        <w:rPr/>
        <w:t>y</w:t>
      </w:r>
      <w:r>
        <w:rPr>
          <w:spacing w:val="-9"/>
        </w:rPr>
        <w:t> </w:t>
      </w:r>
      <w:r>
        <w:rPr/>
        <w:t>49</w:t>
      </w:r>
      <w:r>
        <w:rPr>
          <w:spacing w:val="-1"/>
        </w:rPr>
        <w:t> </w:t>
      </w:r>
      <w:r>
        <w:rPr/>
        <w:t>y</w:t>
      </w:r>
      <w:r>
        <w:rPr>
          <w:spacing w:val="-13"/>
        </w:rPr>
        <w:t> </w:t>
      </w:r>
      <w:r>
        <w:rPr/>
        <w:t>74%</w:t>
      </w:r>
      <w:r>
        <w:rPr>
          <w:spacing w:val="-7"/>
        </w:rPr>
        <w:t> </w:t>
      </w:r>
      <w:r>
        <w:rPr/>
        <w:t>de</w:t>
      </w:r>
      <w:r>
        <w:rPr>
          <w:spacing w:val="-7"/>
        </w:rPr>
        <w:t> </w:t>
      </w:r>
      <w:r>
        <w:rPr/>
        <w:t>las ganancias por kilogramo de queso panela y ranchero (Tabla 18). Esto indica que la producción de queso ranchero presenta una mayor competitividad a precios privados que la producción de queso panela, lo cual esta explicado principalmente por el diferencial de precios puesto en el</w:t>
      </w:r>
      <w:r>
        <w:rPr>
          <w:spacing w:val="-7"/>
        </w:rPr>
        <w:t> </w:t>
      </w:r>
      <w:r>
        <w:rPr/>
        <w:t>mercado.</w:t>
      </w:r>
    </w:p>
    <w:p>
      <w:pPr>
        <w:pStyle w:val="BodyText"/>
      </w:pPr>
    </w:p>
    <w:p>
      <w:pPr>
        <w:pStyle w:val="BodyText"/>
        <w:spacing w:line="360" w:lineRule="auto" w:before="143" w:after="31"/>
        <w:ind w:left="191" w:right="187"/>
        <w:jc w:val="both"/>
      </w:pPr>
      <w:r>
        <w:rPr>
          <w:b/>
        </w:rPr>
        <w:t>Tabla 18. </w:t>
      </w:r>
      <w:r>
        <w:rPr/>
        <w:t>Coeficientes de protección de rentabilidad efectiva para el eslabón de transformación</w:t>
      </w:r>
    </w:p>
    <w:tbl>
      <w:tblPr>
        <w:tblW w:w="0" w:type="auto"/>
        <w:jc w:val="left"/>
        <w:tblInd w:w="10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502"/>
        <w:gridCol w:w="1627"/>
        <w:gridCol w:w="1726"/>
      </w:tblGrid>
      <w:tr>
        <w:trPr>
          <w:trHeight w:val="459" w:hRule="exact"/>
        </w:trPr>
        <w:tc>
          <w:tcPr>
            <w:tcW w:w="5502" w:type="dxa"/>
            <w:tcBorders>
              <w:left w:val="nil"/>
              <w:right w:val="nil"/>
            </w:tcBorders>
          </w:tcPr>
          <w:p>
            <w:pPr>
              <w:pStyle w:val="TableParagraph"/>
              <w:spacing w:line="273" w:lineRule="exact"/>
              <w:ind w:left="84"/>
              <w:jc w:val="left"/>
              <w:rPr>
                <w:sz w:val="24"/>
              </w:rPr>
            </w:pPr>
            <w:r>
              <w:rPr>
                <w:sz w:val="24"/>
              </w:rPr>
              <w:t>Concepto</w:t>
            </w:r>
          </w:p>
        </w:tc>
        <w:tc>
          <w:tcPr>
            <w:tcW w:w="1627" w:type="dxa"/>
            <w:tcBorders>
              <w:left w:val="nil"/>
              <w:right w:val="nil"/>
            </w:tcBorders>
          </w:tcPr>
          <w:p>
            <w:pPr>
              <w:pStyle w:val="TableParagraph"/>
              <w:spacing w:line="273" w:lineRule="exact"/>
              <w:ind w:right="141"/>
              <w:rPr>
                <w:sz w:val="24"/>
              </w:rPr>
            </w:pPr>
            <w:r>
              <w:rPr>
                <w:sz w:val="24"/>
              </w:rPr>
              <w:t>Queso panela</w:t>
            </w:r>
          </w:p>
        </w:tc>
        <w:tc>
          <w:tcPr>
            <w:tcW w:w="1726" w:type="dxa"/>
            <w:tcBorders>
              <w:left w:val="nil"/>
              <w:right w:val="nil"/>
            </w:tcBorders>
          </w:tcPr>
          <w:p>
            <w:pPr>
              <w:pStyle w:val="TableParagraph"/>
              <w:spacing w:line="273" w:lineRule="exact"/>
              <w:ind w:right="71"/>
              <w:rPr>
                <w:sz w:val="24"/>
              </w:rPr>
            </w:pPr>
            <w:r>
              <w:rPr>
                <w:sz w:val="24"/>
              </w:rPr>
              <w:t>Queso ranchero</w:t>
            </w:r>
          </w:p>
        </w:tc>
      </w:tr>
      <w:tr>
        <w:trPr>
          <w:trHeight w:val="377" w:hRule="exact"/>
        </w:trPr>
        <w:tc>
          <w:tcPr>
            <w:tcW w:w="5502" w:type="dxa"/>
            <w:tcBorders>
              <w:left w:val="nil"/>
              <w:bottom w:val="nil"/>
              <w:right w:val="nil"/>
            </w:tcBorders>
          </w:tcPr>
          <w:p>
            <w:pPr>
              <w:pStyle w:val="TableParagraph"/>
              <w:spacing w:line="273" w:lineRule="exact"/>
              <w:ind w:left="84"/>
              <w:jc w:val="left"/>
              <w:rPr>
                <w:sz w:val="24"/>
              </w:rPr>
            </w:pPr>
            <w:r>
              <w:rPr>
                <w:sz w:val="24"/>
              </w:rPr>
              <w:t>Coeficiente de rentabilidad privada (%/peso invertido)</w:t>
            </w:r>
          </w:p>
        </w:tc>
        <w:tc>
          <w:tcPr>
            <w:tcW w:w="1627" w:type="dxa"/>
            <w:tcBorders>
              <w:left w:val="nil"/>
              <w:bottom w:val="nil"/>
              <w:right w:val="nil"/>
            </w:tcBorders>
          </w:tcPr>
          <w:p>
            <w:pPr>
              <w:pStyle w:val="TableParagraph"/>
              <w:spacing w:line="273" w:lineRule="exact"/>
              <w:ind w:right="139"/>
              <w:rPr>
                <w:sz w:val="24"/>
              </w:rPr>
            </w:pPr>
            <w:r>
              <w:rPr>
                <w:sz w:val="24"/>
              </w:rPr>
              <w:t>13.96</w:t>
            </w:r>
          </w:p>
        </w:tc>
        <w:tc>
          <w:tcPr>
            <w:tcW w:w="1726" w:type="dxa"/>
            <w:tcBorders>
              <w:left w:val="nil"/>
              <w:bottom w:val="nil"/>
              <w:right w:val="nil"/>
            </w:tcBorders>
          </w:tcPr>
          <w:p>
            <w:pPr>
              <w:pStyle w:val="TableParagraph"/>
              <w:spacing w:line="273" w:lineRule="exact"/>
              <w:ind w:right="69"/>
              <w:rPr>
                <w:sz w:val="24"/>
              </w:rPr>
            </w:pPr>
            <w:r>
              <w:rPr>
                <w:sz w:val="24"/>
              </w:rPr>
              <w:t>19.37</w:t>
            </w:r>
          </w:p>
        </w:tc>
      </w:tr>
      <w:tr>
        <w:trPr>
          <w:trHeight w:val="414" w:hRule="exact"/>
        </w:trPr>
        <w:tc>
          <w:tcPr>
            <w:tcW w:w="5502" w:type="dxa"/>
            <w:tcBorders>
              <w:top w:val="nil"/>
              <w:left w:val="nil"/>
              <w:bottom w:val="nil"/>
              <w:right w:val="nil"/>
            </w:tcBorders>
          </w:tcPr>
          <w:p>
            <w:pPr>
              <w:pStyle w:val="TableParagraph"/>
              <w:spacing w:before="56"/>
              <w:ind w:left="84"/>
              <w:jc w:val="left"/>
              <w:rPr>
                <w:sz w:val="24"/>
              </w:rPr>
            </w:pPr>
            <w:r>
              <w:rPr>
                <w:sz w:val="24"/>
              </w:rPr>
              <w:t>Relación del costo privado</w:t>
            </w:r>
          </w:p>
        </w:tc>
        <w:tc>
          <w:tcPr>
            <w:tcW w:w="1627" w:type="dxa"/>
            <w:tcBorders>
              <w:top w:val="nil"/>
              <w:left w:val="nil"/>
              <w:bottom w:val="nil"/>
              <w:right w:val="nil"/>
            </w:tcBorders>
          </w:tcPr>
          <w:p>
            <w:pPr>
              <w:pStyle w:val="TableParagraph"/>
              <w:spacing w:before="56"/>
              <w:ind w:right="139"/>
              <w:rPr>
                <w:sz w:val="24"/>
              </w:rPr>
            </w:pPr>
            <w:r>
              <w:rPr>
                <w:sz w:val="24"/>
              </w:rPr>
              <w:t>0.51</w:t>
            </w:r>
          </w:p>
        </w:tc>
        <w:tc>
          <w:tcPr>
            <w:tcW w:w="1726" w:type="dxa"/>
            <w:tcBorders>
              <w:top w:val="nil"/>
              <w:left w:val="nil"/>
              <w:bottom w:val="nil"/>
              <w:right w:val="nil"/>
            </w:tcBorders>
          </w:tcPr>
          <w:p>
            <w:pPr>
              <w:pStyle w:val="TableParagraph"/>
              <w:spacing w:before="56"/>
              <w:ind w:right="69"/>
              <w:rPr>
                <w:sz w:val="24"/>
              </w:rPr>
            </w:pPr>
            <w:r>
              <w:rPr>
                <w:sz w:val="24"/>
              </w:rPr>
              <w:t>0.26</w:t>
            </w:r>
          </w:p>
        </w:tc>
      </w:tr>
      <w:tr>
        <w:trPr>
          <w:trHeight w:val="414" w:hRule="exact"/>
        </w:trPr>
        <w:tc>
          <w:tcPr>
            <w:tcW w:w="5502" w:type="dxa"/>
            <w:tcBorders>
              <w:top w:val="nil"/>
              <w:left w:val="nil"/>
              <w:bottom w:val="nil"/>
              <w:right w:val="nil"/>
            </w:tcBorders>
          </w:tcPr>
          <w:p>
            <w:pPr>
              <w:pStyle w:val="TableParagraph"/>
              <w:spacing w:before="55"/>
              <w:ind w:left="84"/>
              <w:jc w:val="left"/>
              <w:rPr>
                <w:sz w:val="24"/>
              </w:rPr>
            </w:pPr>
            <w:r>
              <w:rPr>
                <w:sz w:val="24"/>
              </w:rPr>
              <w:t>Valor agregado a precios privados ($)</w:t>
            </w:r>
          </w:p>
        </w:tc>
        <w:tc>
          <w:tcPr>
            <w:tcW w:w="1627" w:type="dxa"/>
            <w:tcBorders>
              <w:top w:val="nil"/>
              <w:left w:val="nil"/>
              <w:bottom w:val="nil"/>
              <w:right w:val="nil"/>
            </w:tcBorders>
          </w:tcPr>
          <w:p>
            <w:pPr>
              <w:pStyle w:val="TableParagraph"/>
              <w:spacing w:before="55"/>
              <w:ind w:right="139"/>
              <w:rPr>
                <w:sz w:val="24"/>
              </w:rPr>
            </w:pPr>
            <w:r>
              <w:rPr>
                <w:sz w:val="24"/>
              </w:rPr>
              <w:t>13.01</w:t>
            </w:r>
          </w:p>
        </w:tc>
        <w:tc>
          <w:tcPr>
            <w:tcW w:w="1726" w:type="dxa"/>
            <w:tcBorders>
              <w:top w:val="nil"/>
              <w:left w:val="nil"/>
              <w:bottom w:val="nil"/>
              <w:right w:val="nil"/>
            </w:tcBorders>
          </w:tcPr>
          <w:p>
            <w:pPr>
              <w:pStyle w:val="TableParagraph"/>
              <w:spacing w:before="55"/>
              <w:ind w:right="69"/>
              <w:rPr>
                <w:sz w:val="24"/>
              </w:rPr>
            </w:pPr>
            <w:r>
              <w:rPr>
                <w:sz w:val="24"/>
              </w:rPr>
              <w:t>13.16</w:t>
            </w:r>
          </w:p>
        </w:tc>
      </w:tr>
      <w:tr>
        <w:trPr>
          <w:trHeight w:val="414" w:hRule="exact"/>
        </w:trPr>
        <w:tc>
          <w:tcPr>
            <w:tcW w:w="5502" w:type="dxa"/>
            <w:tcBorders>
              <w:top w:val="nil"/>
              <w:left w:val="nil"/>
              <w:bottom w:val="nil"/>
              <w:right w:val="nil"/>
            </w:tcBorders>
          </w:tcPr>
          <w:p>
            <w:pPr>
              <w:pStyle w:val="TableParagraph"/>
              <w:spacing w:before="56"/>
              <w:ind w:left="84"/>
              <w:jc w:val="left"/>
              <w:rPr>
                <w:sz w:val="24"/>
              </w:rPr>
            </w:pPr>
            <w:r>
              <w:rPr>
                <w:sz w:val="24"/>
              </w:rPr>
              <w:t>Consumo intermedio en el ingreso total (%)</w:t>
            </w:r>
          </w:p>
        </w:tc>
        <w:tc>
          <w:tcPr>
            <w:tcW w:w="1627" w:type="dxa"/>
            <w:tcBorders>
              <w:top w:val="nil"/>
              <w:left w:val="nil"/>
              <w:bottom w:val="nil"/>
              <w:right w:val="nil"/>
            </w:tcBorders>
          </w:tcPr>
          <w:p>
            <w:pPr>
              <w:pStyle w:val="TableParagraph"/>
              <w:spacing w:before="56"/>
              <w:ind w:right="139"/>
              <w:rPr>
                <w:sz w:val="24"/>
              </w:rPr>
            </w:pPr>
            <w:r>
              <w:rPr>
                <w:sz w:val="24"/>
              </w:rPr>
              <w:t>74.98</w:t>
            </w:r>
          </w:p>
        </w:tc>
        <w:tc>
          <w:tcPr>
            <w:tcW w:w="1726" w:type="dxa"/>
            <w:tcBorders>
              <w:top w:val="nil"/>
              <w:left w:val="nil"/>
              <w:bottom w:val="nil"/>
              <w:right w:val="nil"/>
            </w:tcBorders>
          </w:tcPr>
          <w:p>
            <w:pPr>
              <w:pStyle w:val="TableParagraph"/>
              <w:spacing w:before="56"/>
              <w:ind w:right="69"/>
              <w:rPr>
                <w:sz w:val="24"/>
              </w:rPr>
            </w:pPr>
            <w:r>
              <w:rPr>
                <w:sz w:val="24"/>
              </w:rPr>
              <w:t>78.07</w:t>
            </w:r>
          </w:p>
        </w:tc>
      </w:tr>
      <w:tr>
        <w:trPr>
          <w:trHeight w:val="498" w:hRule="exact"/>
        </w:trPr>
        <w:tc>
          <w:tcPr>
            <w:tcW w:w="5502" w:type="dxa"/>
            <w:tcBorders>
              <w:top w:val="nil"/>
              <w:left w:val="nil"/>
              <w:right w:val="nil"/>
            </w:tcBorders>
          </w:tcPr>
          <w:p>
            <w:pPr>
              <w:pStyle w:val="TableParagraph"/>
              <w:spacing w:before="55"/>
              <w:ind w:left="84"/>
              <w:jc w:val="left"/>
              <w:rPr>
                <w:sz w:val="24"/>
              </w:rPr>
            </w:pPr>
            <w:r>
              <w:rPr>
                <w:sz w:val="24"/>
              </w:rPr>
              <w:t>Valor agregado en el ingreso total (%)</w:t>
            </w:r>
          </w:p>
        </w:tc>
        <w:tc>
          <w:tcPr>
            <w:tcW w:w="1627" w:type="dxa"/>
            <w:tcBorders>
              <w:top w:val="nil"/>
              <w:left w:val="nil"/>
              <w:right w:val="nil"/>
            </w:tcBorders>
          </w:tcPr>
          <w:p>
            <w:pPr>
              <w:pStyle w:val="TableParagraph"/>
              <w:spacing w:before="55"/>
              <w:ind w:right="139"/>
              <w:rPr>
                <w:sz w:val="24"/>
              </w:rPr>
            </w:pPr>
            <w:r>
              <w:rPr>
                <w:sz w:val="24"/>
              </w:rPr>
              <w:t>25.01</w:t>
            </w:r>
          </w:p>
        </w:tc>
        <w:tc>
          <w:tcPr>
            <w:tcW w:w="1726" w:type="dxa"/>
            <w:tcBorders>
              <w:top w:val="nil"/>
              <w:left w:val="nil"/>
              <w:right w:val="nil"/>
            </w:tcBorders>
          </w:tcPr>
          <w:p>
            <w:pPr>
              <w:pStyle w:val="TableParagraph"/>
              <w:spacing w:before="55"/>
              <w:ind w:right="69"/>
              <w:rPr>
                <w:sz w:val="24"/>
              </w:rPr>
            </w:pPr>
            <w:r>
              <w:rPr>
                <w:sz w:val="24"/>
              </w:rPr>
              <w:t>21.93</w:t>
            </w:r>
          </w:p>
        </w:tc>
      </w:tr>
      <w:tr>
        <w:trPr>
          <w:trHeight w:val="341" w:hRule="exact"/>
        </w:trPr>
        <w:tc>
          <w:tcPr>
            <w:tcW w:w="5502" w:type="dxa"/>
            <w:tcBorders>
              <w:left w:val="nil"/>
              <w:bottom w:val="nil"/>
              <w:right w:val="nil"/>
            </w:tcBorders>
          </w:tcPr>
          <w:p>
            <w:pPr>
              <w:pStyle w:val="TableParagraph"/>
              <w:spacing w:line="223" w:lineRule="exact"/>
              <w:ind w:left="14"/>
              <w:jc w:val="left"/>
              <w:rPr>
                <w:sz w:val="20"/>
              </w:rPr>
            </w:pPr>
            <w:r>
              <w:rPr>
                <w:sz w:val="20"/>
              </w:rPr>
              <w:t>Fuente: Elaboración propia con información de campo.</w:t>
            </w:r>
          </w:p>
        </w:tc>
        <w:tc>
          <w:tcPr>
            <w:tcW w:w="1627" w:type="dxa"/>
            <w:tcBorders>
              <w:left w:val="nil"/>
              <w:bottom w:val="nil"/>
              <w:right w:val="nil"/>
            </w:tcBorders>
          </w:tcPr>
          <w:p>
            <w:pPr/>
          </w:p>
        </w:tc>
        <w:tc>
          <w:tcPr>
            <w:tcW w:w="1726" w:type="dxa"/>
            <w:tcBorders>
              <w:left w:val="nil"/>
              <w:bottom w:val="nil"/>
              <w:right w:val="nil"/>
            </w:tcBorders>
          </w:tcPr>
          <w:p>
            <w:pPr/>
          </w:p>
        </w:tc>
      </w:tr>
    </w:tbl>
    <w:p>
      <w:pPr>
        <w:spacing w:after="0"/>
        <w:sectPr>
          <w:pgSz w:w="12240" w:h="15840"/>
          <w:pgMar w:header="0" w:footer="657" w:top="1360" w:bottom="840" w:left="1580" w:right="1580"/>
        </w:sectPr>
      </w:pPr>
    </w:p>
    <w:p>
      <w:pPr>
        <w:pStyle w:val="Heading1"/>
        <w:numPr>
          <w:ilvl w:val="1"/>
          <w:numId w:val="29"/>
        </w:numPr>
        <w:tabs>
          <w:tab w:pos="462" w:val="left" w:leader="none"/>
        </w:tabs>
        <w:spacing w:line="362" w:lineRule="auto" w:before="55" w:after="0"/>
        <w:ind w:left="102" w:right="121" w:firstLine="0"/>
        <w:jc w:val="both"/>
      </w:pPr>
      <w:r>
        <w:rPr/>
        <w:t>Márgenes de comercialización para la cadena agroalimentaria productora de leche de pequeña</w:t>
      </w:r>
      <w:r>
        <w:rPr>
          <w:spacing w:val="-6"/>
        </w:rPr>
        <w:t> </w:t>
      </w:r>
      <w:r>
        <w:rPr/>
        <w:t>escala</w:t>
      </w:r>
    </w:p>
    <w:p>
      <w:pPr>
        <w:pStyle w:val="BodyText"/>
        <w:rPr>
          <w:b/>
        </w:rPr>
      </w:pPr>
    </w:p>
    <w:p>
      <w:pPr>
        <w:pStyle w:val="BodyText"/>
        <w:rPr>
          <w:b/>
        </w:rPr>
      </w:pPr>
    </w:p>
    <w:p>
      <w:pPr>
        <w:pStyle w:val="BodyText"/>
        <w:rPr>
          <w:b/>
          <w:sz w:val="23"/>
        </w:rPr>
      </w:pPr>
    </w:p>
    <w:p>
      <w:pPr>
        <w:pStyle w:val="Heading2"/>
        <w:numPr>
          <w:ilvl w:val="2"/>
          <w:numId w:val="29"/>
        </w:numPr>
        <w:tabs>
          <w:tab w:pos="643" w:val="left" w:leader="none"/>
        </w:tabs>
        <w:spacing w:line="240" w:lineRule="auto" w:before="1" w:after="0"/>
        <w:ind w:left="642" w:right="0" w:hanging="540"/>
        <w:jc w:val="both"/>
        <w:rPr>
          <w:i/>
        </w:rPr>
      </w:pPr>
      <w:r>
        <w:rPr>
          <w:i/>
        </w:rPr>
        <w:t>Resultados</w:t>
      </w:r>
    </w:p>
    <w:p>
      <w:pPr>
        <w:pStyle w:val="BodyText"/>
        <w:rPr>
          <w:b/>
          <w:i/>
        </w:rPr>
      </w:pPr>
    </w:p>
    <w:p>
      <w:pPr>
        <w:pStyle w:val="BodyText"/>
        <w:rPr>
          <w:b/>
          <w:i/>
        </w:rPr>
      </w:pPr>
    </w:p>
    <w:p>
      <w:pPr>
        <w:pStyle w:val="BodyText"/>
        <w:spacing w:before="2"/>
        <w:rPr>
          <w:b/>
          <w:i/>
          <w:sz w:val="34"/>
        </w:rPr>
      </w:pPr>
    </w:p>
    <w:p>
      <w:pPr>
        <w:pStyle w:val="BodyText"/>
        <w:spacing w:line="360" w:lineRule="auto"/>
        <w:ind w:left="102" w:right="115"/>
        <w:jc w:val="both"/>
      </w:pPr>
      <w:r>
        <w:rPr/>
        <w:t>Los márgenes de comercialización de la cadena agroalimentaria productora de leche de pequeña</w:t>
      </w:r>
      <w:r>
        <w:rPr>
          <w:spacing w:val="-7"/>
        </w:rPr>
        <w:t> </w:t>
      </w:r>
      <w:r>
        <w:rPr/>
        <w:t>escala</w:t>
      </w:r>
      <w:r>
        <w:rPr>
          <w:spacing w:val="-7"/>
        </w:rPr>
        <w:t> </w:t>
      </w:r>
      <w:r>
        <w:rPr/>
        <w:t>del</w:t>
      </w:r>
      <w:r>
        <w:rPr>
          <w:spacing w:val="-6"/>
        </w:rPr>
        <w:t> </w:t>
      </w:r>
      <w:r>
        <w:rPr/>
        <w:t>municipio</w:t>
      </w:r>
      <w:r>
        <w:rPr>
          <w:spacing w:val="-6"/>
        </w:rPr>
        <w:t> </w:t>
      </w:r>
      <w:r>
        <w:rPr/>
        <w:t>de</w:t>
      </w:r>
      <w:r>
        <w:rPr>
          <w:spacing w:val="-7"/>
        </w:rPr>
        <w:t> </w:t>
      </w:r>
      <w:r>
        <w:rPr/>
        <w:t>Texcoco</w:t>
      </w:r>
      <w:r>
        <w:rPr>
          <w:spacing w:val="-5"/>
        </w:rPr>
        <w:t> </w:t>
      </w:r>
      <w:r>
        <w:rPr/>
        <w:t>se</w:t>
      </w:r>
      <w:r>
        <w:rPr>
          <w:spacing w:val="-7"/>
        </w:rPr>
        <w:t> </w:t>
      </w:r>
      <w:r>
        <w:rPr/>
        <w:t>presentan</w:t>
      </w:r>
      <w:r>
        <w:rPr>
          <w:spacing w:val="-7"/>
        </w:rPr>
        <w:t> </w:t>
      </w:r>
      <w:r>
        <w:rPr/>
        <w:t>en</w:t>
      </w:r>
      <w:r>
        <w:rPr>
          <w:spacing w:val="-6"/>
        </w:rPr>
        <w:t> </w:t>
      </w:r>
      <w:r>
        <w:rPr/>
        <w:t>la</w:t>
      </w:r>
      <w:r>
        <w:rPr>
          <w:spacing w:val="-7"/>
        </w:rPr>
        <w:t> </w:t>
      </w:r>
      <w:r>
        <w:rPr/>
        <w:t>Tabla</w:t>
      </w:r>
      <w:r>
        <w:rPr>
          <w:spacing w:val="-7"/>
        </w:rPr>
        <w:t> </w:t>
      </w:r>
      <w:r>
        <w:rPr/>
        <w:t>19.</w:t>
      </w:r>
      <w:r>
        <w:rPr>
          <w:spacing w:val="-6"/>
        </w:rPr>
        <w:t> </w:t>
      </w:r>
      <w:r>
        <w:rPr/>
        <w:t>El</w:t>
      </w:r>
      <w:r>
        <w:rPr>
          <w:spacing w:val="-6"/>
        </w:rPr>
        <w:t> </w:t>
      </w:r>
      <w:r>
        <w:rPr/>
        <w:t>MBC</w:t>
      </w:r>
      <w:r>
        <w:rPr>
          <w:spacing w:val="-6"/>
        </w:rPr>
        <w:t> </w:t>
      </w:r>
      <w:r>
        <w:rPr/>
        <w:t>para</w:t>
      </w:r>
      <w:r>
        <w:rPr>
          <w:spacing w:val="-8"/>
        </w:rPr>
        <w:t> </w:t>
      </w:r>
      <w:r>
        <w:rPr/>
        <w:t>el</w:t>
      </w:r>
      <w:r>
        <w:rPr>
          <w:spacing w:val="-6"/>
        </w:rPr>
        <w:t> </w:t>
      </w:r>
      <w:r>
        <w:rPr/>
        <w:t>queso panela y</w:t>
      </w:r>
      <w:r>
        <w:rPr>
          <w:spacing w:val="-11"/>
        </w:rPr>
        <w:t> </w:t>
      </w:r>
      <w:r>
        <w:rPr/>
        <w:t>ranchero</w:t>
      </w:r>
      <w:r>
        <w:rPr>
          <w:spacing w:val="-5"/>
        </w:rPr>
        <w:t> </w:t>
      </w:r>
      <w:r>
        <w:rPr/>
        <w:t>fue</w:t>
      </w:r>
      <w:r>
        <w:rPr>
          <w:spacing w:val="-6"/>
        </w:rPr>
        <w:t> </w:t>
      </w:r>
      <w:r>
        <w:rPr/>
        <w:t>de</w:t>
      </w:r>
      <w:r>
        <w:rPr>
          <w:spacing w:val="-2"/>
        </w:rPr>
        <w:t> </w:t>
      </w:r>
      <w:r>
        <w:rPr/>
        <w:t>38 y</w:t>
      </w:r>
      <w:r>
        <w:rPr>
          <w:spacing w:val="-11"/>
        </w:rPr>
        <w:t> </w:t>
      </w:r>
      <w:r>
        <w:rPr/>
        <w:t>45%,</w:t>
      </w:r>
      <w:r>
        <w:rPr>
          <w:spacing w:val="-4"/>
        </w:rPr>
        <w:t> </w:t>
      </w:r>
      <w:r>
        <w:rPr/>
        <w:t>esto</w:t>
      </w:r>
      <w:r>
        <w:rPr>
          <w:spacing w:val="-3"/>
        </w:rPr>
        <w:t> </w:t>
      </w:r>
      <w:r>
        <w:rPr/>
        <w:t>indica</w:t>
      </w:r>
      <w:r>
        <w:rPr>
          <w:spacing w:val="-5"/>
        </w:rPr>
        <w:t> </w:t>
      </w:r>
      <w:r>
        <w:rPr/>
        <w:t>que</w:t>
      </w:r>
      <w:r>
        <w:rPr>
          <w:spacing w:val="-5"/>
        </w:rPr>
        <w:t> </w:t>
      </w:r>
      <w:r>
        <w:rPr/>
        <w:t>por</w:t>
      </w:r>
      <w:r>
        <w:rPr>
          <w:spacing w:val="-5"/>
        </w:rPr>
        <w:t> </w:t>
      </w:r>
      <w:r>
        <w:rPr/>
        <w:t>cada</w:t>
      </w:r>
      <w:r>
        <w:rPr>
          <w:spacing w:val="-5"/>
        </w:rPr>
        <w:t> </w:t>
      </w:r>
      <w:r>
        <w:rPr/>
        <w:t>peso</w:t>
      </w:r>
      <w:r>
        <w:rPr>
          <w:spacing w:val="-4"/>
        </w:rPr>
        <w:t> </w:t>
      </w:r>
      <w:r>
        <w:rPr/>
        <w:t>pagado</w:t>
      </w:r>
      <w:r>
        <w:rPr>
          <w:spacing w:val="-4"/>
        </w:rPr>
        <w:t> </w:t>
      </w:r>
      <w:r>
        <w:rPr/>
        <w:t>por</w:t>
      </w:r>
      <w:r>
        <w:rPr>
          <w:spacing w:val="-5"/>
        </w:rPr>
        <w:t> </w:t>
      </w:r>
      <w:r>
        <w:rPr/>
        <w:t>el</w:t>
      </w:r>
      <w:r>
        <w:rPr>
          <w:spacing w:val="-3"/>
        </w:rPr>
        <w:t> </w:t>
      </w:r>
      <w:r>
        <w:rPr/>
        <w:t>consumidor, 38 y 45 centavos se quedan en la intermediación. La diferencia en el MBC del queso panela y ranchero puede deberse, entre otros factores, a los costos de comercialización de las queserías y detallistas, así como al precio de su venta al consumidor final, el cual se ubicó con una diferencia de $20 pesos por kilogramo entre el queso ranchero y</w:t>
      </w:r>
      <w:r>
        <w:rPr>
          <w:spacing w:val="-8"/>
        </w:rPr>
        <w:t> </w:t>
      </w:r>
      <w:r>
        <w:rPr/>
        <w:t>panela.</w:t>
      </w:r>
    </w:p>
    <w:p>
      <w:pPr>
        <w:pStyle w:val="BodyText"/>
      </w:pPr>
    </w:p>
    <w:p>
      <w:pPr>
        <w:pStyle w:val="BodyText"/>
      </w:pPr>
    </w:p>
    <w:p>
      <w:pPr>
        <w:pStyle w:val="BodyText"/>
        <w:spacing w:before="3"/>
        <w:rPr>
          <w:sz w:val="23"/>
        </w:rPr>
      </w:pPr>
    </w:p>
    <w:p>
      <w:pPr>
        <w:pStyle w:val="BodyText"/>
        <w:spacing w:line="360" w:lineRule="auto"/>
        <w:ind w:left="102" w:right="115"/>
        <w:jc w:val="both"/>
      </w:pPr>
      <w:r>
        <w:rPr/>
        <w:t>La PDP fue de 61 y 55%, lo cual demostró que por cada peso pagado por el consumidor en la compra de un kilogramo de queso panela y ranchero 61 y 55 centavos se quedaron con el productor</w:t>
      </w:r>
      <w:r>
        <w:rPr>
          <w:spacing w:val="-12"/>
        </w:rPr>
        <w:t> </w:t>
      </w:r>
      <w:r>
        <w:rPr/>
        <w:t>(Tabla</w:t>
      </w:r>
      <w:r>
        <w:rPr>
          <w:spacing w:val="-12"/>
        </w:rPr>
        <w:t> </w:t>
      </w:r>
      <w:r>
        <w:rPr/>
        <w:t>19).</w:t>
      </w:r>
      <w:r>
        <w:rPr>
          <w:spacing w:val="-12"/>
        </w:rPr>
        <w:t> </w:t>
      </w:r>
      <w:r>
        <w:rPr/>
        <w:t>Aunque,</w:t>
      </w:r>
      <w:r>
        <w:rPr>
          <w:spacing w:val="-12"/>
        </w:rPr>
        <w:t> </w:t>
      </w:r>
      <w:r>
        <w:rPr/>
        <w:t>el</w:t>
      </w:r>
      <w:r>
        <w:rPr>
          <w:spacing w:val="-12"/>
        </w:rPr>
        <w:t> </w:t>
      </w:r>
      <w:r>
        <w:rPr/>
        <w:t>MBC</w:t>
      </w:r>
      <w:r>
        <w:rPr>
          <w:spacing w:val="-9"/>
        </w:rPr>
        <w:t> </w:t>
      </w:r>
      <w:r>
        <w:rPr/>
        <w:t>y</w:t>
      </w:r>
      <w:r>
        <w:rPr>
          <w:spacing w:val="-18"/>
        </w:rPr>
        <w:t> </w:t>
      </w:r>
      <w:r>
        <w:rPr/>
        <w:t>la</w:t>
      </w:r>
      <w:r>
        <w:rPr>
          <w:spacing w:val="-13"/>
        </w:rPr>
        <w:t> </w:t>
      </w:r>
      <w:r>
        <w:rPr/>
        <w:t>PDP</w:t>
      </w:r>
      <w:r>
        <w:rPr>
          <w:spacing w:val="-12"/>
        </w:rPr>
        <w:t> </w:t>
      </w:r>
      <w:r>
        <w:rPr/>
        <w:t>muestran</w:t>
      </w:r>
      <w:r>
        <w:rPr>
          <w:spacing w:val="-12"/>
        </w:rPr>
        <w:t> </w:t>
      </w:r>
      <w:r>
        <w:rPr/>
        <w:t>la</w:t>
      </w:r>
      <w:r>
        <w:rPr>
          <w:spacing w:val="-13"/>
        </w:rPr>
        <w:t> </w:t>
      </w:r>
      <w:r>
        <w:rPr/>
        <w:t>participación</w:t>
      </w:r>
      <w:r>
        <w:rPr>
          <w:spacing w:val="-12"/>
        </w:rPr>
        <w:t> </w:t>
      </w:r>
      <w:r>
        <w:rPr/>
        <w:t>de</w:t>
      </w:r>
      <w:r>
        <w:rPr>
          <w:spacing w:val="-13"/>
        </w:rPr>
        <w:t> </w:t>
      </w:r>
      <w:r>
        <w:rPr/>
        <w:t>los</w:t>
      </w:r>
      <w:r>
        <w:rPr>
          <w:spacing w:val="-11"/>
        </w:rPr>
        <w:t> </w:t>
      </w:r>
      <w:r>
        <w:rPr/>
        <w:t>productores e intermediarios en el precio final pagado por el consumidor, la principal limitante de estos indicadores es que no toman en cuenta los costos operativos en los que incurre cada eslabón de</w:t>
      </w:r>
      <w:r>
        <w:rPr>
          <w:spacing w:val="-7"/>
        </w:rPr>
        <w:t> </w:t>
      </w:r>
      <w:r>
        <w:rPr/>
        <w:t>la</w:t>
      </w:r>
      <w:r>
        <w:rPr>
          <w:spacing w:val="-5"/>
        </w:rPr>
        <w:t> </w:t>
      </w:r>
      <w:r>
        <w:rPr/>
        <w:t>cadena,</w:t>
      </w:r>
      <w:r>
        <w:rPr>
          <w:spacing w:val="-4"/>
        </w:rPr>
        <w:t> </w:t>
      </w:r>
      <w:r>
        <w:rPr/>
        <w:t>por</w:t>
      </w:r>
      <w:r>
        <w:rPr>
          <w:spacing w:val="-7"/>
        </w:rPr>
        <w:t> </w:t>
      </w:r>
      <w:r>
        <w:rPr/>
        <w:t>lo</w:t>
      </w:r>
      <w:r>
        <w:rPr>
          <w:spacing w:val="-4"/>
        </w:rPr>
        <w:t> </w:t>
      </w:r>
      <w:r>
        <w:rPr/>
        <w:t>cual</w:t>
      </w:r>
      <w:r>
        <w:rPr>
          <w:spacing w:val="-1"/>
        </w:rPr>
        <w:t> </w:t>
      </w:r>
      <w:r>
        <w:rPr/>
        <w:t>para</w:t>
      </w:r>
      <w:r>
        <w:rPr>
          <w:spacing w:val="-6"/>
        </w:rPr>
        <w:t> </w:t>
      </w:r>
      <w:r>
        <w:rPr/>
        <w:t>obtener</w:t>
      </w:r>
      <w:r>
        <w:rPr>
          <w:spacing w:val="-5"/>
        </w:rPr>
        <w:t> </w:t>
      </w:r>
      <w:r>
        <w:rPr/>
        <w:t>un</w:t>
      </w:r>
      <w:r>
        <w:rPr>
          <w:spacing w:val="-6"/>
        </w:rPr>
        <w:t> </w:t>
      </w:r>
      <w:r>
        <w:rPr/>
        <w:t>panorama</w:t>
      </w:r>
      <w:r>
        <w:rPr>
          <w:spacing w:val="-7"/>
        </w:rPr>
        <w:t> </w:t>
      </w:r>
      <w:r>
        <w:rPr/>
        <w:t>claro</w:t>
      </w:r>
      <w:r>
        <w:rPr>
          <w:spacing w:val="-7"/>
        </w:rPr>
        <w:t> </w:t>
      </w:r>
      <w:r>
        <w:rPr/>
        <w:t>de</w:t>
      </w:r>
      <w:r>
        <w:rPr>
          <w:spacing w:val="-7"/>
        </w:rPr>
        <w:t> </w:t>
      </w:r>
      <w:r>
        <w:rPr/>
        <w:t>los</w:t>
      </w:r>
      <w:r>
        <w:rPr>
          <w:spacing w:val="-6"/>
        </w:rPr>
        <w:t> </w:t>
      </w:r>
      <w:r>
        <w:rPr/>
        <w:t>beneficios</w:t>
      </w:r>
      <w:r>
        <w:rPr>
          <w:spacing w:val="-6"/>
        </w:rPr>
        <w:t> </w:t>
      </w:r>
      <w:r>
        <w:rPr/>
        <w:t>reales</w:t>
      </w:r>
      <w:r>
        <w:rPr>
          <w:spacing w:val="-7"/>
        </w:rPr>
        <w:t> </w:t>
      </w:r>
      <w:r>
        <w:rPr/>
        <w:t>que</w:t>
      </w:r>
      <w:r>
        <w:rPr>
          <w:spacing w:val="-7"/>
        </w:rPr>
        <w:t> </w:t>
      </w:r>
      <w:r>
        <w:rPr/>
        <w:t>obtiene cada</w:t>
      </w:r>
      <w:r>
        <w:rPr>
          <w:spacing w:val="-12"/>
        </w:rPr>
        <w:t> </w:t>
      </w:r>
      <w:r>
        <w:rPr/>
        <w:t>eslabón</w:t>
      </w:r>
      <w:r>
        <w:rPr>
          <w:spacing w:val="-14"/>
        </w:rPr>
        <w:t> </w:t>
      </w:r>
      <w:r>
        <w:rPr/>
        <w:t>en</w:t>
      </w:r>
      <w:r>
        <w:rPr>
          <w:spacing w:val="-11"/>
        </w:rPr>
        <w:t> </w:t>
      </w:r>
      <w:r>
        <w:rPr/>
        <w:t>el</w:t>
      </w:r>
      <w:r>
        <w:rPr>
          <w:spacing w:val="-13"/>
        </w:rPr>
        <w:t> </w:t>
      </w:r>
      <w:r>
        <w:rPr/>
        <w:t>proceso</w:t>
      </w:r>
      <w:r>
        <w:rPr>
          <w:spacing w:val="-13"/>
        </w:rPr>
        <w:t> </w:t>
      </w:r>
      <w:r>
        <w:rPr/>
        <w:t>de</w:t>
      </w:r>
      <w:r>
        <w:rPr>
          <w:spacing w:val="-14"/>
        </w:rPr>
        <w:t> </w:t>
      </w:r>
      <w:r>
        <w:rPr/>
        <w:t>producción,</w:t>
      </w:r>
      <w:r>
        <w:rPr>
          <w:spacing w:val="-13"/>
        </w:rPr>
        <w:t> </w:t>
      </w:r>
      <w:r>
        <w:rPr/>
        <w:t>comercialización</w:t>
      </w:r>
      <w:r>
        <w:rPr>
          <w:spacing w:val="-11"/>
        </w:rPr>
        <w:t> </w:t>
      </w:r>
      <w:r>
        <w:rPr/>
        <w:t>y</w:t>
      </w:r>
      <w:r>
        <w:rPr>
          <w:spacing w:val="-18"/>
        </w:rPr>
        <w:t> </w:t>
      </w:r>
      <w:r>
        <w:rPr/>
        <w:t>distribución</w:t>
      </w:r>
      <w:r>
        <w:rPr>
          <w:spacing w:val="-11"/>
        </w:rPr>
        <w:t> </w:t>
      </w:r>
      <w:r>
        <w:rPr/>
        <w:t>se</w:t>
      </w:r>
      <w:r>
        <w:rPr>
          <w:spacing w:val="-14"/>
        </w:rPr>
        <w:t> </w:t>
      </w:r>
      <w:r>
        <w:rPr/>
        <w:t>estimó</w:t>
      </w:r>
      <w:r>
        <w:rPr>
          <w:spacing w:val="-12"/>
        </w:rPr>
        <w:t> </w:t>
      </w:r>
      <w:r>
        <w:rPr/>
        <w:t>el</w:t>
      </w:r>
      <w:r>
        <w:rPr>
          <w:spacing w:val="-13"/>
        </w:rPr>
        <w:t> </w:t>
      </w:r>
      <w:r>
        <w:rPr/>
        <w:t>MNC.</w:t>
      </w:r>
    </w:p>
    <w:p>
      <w:pPr>
        <w:pStyle w:val="BodyText"/>
      </w:pPr>
    </w:p>
    <w:p>
      <w:pPr>
        <w:pStyle w:val="BodyText"/>
      </w:pPr>
    </w:p>
    <w:p>
      <w:pPr>
        <w:pStyle w:val="BodyText"/>
        <w:spacing w:before="1"/>
        <w:rPr>
          <w:sz w:val="23"/>
        </w:rPr>
      </w:pPr>
    </w:p>
    <w:p>
      <w:pPr>
        <w:pStyle w:val="BodyText"/>
        <w:spacing w:line="360" w:lineRule="auto"/>
        <w:ind w:left="102" w:right="117"/>
        <w:jc w:val="both"/>
      </w:pPr>
      <w:r>
        <w:rPr/>
        <w:t>La determinación del MNC mostró que la participación real del sistema lechero de pequeña escala en la venta de un kilogramo de queso panela fue de cuatro, 13 y 17 centavos para los productores del Estrato I, II y III respectivamente, distante de los 61 centavos que estima la PDP.</w:t>
      </w:r>
      <w:r>
        <w:rPr>
          <w:spacing w:val="-14"/>
        </w:rPr>
        <w:t> </w:t>
      </w:r>
      <w:r>
        <w:rPr/>
        <w:t>En</w:t>
      </w:r>
      <w:r>
        <w:rPr>
          <w:spacing w:val="-15"/>
        </w:rPr>
        <w:t> </w:t>
      </w:r>
      <w:r>
        <w:rPr/>
        <w:t>la</w:t>
      </w:r>
      <w:r>
        <w:rPr>
          <w:spacing w:val="-15"/>
        </w:rPr>
        <w:t> </w:t>
      </w:r>
      <w:r>
        <w:rPr/>
        <w:t>producción</w:t>
      </w:r>
      <w:r>
        <w:rPr>
          <w:spacing w:val="-14"/>
        </w:rPr>
        <w:t> </w:t>
      </w:r>
      <w:r>
        <w:rPr/>
        <w:t>de</w:t>
      </w:r>
      <w:r>
        <w:rPr>
          <w:spacing w:val="-15"/>
        </w:rPr>
        <w:t> </w:t>
      </w:r>
      <w:r>
        <w:rPr/>
        <w:t>queso</w:t>
      </w:r>
      <w:r>
        <w:rPr>
          <w:spacing w:val="-14"/>
        </w:rPr>
        <w:t> </w:t>
      </w:r>
      <w:r>
        <w:rPr/>
        <w:t>ranchero</w:t>
      </w:r>
      <w:r>
        <w:rPr>
          <w:spacing w:val="-15"/>
        </w:rPr>
        <w:t> </w:t>
      </w:r>
      <w:r>
        <w:rPr/>
        <w:t>se</w:t>
      </w:r>
      <w:r>
        <w:rPr>
          <w:spacing w:val="-15"/>
        </w:rPr>
        <w:t> </w:t>
      </w:r>
      <w:r>
        <w:rPr/>
        <w:t>observó</w:t>
      </w:r>
      <w:r>
        <w:rPr>
          <w:spacing w:val="-14"/>
        </w:rPr>
        <w:t> </w:t>
      </w:r>
      <w:r>
        <w:rPr/>
        <w:t>la</w:t>
      </w:r>
      <w:r>
        <w:rPr>
          <w:spacing w:val="-15"/>
        </w:rPr>
        <w:t> </w:t>
      </w:r>
      <w:r>
        <w:rPr/>
        <w:t>misma</w:t>
      </w:r>
      <w:r>
        <w:rPr>
          <w:spacing w:val="-15"/>
        </w:rPr>
        <w:t> </w:t>
      </w:r>
      <w:r>
        <w:rPr/>
        <w:t>tendencia</w:t>
      </w:r>
      <w:r>
        <w:rPr>
          <w:spacing w:val="-15"/>
        </w:rPr>
        <w:t> </w:t>
      </w:r>
      <w:r>
        <w:rPr/>
        <w:t>con</w:t>
      </w:r>
      <w:r>
        <w:rPr>
          <w:spacing w:val="-14"/>
        </w:rPr>
        <w:t> </w:t>
      </w:r>
      <w:r>
        <w:rPr/>
        <w:t>beneficios</w:t>
      </w:r>
      <w:r>
        <w:rPr>
          <w:spacing w:val="-14"/>
        </w:rPr>
        <w:t> </w:t>
      </w:r>
      <w:r>
        <w:rPr/>
        <w:t>netos de cuatro, 11 y 15 centavos en los tres estratos analizados (Tabla</w:t>
      </w:r>
      <w:r>
        <w:rPr>
          <w:spacing w:val="-11"/>
        </w:rPr>
        <w:t> </w:t>
      </w:r>
      <w:r>
        <w:rPr/>
        <w:t>19).</w:t>
      </w:r>
    </w:p>
    <w:p>
      <w:pPr>
        <w:spacing w:after="0" w:line="360" w:lineRule="auto"/>
        <w:jc w:val="both"/>
        <w:sectPr>
          <w:pgSz w:w="12240" w:h="15840"/>
          <w:pgMar w:header="0" w:footer="657" w:top="1360" w:bottom="840" w:left="1600" w:right="1580"/>
        </w:sectPr>
      </w:pPr>
    </w:p>
    <w:p>
      <w:pPr>
        <w:pStyle w:val="BodyText"/>
        <w:spacing w:line="360" w:lineRule="auto" w:before="50"/>
        <w:ind w:left="102" w:right="113"/>
        <w:jc w:val="both"/>
      </w:pPr>
      <w:r>
        <w:rPr/>
        <w:t>La participación del eslabón de producción en la generación de valor de un litro de leche, se estimó en dos pasos; el primero fue determinar el MNC para los cultivos; el segundo distribuir</w:t>
      </w:r>
      <w:r>
        <w:rPr>
          <w:spacing w:val="-9"/>
        </w:rPr>
        <w:t> </w:t>
      </w:r>
      <w:r>
        <w:rPr/>
        <w:t>el</w:t>
      </w:r>
      <w:r>
        <w:rPr>
          <w:spacing w:val="-8"/>
        </w:rPr>
        <w:t> </w:t>
      </w:r>
      <w:r>
        <w:rPr/>
        <w:t>MNC</w:t>
      </w:r>
      <w:r>
        <w:rPr>
          <w:spacing w:val="-8"/>
        </w:rPr>
        <w:t> </w:t>
      </w:r>
      <w:r>
        <w:rPr/>
        <w:t>de</w:t>
      </w:r>
      <w:r>
        <w:rPr>
          <w:spacing w:val="-10"/>
        </w:rPr>
        <w:t> </w:t>
      </w:r>
      <w:r>
        <w:rPr/>
        <w:t>acuerdo</w:t>
      </w:r>
      <w:r>
        <w:rPr>
          <w:spacing w:val="-9"/>
        </w:rPr>
        <w:t> </w:t>
      </w:r>
      <w:r>
        <w:rPr/>
        <w:t>a</w:t>
      </w:r>
      <w:r>
        <w:rPr>
          <w:spacing w:val="-10"/>
        </w:rPr>
        <w:t> </w:t>
      </w:r>
      <w:r>
        <w:rPr/>
        <w:t>la</w:t>
      </w:r>
      <w:r>
        <w:rPr>
          <w:spacing w:val="-9"/>
        </w:rPr>
        <w:t> </w:t>
      </w:r>
      <w:r>
        <w:rPr/>
        <w:t>proporción</w:t>
      </w:r>
      <w:r>
        <w:rPr>
          <w:spacing w:val="-8"/>
        </w:rPr>
        <w:t> </w:t>
      </w:r>
      <w:r>
        <w:rPr/>
        <w:t>de</w:t>
      </w:r>
      <w:r>
        <w:rPr>
          <w:spacing w:val="-10"/>
        </w:rPr>
        <w:t> </w:t>
      </w:r>
      <w:r>
        <w:rPr/>
        <w:t>insumos</w:t>
      </w:r>
      <w:r>
        <w:rPr>
          <w:spacing w:val="-6"/>
        </w:rPr>
        <w:t> </w:t>
      </w:r>
      <w:r>
        <w:rPr/>
        <w:t>producidos</w:t>
      </w:r>
      <w:r>
        <w:rPr>
          <w:spacing w:val="-6"/>
        </w:rPr>
        <w:t> </w:t>
      </w:r>
      <w:r>
        <w:rPr/>
        <w:t>y</w:t>
      </w:r>
      <w:r>
        <w:rPr>
          <w:spacing w:val="-11"/>
        </w:rPr>
        <w:t> </w:t>
      </w:r>
      <w:r>
        <w:rPr/>
        <w:t>comprados.</w:t>
      </w:r>
      <w:r>
        <w:rPr>
          <w:spacing w:val="-8"/>
        </w:rPr>
        <w:t> </w:t>
      </w:r>
      <w:r>
        <w:rPr/>
        <w:t>El</w:t>
      </w:r>
      <w:r>
        <w:rPr>
          <w:spacing w:val="-8"/>
        </w:rPr>
        <w:t> </w:t>
      </w:r>
      <w:r>
        <w:rPr/>
        <w:t>estrato I</w:t>
      </w:r>
      <w:r>
        <w:rPr>
          <w:spacing w:val="-17"/>
        </w:rPr>
        <w:t> </w:t>
      </w:r>
      <w:r>
        <w:rPr/>
        <w:t>produce</w:t>
      </w:r>
      <w:r>
        <w:rPr>
          <w:spacing w:val="-14"/>
        </w:rPr>
        <w:t> </w:t>
      </w:r>
      <w:r>
        <w:rPr/>
        <w:t>el</w:t>
      </w:r>
      <w:r>
        <w:rPr>
          <w:spacing w:val="-13"/>
        </w:rPr>
        <w:t> </w:t>
      </w:r>
      <w:r>
        <w:rPr/>
        <w:t>95%</w:t>
      </w:r>
      <w:r>
        <w:rPr>
          <w:spacing w:val="-14"/>
        </w:rPr>
        <w:t> </w:t>
      </w:r>
      <w:r>
        <w:rPr/>
        <w:t>de</w:t>
      </w:r>
      <w:r>
        <w:rPr>
          <w:spacing w:val="-14"/>
        </w:rPr>
        <w:t> </w:t>
      </w:r>
      <w:r>
        <w:rPr/>
        <w:t>sus</w:t>
      </w:r>
      <w:r>
        <w:rPr>
          <w:spacing w:val="-13"/>
        </w:rPr>
        <w:t> </w:t>
      </w:r>
      <w:r>
        <w:rPr/>
        <w:t>insumos,</w:t>
      </w:r>
      <w:r>
        <w:rPr>
          <w:spacing w:val="-13"/>
        </w:rPr>
        <w:t> </w:t>
      </w:r>
      <w:r>
        <w:rPr/>
        <w:t>el</w:t>
      </w:r>
      <w:r>
        <w:rPr>
          <w:spacing w:val="-13"/>
        </w:rPr>
        <w:t> </w:t>
      </w:r>
      <w:r>
        <w:rPr/>
        <w:t>Estrato</w:t>
      </w:r>
      <w:r>
        <w:rPr>
          <w:spacing w:val="-11"/>
        </w:rPr>
        <w:t> </w:t>
      </w:r>
      <w:r>
        <w:rPr/>
        <w:t>II,</w:t>
      </w:r>
      <w:r>
        <w:rPr>
          <w:spacing w:val="-11"/>
        </w:rPr>
        <w:t> </w:t>
      </w:r>
      <w:r>
        <w:rPr/>
        <w:t>el</w:t>
      </w:r>
      <w:r>
        <w:rPr>
          <w:spacing w:val="-13"/>
        </w:rPr>
        <w:t> </w:t>
      </w:r>
      <w:r>
        <w:rPr/>
        <w:t>70%</w:t>
      </w:r>
      <w:r>
        <w:rPr>
          <w:spacing w:val="-12"/>
        </w:rPr>
        <w:t> </w:t>
      </w:r>
      <w:r>
        <w:rPr/>
        <w:t>y</w:t>
      </w:r>
      <w:r>
        <w:rPr>
          <w:spacing w:val="32"/>
        </w:rPr>
        <w:t> </w:t>
      </w:r>
      <w:r>
        <w:rPr/>
        <w:t>el</w:t>
      </w:r>
      <w:r>
        <w:rPr>
          <w:spacing w:val="-13"/>
        </w:rPr>
        <w:t> </w:t>
      </w:r>
      <w:r>
        <w:rPr/>
        <w:t>Estrato</w:t>
      </w:r>
      <w:r>
        <w:rPr>
          <w:spacing w:val="-8"/>
        </w:rPr>
        <w:t> </w:t>
      </w:r>
      <w:r>
        <w:rPr/>
        <w:t>III</w:t>
      </w:r>
      <w:r>
        <w:rPr>
          <w:spacing w:val="-14"/>
        </w:rPr>
        <w:t> </w:t>
      </w:r>
      <w:r>
        <w:rPr/>
        <w:t>el</w:t>
      </w:r>
      <w:r>
        <w:rPr>
          <w:spacing w:val="-13"/>
        </w:rPr>
        <w:t> </w:t>
      </w:r>
      <w:r>
        <w:rPr/>
        <w:t>48%.</w:t>
      </w:r>
      <w:r>
        <w:rPr>
          <w:spacing w:val="-13"/>
        </w:rPr>
        <w:t> </w:t>
      </w:r>
      <w:r>
        <w:rPr/>
        <w:t>En</w:t>
      </w:r>
      <w:r>
        <w:rPr>
          <w:spacing w:val="-14"/>
        </w:rPr>
        <w:t> </w:t>
      </w:r>
      <w:r>
        <w:rPr/>
        <w:t>este</w:t>
      </w:r>
      <w:r>
        <w:rPr>
          <w:spacing w:val="-14"/>
        </w:rPr>
        <w:t> </w:t>
      </w:r>
      <w:r>
        <w:rPr/>
        <w:t>sentido, el MNC indicó que por cada peso de beneficio que obtienen los productores del Estrato </w:t>
      </w:r>
      <w:r>
        <w:rPr>
          <w:spacing w:val="-3"/>
        </w:rPr>
        <w:t>I, </w:t>
      </w:r>
      <w:r>
        <w:rPr/>
        <w:t>II y III, cinco, cuatro y dos centavos corresponden al valor agregado que la producción de insumos genera en la producción de un litro de</w:t>
      </w:r>
      <w:r>
        <w:rPr>
          <w:spacing w:val="-8"/>
        </w:rPr>
        <w:t> </w:t>
      </w:r>
      <w:r>
        <w:rPr/>
        <w:t>leche.</w:t>
      </w:r>
    </w:p>
    <w:p>
      <w:pPr>
        <w:pStyle w:val="BodyText"/>
      </w:pPr>
    </w:p>
    <w:p>
      <w:pPr>
        <w:pStyle w:val="BodyText"/>
      </w:pPr>
    </w:p>
    <w:p>
      <w:pPr>
        <w:pStyle w:val="BodyText"/>
        <w:spacing w:before="4"/>
        <w:rPr>
          <w:sz w:val="23"/>
        </w:rPr>
      </w:pPr>
    </w:p>
    <w:p>
      <w:pPr>
        <w:pStyle w:val="BodyText"/>
        <w:spacing w:line="360" w:lineRule="auto"/>
        <w:ind w:left="102" w:right="116"/>
        <w:jc w:val="both"/>
      </w:pPr>
      <w:r>
        <w:rPr/>
        <w:t>El MBC para el eslabón de transformación fue de 25 y 20% en el queso panela y ranchero respectivamente, sin embargo al estimar el MNC, la participación real de las queserías disminuyó de 25 a 10% en el queso panela y de 20 a 12% en el queso ranchero, es decir, 10 y</w:t>
      </w:r>
      <w:r>
        <w:rPr>
          <w:spacing w:val="-6"/>
        </w:rPr>
        <w:t> </w:t>
      </w:r>
      <w:r>
        <w:rPr/>
        <w:t>12</w:t>
      </w:r>
      <w:r>
        <w:rPr>
          <w:spacing w:val="-1"/>
        </w:rPr>
        <w:t> </w:t>
      </w:r>
      <w:r>
        <w:rPr/>
        <w:t>centavos</w:t>
      </w:r>
      <w:r>
        <w:rPr>
          <w:spacing w:val="-1"/>
        </w:rPr>
        <w:t> </w:t>
      </w:r>
      <w:r>
        <w:rPr/>
        <w:t>es</w:t>
      </w:r>
      <w:r>
        <w:rPr>
          <w:spacing w:val="-4"/>
        </w:rPr>
        <w:t> </w:t>
      </w:r>
      <w:r>
        <w:rPr/>
        <w:t>la</w:t>
      </w:r>
      <w:r>
        <w:rPr>
          <w:spacing w:val="-1"/>
        </w:rPr>
        <w:t> </w:t>
      </w:r>
      <w:r>
        <w:rPr/>
        <w:t>ganancia</w:t>
      </w:r>
      <w:r>
        <w:rPr>
          <w:spacing w:val="-4"/>
        </w:rPr>
        <w:t> </w:t>
      </w:r>
      <w:r>
        <w:rPr/>
        <w:t>neta</w:t>
      </w:r>
      <w:r>
        <w:rPr>
          <w:spacing w:val="-4"/>
        </w:rPr>
        <w:t> </w:t>
      </w:r>
      <w:r>
        <w:rPr/>
        <w:t>de</w:t>
      </w:r>
      <w:r>
        <w:rPr>
          <w:spacing w:val="-5"/>
        </w:rPr>
        <w:t> </w:t>
      </w:r>
      <w:r>
        <w:rPr/>
        <w:t>las</w:t>
      </w:r>
      <w:r>
        <w:rPr>
          <w:spacing w:val="-4"/>
        </w:rPr>
        <w:t> </w:t>
      </w:r>
      <w:r>
        <w:rPr/>
        <w:t>queserías</w:t>
      </w:r>
      <w:r>
        <w:rPr>
          <w:spacing w:val="-1"/>
        </w:rPr>
        <w:t> </w:t>
      </w:r>
      <w:r>
        <w:rPr/>
        <w:t>una</w:t>
      </w:r>
      <w:r>
        <w:rPr>
          <w:spacing w:val="-5"/>
        </w:rPr>
        <w:t> </w:t>
      </w:r>
      <w:r>
        <w:rPr/>
        <w:t>vez</w:t>
      </w:r>
      <w:r>
        <w:rPr>
          <w:spacing w:val="-3"/>
        </w:rPr>
        <w:t> </w:t>
      </w:r>
      <w:r>
        <w:rPr/>
        <w:t>descontados</w:t>
      </w:r>
      <w:r>
        <w:rPr>
          <w:spacing w:val="-4"/>
        </w:rPr>
        <w:t> </w:t>
      </w:r>
      <w:r>
        <w:rPr/>
        <w:t>sus</w:t>
      </w:r>
      <w:r>
        <w:rPr>
          <w:spacing w:val="-1"/>
        </w:rPr>
        <w:t> </w:t>
      </w:r>
      <w:r>
        <w:rPr/>
        <w:t>costos</w:t>
      </w:r>
      <w:r>
        <w:rPr>
          <w:spacing w:val="-4"/>
        </w:rPr>
        <w:t> </w:t>
      </w:r>
      <w:r>
        <w:rPr/>
        <w:t>operativos (Tabla</w:t>
      </w:r>
      <w:r>
        <w:rPr>
          <w:spacing w:val="-4"/>
        </w:rPr>
        <w:t> </w:t>
      </w:r>
      <w:r>
        <w:rPr/>
        <w:t>19).</w:t>
      </w:r>
    </w:p>
    <w:p>
      <w:pPr>
        <w:pStyle w:val="BodyText"/>
      </w:pPr>
    </w:p>
    <w:p>
      <w:pPr>
        <w:pStyle w:val="BodyText"/>
      </w:pPr>
    </w:p>
    <w:p>
      <w:pPr>
        <w:pStyle w:val="BodyText"/>
        <w:spacing w:before="3"/>
        <w:rPr>
          <w:sz w:val="23"/>
        </w:rPr>
      </w:pPr>
    </w:p>
    <w:p>
      <w:pPr>
        <w:pStyle w:val="BodyText"/>
        <w:spacing w:line="360" w:lineRule="auto"/>
        <w:ind w:left="102" w:right="115"/>
        <w:jc w:val="both"/>
      </w:pPr>
      <w:r>
        <w:rPr/>
        <w:t>El</w:t>
      </w:r>
      <w:r>
        <w:rPr>
          <w:spacing w:val="-16"/>
        </w:rPr>
        <w:t> </w:t>
      </w:r>
      <w:r>
        <w:rPr/>
        <w:t>eslabón</w:t>
      </w:r>
      <w:r>
        <w:rPr>
          <w:spacing w:val="-16"/>
        </w:rPr>
        <w:t> </w:t>
      </w:r>
      <w:r>
        <w:rPr/>
        <w:t>de</w:t>
      </w:r>
      <w:r>
        <w:rPr>
          <w:spacing w:val="-17"/>
        </w:rPr>
        <w:t> </w:t>
      </w:r>
      <w:r>
        <w:rPr/>
        <w:t>distribución</w:t>
      </w:r>
      <w:r>
        <w:rPr>
          <w:spacing w:val="-15"/>
        </w:rPr>
        <w:t> </w:t>
      </w:r>
      <w:r>
        <w:rPr/>
        <w:t>tiene</w:t>
      </w:r>
      <w:r>
        <w:rPr>
          <w:spacing w:val="-17"/>
        </w:rPr>
        <w:t> </w:t>
      </w:r>
      <w:r>
        <w:rPr/>
        <w:t>un</w:t>
      </w:r>
      <w:r>
        <w:rPr>
          <w:spacing w:val="-14"/>
        </w:rPr>
        <w:t> </w:t>
      </w:r>
      <w:r>
        <w:rPr/>
        <w:t>comportamiento</w:t>
      </w:r>
      <w:r>
        <w:rPr>
          <w:spacing w:val="-16"/>
        </w:rPr>
        <w:t> </w:t>
      </w:r>
      <w:r>
        <w:rPr/>
        <w:t>similar</w:t>
      </w:r>
      <w:r>
        <w:rPr>
          <w:spacing w:val="-15"/>
        </w:rPr>
        <w:t> </w:t>
      </w:r>
      <w:r>
        <w:rPr/>
        <w:t>al</w:t>
      </w:r>
      <w:r>
        <w:rPr>
          <w:spacing w:val="-15"/>
        </w:rPr>
        <w:t> </w:t>
      </w:r>
      <w:r>
        <w:rPr/>
        <w:t>de</w:t>
      </w:r>
      <w:r>
        <w:rPr>
          <w:spacing w:val="-17"/>
        </w:rPr>
        <w:t> </w:t>
      </w:r>
      <w:r>
        <w:rPr/>
        <w:t>transformación,</w:t>
      </w:r>
      <w:r>
        <w:rPr>
          <w:spacing w:val="-15"/>
        </w:rPr>
        <w:t> </w:t>
      </w:r>
      <w:r>
        <w:rPr/>
        <w:t>no</w:t>
      </w:r>
      <w:r>
        <w:rPr>
          <w:spacing w:val="-16"/>
        </w:rPr>
        <w:t> </w:t>
      </w:r>
      <w:r>
        <w:rPr/>
        <w:t>obstante, la menor reducción de MNC observada en este eslabón se puede explicar por la mínima inversión que tiene en la distribución del producto al consumidor final a diferencia del eslabón</w:t>
      </w:r>
      <w:r>
        <w:rPr>
          <w:spacing w:val="-14"/>
        </w:rPr>
        <w:t> </w:t>
      </w:r>
      <w:r>
        <w:rPr/>
        <w:t>de</w:t>
      </w:r>
      <w:r>
        <w:rPr>
          <w:spacing w:val="-14"/>
        </w:rPr>
        <w:t> </w:t>
      </w:r>
      <w:r>
        <w:rPr/>
        <w:t>producción</w:t>
      </w:r>
      <w:r>
        <w:rPr>
          <w:spacing w:val="-13"/>
        </w:rPr>
        <w:t> </w:t>
      </w:r>
      <w:r>
        <w:rPr/>
        <w:t>de</w:t>
      </w:r>
      <w:r>
        <w:rPr>
          <w:spacing w:val="-12"/>
        </w:rPr>
        <w:t> </w:t>
      </w:r>
      <w:r>
        <w:rPr/>
        <w:t>leche</w:t>
      </w:r>
      <w:r>
        <w:rPr>
          <w:spacing w:val="-10"/>
        </w:rPr>
        <w:t> </w:t>
      </w:r>
      <w:r>
        <w:rPr/>
        <w:t>y</w:t>
      </w:r>
      <w:r>
        <w:rPr>
          <w:spacing w:val="-18"/>
        </w:rPr>
        <w:t> </w:t>
      </w:r>
      <w:r>
        <w:rPr/>
        <w:t>transformación,</w:t>
      </w:r>
      <w:r>
        <w:rPr>
          <w:spacing w:val="-12"/>
        </w:rPr>
        <w:t> </w:t>
      </w:r>
      <w:r>
        <w:rPr/>
        <w:t>los</w:t>
      </w:r>
      <w:r>
        <w:rPr>
          <w:spacing w:val="-13"/>
        </w:rPr>
        <w:t> </w:t>
      </w:r>
      <w:r>
        <w:rPr/>
        <w:t>cuales</w:t>
      </w:r>
      <w:r>
        <w:rPr>
          <w:spacing w:val="-13"/>
        </w:rPr>
        <w:t> </w:t>
      </w:r>
      <w:r>
        <w:rPr/>
        <w:t>invierte</w:t>
      </w:r>
      <w:r>
        <w:rPr>
          <w:spacing w:val="-12"/>
        </w:rPr>
        <w:t> </w:t>
      </w:r>
      <w:r>
        <w:rPr/>
        <w:t>en</w:t>
      </w:r>
      <w:r>
        <w:rPr>
          <w:spacing w:val="-11"/>
        </w:rPr>
        <w:t> </w:t>
      </w:r>
      <w:r>
        <w:rPr/>
        <w:t>costos</w:t>
      </w:r>
      <w:r>
        <w:rPr>
          <w:spacing w:val="-11"/>
        </w:rPr>
        <w:t> </w:t>
      </w:r>
      <w:r>
        <w:rPr/>
        <w:t>de</w:t>
      </w:r>
      <w:r>
        <w:rPr>
          <w:spacing w:val="-14"/>
        </w:rPr>
        <w:t> </w:t>
      </w:r>
      <w:r>
        <w:rPr/>
        <w:t>producción, asumiendo con ello, mayor riesgo económico y financiero en la cadena completa y menores beneficios con respecto al dinero en juego (Tabla</w:t>
      </w:r>
      <w:r>
        <w:rPr>
          <w:spacing w:val="-9"/>
        </w:rPr>
        <w:t> </w:t>
      </w:r>
      <w:r>
        <w:rPr/>
        <w:t>19).</w:t>
      </w:r>
    </w:p>
    <w:p>
      <w:pPr>
        <w:pStyle w:val="BodyText"/>
      </w:pPr>
    </w:p>
    <w:p>
      <w:pPr>
        <w:pStyle w:val="BodyText"/>
      </w:pPr>
    </w:p>
    <w:p>
      <w:pPr>
        <w:pStyle w:val="BodyText"/>
        <w:spacing w:before="3"/>
        <w:rPr>
          <w:sz w:val="23"/>
        </w:rPr>
      </w:pPr>
    </w:p>
    <w:p>
      <w:pPr>
        <w:pStyle w:val="BodyText"/>
        <w:spacing w:line="360" w:lineRule="auto"/>
        <w:ind w:left="102" w:right="116"/>
        <w:jc w:val="both"/>
      </w:pPr>
      <w:r>
        <w:rPr/>
        <w:t>En el margen de ganancia neto por eslabón para un kilogramo de queso panela se observa que</w:t>
      </w:r>
      <w:r>
        <w:rPr>
          <w:spacing w:val="-11"/>
        </w:rPr>
        <w:t> </w:t>
      </w:r>
      <w:r>
        <w:rPr/>
        <w:t>la</w:t>
      </w:r>
      <w:r>
        <w:rPr>
          <w:spacing w:val="-11"/>
        </w:rPr>
        <w:t> </w:t>
      </w:r>
      <w:r>
        <w:rPr/>
        <w:t>agroindustria</w:t>
      </w:r>
      <w:r>
        <w:rPr>
          <w:spacing w:val="-11"/>
        </w:rPr>
        <w:t> </w:t>
      </w:r>
      <w:r>
        <w:rPr/>
        <w:t>se</w:t>
      </w:r>
      <w:r>
        <w:rPr>
          <w:spacing w:val="-11"/>
        </w:rPr>
        <w:t> </w:t>
      </w:r>
      <w:r>
        <w:rPr/>
        <w:t>apropia</w:t>
      </w:r>
      <w:r>
        <w:rPr>
          <w:spacing w:val="-11"/>
        </w:rPr>
        <w:t> </w:t>
      </w:r>
      <w:r>
        <w:rPr/>
        <w:t>de</w:t>
      </w:r>
      <w:r>
        <w:rPr>
          <w:spacing w:val="-11"/>
        </w:rPr>
        <w:t> </w:t>
      </w:r>
      <w:r>
        <w:rPr/>
        <w:t>un</w:t>
      </w:r>
      <w:r>
        <w:rPr>
          <w:spacing w:val="-10"/>
        </w:rPr>
        <w:t> </w:t>
      </w:r>
      <w:r>
        <w:rPr/>
        <w:t>42.93%,</w:t>
      </w:r>
      <w:r>
        <w:rPr>
          <w:spacing w:val="-10"/>
        </w:rPr>
        <w:t> </w:t>
      </w:r>
      <w:r>
        <w:rPr/>
        <w:t>le</w:t>
      </w:r>
      <w:r>
        <w:rPr>
          <w:spacing w:val="-11"/>
        </w:rPr>
        <w:t> </w:t>
      </w:r>
      <w:r>
        <w:rPr/>
        <w:t>sigue</w:t>
      </w:r>
      <w:r>
        <w:rPr>
          <w:spacing w:val="-9"/>
        </w:rPr>
        <w:t> </w:t>
      </w:r>
      <w:r>
        <w:rPr/>
        <w:t>el</w:t>
      </w:r>
      <w:r>
        <w:rPr>
          <w:spacing w:val="-10"/>
        </w:rPr>
        <w:t> </w:t>
      </w:r>
      <w:r>
        <w:rPr/>
        <w:t>eslabón</w:t>
      </w:r>
      <w:r>
        <w:rPr>
          <w:spacing w:val="-10"/>
        </w:rPr>
        <w:t> </w:t>
      </w:r>
      <w:r>
        <w:rPr/>
        <w:t>de</w:t>
      </w:r>
      <w:r>
        <w:rPr>
          <w:spacing w:val="-11"/>
        </w:rPr>
        <w:t> </w:t>
      </w:r>
      <w:r>
        <w:rPr/>
        <w:t>distribución</w:t>
      </w:r>
      <w:r>
        <w:rPr>
          <w:spacing w:val="-10"/>
        </w:rPr>
        <w:t> </w:t>
      </w:r>
      <w:r>
        <w:rPr/>
        <w:t>con</w:t>
      </w:r>
      <w:r>
        <w:rPr>
          <w:spacing w:val="-10"/>
        </w:rPr>
        <w:t> </w:t>
      </w:r>
      <w:r>
        <w:rPr/>
        <w:t>41.10%, y al final el productor primario con el 15.97%. El mayor margen de ganancia para el queso ranchero lo obtuvo el eslabón de distribución con el 57.56%, le sigue la agroindustria con 32.96% y al final el productor con 9.48%. El margen de ganancia neto para el productor se estimó para los tres estratos analizados, los márgenes anteriores corresponde a </w:t>
      </w:r>
      <w:r>
        <w:rPr>
          <w:spacing w:val="55"/>
        </w:rPr>
        <w:t> </w:t>
      </w:r>
      <w:r>
        <w:rPr/>
        <w:t>productores</w:t>
      </w:r>
    </w:p>
    <w:p>
      <w:pPr>
        <w:spacing w:after="0" w:line="360" w:lineRule="auto"/>
        <w:jc w:val="both"/>
        <w:sectPr>
          <w:pgSz w:w="12240" w:h="15840"/>
          <w:pgMar w:header="0" w:footer="657" w:top="1360" w:bottom="840" w:left="1600" w:right="1580"/>
        </w:sectPr>
      </w:pPr>
    </w:p>
    <w:p>
      <w:pPr>
        <w:pStyle w:val="BodyText"/>
        <w:spacing w:line="362" w:lineRule="auto" w:before="50"/>
        <w:ind w:left="102" w:right="119"/>
        <w:jc w:val="both"/>
      </w:pPr>
      <w:r>
        <w:rPr/>
        <w:t>del Estrato I, considerando el costo de oportunidad de la MOF y el precio de venta al mayoreo.</w:t>
      </w:r>
    </w:p>
    <w:p>
      <w:pPr>
        <w:pStyle w:val="BodyText"/>
      </w:pPr>
    </w:p>
    <w:p>
      <w:pPr>
        <w:pStyle w:val="BodyText"/>
      </w:pPr>
    </w:p>
    <w:p>
      <w:pPr>
        <w:pStyle w:val="BodyText"/>
        <w:rPr>
          <w:sz w:val="23"/>
        </w:rPr>
      </w:pPr>
    </w:p>
    <w:p>
      <w:pPr>
        <w:pStyle w:val="BodyText"/>
        <w:spacing w:line="360" w:lineRule="auto" w:before="1"/>
        <w:ind w:left="102" w:right="112"/>
        <w:jc w:val="both"/>
      </w:pPr>
      <w:r>
        <w:rPr/>
        <w:t>El margen neto de ganancia para un kilogramo de queso panela y ranchero considerando las condiciones de los productores del Estrato II y III lo obtuvo el eslabón de producción de leche con el 39.09 y 31.99%, seguido por el eslabón de la agroindustria con 31.11% y finalmente el eslabón de distribución con 29.79% para el margen neto del queso panela, en tanto, que para el queso ranchero, el eslabón de distribución se apropió del 43.25% y la agroindustria del 24.76% restante (Tabla 19).</w:t>
      </w:r>
    </w:p>
    <w:p>
      <w:pPr>
        <w:pStyle w:val="BodyText"/>
      </w:pPr>
    </w:p>
    <w:p>
      <w:pPr>
        <w:pStyle w:val="BodyText"/>
      </w:pPr>
    </w:p>
    <w:p>
      <w:pPr>
        <w:pStyle w:val="BodyText"/>
        <w:spacing w:before="3"/>
        <w:rPr>
          <w:sz w:val="23"/>
        </w:rPr>
      </w:pPr>
    </w:p>
    <w:p>
      <w:pPr>
        <w:pStyle w:val="BodyText"/>
        <w:spacing w:line="360" w:lineRule="auto"/>
        <w:ind w:left="102" w:right="119"/>
        <w:jc w:val="both"/>
      </w:pPr>
      <w:r>
        <w:rPr/>
        <w:t>Es</w:t>
      </w:r>
      <w:r>
        <w:rPr>
          <w:spacing w:val="-11"/>
        </w:rPr>
        <w:t> </w:t>
      </w:r>
      <w:r>
        <w:rPr/>
        <w:t>evidente</w:t>
      </w:r>
      <w:r>
        <w:rPr>
          <w:spacing w:val="-10"/>
        </w:rPr>
        <w:t> </w:t>
      </w:r>
      <w:r>
        <w:rPr/>
        <w:t>que</w:t>
      </w:r>
      <w:r>
        <w:rPr>
          <w:spacing w:val="-10"/>
        </w:rPr>
        <w:t> </w:t>
      </w:r>
      <w:r>
        <w:rPr/>
        <w:t>los</w:t>
      </w:r>
      <w:r>
        <w:rPr>
          <w:spacing w:val="-10"/>
        </w:rPr>
        <w:t> </w:t>
      </w:r>
      <w:r>
        <w:rPr/>
        <w:t>resultados</w:t>
      </w:r>
      <w:r>
        <w:rPr>
          <w:spacing w:val="-11"/>
        </w:rPr>
        <w:t> </w:t>
      </w:r>
      <w:r>
        <w:rPr/>
        <w:t>en</w:t>
      </w:r>
      <w:r>
        <w:rPr>
          <w:spacing w:val="-7"/>
        </w:rPr>
        <w:t> </w:t>
      </w:r>
      <w:r>
        <w:rPr/>
        <w:t>el</w:t>
      </w:r>
      <w:r>
        <w:rPr>
          <w:spacing w:val="-8"/>
        </w:rPr>
        <w:t> </w:t>
      </w:r>
      <w:r>
        <w:rPr/>
        <w:t>análisis</w:t>
      </w:r>
      <w:r>
        <w:rPr>
          <w:spacing w:val="-10"/>
        </w:rPr>
        <w:t> </w:t>
      </w:r>
      <w:r>
        <w:rPr/>
        <w:t>de</w:t>
      </w:r>
      <w:r>
        <w:rPr>
          <w:spacing w:val="-10"/>
        </w:rPr>
        <w:t> </w:t>
      </w:r>
      <w:r>
        <w:rPr/>
        <w:t>la</w:t>
      </w:r>
      <w:r>
        <w:rPr>
          <w:spacing w:val="-8"/>
        </w:rPr>
        <w:t> </w:t>
      </w:r>
      <w:r>
        <w:rPr/>
        <w:t>cadena</w:t>
      </w:r>
      <w:r>
        <w:rPr>
          <w:spacing w:val="-10"/>
        </w:rPr>
        <w:t> </w:t>
      </w:r>
      <w:r>
        <w:rPr/>
        <w:t>agroalimentaria</w:t>
      </w:r>
      <w:r>
        <w:rPr>
          <w:spacing w:val="-9"/>
        </w:rPr>
        <w:t> </w:t>
      </w:r>
      <w:r>
        <w:rPr/>
        <w:t>productora</w:t>
      </w:r>
      <w:r>
        <w:rPr>
          <w:spacing w:val="-12"/>
        </w:rPr>
        <w:t> </w:t>
      </w:r>
      <w:r>
        <w:rPr/>
        <w:t>de</w:t>
      </w:r>
      <w:r>
        <w:rPr>
          <w:spacing w:val="-12"/>
        </w:rPr>
        <w:t> </w:t>
      </w:r>
      <w:r>
        <w:rPr/>
        <w:t>leche de pequeña escala encontrados en este trabajo difieren claramente de lo reportado en la literatura nacional. Cuevas et al. (2007) analizaron la cadena de valor de leche en el estado de Hidalgo, México reportando que el mayor margen de valor lo obtiene el eslabón de la agroindustria con el 66.9%, le sigue el eslabón de distribución con 22.6% y finalmente el productor</w:t>
      </w:r>
      <w:r>
        <w:rPr>
          <w:spacing w:val="-8"/>
        </w:rPr>
        <w:t> </w:t>
      </w:r>
      <w:r>
        <w:rPr/>
        <w:t>primario</w:t>
      </w:r>
      <w:r>
        <w:rPr>
          <w:spacing w:val="-4"/>
        </w:rPr>
        <w:t> </w:t>
      </w:r>
      <w:r>
        <w:rPr/>
        <w:t>con</w:t>
      </w:r>
      <w:r>
        <w:rPr>
          <w:spacing w:val="-7"/>
        </w:rPr>
        <w:t> </w:t>
      </w:r>
      <w:r>
        <w:rPr/>
        <w:t>solo</w:t>
      </w:r>
      <w:r>
        <w:rPr>
          <w:spacing w:val="-7"/>
        </w:rPr>
        <w:t> </w:t>
      </w:r>
      <w:r>
        <w:rPr/>
        <w:t>el</w:t>
      </w:r>
      <w:r>
        <w:rPr>
          <w:spacing w:val="-7"/>
        </w:rPr>
        <w:t> </w:t>
      </w:r>
      <w:r>
        <w:rPr/>
        <w:t>10.3%.</w:t>
      </w:r>
      <w:r>
        <w:rPr>
          <w:spacing w:val="-7"/>
        </w:rPr>
        <w:t> </w:t>
      </w:r>
      <w:r>
        <w:rPr/>
        <w:t>Estos</w:t>
      </w:r>
      <w:r>
        <w:rPr>
          <w:spacing w:val="-7"/>
        </w:rPr>
        <w:t> </w:t>
      </w:r>
      <w:r>
        <w:rPr/>
        <w:t>resultados</w:t>
      </w:r>
      <w:r>
        <w:rPr>
          <w:spacing w:val="-7"/>
        </w:rPr>
        <w:t> </w:t>
      </w:r>
      <w:r>
        <w:rPr/>
        <w:t>se</w:t>
      </w:r>
      <w:r>
        <w:rPr>
          <w:spacing w:val="-8"/>
        </w:rPr>
        <w:t> </w:t>
      </w:r>
      <w:r>
        <w:rPr/>
        <w:t>encuentran</w:t>
      </w:r>
      <w:r>
        <w:rPr>
          <w:spacing w:val="-5"/>
        </w:rPr>
        <w:t> </w:t>
      </w:r>
      <w:r>
        <w:rPr/>
        <w:t>en</w:t>
      </w:r>
      <w:r>
        <w:rPr>
          <w:spacing w:val="-7"/>
        </w:rPr>
        <w:t> </w:t>
      </w:r>
      <w:r>
        <w:rPr/>
        <w:t>el</w:t>
      </w:r>
      <w:r>
        <w:rPr>
          <w:spacing w:val="-4"/>
        </w:rPr>
        <w:t> </w:t>
      </w:r>
      <w:r>
        <w:rPr/>
        <w:t>rango</w:t>
      </w:r>
      <w:r>
        <w:rPr>
          <w:spacing w:val="-5"/>
        </w:rPr>
        <w:t> </w:t>
      </w:r>
      <w:r>
        <w:rPr/>
        <w:t>encontrado para</w:t>
      </w:r>
      <w:r>
        <w:rPr>
          <w:spacing w:val="-7"/>
        </w:rPr>
        <w:t> </w:t>
      </w:r>
      <w:r>
        <w:rPr/>
        <w:t>los</w:t>
      </w:r>
      <w:r>
        <w:rPr>
          <w:spacing w:val="-4"/>
        </w:rPr>
        <w:t> </w:t>
      </w:r>
      <w:r>
        <w:rPr/>
        <w:t>productores</w:t>
      </w:r>
      <w:r>
        <w:rPr>
          <w:spacing w:val="-5"/>
        </w:rPr>
        <w:t> </w:t>
      </w:r>
      <w:r>
        <w:rPr/>
        <w:t>del</w:t>
      </w:r>
      <w:r>
        <w:rPr>
          <w:spacing w:val="-4"/>
        </w:rPr>
        <w:t> </w:t>
      </w:r>
      <w:r>
        <w:rPr/>
        <w:t>Estrato</w:t>
      </w:r>
      <w:r>
        <w:rPr>
          <w:spacing w:val="-2"/>
        </w:rPr>
        <w:t> </w:t>
      </w:r>
      <w:r>
        <w:rPr>
          <w:spacing w:val="-3"/>
        </w:rPr>
        <w:t>I,</w:t>
      </w:r>
      <w:r>
        <w:rPr>
          <w:spacing w:val="-5"/>
        </w:rPr>
        <w:t> </w:t>
      </w:r>
      <w:r>
        <w:rPr/>
        <w:t>pero</w:t>
      </w:r>
      <w:r>
        <w:rPr>
          <w:spacing w:val="-6"/>
        </w:rPr>
        <w:t> </w:t>
      </w:r>
      <w:r>
        <w:rPr/>
        <w:t>no</w:t>
      </w:r>
      <w:r>
        <w:rPr>
          <w:spacing w:val="-5"/>
        </w:rPr>
        <w:t> </w:t>
      </w:r>
      <w:r>
        <w:rPr/>
        <w:t>para</w:t>
      </w:r>
      <w:r>
        <w:rPr>
          <w:spacing w:val="-6"/>
        </w:rPr>
        <w:t> </w:t>
      </w:r>
      <w:r>
        <w:rPr/>
        <w:t>los</w:t>
      </w:r>
      <w:r>
        <w:rPr>
          <w:spacing w:val="-4"/>
        </w:rPr>
        <w:t> </w:t>
      </w:r>
      <w:r>
        <w:rPr/>
        <w:t>productores</w:t>
      </w:r>
      <w:r>
        <w:rPr>
          <w:spacing w:val="-5"/>
        </w:rPr>
        <w:t> </w:t>
      </w:r>
      <w:r>
        <w:rPr/>
        <w:t>de</w:t>
      </w:r>
      <w:r>
        <w:rPr>
          <w:spacing w:val="-6"/>
        </w:rPr>
        <w:t> </w:t>
      </w:r>
      <w:r>
        <w:rPr/>
        <w:t>los</w:t>
      </w:r>
      <w:r>
        <w:rPr>
          <w:spacing w:val="-4"/>
        </w:rPr>
        <w:t> </w:t>
      </w:r>
      <w:r>
        <w:rPr/>
        <w:t>Estratos</w:t>
      </w:r>
      <w:r>
        <w:rPr>
          <w:spacing w:val="-3"/>
        </w:rPr>
        <w:t> </w:t>
      </w:r>
      <w:r>
        <w:rPr/>
        <w:t>II</w:t>
      </w:r>
      <w:r>
        <w:rPr>
          <w:spacing w:val="-6"/>
        </w:rPr>
        <w:t> </w:t>
      </w:r>
      <w:r>
        <w:rPr/>
        <w:t>y</w:t>
      </w:r>
      <w:r>
        <w:rPr>
          <w:spacing w:val="-7"/>
        </w:rPr>
        <w:t> </w:t>
      </w:r>
      <w:r>
        <w:rPr/>
        <w:t>III,</w:t>
      </w:r>
      <w:r>
        <w:rPr>
          <w:spacing w:val="-5"/>
        </w:rPr>
        <w:t> </w:t>
      </w:r>
      <w:r>
        <w:rPr/>
        <w:t>donde el mayor margen de comercialización para un kilogramo de queso panela y ranchero lo obtuvo el eslabón de producción de</w:t>
      </w:r>
      <w:r>
        <w:rPr>
          <w:spacing w:val="-6"/>
        </w:rPr>
        <w:t> </w:t>
      </w:r>
      <w:r>
        <w:rPr/>
        <w:t>leche.</w:t>
      </w:r>
    </w:p>
    <w:p>
      <w:pPr>
        <w:pStyle w:val="BodyText"/>
      </w:pPr>
    </w:p>
    <w:p>
      <w:pPr>
        <w:pStyle w:val="BodyText"/>
      </w:pPr>
    </w:p>
    <w:p>
      <w:pPr>
        <w:pStyle w:val="BodyText"/>
        <w:spacing w:before="3"/>
        <w:rPr>
          <w:sz w:val="23"/>
        </w:rPr>
      </w:pPr>
    </w:p>
    <w:p>
      <w:pPr>
        <w:pStyle w:val="BodyText"/>
        <w:spacing w:line="360" w:lineRule="auto"/>
        <w:ind w:left="102" w:right="113"/>
        <w:jc w:val="both"/>
      </w:pPr>
      <w:r>
        <w:rPr/>
        <w:t>El comportamiento de los Estratos II y III, se puede explicar entre otros factores, a la eficiencia económica en el proceso de producción, </w:t>
      </w:r>
      <w:r>
        <w:rPr>
          <w:spacing w:val="-3"/>
        </w:rPr>
        <w:t>ya </w:t>
      </w:r>
      <w:r>
        <w:rPr/>
        <w:t>que los productores del Estrato II obtienen un beneficio neto por cada litro de leche al mayoreo de 1.18 pesos, los productores del Estrato III de 1.57$/L comparado con solo 0.35$/L que obtienen los productores del Estrato</w:t>
      </w:r>
      <w:r>
        <w:rPr>
          <w:spacing w:val="-1"/>
        </w:rPr>
        <w:t> </w:t>
      </w:r>
      <w:r>
        <w:rPr>
          <w:spacing w:val="-3"/>
        </w:rPr>
        <w:t>I.</w:t>
      </w:r>
      <w:r>
        <w:rPr>
          <w:spacing w:val="-4"/>
        </w:rPr>
        <w:t> </w:t>
      </w:r>
      <w:r>
        <w:rPr/>
        <w:t>Así</w:t>
      </w:r>
      <w:r>
        <w:rPr>
          <w:spacing w:val="-4"/>
        </w:rPr>
        <w:t> </w:t>
      </w:r>
      <w:r>
        <w:rPr/>
        <w:t>mismo,</w:t>
      </w:r>
      <w:r>
        <w:rPr>
          <w:spacing w:val="-3"/>
        </w:rPr>
        <w:t> </w:t>
      </w:r>
      <w:r>
        <w:rPr/>
        <w:t>la</w:t>
      </w:r>
      <w:r>
        <w:rPr>
          <w:spacing w:val="-4"/>
        </w:rPr>
        <w:t> </w:t>
      </w:r>
      <w:r>
        <w:rPr/>
        <w:t>ventaja</w:t>
      </w:r>
      <w:r>
        <w:rPr>
          <w:spacing w:val="-5"/>
        </w:rPr>
        <w:t> </w:t>
      </w:r>
      <w:r>
        <w:rPr/>
        <w:t>comparativa</w:t>
      </w:r>
      <w:r>
        <w:rPr>
          <w:spacing w:val="-4"/>
        </w:rPr>
        <w:t> </w:t>
      </w:r>
      <w:r>
        <w:rPr/>
        <w:t>en</w:t>
      </w:r>
      <w:r>
        <w:rPr>
          <w:spacing w:val="-4"/>
        </w:rPr>
        <w:t> </w:t>
      </w:r>
      <w:r>
        <w:rPr/>
        <w:t>la</w:t>
      </w:r>
      <w:r>
        <w:rPr>
          <w:spacing w:val="-4"/>
        </w:rPr>
        <w:t> </w:t>
      </w:r>
      <w:r>
        <w:rPr/>
        <w:t>producción</w:t>
      </w:r>
      <w:r>
        <w:rPr>
          <w:spacing w:val="-3"/>
        </w:rPr>
        <w:t> </w:t>
      </w:r>
      <w:r>
        <w:rPr/>
        <w:t>de</w:t>
      </w:r>
      <w:r>
        <w:rPr>
          <w:spacing w:val="-5"/>
        </w:rPr>
        <w:t> </w:t>
      </w:r>
      <w:r>
        <w:rPr/>
        <w:t>insumos</w:t>
      </w:r>
      <w:r>
        <w:rPr>
          <w:spacing w:val="-3"/>
        </w:rPr>
        <w:t> </w:t>
      </w:r>
      <w:r>
        <w:rPr/>
        <w:t>que</w:t>
      </w:r>
      <w:r>
        <w:rPr>
          <w:spacing w:val="-5"/>
        </w:rPr>
        <w:t> </w:t>
      </w:r>
      <w:r>
        <w:rPr/>
        <w:t>tienen</w:t>
      </w:r>
      <w:r>
        <w:rPr>
          <w:spacing w:val="-4"/>
        </w:rPr>
        <w:t> </w:t>
      </w:r>
      <w:r>
        <w:rPr/>
        <w:t>los</w:t>
      </w:r>
      <w:r>
        <w:rPr>
          <w:spacing w:val="-2"/>
        </w:rPr>
        <w:t> </w:t>
      </w:r>
      <w:r>
        <w:rPr/>
        <w:t>tres estratos analizados juega un papel importante en la reducción de costos de producción y aumento de ganancia real por litro de leche como lo demostró Posadas-Domínguez et al. (2013a y 2014) en la zona de</w:t>
      </w:r>
      <w:r>
        <w:rPr>
          <w:spacing w:val="-6"/>
        </w:rPr>
        <w:t> </w:t>
      </w:r>
      <w:r>
        <w:rPr/>
        <w:t>estudio.</w:t>
      </w:r>
    </w:p>
    <w:p>
      <w:pPr>
        <w:spacing w:after="0" w:line="360" w:lineRule="auto"/>
        <w:jc w:val="both"/>
        <w:sectPr>
          <w:pgSz w:w="12240" w:h="15840"/>
          <w:pgMar w:header="0" w:footer="657" w:top="1360" w:bottom="840" w:left="1600" w:right="1580"/>
        </w:sectPr>
      </w:pPr>
    </w:p>
    <w:p>
      <w:pPr>
        <w:pStyle w:val="BodyText"/>
        <w:spacing w:line="360" w:lineRule="auto" w:before="50"/>
        <w:ind w:left="122" w:right="116"/>
        <w:jc w:val="both"/>
      </w:pPr>
      <w:r>
        <w:rPr/>
        <w:t>En</w:t>
      </w:r>
      <w:r>
        <w:rPr>
          <w:spacing w:val="-11"/>
        </w:rPr>
        <w:t> </w:t>
      </w:r>
      <w:r>
        <w:rPr/>
        <w:t>el</w:t>
      </w:r>
      <w:r>
        <w:rPr>
          <w:spacing w:val="-11"/>
        </w:rPr>
        <w:t> </w:t>
      </w:r>
      <w:r>
        <w:rPr/>
        <w:t>análisis</w:t>
      </w:r>
      <w:r>
        <w:rPr>
          <w:spacing w:val="-10"/>
        </w:rPr>
        <w:t> </w:t>
      </w:r>
      <w:r>
        <w:rPr/>
        <w:t>de</w:t>
      </w:r>
      <w:r>
        <w:rPr>
          <w:spacing w:val="-12"/>
        </w:rPr>
        <w:t> </w:t>
      </w:r>
      <w:r>
        <w:rPr/>
        <w:t>este</w:t>
      </w:r>
      <w:r>
        <w:rPr>
          <w:spacing w:val="-11"/>
        </w:rPr>
        <w:t> </w:t>
      </w:r>
      <w:r>
        <w:rPr/>
        <w:t>trabajo</w:t>
      </w:r>
      <w:r>
        <w:rPr>
          <w:spacing w:val="-10"/>
        </w:rPr>
        <w:t> </w:t>
      </w:r>
      <w:r>
        <w:rPr/>
        <w:t>se</w:t>
      </w:r>
      <w:r>
        <w:rPr>
          <w:spacing w:val="-12"/>
        </w:rPr>
        <w:t> </w:t>
      </w:r>
      <w:r>
        <w:rPr/>
        <w:t>observa</w:t>
      </w:r>
      <w:r>
        <w:rPr>
          <w:spacing w:val="-13"/>
        </w:rPr>
        <w:t> </w:t>
      </w:r>
      <w:r>
        <w:rPr/>
        <w:t>que</w:t>
      </w:r>
      <w:r>
        <w:rPr>
          <w:spacing w:val="-10"/>
        </w:rPr>
        <w:t> </w:t>
      </w:r>
      <w:r>
        <w:rPr/>
        <w:t>el</w:t>
      </w:r>
      <w:r>
        <w:rPr>
          <w:spacing w:val="-11"/>
        </w:rPr>
        <w:t> </w:t>
      </w:r>
      <w:r>
        <w:rPr/>
        <w:t>producir</w:t>
      </w:r>
      <w:r>
        <w:rPr>
          <w:spacing w:val="-11"/>
        </w:rPr>
        <w:t> </w:t>
      </w:r>
      <w:r>
        <w:rPr/>
        <w:t>los</w:t>
      </w:r>
      <w:r>
        <w:rPr>
          <w:spacing w:val="-11"/>
        </w:rPr>
        <w:t> </w:t>
      </w:r>
      <w:r>
        <w:rPr/>
        <w:t>insumos</w:t>
      </w:r>
      <w:r>
        <w:rPr>
          <w:spacing w:val="-11"/>
        </w:rPr>
        <w:t> </w:t>
      </w:r>
      <w:r>
        <w:rPr/>
        <w:t>genera</w:t>
      </w:r>
      <w:r>
        <w:rPr>
          <w:spacing w:val="-12"/>
        </w:rPr>
        <w:t> </w:t>
      </w:r>
      <w:r>
        <w:rPr/>
        <w:t>un</w:t>
      </w:r>
      <w:r>
        <w:rPr>
          <w:spacing w:val="-11"/>
        </w:rPr>
        <w:t> </w:t>
      </w:r>
      <w:r>
        <w:rPr/>
        <w:t>valor</w:t>
      </w:r>
      <w:r>
        <w:rPr>
          <w:spacing w:val="-11"/>
        </w:rPr>
        <w:t> </w:t>
      </w:r>
      <w:r>
        <w:rPr/>
        <w:t>agregado para los productores de los Estratos I, II y III de cinco, cuatro y dos centavos por cada peso que reciben de la venta de un litro de leche al mayoreo factor que determinó directamente la participación real de los productores en los márgenes de comercialización de queso panela</w:t>
      </w:r>
      <w:r>
        <w:rPr>
          <w:spacing w:val="-30"/>
        </w:rPr>
        <w:t> </w:t>
      </w:r>
      <w:r>
        <w:rPr/>
        <w:t>y ranchero.</w:t>
      </w:r>
      <w:r>
        <w:rPr>
          <w:spacing w:val="-9"/>
        </w:rPr>
        <w:t> </w:t>
      </w:r>
      <w:r>
        <w:rPr/>
        <w:t>No</w:t>
      </w:r>
      <w:r>
        <w:rPr>
          <w:spacing w:val="-7"/>
        </w:rPr>
        <w:t> </w:t>
      </w:r>
      <w:r>
        <w:rPr/>
        <w:t>obstante,</w:t>
      </w:r>
      <w:r>
        <w:rPr>
          <w:spacing w:val="-9"/>
        </w:rPr>
        <w:t> </w:t>
      </w:r>
      <w:r>
        <w:rPr/>
        <w:t>la</w:t>
      </w:r>
      <w:r>
        <w:rPr>
          <w:spacing w:val="-7"/>
        </w:rPr>
        <w:t> </w:t>
      </w:r>
      <w:r>
        <w:rPr/>
        <w:t>competitividad</w:t>
      </w:r>
      <w:r>
        <w:rPr>
          <w:spacing w:val="-9"/>
        </w:rPr>
        <w:t> </w:t>
      </w:r>
      <w:r>
        <w:rPr/>
        <w:t>que</w:t>
      </w:r>
      <w:r>
        <w:rPr>
          <w:spacing w:val="-10"/>
        </w:rPr>
        <w:t> </w:t>
      </w:r>
      <w:r>
        <w:rPr/>
        <w:t>le</w:t>
      </w:r>
      <w:r>
        <w:rPr>
          <w:spacing w:val="-7"/>
        </w:rPr>
        <w:t> </w:t>
      </w:r>
      <w:r>
        <w:rPr/>
        <w:t>confiere</w:t>
      </w:r>
      <w:r>
        <w:rPr>
          <w:spacing w:val="-10"/>
        </w:rPr>
        <w:t> </w:t>
      </w:r>
      <w:r>
        <w:rPr/>
        <w:t>la</w:t>
      </w:r>
      <w:r>
        <w:rPr>
          <w:spacing w:val="-10"/>
        </w:rPr>
        <w:t> </w:t>
      </w:r>
      <w:r>
        <w:rPr/>
        <w:t>producción</w:t>
      </w:r>
      <w:r>
        <w:rPr>
          <w:spacing w:val="-8"/>
        </w:rPr>
        <w:t> </w:t>
      </w:r>
      <w:r>
        <w:rPr/>
        <w:t>de</w:t>
      </w:r>
      <w:r>
        <w:rPr>
          <w:spacing w:val="-7"/>
        </w:rPr>
        <w:t> </w:t>
      </w:r>
      <w:r>
        <w:rPr/>
        <w:t>insumos</w:t>
      </w:r>
      <w:r>
        <w:rPr>
          <w:spacing w:val="-8"/>
        </w:rPr>
        <w:t> </w:t>
      </w:r>
      <w:r>
        <w:rPr/>
        <w:t>al</w:t>
      </w:r>
      <w:r>
        <w:rPr>
          <w:spacing w:val="-8"/>
        </w:rPr>
        <w:t> </w:t>
      </w:r>
      <w:r>
        <w:rPr/>
        <w:t>sistema lechero de pequeña escala se verá seriamente comprometida si en un futuro se dejan de producir los insumos para la alimentación del ganado lechero (Posadas-Domínguez et al., 2013b).</w:t>
      </w:r>
    </w:p>
    <w:p>
      <w:pPr>
        <w:pStyle w:val="BodyText"/>
      </w:pPr>
    </w:p>
    <w:p>
      <w:pPr>
        <w:pStyle w:val="BodyText"/>
      </w:pPr>
    </w:p>
    <w:p>
      <w:pPr>
        <w:pStyle w:val="BodyText"/>
        <w:spacing w:before="1"/>
        <w:rPr>
          <w:sz w:val="23"/>
        </w:rPr>
      </w:pPr>
    </w:p>
    <w:p>
      <w:pPr>
        <w:pStyle w:val="BodyText"/>
        <w:ind w:left="191"/>
        <w:jc w:val="both"/>
      </w:pPr>
      <w:r>
        <w:rPr>
          <w:b/>
        </w:rPr>
        <w:t>Tabla 19. </w:t>
      </w:r>
      <w:r>
        <w:rPr/>
        <w:t>Márgenes de comercialización de la cadena agroalimentaria productora de leche</w:t>
      </w:r>
    </w:p>
    <w:p>
      <w:pPr>
        <w:pStyle w:val="BodyText"/>
        <w:spacing w:before="1"/>
        <w:rPr>
          <w:sz w:val="6"/>
        </w:r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6"/>
        <w:gridCol w:w="1735"/>
        <w:gridCol w:w="1945"/>
        <w:gridCol w:w="2194"/>
      </w:tblGrid>
      <w:tr>
        <w:trPr>
          <w:trHeight w:val="509" w:hRule="exact"/>
        </w:trPr>
        <w:tc>
          <w:tcPr>
            <w:tcW w:w="2966" w:type="dxa"/>
          </w:tcPr>
          <w:p>
            <w:pPr>
              <w:pStyle w:val="TableParagraph"/>
              <w:spacing w:before="69"/>
              <w:ind w:left="69"/>
              <w:jc w:val="left"/>
              <w:rPr>
                <w:sz w:val="24"/>
              </w:rPr>
            </w:pPr>
            <w:r>
              <w:rPr>
                <w:sz w:val="24"/>
              </w:rPr>
              <w:t>de pequeña escala</w:t>
            </w:r>
          </w:p>
        </w:tc>
        <w:tc>
          <w:tcPr>
            <w:tcW w:w="5874" w:type="dxa"/>
            <w:gridSpan w:val="3"/>
          </w:tcPr>
          <w:p>
            <w:pPr/>
          </w:p>
        </w:tc>
      </w:tr>
      <w:tr>
        <w:trPr>
          <w:trHeight w:val="346" w:hRule="exact"/>
        </w:trPr>
        <w:tc>
          <w:tcPr>
            <w:tcW w:w="2966" w:type="dxa"/>
            <w:tcBorders>
              <w:top w:val="single" w:sz="17" w:space="0" w:color="000000"/>
              <w:bottom w:val="single" w:sz="17" w:space="0" w:color="000000"/>
            </w:tcBorders>
          </w:tcPr>
          <w:p>
            <w:pPr>
              <w:pStyle w:val="TableParagraph"/>
              <w:spacing w:before="6"/>
              <w:ind w:left="69"/>
              <w:jc w:val="left"/>
              <w:rPr>
                <w:sz w:val="24"/>
              </w:rPr>
            </w:pPr>
            <w:r>
              <w:rPr>
                <w:sz w:val="24"/>
              </w:rPr>
              <w:t>Concepto</w:t>
            </w:r>
          </w:p>
        </w:tc>
        <w:tc>
          <w:tcPr>
            <w:tcW w:w="1735" w:type="dxa"/>
            <w:tcBorders>
              <w:top w:val="single" w:sz="17" w:space="0" w:color="000000"/>
              <w:bottom w:val="single" w:sz="17" w:space="0" w:color="000000"/>
            </w:tcBorders>
          </w:tcPr>
          <w:p>
            <w:pPr>
              <w:pStyle w:val="TableParagraph"/>
              <w:spacing w:before="6"/>
              <w:ind w:left="529" w:right="372"/>
              <w:jc w:val="center"/>
              <w:rPr>
                <w:sz w:val="24"/>
              </w:rPr>
            </w:pPr>
            <w:r>
              <w:rPr>
                <w:sz w:val="24"/>
              </w:rPr>
              <w:t>MB (%)</w:t>
            </w:r>
          </w:p>
        </w:tc>
        <w:tc>
          <w:tcPr>
            <w:tcW w:w="1945" w:type="dxa"/>
            <w:tcBorders>
              <w:top w:val="single" w:sz="17" w:space="0" w:color="000000"/>
              <w:bottom w:val="single" w:sz="17" w:space="0" w:color="000000"/>
            </w:tcBorders>
          </w:tcPr>
          <w:p>
            <w:pPr>
              <w:pStyle w:val="TableParagraph"/>
              <w:spacing w:before="6"/>
              <w:ind w:left="392"/>
              <w:jc w:val="left"/>
              <w:rPr>
                <w:sz w:val="24"/>
              </w:rPr>
            </w:pPr>
            <w:r>
              <w:rPr>
                <w:sz w:val="24"/>
              </w:rPr>
              <w:t>PDP (%)</w:t>
            </w:r>
          </w:p>
        </w:tc>
        <w:tc>
          <w:tcPr>
            <w:tcW w:w="2194" w:type="dxa"/>
            <w:tcBorders>
              <w:top w:val="single" w:sz="17" w:space="0" w:color="000000"/>
              <w:bottom w:val="single" w:sz="17" w:space="0" w:color="000000"/>
            </w:tcBorders>
          </w:tcPr>
          <w:p>
            <w:pPr>
              <w:pStyle w:val="TableParagraph"/>
              <w:spacing w:before="6"/>
              <w:ind w:left="693"/>
              <w:jc w:val="left"/>
              <w:rPr>
                <w:sz w:val="24"/>
              </w:rPr>
            </w:pPr>
            <w:r>
              <w:rPr>
                <w:sz w:val="24"/>
              </w:rPr>
              <w:t>MNC (%)</w:t>
            </w:r>
          </w:p>
        </w:tc>
      </w:tr>
      <w:tr>
        <w:trPr>
          <w:trHeight w:val="629" w:hRule="exact"/>
        </w:trPr>
        <w:tc>
          <w:tcPr>
            <w:tcW w:w="2966" w:type="dxa"/>
            <w:tcBorders>
              <w:top w:val="single" w:sz="17" w:space="0" w:color="000000"/>
            </w:tcBorders>
          </w:tcPr>
          <w:p>
            <w:pPr>
              <w:pStyle w:val="TableParagraph"/>
              <w:spacing w:before="11"/>
              <w:ind w:left="69"/>
              <w:jc w:val="left"/>
              <w:rPr>
                <w:b/>
                <w:sz w:val="24"/>
              </w:rPr>
            </w:pPr>
            <w:r>
              <w:rPr>
                <w:b/>
                <w:sz w:val="24"/>
              </w:rPr>
              <w:t>Eslabón de producción</w:t>
            </w:r>
          </w:p>
          <w:p>
            <w:pPr>
              <w:pStyle w:val="TableParagraph"/>
              <w:spacing w:before="19"/>
              <w:ind w:left="249"/>
              <w:jc w:val="left"/>
              <w:rPr>
                <w:sz w:val="24"/>
              </w:rPr>
            </w:pPr>
            <w:r>
              <w:rPr>
                <w:sz w:val="24"/>
              </w:rPr>
              <w:t>Maíz para silo</w:t>
            </w:r>
          </w:p>
        </w:tc>
        <w:tc>
          <w:tcPr>
            <w:tcW w:w="1735" w:type="dxa"/>
            <w:tcBorders>
              <w:top w:val="single" w:sz="17" w:space="0" w:color="000000"/>
            </w:tcBorders>
          </w:tcPr>
          <w:p>
            <w:pPr/>
          </w:p>
        </w:tc>
        <w:tc>
          <w:tcPr>
            <w:tcW w:w="1945" w:type="dxa"/>
            <w:tcBorders>
              <w:top w:val="single" w:sz="17" w:space="0" w:color="000000"/>
            </w:tcBorders>
          </w:tcPr>
          <w:p>
            <w:pPr/>
          </w:p>
        </w:tc>
        <w:tc>
          <w:tcPr>
            <w:tcW w:w="2194" w:type="dxa"/>
            <w:tcBorders>
              <w:top w:val="single" w:sz="17" w:space="0" w:color="000000"/>
            </w:tcBorders>
          </w:tcPr>
          <w:p>
            <w:pPr>
              <w:pStyle w:val="TableParagraph"/>
              <w:spacing w:before="7"/>
              <w:jc w:val="left"/>
              <w:rPr>
                <w:sz w:val="26"/>
              </w:rPr>
            </w:pPr>
          </w:p>
          <w:p>
            <w:pPr>
              <w:pStyle w:val="TableParagraph"/>
              <w:ind w:left="799" w:right="758"/>
              <w:jc w:val="center"/>
              <w:rPr>
                <w:sz w:val="24"/>
              </w:rPr>
            </w:pPr>
            <w:r>
              <w:rPr>
                <w:sz w:val="24"/>
              </w:rPr>
              <w:t>2.00</w:t>
            </w:r>
          </w:p>
        </w:tc>
      </w:tr>
      <w:tr>
        <w:trPr>
          <w:trHeight w:val="300" w:hRule="exact"/>
        </w:trPr>
        <w:tc>
          <w:tcPr>
            <w:tcW w:w="2966" w:type="dxa"/>
          </w:tcPr>
          <w:p>
            <w:pPr>
              <w:pStyle w:val="TableParagraph"/>
              <w:spacing w:line="275" w:lineRule="exact"/>
              <w:ind w:left="249"/>
              <w:jc w:val="left"/>
              <w:rPr>
                <w:sz w:val="24"/>
              </w:rPr>
            </w:pPr>
            <w:r>
              <w:rPr>
                <w:sz w:val="24"/>
              </w:rPr>
              <w:t>Alfalfa</w:t>
            </w:r>
          </w:p>
        </w:tc>
        <w:tc>
          <w:tcPr>
            <w:tcW w:w="1735" w:type="dxa"/>
          </w:tcPr>
          <w:p>
            <w:pPr/>
          </w:p>
        </w:tc>
        <w:tc>
          <w:tcPr>
            <w:tcW w:w="1945" w:type="dxa"/>
          </w:tcPr>
          <w:p>
            <w:pPr/>
          </w:p>
        </w:tc>
        <w:tc>
          <w:tcPr>
            <w:tcW w:w="2194" w:type="dxa"/>
          </w:tcPr>
          <w:p>
            <w:pPr>
              <w:pStyle w:val="TableParagraph"/>
              <w:spacing w:line="275" w:lineRule="exact"/>
              <w:ind w:left="799" w:right="758"/>
              <w:jc w:val="center"/>
              <w:rPr>
                <w:sz w:val="24"/>
              </w:rPr>
            </w:pPr>
            <w:r>
              <w:rPr>
                <w:sz w:val="24"/>
              </w:rPr>
              <w:t>4.60</w:t>
            </w:r>
          </w:p>
        </w:tc>
      </w:tr>
      <w:tr>
        <w:trPr>
          <w:trHeight w:val="300" w:hRule="exact"/>
        </w:trPr>
        <w:tc>
          <w:tcPr>
            <w:tcW w:w="2966" w:type="dxa"/>
          </w:tcPr>
          <w:p>
            <w:pPr>
              <w:pStyle w:val="TableParagraph"/>
              <w:spacing w:line="275" w:lineRule="exact"/>
              <w:ind w:left="249"/>
              <w:jc w:val="left"/>
              <w:rPr>
                <w:sz w:val="24"/>
              </w:rPr>
            </w:pPr>
            <w:r>
              <w:rPr>
                <w:sz w:val="24"/>
              </w:rPr>
              <w:t>Avena</w:t>
            </w:r>
          </w:p>
        </w:tc>
        <w:tc>
          <w:tcPr>
            <w:tcW w:w="1735" w:type="dxa"/>
          </w:tcPr>
          <w:p>
            <w:pPr/>
          </w:p>
        </w:tc>
        <w:tc>
          <w:tcPr>
            <w:tcW w:w="1945" w:type="dxa"/>
          </w:tcPr>
          <w:p>
            <w:pPr/>
          </w:p>
        </w:tc>
        <w:tc>
          <w:tcPr>
            <w:tcW w:w="2194" w:type="dxa"/>
          </w:tcPr>
          <w:p>
            <w:pPr>
              <w:pStyle w:val="TableParagraph"/>
              <w:spacing w:line="275" w:lineRule="exact"/>
              <w:ind w:left="799" w:right="758"/>
              <w:jc w:val="center"/>
              <w:rPr>
                <w:sz w:val="24"/>
              </w:rPr>
            </w:pPr>
            <w:r>
              <w:rPr>
                <w:sz w:val="24"/>
              </w:rPr>
              <w:t>1.60</w:t>
            </w:r>
          </w:p>
        </w:tc>
      </w:tr>
      <w:tr>
        <w:trPr>
          <w:trHeight w:val="270" w:hRule="exact"/>
        </w:trPr>
        <w:tc>
          <w:tcPr>
            <w:tcW w:w="2966" w:type="dxa"/>
          </w:tcPr>
          <w:p>
            <w:pPr>
              <w:pStyle w:val="TableParagraph"/>
              <w:spacing w:line="275" w:lineRule="exact"/>
              <w:ind w:left="249"/>
              <w:jc w:val="left"/>
              <w:rPr>
                <w:sz w:val="24"/>
              </w:rPr>
            </w:pPr>
            <w:r>
              <w:rPr>
                <w:sz w:val="24"/>
              </w:rPr>
              <w:t>Maíz</w:t>
            </w:r>
          </w:p>
        </w:tc>
        <w:tc>
          <w:tcPr>
            <w:tcW w:w="1735" w:type="dxa"/>
          </w:tcPr>
          <w:p>
            <w:pPr/>
          </w:p>
        </w:tc>
        <w:tc>
          <w:tcPr>
            <w:tcW w:w="1945" w:type="dxa"/>
          </w:tcPr>
          <w:p>
            <w:pPr/>
          </w:p>
        </w:tc>
        <w:tc>
          <w:tcPr>
            <w:tcW w:w="2194" w:type="dxa"/>
          </w:tcPr>
          <w:p>
            <w:pPr>
              <w:pStyle w:val="TableParagraph"/>
              <w:spacing w:line="275" w:lineRule="exact"/>
              <w:ind w:left="799" w:right="813"/>
              <w:jc w:val="center"/>
              <w:rPr>
                <w:sz w:val="24"/>
              </w:rPr>
            </w:pPr>
            <w:r>
              <w:rPr>
                <w:sz w:val="24"/>
              </w:rPr>
              <w:t>16.00</w:t>
            </w:r>
          </w:p>
        </w:tc>
      </w:tr>
      <w:tr>
        <w:trPr>
          <w:trHeight w:val="333" w:hRule="exact"/>
        </w:trPr>
        <w:tc>
          <w:tcPr>
            <w:tcW w:w="2966" w:type="dxa"/>
          </w:tcPr>
          <w:p>
            <w:pPr>
              <w:pStyle w:val="TableParagraph"/>
              <w:spacing w:before="34"/>
              <w:ind w:left="69"/>
              <w:jc w:val="left"/>
              <w:rPr>
                <w:b/>
                <w:sz w:val="24"/>
              </w:rPr>
            </w:pPr>
            <w:r>
              <w:rPr>
                <w:b/>
                <w:sz w:val="24"/>
              </w:rPr>
              <w:t>Eslabón productor de leche</w:t>
            </w:r>
          </w:p>
        </w:tc>
        <w:tc>
          <w:tcPr>
            <w:tcW w:w="1735" w:type="dxa"/>
          </w:tcPr>
          <w:p>
            <w:pPr/>
          </w:p>
        </w:tc>
        <w:tc>
          <w:tcPr>
            <w:tcW w:w="1945" w:type="dxa"/>
          </w:tcPr>
          <w:p>
            <w:pPr/>
          </w:p>
        </w:tc>
        <w:tc>
          <w:tcPr>
            <w:tcW w:w="2194" w:type="dxa"/>
          </w:tcPr>
          <w:p>
            <w:pPr/>
          </w:p>
        </w:tc>
      </w:tr>
      <w:tr>
        <w:trPr>
          <w:trHeight w:val="298" w:hRule="exact"/>
        </w:trPr>
        <w:tc>
          <w:tcPr>
            <w:tcW w:w="2966" w:type="dxa"/>
          </w:tcPr>
          <w:p>
            <w:pPr>
              <w:pStyle w:val="TableParagraph"/>
              <w:spacing w:line="273" w:lineRule="exact"/>
              <w:ind w:left="429"/>
              <w:jc w:val="left"/>
              <w:rPr>
                <w:sz w:val="24"/>
              </w:rPr>
            </w:pPr>
            <w:r>
              <w:rPr>
                <w:sz w:val="24"/>
              </w:rPr>
              <w:t>Panela</w:t>
            </w:r>
          </w:p>
        </w:tc>
        <w:tc>
          <w:tcPr>
            <w:tcW w:w="1735" w:type="dxa"/>
          </w:tcPr>
          <w:p>
            <w:pPr>
              <w:pStyle w:val="TableParagraph"/>
              <w:spacing w:line="273" w:lineRule="exact"/>
              <w:ind w:left="529" w:right="370"/>
              <w:jc w:val="center"/>
              <w:rPr>
                <w:sz w:val="24"/>
              </w:rPr>
            </w:pPr>
            <w:r>
              <w:rPr>
                <w:sz w:val="24"/>
              </w:rPr>
              <w:t>38.95</w:t>
            </w:r>
          </w:p>
        </w:tc>
        <w:tc>
          <w:tcPr>
            <w:tcW w:w="4139" w:type="dxa"/>
            <w:gridSpan w:val="2"/>
          </w:tcPr>
          <w:p>
            <w:pPr>
              <w:pStyle w:val="TableParagraph"/>
              <w:spacing w:line="273" w:lineRule="exact"/>
              <w:ind w:left="553"/>
              <w:jc w:val="left"/>
              <w:rPr>
                <w:sz w:val="24"/>
              </w:rPr>
            </w:pPr>
            <w:r>
              <w:rPr>
                <w:sz w:val="24"/>
              </w:rPr>
              <w:t>61.05</w:t>
            </w:r>
          </w:p>
        </w:tc>
      </w:tr>
      <w:tr>
        <w:trPr>
          <w:trHeight w:val="290" w:hRule="exact"/>
        </w:trPr>
        <w:tc>
          <w:tcPr>
            <w:tcW w:w="2966" w:type="dxa"/>
          </w:tcPr>
          <w:p>
            <w:pPr>
              <w:pStyle w:val="TableParagraph"/>
              <w:spacing w:line="275" w:lineRule="exact"/>
              <w:ind w:left="429"/>
              <w:jc w:val="left"/>
              <w:rPr>
                <w:sz w:val="24"/>
              </w:rPr>
            </w:pPr>
            <w:r>
              <w:rPr>
                <w:sz w:val="24"/>
              </w:rPr>
              <w:t>Ranchero</w:t>
            </w:r>
          </w:p>
        </w:tc>
        <w:tc>
          <w:tcPr>
            <w:tcW w:w="1735" w:type="dxa"/>
          </w:tcPr>
          <w:p>
            <w:pPr>
              <w:pStyle w:val="TableParagraph"/>
              <w:spacing w:line="275" w:lineRule="exact"/>
              <w:ind w:left="529" w:right="370"/>
              <w:jc w:val="center"/>
              <w:rPr>
                <w:sz w:val="24"/>
              </w:rPr>
            </w:pPr>
            <w:r>
              <w:rPr>
                <w:sz w:val="24"/>
              </w:rPr>
              <w:t>45.00</w:t>
            </w:r>
          </w:p>
        </w:tc>
        <w:tc>
          <w:tcPr>
            <w:tcW w:w="4139" w:type="dxa"/>
            <w:gridSpan w:val="2"/>
          </w:tcPr>
          <w:p>
            <w:pPr>
              <w:pStyle w:val="TableParagraph"/>
              <w:spacing w:line="275" w:lineRule="exact"/>
              <w:ind w:left="553"/>
              <w:jc w:val="left"/>
              <w:rPr>
                <w:sz w:val="24"/>
              </w:rPr>
            </w:pPr>
            <w:r>
              <w:rPr>
                <w:sz w:val="24"/>
              </w:rPr>
              <w:t>55.00</w:t>
            </w:r>
          </w:p>
        </w:tc>
      </w:tr>
    </w:tbl>
    <w:p>
      <w:pPr>
        <w:pStyle w:val="BodyText"/>
        <w:spacing w:before="9"/>
        <w:ind w:left="371" w:right="504"/>
      </w:pPr>
      <w:r>
        <w:rPr/>
        <w:t>Productores Est I</w:t>
      </w:r>
    </w:p>
    <w:p>
      <w:pPr>
        <w:pStyle w:val="BodyText"/>
        <w:tabs>
          <w:tab w:pos="7647" w:val="left" w:leader="none"/>
        </w:tabs>
        <w:spacing w:before="24"/>
        <w:ind w:left="551" w:right="504"/>
      </w:pPr>
      <w:r>
        <w:rPr/>
        <w:t>Panela</w:t>
        <w:tab/>
        <w:t>3.88</w:t>
      </w:r>
    </w:p>
    <w:p>
      <w:pPr>
        <w:pStyle w:val="BodyText"/>
        <w:tabs>
          <w:tab w:pos="7647" w:val="left" w:leader="none"/>
        </w:tabs>
        <w:spacing w:before="24"/>
        <w:ind w:left="551" w:right="504"/>
      </w:pPr>
      <w:r>
        <w:rPr/>
        <w:t>Ranchero</w:t>
        <w:tab/>
        <w:t>3.50</w:t>
      </w:r>
    </w:p>
    <w:p>
      <w:pPr>
        <w:pStyle w:val="BodyText"/>
        <w:spacing w:before="24"/>
        <w:ind w:left="371" w:right="504"/>
      </w:pPr>
      <w:r>
        <w:rPr/>
        <w:t>Productores Est II</w:t>
      </w:r>
    </w:p>
    <w:p>
      <w:pPr>
        <w:pStyle w:val="BodyText"/>
        <w:tabs>
          <w:tab w:pos="7587" w:val="left" w:leader="none"/>
        </w:tabs>
        <w:spacing w:before="24"/>
        <w:ind w:left="551" w:right="504"/>
      </w:pPr>
      <w:r>
        <w:rPr/>
        <w:t>Panela</w:t>
        <w:tab/>
        <w:t>13.10</w:t>
      </w:r>
    </w:p>
    <w:p>
      <w:pPr>
        <w:pStyle w:val="BodyText"/>
        <w:tabs>
          <w:tab w:pos="7587" w:val="left" w:leader="none"/>
        </w:tabs>
        <w:spacing w:before="24"/>
        <w:ind w:left="551" w:right="504"/>
      </w:pPr>
      <w:r>
        <w:rPr/>
        <w:t>Ranchero</w:t>
        <w:tab/>
        <w:t>11.82</w:t>
      </w:r>
    </w:p>
    <w:p>
      <w:pPr>
        <w:pStyle w:val="BodyText"/>
        <w:spacing w:before="24"/>
        <w:ind w:left="371" w:right="504"/>
      </w:pPr>
      <w:r>
        <w:rPr/>
        <w:t>Productores Est III</w:t>
      </w:r>
    </w:p>
    <w:p>
      <w:pPr>
        <w:pStyle w:val="BodyText"/>
        <w:tabs>
          <w:tab w:pos="7587" w:val="left" w:leader="none"/>
        </w:tabs>
        <w:spacing w:before="24"/>
        <w:ind w:left="551" w:right="504"/>
      </w:pPr>
      <w:r>
        <w:rPr/>
        <w:t>Panela</w:t>
        <w:tab/>
        <w:t>17.45</w:t>
      </w:r>
    </w:p>
    <w:p>
      <w:pPr>
        <w:pStyle w:val="BodyText"/>
        <w:tabs>
          <w:tab w:pos="7587" w:val="left" w:leader="none"/>
        </w:tabs>
        <w:spacing w:before="24"/>
        <w:ind w:left="551" w:right="504"/>
      </w:pPr>
      <w:r>
        <w:rPr/>
        <w:t>Ranchero</w:t>
        <w:tab/>
        <w:t>15.72</w:t>
      </w:r>
    </w:p>
    <w:p>
      <w:pPr>
        <w:pStyle w:val="Heading1"/>
        <w:spacing w:before="29"/>
        <w:ind w:left="191" w:right="504"/>
        <w:jc w:val="left"/>
      </w:pPr>
      <w:r>
        <w:rPr/>
        <w:pict>
          <v:shape style="position:absolute;margin-left:84.384003pt;margin-top:16.997042pt;width:442.75pt;height:77.4pt;mso-position-horizontal-relative:page;mso-position-vertical-relative:paragraph;z-index:74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0"/>
                    <w:gridCol w:w="3329"/>
                    <w:gridCol w:w="3016"/>
                  </w:tblGrid>
                  <w:tr>
                    <w:trPr>
                      <w:trHeight w:val="285" w:hRule="exact"/>
                    </w:trPr>
                    <w:tc>
                      <w:tcPr>
                        <w:tcW w:w="2510" w:type="dxa"/>
                      </w:tcPr>
                      <w:p>
                        <w:pPr>
                          <w:pStyle w:val="TableParagraph"/>
                          <w:spacing w:line="260" w:lineRule="exact"/>
                          <w:ind w:left="443" w:right="-18"/>
                          <w:jc w:val="left"/>
                          <w:rPr>
                            <w:sz w:val="24"/>
                          </w:rPr>
                        </w:pPr>
                        <w:r>
                          <w:rPr>
                            <w:sz w:val="24"/>
                          </w:rPr>
                          <w:t>Panela</w:t>
                        </w:r>
                      </w:p>
                    </w:tc>
                    <w:tc>
                      <w:tcPr>
                        <w:tcW w:w="3329" w:type="dxa"/>
                      </w:tcPr>
                      <w:p>
                        <w:pPr>
                          <w:pStyle w:val="TableParagraph"/>
                          <w:spacing w:line="260" w:lineRule="exact"/>
                          <w:ind w:left="1148"/>
                          <w:jc w:val="left"/>
                          <w:rPr>
                            <w:sz w:val="24"/>
                          </w:rPr>
                        </w:pPr>
                        <w:r>
                          <w:rPr>
                            <w:sz w:val="24"/>
                          </w:rPr>
                          <w:t>25.61</w:t>
                        </w:r>
                      </w:p>
                    </w:tc>
                    <w:tc>
                      <w:tcPr>
                        <w:tcW w:w="3016" w:type="dxa"/>
                      </w:tcPr>
                      <w:p>
                        <w:pPr>
                          <w:pStyle w:val="TableParagraph"/>
                          <w:spacing w:line="260" w:lineRule="exact"/>
                          <w:ind w:right="834"/>
                          <w:rPr>
                            <w:sz w:val="24"/>
                          </w:rPr>
                        </w:pPr>
                        <w:r>
                          <w:rPr>
                            <w:sz w:val="24"/>
                          </w:rPr>
                          <w:t>10.44</w:t>
                        </w:r>
                      </w:p>
                    </w:tc>
                  </w:tr>
                  <w:tr>
                    <w:trPr>
                      <w:trHeight w:val="270" w:hRule="exact"/>
                    </w:trPr>
                    <w:tc>
                      <w:tcPr>
                        <w:tcW w:w="2510" w:type="dxa"/>
                      </w:tcPr>
                      <w:p>
                        <w:pPr>
                          <w:pStyle w:val="TableParagraph"/>
                          <w:spacing w:line="275" w:lineRule="exact"/>
                          <w:ind w:left="443" w:right="-18"/>
                          <w:jc w:val="left"/>
                          <w:rPr>
                            <w:sz w:val="24"/>
                          </w:rPr>
                        </w:pPr>
                        <w:r>
                          <w:rPr>
                            <w:sz w:val="24"/>
                          </w:rPr>
                          <w:t>Ranchero</w:t>
                        </w:r>
                      </w:p>
                    </w:tc>
                    <w:tc>
                      <w:tcPr>
                        <w:tcW w:w="3329" w:type="dxa"/>
                      </w:tcPr>
                      <w:p>
                        <w:pPr>
                          <w:pStyle w:val="TableParagraph"/>
                          <w:spacing w:line="275" w:lineRule="exact"/>
                          <w:ind w:left="1148"/>
                          <w:jc w:val="left"/>
                          <w:rPr>
                            <w:sz w:val="24"/>
                          </w:rPr>
                        </w:pPr>
                        <w:r>
                          <w:rPr>
                            <w:sz w:val="24"/>
                          </w:rPr>
                          <w:t>20.00</w:t>
                        </w:r>
                      </w:p>
                    </w:tc>
                    <w:tc>
                      <w:tcPr>
                        <w:tcW w:w="3016" w:type="dxa"/>
                      </w:tcPr>
                      <w:p>
                        <w:pPr>
                          <w:pStyle w:val="TableParagraph"/>
                          <w:spacing w:line="275" w:lineRule="exact"/>
                          <w:ind w:right="834"/>
                          <w:rPr>
                            <w:sz w:val="24"/>
                          </w:rPr>
                        </w:pPr>
                        <w:r>
                          <w:rPr>
                            <w:sz w:val="24"/>
                          </w:rPr>
                          <w:t>12.17</w:t>
                        </w:r>
                      </w:p>
                    </w:tc>
                  </w:tr>
                  <w:tr>
                    <w:trPr>
                      <w:trHeight w:val="332" w:hRule="exact"/>
                    </w:trPr>
                    <w:tc>
                      <w:tcPr>
                        <w:tcW w:w="2510" w:type="dxa"/>
                      </w:tcPr>
                      <w:p>
                        <w:pPr>
                          <w:pStyle w:val="TableParagraph"/>
                          <w:spacing w:before="34"/>
                          <w:ind w:left="84" w:right="-18"/>
                          <w:jc w:val="left"/>
                          <w:rPr>
                            <w:b/>
                            <w:sz w:val="24"/>
                          </w:rPr>
                        </w:pPr>
                        <w:r>
                          <w:rPr>
                            <w:b/>
                            <w:sz w:val="24"/>
                          </w:rPr>
                          <w:t>Eslabón de</w:t>
                        </w:r>
                        <w:r>
                          <w:rPr>
                            <w:b/>
                            <w:spacing w:val="-4"/>
                            <w:sz w:val="24"/>
                          </w:rPr>
                          <w:t> </w:t>
                        </w:r>
                        <w:r>
                          <w:rPr>
                            <w:b/>
                            <w:sz w:val="24"/>
                          </w:rPr>
                          <w:t>distribución</w:t>
                        </w:r>
                      </w:p>
                    </w:tc>
                    <w:tc>
                      <w:tcPr>
                        <w:tcW w:w="3329" w:type="dxa"/>
                      </w:tcPr>
                      <w:p>
                        <w:pPr/>
                      </w:p>
                    </w:tc>
                    <w:tc>
                      <w:tcPr>
                        <w:tcW w:w="3016" w:type="dxa"/>
                      </w:tcPr>
                      <w:p>
                        <w:pPr/>
                      </w:p>
                    </w:tc>
                  </w:tr>
                  <w:tr>
                    <w:trPr>
                      <w:trHeight w:val="298" w:hRule="exact"/>
                    </w:trPr>
                    <w:tc>
                      <w:tcPr>
                        <w:tcW w:w="2510" w:type="dxa"/>
                      </w:tcPr>
                      <w:p>
                        <w:pPr>
                          <w:pStyle w:val="TableParagraph"/>
                          <w:spacing w:line="273" w:lineRule="exact"/>
                          <w:ind w:left="264" w:right="-18"/>
                          <w:jc w:val="left"/>
                          <w:rPr>
                            <w:sz w:val="24"/>
                          </w:rPr>
                        </w:pPr>
                        <w:r>
                          <w:rPr>
                            <w:sz w:val="24"/>
                          </w:rPr>
                          <w:t>Panela</w:t>
                        </w:r>
                      </w:p>
                    </w:tc>
                    <w:tc>
                      <w:tcPr>
                        <w:tcW w:w="3329" w:type="dxa"/>
                      </w:tcPr>
                      <w:p>
                        <w:pPr>
                          <w:pStyle w:val="TableParagraph"/>
                          <w:spacing w:line="273" w:lineRule="exact"/>
                          <w:ind w:left="1148"/>
                          <w:jc w:val="left"/>
                          <w:rPr>
                            <w:sz w:val="24"/>
                          </w:rPr>
                        </w:pPr>
                        <w:r>
                          <w:rPr>
                            <w:sz w:val="24"/>
                          </w:rPr>
                          <w:t>13.33</w:t>
                        </w:r>
                      </w:p>
                    </w:tc>
                    <w:tc>
                      <w:tcPr>
                        <w:tcW w:w="3016" w:type="dxa"/>
                      </w:tcPr>
                      <w:p>
                        <w:pPr>
                          <w:pStyle w:val="TableParagraph"/>
                          <w:spacing w:line="273" w:lineRule="exact"/>
                          <w:ind w:right="834"/>
                          <w:rPr>
                            <w:sz w:val="24"/>
                          </w:rPr>
                        </w:pPr>
                        <w:r>
                          <w:rPr>
                            <w:sz w:val="24"/>
                          </w:rPr>
                          <w:t>10.00</w:t>
                        </w:r>
                      </w:p>
                    </w:tc>
                  </w:tr>
                  <w:tr>
                    <w:trPr>
                      <w:trHeight w:val="319" w:hRule="exact"/>
                    </w:trPr>
                    <w:tc>
                      <w:tcPr>
                        <w:tcW w:w="2510" w:type="dxa"/>
                        <w:tcBorders>
                          <w:bottom w:val="single" w:sz="17" w:space="0" w:color="000000"/>
                        </w:tcBorders>
                      </w:tcPr>
                      <w:p>
                        <w:pPr>
                          <w:pStyle w:val="TableParagraph"/>
                          <w:spacing w:line="275" w:lineRule="exact"/>
                          <w:ind w:left="264" w:right="-18"/>
                          <w:jc w:val="left"/>
                          <w:rPr>
                            <w:sz w:val="24"/>
                          </w:rPr>
                        </w:pPr>
                        <w:r>
                          <w:rPr>
                            <w:sz w:val="24"/>
                          </w:rPr>
                          <w:t>Ranchero</w:t>
                        </w:r>
                      </w:p>
                    </w:tc>
                    <w:tc>
                      <w:tcPr>
                        <w:tcW w:w="3329" w:type="dxa"/>
                        <w:tcBorders>
                          <w:bottom w:val="single" w:sz="17" w:space="0" w:color="000000"/>
                        </w:tcBorders>
                      </w:tcPr>
                      <w:p>
                        <w:pPr>
                          <w:pStyle w:val="TableParagraph"/>
                          <w:spacing w:line="275" w:lineRule="exact"/>
                          <w:ind w:left="1148"/>
                          <w:jc w:val="left"/>
                          <w:rPr>
                            <w:sz w:val="24"/>
                          </w:rPr>
                        </w:pPr>
                        <w:r>
                          <w:rPr>
                            <w:sz w:val="24"/>
                          </w:rPr>
                          <w:t>25.00</w:t>
                        </w:r>
                      </w:p>
                    </w:tc>
                    <w:tc>
                      <w:tcPr>
                        <w:tcW w:w="3016" w:type="dxa"/>
                        <w:tcBorders>
                          <w:bottom w:val="single" w:sz="17" w:space="0" w:color="000000"/>
                        </w:tcBorders>
                      </w:tcPr>
                      <w:p>
                        <w:pPr>
                          <w:pStyle w:val="TableParagraph"/>
                          <w:spacing w:line="275" w:lineRule="exact"/>
                          <w:ind w:right="834"/>
                          <w:rPr>
                            <w:sz w:val="24"/>
                          </w:rPr>
                        </w:pPr>
                        <w:r>
                          <w:rPr>
                            <w:sz w:val="24"/>
                          </w:rPr>
                          <w:t>21.25</w:t>
                        </w:r>
                      </w:p>
                    </w:tc>
                  </w:tr>
                </w:tbl>
                <w:p>
                  <w:pPr>
                    <w:pStyle w:val="BodyText"/>
                  </w:pPr>
                </w:p>
              </w:txbxContent>
            </v:textbox>
            <w10:wrap type="none"/>
          </v:shape>
        </w:pict>
      </w:r>
      <w:r>
        <w:rPr/>
        <w:t>Eslabón de transformación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76"/>
        <w:ind w:left="122" w:right="504" w:firstLine="0"/>
        <w:jc w:val="left"/>
        <w:rPr>
          <w:sz w:val="20"/>
        </w:rPr>
      </w:pPr>
      <w:r>
        <w:rPr>
          <w:sz w:val="20"/>
        </w:rPr>
        <w:t>Fuente: Elaboración propia con información de campo.</w:t>
      </w:r>
    </w:p>
    <w:p>
      <w:pPr>
        <w:spacing w:after="0"/>
        <w:jc w:val="left"/>
        <w:rPr>
          <w:sz w:val="20"/>
        </w:rPr>
        <w:sectPr>
          <w:footerReference w:type="default" r:id="rId203"/>
          <w:pgSz w:w="12240" w:h="15840"/>
          <w:pgMar w:footer="657" w:header="0" w:top="1360" w:bottom="840" w:left="1580" w:right="1580"/>
          <w:pgNumType w:start="210"/>
        </w:sectPr>
      </w:pPr>
    </w:p>
    <w:p>
      <w:pPr>
        <w:pStyle w:val="Heading1"/>
        <w:numPr>
          <w:ilvl w:val="2"/>
          <w:numId w:val="29"/>
        </w:numPr>
        <w:tabs>
          <w:tab w:pos="642" w:val="left" w:leader="none"/>
        </w:tabs>
        <w:spacing w:line="240" w:lineRule="auto" w:before="55" w:after="0"/>
        <w:ind w:left="642" w:right="0" w:hanging="540"/>
        <w:jc w:val="both"/>
      </w:pPr>
      <w:r>
        <w:rPr/>
        <w:t>Conclusiones</w:t>
      </w:r>
    </w:p>
    <w:p>
      <w:pPr>
        <w:pStyle w:val="BodyText"/>
        <w:rPr>
          <w:b/>
        </w:rPr>
      </w:pPr>
    </w:p>
    <w:p>
      <w:pPr>
        <w:pStyle w:val="BodyText"/>
        <w:rPr>
          <w:b/>
        </w:rPr>
      </w:pPr>
    </w:p>
    <w:p>
      <w:pPr>
        <w:pStyle w:val="BodyText"/>
        <w:spacing w:before="5"/>
        <w:rPr>
          <w:b/>
          <w:sz w:val="34"/>
        </w:rPr>
      </w:pPr>
    </w:p>
    <w:p>
      <w:pPr>
        <w:pStyle w:val="BodyText"/>
        <w:spacing w:line="360" w:lineRule="auto"/>
        <w:ind w:left="102" w:right="115"/>
        <w:jc w:val="both"/>
      </w:pPr>
      <w:r>
        <w:rPr/>
        <w:t>Los resultados muestran que los eslabones de producción de insumos, producción de leche, transformación y distribución son rentables y presentan ventaja comparativa, su</w:t>
      </w:r>
      <w:r>
        <w:rPr>
          <w:spacing w:val="-33"/>
        </w:rPr>
        <w:t> </w:t>
      </w:r>
      <w:r>
        <w:rPr/>
        <w:t>rentabilidad y competitividad privada fue positiva cuando se consideró el costo de todos los factores de producción. Los márgenes de comercialización encontrados demuestran que la actividad</w:t>
      </w:r>
      <w:r>
        <w:rPr>
          <w:spacing w:val="-21"/>
        </w:rPr>
        <w:t> </w:t>
      </w:r>
      <w:r>
        <w:rPr/>
        <w:t>del sistema lechero de pequeña escala, la agroindustria, y distribuidores es redituable. La estratificación de productores demostró mayor eficiencia para analizar la competitividad y márgenes</w:t>
      </w:r>
      <w:r>
        <w:rPr>
          <w:spacing w:val="-6"/>
        </w:rPr>
        <w:t> </w:t>
      </w:r>
      <w:r>
        <w:rPr/>
        <w:t>netos</w:t>
      </w:r>
      <w:r>
        <w:rPr>
          <w:spacing w:val="-5"/>
        </w:rPr>
        <w:t> </w:t>
      </w:r>
      <w:r>
        <w:rPr/>
        <w:t>de</w:t>
      </w:r>
      <w:r>
        <w:rPr>
          <w:spacing w:val="-7"/>
        </w:rPr>
        <w:t> </w:t>
      </w:r>
      <w:r>
        <w:rPr/>
        <w:t>comercialización.</w:t>
      </w:r>
      <w:r>
        <w:rPr>
          <w:spacing w:val="-2"/>
        </w:rPr>
        <w:t> </w:t>
      </w:r>
      <w:r>
        <w:rPr/>
        <w:t>La</w:t>
      </w:r>
      <w:r>
        <w:rPr>
          <w:spacing w:val="-7"/>
        </w:rPr>
        <w:t> </w:t>
      </w:r>
      <w:r>
        <w:rPr/>
        <w:t>producción</w:t>
      </w:r>
      <w:r>
        <w:rPr>
          <w:spacing w:val="-6"/>
        </w:rPr>
        <w:t> </w:t>
      </w:r>
      <w:r>
        <w:rPr/>
        <w:t>de</w:t>
      </w:r>
      <w:r>
        <w:rPr>
          <w:spacing w:val="-7"/>
        </w:rPr>
        <w:t> </w:t>
      </w:r>
      <w:r>
        <w:rPr/>
        <w:t>insumos</w:t>
      </w:r>
      <w:r>
        <w:rPr>
          <w:spacing w:val="-6"/>
        </w:rPr>
        <w:t> </w:t>
      </w:r>
      <w:r>
        <w:rPr/>
        <w:t>es</w:t>
      </w:r>
      <w:r>
        <w:rPr>
          <w:spacing w:val="-6"/>
        </w:rPr>
        <w:t> </w:t>
      </w:r>
      <w:r>
        <w:rPr/>
        <w:t>una</w:t>
      </w:r>
      <w:r>
        <w:rPr>
          <w:spacing w:val="-7"/>
        </w:rPr>
        <w:t> </w:t>
      </w:r>
      <w:r>
        <w:rPr/>
        <w:t>variable</w:t>
      </w:r>
      <w:r>
        <w:rPr>
          <w:spacing w:val="-7"/>
        </w:rPr>
        <w:t> </w:t>
      </w:r>
      <w:r>
        <w:rPr/>
        <w:t>fundamental que está asociada directamente con la competitividad y el margen de ganancia real del eslabón de producción de leche. La generación de valor en el eslabón de transformación y distribución, no necesariamente resulta en un mayor beneficio económico, cuando se considera el total de los costos de producción a los que se enfrenta cada uno de ellos. Es importante considerar en el analisis de rentabilidad y competitividad privada del eslabón de producción de leche, la generación de valor que aporta la producción de insumos, </w:t>
      </w:r>
      <w:r>
        <w:rPr>
          <w:spacing w:val="-3"/>
        </w:rPr>
        <w:t>ya </w:t>
      </w:r>
      <w:r>
        <w:rPr/>
        <w:t>que al no</w:t>
      </w:r>
      <w:r>
        <w:rPr>
          <w:spacing w:val="-15"/>
        </w:rPr>
        <w:t> </w:t>
      </w:r>
      <w:r>
        <w:rPr/>
        <w:t>tomarla</w:t>
      </w:r>
      <w:r>
        <w:rPr>
          <w:spacing w:val="-16"/>
        </w:rPr>
        <w:t> </w:t>
      </w:r>
      <w:r>
        <w:rPr/>
        <w:t>en</w:t>
      </w:r>
      <w:r>
        <w:rPr>
          <w:spacing w:val="-13"/>
        </w:rPr>
        <w:t> </w:t>
      </w:r>
      <w:r>
        <w:rPr/>
        <w:t>cuenta</w:t>
      </w:r>
      <w:r>
        <w:rPr>
          <w:spacing w:val="-16"/>
        </w:rPr>
        <w:t> </w:t>
      </w:r>
      <w:r>
        <w:rPr/>
        <w:t>se</w:t>
      </w:r>
      <w:r>
        <w:rPr>
          <w:spacing w:val="-13"/>
        </w:rPr>
        <w:t> </w:t>
      </w:r>
      <w:r>
        <w:rPr/>
        <w:t>sobre</w:t>
      </w:r>
      <w:r>
        <w:rPr>
          <w:spacing w:val="-17"/>
        </w:rPr>
        <w:t> </w:t>
      </w:r>
      <w:r>
        <w:rPr/>
        <w:t>o</w:t>
      </w:r>
      <w:r>
        <w:rPr>
          <w:spacing w:val="-15"/>
        </w:rPr>
        <w:t> </w:t>
      </w:r>
      <w:r>
        <w:rPr/>
        <w:t>subestima</w:t>
      </w:r>
      <w:r>
        <w:rPr>
          <w:spacing w:val="-15"/>
        </w:rPr>
        <w:t> </w:t>
      </w:r>
      <w:r>
        <w:rPr/>
        <w:t>la</w:t>
      </w:r>
      <w:r>
        <w:rPr>
          <w:spacing w:val="-13"/>
        </w:rPr>
        <w:t> </w:t>
      </w:r>
      <w:r>
        <w:rPr/>
        <w:t>ganancia</w:t>
      </w:r>
      <w:r>
        <w:rPr>
          <w:spacing w:val="-15"/>
        </w:rPr>
        <w:t> </w:t>
      </w:r>
      <w:r>
        <w:rPr/>
        <w:t>neta</w:t>
      </w:r>
      <w:r>
        <w:rPr>
          <w:spacing w:val="-13"/>
        </w:rPr>
        <w:t> </w:t>
      </w:r>
      <w:r>
        <w:rPr/>
        <w:t>por</w:t>
      </w:r>
      <w:r>
        <w:rPr>
          <w:spacing w:val="-16"/>
        </w:rPr>
        <w:t> </w:t>
      </w:r>
      <w:r>
        <w:rPr/>
        <w:t>litro</w:t>
      </w:r>
      <w:r>
        <w:rPr>
          <w:spacing w:val="-15"/>
        </w:rPr>
        <w:t> </w:t>
      </w:r>
      <w:r>
        <w:rPr/>
        <w:t>de</w:t>
      </w:r>
      <w:r>
        <w:rPr>
          <w:spacing w:val="-16"/>
        </w:rPr>
        <w:t> </w:t>
      </w:r>
      <w:r>
        <w:rPr/>
        <w:t>leche</w:t>
      </w:r>
      <w:r>
        <w:rPr>
          <w:spacing w:val="-13"/>
        </w:rPr>
        <w:t> </w:t>
      </w:r>
      <w:r>
        <w:rPr/>
        <w:t>y</w:t>
      </w:r>
      <w:r>
        <w:rPr>
          <w:spacing w:val="-17"/>
        </w:rPr>
        <w:t> </w:t>
      </w:r>
      <w:r>
        <w:rPr/>
        <w:t>la</w:t>
      </w:r>
      <w:r>
        <w:rPr>
          <w:spacing w:val="-13"/>
        </w:rPr>
        <w:t> </w:t>
      </w:r>
      <w:r>
        <w:rPr/>
        <w:t>participación real del sistema lechero de pequeña escala en los márgenes netos de</w:t>
      </w:r>
      <w:r>
        <w:rPr>
          <w:spacing w:val="-14"/>
        </w:rPr>
        <w:t> </w:t>
      </w:r>
      <w:r>
        <w:rPr/>
        <w:t>comercialización.</w:t>
      </w:r>
    </w:p>
    <w:p>
      <w:pPr>
        <w:spacing w:after="0" w:line="360" w:lineRule="auto"/>
        <w:jc w:val="both"/>
        <w:sectPr>
          <w:pgSz w:w="12240" w:h="15840"/>
          <w:pgMar w:header="0" w:footer="657" w:top="1360" w:bottom="840" w:left="1600" w:right="1580"/>
        </w:sectPr>
      </w:pPr>
    </w:p>
    <w:p>
      <w:pPr>
        <w:pStyle w:val="Heading1"/>
        <w:spacing w:before="15"/>
        <w:ind w:left="2708" w:right="2787"/>
        <w:jc w:val="center"/>
        <w:rPr>
          <w:sz w:val="50"/>
        </w:rPr>
      </w:pPr>
      <w:r>
        <w:rPr/>
        <w:t>CAPÍTULO </w:t>
      </w:r>
      <w:r>
        <w:rPr>
          <w:sz w:val="50"/>
        </w:rPr>
        <w:t>7</w:t>
      </w:r>
    </w:p>
    <w:p>
      <w:pPr>
        <w:spacing w:before="200"/>
        <w:ind w:left="2712" w:right="2787" w:firstLine="0"/>
        <w:jc w:val="center"/>
        <w:rPr>
          <w:b/>
          <w:sz w:val="24"/>
        </w:rPr>
      </w:pPr>
      <w:r>
        <w:rPr>
          <w:b/>
          <w:sz w:val="24"/>
        </w:rPr>
        <w:t>CONCLUSIONES GENERALES</w:t>
      </w:r>
    </w:p>
    <w:p>
      <w:pPr>
        <w:pStyle w:val="BodyText"/>
        <w:rPr>
          <w:b/>
        </w:rPr>
      </w:pPr>
    </w:p>
    <w:p>
      <w:pPr>
        <w:pStyle w:val="BodyText"/>
        <w:rPr>
          <w:b/>
        </w:rPr>
      </w:pPr>
    </w:p>
    <w:p>
      <w:pPr>
        <w:pStyle w:val="BodyText"/>
        <w:spacing w:before="5"/>
        <w:rPr>
          <w:b/>
          <w:sz w:val="34"/>
        </w:rPr>
      </w:pPr>
    </w:p>
    <w:p>
      <w:pPr>
        <w:pStyle w:val="ListParagraph"/>
        <w:numPr>
          <w:ilvl w:val="0"/>
          <w:numId w:val="30"/>
        </w:numPr>
        <w:tabs>
          <w:tab w:pos="470" w:val="left" w:leader="none"/>
        </w:tabs>
        <w:spacing w:line="360" w:lineRule="auto" w:before="0" w:after="0"/>
        <w:ind w:left="469" w:right="120" w:hanging="360"/>
        <w:jc w:val="both"/>
        <w:rPr>
          <w:sz w:val="24"/>
        </w:rPr>
      </w:pPr>
      <w:r>
        <w:rPr>
          <w:sz w:val="24"/>
        </w:rPr>
        <w:t>La rentabilidad del sistema lechero de pequeña escala en las tres escalas de productores analizados fue positiva, considerando el escenario real en el que operan los productores de</w:t>
      </w:r>
      <w:r>
        <w:rPr>
          <w:spacing w:val="-7"/>
          <w:sz w:val="24"/>
        </w:rPr>
        <w:t> </w:t>
      </w:r>
      <w:r>
        <w:rPr>
          <w:sz w:val="24"/>
        </w:rPr>
        <w:t>la</w:t>
      </w:r>
      <w:r>
        <w:rPr>
          <w:spacing w:val="-7"/>
          <w:sz w:val="24"/>
        </w:rPr>
        <w:t> </w:t>
      </w:r>
      <w:r>
        <w:rPr>
          <w:sz w:val="24"/>
        </w:rPr>
        <w:t>región</w:t>
      </w:r>
      <w:r>
        <w:rPr>
          <w:spacing w:val="-6"/>
          <w:sz w:val="24"/>
        </w:rPr>
        <w:t> </w:t>
      </w:r>
      <w:r>
        <w:rPr>
          <w:sz w:val="24"/>
        </w:rPr>
        <w:t>estudiada</w:t>
      </w:r>
      <w:r>
        <w:rPr>
          <w:spacing w:val="-7"/>
          <w:sz w:val="24"/>
        </w:rPr>
        <w:t> </w:t>
      </w:r>
      <w:r>
        <w:rPr>
          <w:sz w:val="24"/>
        </w:rPr>
        <w:t>así</w:t>
      </w:r>
      <w:r>
        <w:rPr>
          <w:spacing w:val="-4"/>
          <w:sz w:val="24"/>
        </w:rPr>
        <w:t> </w:t>
      </w:r>
      <w:r>
        <w:rPr>
          <w:sz w:val="24"/>
        </w:rPr>
        <w:t>como</w:t>
      </w:r>
      <w:r>
        <w:rPr>
          <w:spacing w:val="-6"/>
          <w:sz w:val="24"/>
        </w:rPr>
        <w:t> </w:t>
      </w:r>
      <w:r>
        <w:rPr>
          <w:sz w:val="24"/>
        </w:rPr>
        <w:t>el</w:t>
      </w:r>
      <w:r>
        <w:rPr>
          <w:spacing w:val="-6"/>
          <w:sz w:val="24"/>
        </w:rPr>
        <w:t> </w:t>
      </w:r>
      <w:r>
        <w:rPr>
          <w:sz w:val="24"/>
        </w:rPr>
        <w:t>costo</w:t>
      </w:r>
      <w:r>
        <w:rPr>
          <w:spacing w:val="-6"/>
          <w:sz w:val="24"/>
        </w:rPr>
        <w:t> </w:t>
      </w:r>
      <w:r>
        <w:rPr>
          <w:sz w:val="24"/>
        </w:rPr>
        <w:t>de</w:t>
      </w:r>
      <w:r>
        <w:rPr>
          <w:spacing w:val="-7"/>
          <w:sz w:val="24"/>
        </w:rPr>
        <w:t> </w:t>
      </w:r>
      <w:r>
        <w:rPr>
          <w:sz w:val="24"/>
        </w:rPr>
        <w:t>oportunidad</w:t>
      </w:r>
      <w:r>
        <w:rPr>
          <w:spacing w:val="-6"/>
          <w:sz w:val="24"/>
        </w:rPr>
        <w:t> </w:t>
      </w:r>
      <w:r>
        <w:rPr>
          <w:sz w:val="24"/>
        </w:rPr>
        <w:t>de</w:t>
      </w:r>
      <w:r>
        <w:rPr>
          <w:spacing w:val="-7"/>
          <w:sz w:val="24"/>
        </w:rPr>
        <w:t> </w:t>
      </w:r>
      <w:r>
        <w:rPr>
          <w:sz w:val="24"/>
        </w:rPr>
        <w:t>los</w:t>
      </w:r>
      <w:r>
        <w:rPr>
          <w:spacing w:val="-6"/>
          <w:sz w:val="24"/>
        </w:rPr>
        <w:t> </w:t>
      </w:r>
      <w:r>
        <w:rPr>
          <w:sz w:val="24"/>
        </w:rPr>
        <w:t>factores</w:t>
      </w:r>
      <w:r>
        <w:rPr>
          <w:spacing w:val="-6"/>
          <w:sz w:val="24"/>
        </w:rPr>
        <w:t> </w:t>
      </w:r>
      <w:r>
        <w:rPr>
          <w:sz w:val="24"/>
        </w:rPr>
        <w:t>de</w:t>
      </w:r>
      <w:r>
        <w:rPr>
          <w:spacing w:val="-7"/>
          <w:sz w:val="24"/>
        </w:rPr>
        <w:t> </w:t>
      </w:r>
      <w:r>
        <w:rPr>
          <w:sz w:val="24"/>
        </w:rPr>
        <w:t>la</w:t>
      </w:r>
      <w:r>
        <w:rPr>
          <w:spacing w:val="-7"/>
          <w:sz w:val="24"/>
        </w:rPr>
        <w:t> </w:t>
      </w:r>
      <w:r>
        <w:rPr>
          <w:sz w:val="24"/>
        </w:rPr>
        <w:t>producción.</w:t>
      </w:r>
    </w:p>
    <w:p>
      <w:pPr>
        <w:pStyle w:val="BodyText"/>
      </w:pPr>
    </w:p>
    <w:p>
      <w:pPr>
        <w:pStyle w:val="BodyText"/>
        <w:spacing w:before="9"/>
        <w:rPr>
          <w:sz w:val="29"/>
        </w:rPr>
      </w:pPr>
    </w:p>
    <w:p>
      <w:pPr>
        <w:pStyle w:val="ListParagraph"/>
        <w:numPr>
          <w:ilvl w:val="0"/>
          <w:numId w:val="30"/>
        </w:numPr>
        <w:tabs>
          <w:tab w:pos="470" w:val="left" w:leader="none"/>
        </w:tabs>
        <w:spacing w:line="360" w:lineRule="auto" w:before="0" w:after="0"/>
        <w:ind w:left="469" w:right="118" w:hanging="360"/>
        <w:jc w:val="both"/>
        <w:rPr>
          <w:sz w:val="24"/>
        </w:rPr>
      </w:pPr>
      <w:r>
        <w:rPr>
          <w:sz w:val="24"/>
        </w:rPr>
        <w:t>La competitividad del sistema lechero de pequeña escala en las tres escalas de productores analizados fue positiva cuando se consideró el costo de todos los factores internos de la producción, sin embargo, se demostró que los productores del Estrato </w:t>
      </w:r>
      <w:r>
        <w:rPr>
          <w:spacing w:val="-3"/>
          <w:sz w:val="24"/>
        </w:rPr>
        <w:t>I, </w:t>
      </w:r>
      <w:r>
        <w:rPr>
          <w:sz w:val="24"/>
        </w:rPr>
        <w:t>mejoraran su competitividad privada cuando optimizan eficientemente el costo económico de los factores internos, dado que hay un uso intensivo de mano de obra familiar que genera un alto valor agregado en la región. Los productores del Estrato II, aprovechan la venta de leche al menudeo como una estrategia de comercialización para aumentar su competitividad al generar un sobreprecio de dos pesos por litro de leche puesto en el mercado. Finalmente los productores del estrato III, se benefician de una mayor eficiencia técnica en la producción de leche por vaca y la escala de producción para disminuir costos y aumentar su competitividad</w:t>
      </w:r>
      <w:r>
        <w:rPr>
          <w:spacing w:val="-12"/>
          <w:sz w:val="24"/>
        </w:rPr>
        <w:t> </w:t>
      </w:r>
      <w:r>
        <w:rPr>
          <w:sz w:val="24"/>
        </w:rPr>
        <w:t>privada.</w:t>
      </w:r>
    </w:p>
    <w:p>
      <w:pPr>
        <w:pStyle w:val="BodyText"/>
      </w:pPr>
    </w:p>
    <w:p>
      <w:pPr>
        <w:pStyle w:val="BodyText"/>
        <w:spacing w:before="4"/>
        <w:rPr>
          <w:sz w:val="21"/>
        </w:rPr>
      </w:pPr>
    </w:p>
    <w:p>
      <w:pPr>
        <w:pStyle w:val="ListParagraph"/>
        <w:numPr>
          <w:ilvl w:val="0"/>
          <w:numId w:val="30"/>
        </w:numPr>
        <w:tabs>
          <w:tab w:pos="470" w:val="left" w:leader="none"/>
        </w:tabs>
        <w:spacing w:line="360" w:lineRule="auto" w:before="1" w:after="0"/>
        <w:ind w:left="469" w:right="114" w:hanging="360"/>
        <w:jc w:val="both"/>
        <w:rPr>
          <w:sz w:val="24"/>
        </w:rPr>
      </w:pPr>
      <w:r>
        <w:rPr>
          <w:sz w:val="24"/>
        </w:rPr>
        <w:t>El uso de metodologías estocásticas mediante simulación Monte Carlo es una herramienta útil para el análisis prospectivo del sistema lechero de pequeña escala, considerando el análisis de diversos escenarios de riesgo. En este estudio se demostró que el escenario base, el cual considera la producción de insumos para la alimentación del ganado y el empleo mano de obra familiar genera el escenario con la mayor viabilidad económica y financiera, comparado con la contratación de mano de obra, producción de insumos y retiro de los subsidios. La contratación de mano de obra y el retiro de los subsidios no presentaron un efecto significativo en la viabilidad</w:t>
      </w:r>
      <w:r>
        <w:rPr>
          <w:spacing w:val="-24"/>
          <w:sz w:val="24"/>
        </w:rPr>
        <w:t> </w:t>
      </w:r>
      <w:r>
        <w:rPr>
          <w:sz w:val="24"/>
        </w:rPr>
        <w:t>económica y financiera durante el horizonte de planeación analizado. De las cuatro variables analizadas,  la producción de insumos  fue la de  mayor  grado de riesgo,  su  compra </w:t>
      </w:r>
      <w:r>
        <w:rPr>
          <w:spacing w:val="5"/>
          <w:sz w:val="24"/>
        </w:rPr>
        <w:t> </w:t>
      </w:r>
      <w:r>
        <w:rPr>
          <w:sz w:val="24"/>
        </w:rPr>
        <w:t>y</w:t>
      </w:r>
    </w:p>
    <w:p>
      <w:pPr>
        <w:spacing w:after="0" w:line="360" w:lineRule="auto"/>
        <w:jc w:val="both"/>
        <w:rPr>
          <w:sz w:val="24"/>
        </w:rPr>
        <w:sectPr>
          <w:pgSz w:w="12240" w:h="15840"/>
          <w:pgMar w:header="0" w:footer="657" w:top="1400" w:bottom="840" w:left="1660" w:right="1580"/>
        </w:sectPr>
      </w:pPr>
    </w:p>
    <w:p>
      <w:pPr>
        <w:pStyle w:val="BodyText"/>
        <w:spacing w:line="362" w:lineRule="auto" w:before="50"/>
        <w:ind w:left="469" w:right="120"/>
      </w:pPr>
      <w:r>
        <w:rPr/>
        <w:t>dependencia hace inviable económica y financieramente a los productores de la URP8 en el largo plazo.</w:t>
      </w:r>
    </w:p>
    <w:p>
      <w:pPr>
        <w:pStyle w:val="BodyText"/>
      </w:pPr>
    </w:p>
    <w:p>
      <w:pPr>
        <w:pStyle w:val="BodyText"/>
        <w:spacing w:before="2"/>
        <w:rPr>
          <w:sz w:val="21"/>
        </w:rPr>
      </w:pPr>
    </w:p>
    <w:p>
      <w:pPr>
        <w:pStyle w:val="ListParagraph"/>
        <w:numPr>
          <w:ilvl w:val="0"/>
          <w:numId w:val="30"/>
        </w:numPr>
        <w:tabs>
          <w:tab w:pos="470" w:val="left" w:leader="none"/>
        </w:tabs>
        <w:spacing w:line="360" w:lineRule="auto" w:before="0" w:after="0"/>
        <w:ind w:left="469" w:right="116" w:hanging="360"/>
        <w:jc w:val="both"/>
        <w:rPr>
          <w:sz w:val="24"/>
        </w:rPr>
      </w:pPr>
      <w:r>
        <w:rPr>
          <w:sz w:val="24"/>
        </w:rPr>
        <w:t>Los resultados muestran que los eslabones de producción de insumos, producción de leche, transformación y distribución son rentables y presentan ventaja comparativa, su rentabilidad</w:t>
      </w:r>
      <w:r>
        <w:rPr>
          <w:spacing w:val="-1"/>
          <w:sz w:val="24"/>
        </w:rPr>
        <w:t> </w:t>
      </w:r>
      <w:r>
        <w:rPr>
          <w:sz w:val="24"/>
        </w:rPr>
        <w:t>y</w:t>
      </w:r>
      <w:r>
        <w:rPr>
          <w:spacing w:val="-11"/>
          <w:sz w:val="24"/>
        </w:rPr>
        <w:t> </w:t>
      </w:r>
      <w:r>
        <w:rPr>
          <w:sz w:val="24"/>
        </w:rPr>
        <w:t>competitividad</w:t>
      </w:r>
      <w:r>
        <w:rPr>
          <w:spacing w:val="-7"/>
          <w:sz w:val="24"/>
        </w:rPr>
        <w:t> </w:t>
      </w:r>
      <w:r>
        <w:rPr>
          <w:sz w:val="24"/>
        </w:rPr>
        <w:t>privada</w:t>
      </w:r>
      <w:r>
        <w:rPr>
          <w:spacing w:val="-5"/>
          <w:sz w:val="24"/>
        </w:rPr>
        <w:t> </w:t>
      </w:r>
      <w:r>
        <w:rPr>
          <w:sz w:val="24"/>
        </w:rPr>
        <w:t>fue</w:t>
      </w:r>
      <w:r>
        <w:rPr>
          <w:spacing w:val="-8"/>
          <w:sz w:val="24"/>
        </w:rPr>
        <w:t> </w:t>
      </w:r>
      <w:r>
        <w:rPr>
          <w:sz w:val="24"/>
        </w:rPr>
        <w:t>positiva</w:t>
      </w:r>
      <w:r>
        <w:rPr>
          <w:spacing w:val="-5"/>
          <w:sz w:val="24"/>
        </w:rPr>
        <w:t> </w:t>
      </w:r>
      <w:r>
        <w:rPr>
          <w:sz w:val="24"/>
        </w:rPr>
        <w:t>cuando</w:t>
      </w:r>
      <w:r>
        <w:rPr>
          <w:spacing w:val="-6"/>
          <w:sz w:val="24"/>
        </w:rPr>
        <w:t> </w:t>
      </w:r>
      <w:r>
        <w:rPr>
          <w:sz w:val="24"/>
        </w:rPr>
        <w:t>se</w:t>
      </w:r>
      <w:r>
        <w:rPr>
          <w:spacing w:val="-5"/>
          <w:sz w:val="24"/>
        </w:rPr>
        <w:t> </w:t>
      </w:r>
      <w:r>
        <w:rPr>
          <w:sz w:val="24"/>
        </w:rPr>
        <w:t>consideró</w:t>
      </w:r>
      <w:r>
        <w:rPr>
          <w:spacing w:val="-5"/>
          <w:sz w:val="24"/>
        </w:rPr>
        <w:t> </w:t>
      </w:r>
      <w:r>
        <w:rPr>
          <w:sz w:val="24"/>
        </w:rPr>
        <w:t>el</w:t>
      </w:r>
      <w:r>
        <w:rPr>
          <w:spacing w:val="-6"/>
          <w:sz w:val="24"/>
        </w:rPr>
        <w:t> </w:t>
      </w:r>
      <w:r>
        <w:rPr>
          <w:sz w:val="24"/>
        </w:rPr>
        <w:t>costo</w:t>
      </w:r>
      <w:r>
        <w:rPr>
          <w:spacing w:val="-6"/>
          <w:sz w:val="24"/>
        </w:rPr>
        <w:t> </w:t>
      </w:r>
      <w:r>
        <w:rPr>
          <w:sz w:val="24"/>
        </w:rPr>
        <w:t>de</w:t>
      </w:r>
      <w:r>
        <w:rPr>
          <w:spacing w:val="-7"/>
          <w:sz w:val="24"/>
        </w:rPr>
        <w:t> </w:t>
      </w:r>
      <w:r>
        <w:rPr>
          <w:sz w:val="24"/>
        </w:rPr>
        <w:t>todos los factores de producción. Los márgenes de comercialización encontrados demuestran que</w:t>
      </w:r>
      <w:r>
        <w:rPr>
          <w:spacing w:val="-5"/>
          <w:sz w:val="24"/>
        </w:rPr>
        <w:t> </w:t>
      </w:r>
      <w:r>
        <w:rPr>
          <w:sz w:val="24"/>
        </w:rPr>
        <w:t>la</w:t>
      </w:r>
      <w:r>
        <w:rPr>
          <w:spacing w:val="-4"/>
          <w:sz w:val="24"/>
        </w:rPr>
        <w:t> </w:t>
      </w:r>
      <w:r>
        <w:rPr>
          <w:sz w:val="24"/>
        </w:rPr>
        <w:t>actividad</w:t>
      </w:r>
      <w:r>
        <w:rPr>
          <w:spacing w:val="-4"/>
          <w:sz w:val="24"/>
        </w:rPr>
        <w:t> </w:t>
      </w:r>
      <w:r>
        <w:rPr>
          <w:sz w:val="24"/>
        </w:rPr>
        <w:t>del</w:t>
      </w:r>
      <w:r>
        <w:rPr>
          <w:spacing w:val="-3"/>
          <w:sz w:val="24"/>
        </w:rPr>
        <w:t> </w:t>
      </w:r>
      <w:r>
        <w:rPr>
          <w:sz w:val="24"/>
        </w:rPr>
        <w:t>sistema</w:t>
      </w:r>
      <w:r>
        <w:rPr>
          <w:spacing w:val="-5"/>
          <w:sz w:val="24"/>
        </w:rPr>
        <w:t> </w:t>
      </w:r>
      <w:r>
        <w:rPr>
          <w:sz w:val="24"/>
        </w:rPr>
        <w:t>lechero</w:t>
      </w:r>
      <w:r>
        <w:rPr>
          <w:spacing w:val="-5"/>
          <w:sz w:val="24"/>
        </w:rPr>
        <w:t> </w:t>
      </w:r>
      <w:r>
        <w:rPr>
          <w:sz w:val="24"/>
        </w:rPr>
        <w:t>de</w:t>
      </w:r>
      <w:r>
        <w:rPr>
          <w:spacing w:val="-5"/>
          <w:sz w:val="24"/>
        </w:rPr>
        <w:t> </w:t>
      </w:r>
      <w:r>
        <w:rPr>
          <w:sz w:val="24"/>
        </w:rPr>
        <w:t>pequeña</w:t>
      </w:r>
      <w:r>
        <w:rPr>
          <w:spacing w:val="-5"/>
          <w:sz w:val="24"/>
        </w:rPr>
        <w:t> </w:t>
      </w:r>
      <w:r>
        <w:rPr>
          <w:sz w:val="24"/>
        </w:rPr>
        <w:t>escala,</w:t>
      </w:r>
      <w:r>
        <w:rPr>
          <w:spacing w:val="-4"/>
          <w:sz w:val="24"/>
        </w:rPr>
        <w:t> </w:t>
      </w:r>
      <w:r>
        <w:rPr>
          <w:sz w:val="24"/>
        </w:rPr>
        <w:t>la</w:t>
      </w:r>
      <w:r>
        <w:rPr>
          <w:spacing w:val="-4"/>
          <w:sz w:val="24"/>
        </w:rPr>
        <w:t> </w:t>
      </w:r>
      <w:r>
        <w:rPr>
          <w:sz w:val="24"/>
        </w:rPr>
        <w:t>agroindustria,</w:t>
      </w:r>
      <w:r>
        <w:rPr>
          <w:spacing w:val="1"/>
          <w:sz w:val="24"/>
        </w:rPr>
        <w:t> </w:t>
      </w:r>
      <w:r>
        <w:rPr>
          <w:sz w:val="24"/>
        </w:rPr>
        <w:t>y</w:t>
      </w:r>
      <w:r>
        <w:rPr>
          <w:spacing w:val="-9"/>
          <w:sz w:val="24"/>
        </w:rPr>
        <w:t> </w:t>
      </w:r>
      <w:r>
        <w:rPr>
          <w:sz w:val="24"/>
        </w:rPr>
        <w:t>distribuidores es redituable. La producción de insumos es una variable fundamental que está asociada directamente con la competitividad y el margen de ganancia real del eslabón de producción de</w:t>
      </w:r>
      <w:r>
        <w:rPr>
          <w:spacing w:val="-5"/>
          <w:sz w:val="24"/>
        </w:rPr>
        <w:t> </w:t>
      </w:r>
      <w:r>
        <w:rPr>
          <w:sz w:val="24"/>
        </w:rPr>
        <w:t>leche.</w:t>
      </w:r>
    </w:p>
    <w:p>
      <w:pPr>
        <w:spacing w:after="0" w:line="360" w:lineRule="auto"/>
        <w:jc w:val="both"/>
        <w:rPr>
          <w:sz w:val="24"/>
        </w:rPr>
        <w:sectPr>
          <w:pgSz w:w="12240" w:h="15840"/>
          <w:pgMar w:header="0" w:footer="657" w:top="1360" w:bottom="840" w:left="1660" w:right="1580"/>
        </w:sectPr>
      </w:pPr>
    </w:p>
    <w:p>
      <w:pPr>
        <w:pStyle w:val="Heading1"/>
        <w:jc w:val="left"/>
      </w:pPr>
      <w:r>
        <w:rPr/>
        <w:t>LITERATURA CITADA</w:t>
      </w:r>
    </w:p>
    <w:p>
      <w:pPr>
        <w:pStyle w:val="BodyText"/>
        <w:rPr>
          <w:b/>
        </w:rPr>
      </w:pPr>
    </w:p>
    <w:p>
      <w:pPr>
        <w:pStyle w:val="BodyText"/>
        <w:rPr>
          <w:b/>
        </w:rPr>
      </w:pPr>
    </w:p>
    <w:p>
      <w:pPr>
        <w:pStyle w:val="BodyText"/>
        <w:spacing w:line="360" w:lineRule="auto" w:before="197"/>
        <w:ind w:left="1167" w:right="122" w:hanging="708"/>
        <w:jc w:val="both"/>
      </w:pPr>
      <w:r>
        <w:rPr/>
        <w:t>Abarzúa, I.N. 2005. Capital humano: Su definición y alcances en el desarrollo local y regional. Archivos Analíticos de Políticas Educativas, 13 (35). En: </w:t>
      </w:r>
      <w:hyperlink r:id="rId204">
        <w:r>
          <w:rPr>
            <w:u w:val="single"/>
          </w:rPr>
          <w:t>http://epaa.asu.edu/epaa/v13n35</w:t>
        </w:r>
      </w:hyperlink>
      <w:r>
        <w:rPr/>
        <w:t>.7.</w:t>
      </w:r>
    </w:p>
    <w:p>
      <w:pPr>
        <w:pStyle w:val="BodyText"/>
        <w:rPr>
          <w:sz w:val="20"/>
        </w:rPr>
      </w:pPr>
    </w:p>
    <w:p>
      <w:pPr>
        <w:pStyle w:val="BodyText"/>
        <w:spacing w:line="360" w:lineRule="auto" w:before="189"/>
        <w:ind w:left="1167" w:right="117" w:hanging="708"/>
        <w:jc w:val="both"/>
      </w:pPr>
      <w:r>
        <w:rPr/>
        <w:t>Abdel, M.G., y Romo, M.D. 2004. Sobre el concepto de</w:t>
      </w:r>
      <w:r>
        <w:rPr>
          <w:spacing w:val="-42"/>
        </w:rPr>
        <w:t> </w:t>
      </w:r>
      <w:r>
        <w:rPr/>
        <w:t>competitividad. Documentos de Trabajo en Estudios de Competitividad 04-01. Centro de Estudios de Competitividad Ciudad de México.</w:t>
      </w:r>
      <w:r>
        <w:rPr>
          <w:spacing w:val="-6"/>
        </w:rPr>
        <w:t> </w:t>
      </w:r>
      <w:hyperlink r:id="rId205">
        <w:r>
          <w:rPr>
            <w:u w:val="single"/>
          </w:rPr>
          <w:t>http://cec.itam.mx</w:t>
        </w:r>
      </w:hyperlink>
      <w:r>
        <w:rPr/>
        <w:t>.</w:t>
      </w:r>
    </w:p>
    <w:p>
      <w:pPr>
        <w:pStyle w:val="BodyText"/>
        <w:rPr>
          <w:sz w:val="20"/>
        </w:rPr>
      </w:pPr>
    </w:p>
    <w:p>
      <w:pPr>
        <w:pStyle w:val="BodyText"/>
        <w:spacing w:before="189"/>
        <w:ind w:left="459"/>
      </w:pPr>
      <w:r>
        <w:rPr/>
        <w:t>Aditto, S. 2011. Risk analysis of smallholder farmers in central and north-east Thailand.</w:t>
      </w:r>
    </w:p>
    <w:p>
      <w:pPr>
        <w:pStyle w:val="BodyText"/>
        <w:spacing w:before="137"/>
        <w:ind w:left="1167"/>
      </w:pPr>
      <w:r>
        <w:rPr/>
        <w:t>Tesis de Doctorado en Economía Agrícola. Lincoln University.</w:t>
      </w:r>
    </w:p>
    <w:p>
      <w:pPr>
        <w:pStyle w:val="BodyText"/>
      </w:pPr>
    </w:p>
    <w:p>
      <w:pPr>
        <w:pStyle w:val="BodyText"/>
      </w:pPr>
    </w:p>
    <w:p>
      <w:pPr>
        <w:pStyle w:val="BodyText"/>
        <w:spacing w:line="360" w:lineRule="auto"/>
        <w:ind w:left="1167" w:right="117" w:hanging="708"/>
        <w:jc w:val="both"/>
      </w:pPr>
      <w:r>
        <w:rPr/>
        <w:t>Almaraz, L. E. 2010. Cuestiones notables de ordenación estocástica en optimación financiera. Tesis de Doctorado en Métodos Estadístico Matemáticos y Computacionales. Universidad Complutense de Madrid Facultad de Ciencias Matemáticas, Departamento de Estadística e Investigación Operativa para el Tratamiento de la Información.</w:t>
      </w:r>
    </w:p>
    <w:p>
      <w:pPr>
        <w:pStyle w:val="BodyText"/>
      </w:pPr>
    </w:p>
    <w:p>
      <w:pPr>
        <w:pStyle w:val="BodyText"/>
        <w:spacing w:before="8"/>
      </w:pPr>
    </w:p>
    <w:p>
      <w:pPr>
        <w:pStyle w:val="BodyText"/>
        <w:spacing w:line="360" w:lineRule="auto"/>
        <w:ind w:left="1167" w:right="120" w:hanging="708"/>
        <w:jc w:val="both"/>
      </w:pPr>
      <w:r>
        <w:rPr/>
        <w:t>Altenburg, T., Wolfgang, H., and &amp; Jörg, M.S. 1998. “Building Systemic Competitiveness. Concept and Case Studies from Mexico, Brazil, Paraguay, Korea and Thailand”. En: Reports and Working Papers of the German Development Institute, No 3 Berlin.</w:t>
      </w:r>
    </w:p>
    <w:p>
      <w:pPr>
        <w:pStyle w:val="BodyText"/>
        <w:spacing w:before="9"/>
      </w:pPr>
    </w:p>
    <w:p>
      <w:pPr>
        <w:pStyle w:val="BodyText"/>
        <w:spacing w:line="360" w:lineRule="auto"/>
        <w:ind w:left="1167" w:right="118" w:hanging="708"/>
        <w:jc w:val="both"/>
      </w:pPr>
      <w:r>
        <w:rPr/>
        <w:t>Cal,</w:t>
      </w:r>
      <w:r>
        <w:rPr>
          <w:spacing w:val="-13"/>
        </w:rPr>
        <w:t> </w:t>
      </w:r>
      <w:r>
        <w:rPr/>
        <w:t>G.J.,</w:t>
      </w:r>
      <w:r>
        <w:rPr>
          <w:spacing w:val="-11"/>
        </w:rPr>
        <w:t> </w:t>
      </w:r>
      <w:r>
        <w:rPr/>
        <w:t>y</w:t>
      </w:r>
      <w:r>
        <w:rPr>
          <w:spacing w:val="-21"/>
        </w:rPr>
        <w:t> </w:t>
      </w:r>
      <w:r>
        <w:rPr/>
        <w:t>Udías,</w:t>
      </w:r>
      <w:r>
        <w:rPr>
          <w:spacing w:val="-13"/>
        </w:rPr>
        <w:t> </w:t>
      </w:r>
      <w:r>
        <w:rPr/>
        <w:t>M.J.M.</w:t>
      </w:r>
      <w:r>
        <w:rPr>
          <w:spacing w:val="-13"/>
        </w:rPr>
        <w:t> </w:t>
      </w:r>
      <w:r>
        <w:rPr/>
        <w:t>2010.</w:t>
      </w:r>
      <w:r>
        <w:rPr>
          <w:spacing w:val="-13"/>
        </w:rPr>
        <w:t> </w:t>
      </w:r>
      <w:r>
        <w:rPr/>
        <w:t>Aplicación</w:t>
      </w:r>
      <w:r>
        <w:rPr>
          <w:spacing w:val="-13"/>
        </w:rPr>
        <w:t> </w:t>
      </w:r>
      <w:r>
        <w:rPr/>
        <w:t>de</w:t>
      </w:r>
      <w:r>
        <w:rPr>
          <w:spacing w:val="-14"/>
        </w:rPr>
        <w:t> </w:t>
      </w:r>
      <w:r>
        <w:rPr/>
        <w:t>Simulaciones</w:t>
      </w:r>
      <w:r>
        <w:rPr>
          <w:spacing w:val="-14"/>
        </w:rPr>
        <w:t> </w:t>
      </w:r>
      <w:r>
        <w:rPr/>
        <w:t>Monte</w:t>
      </w:r>
      <w:r>
        <w:rPr>
          <w:spacing w:val="-14"/>
        </w:rPr>
        <w:t> </w:t>
      </w:r>
      <w:r>
        <w:rPr/>
        <w:t>Carlo</w:t>
      </w:r>
      <w:r>
        <w:rPr>
          <w:spacing w:val="-11"/>
        </w:rPr>
        <w:t> </w:t>
      </w:r>
      <w:r>
        <w:rPr/>
        <w:t>para</w:t>
      </w:r>
      <w:r>
        <w:rPr>
          <w:spacing w:val="-15"/>
        </w:rPr>
        <w:t> </w:t>
      </w:r>
      <w:r>
        <w:rPr/>
        <w:t>el</w:t>
      </w:r>
      <w:r>
        <w:rPr>
          <w:spacing w:val="-11"/>
        </w:rPr>
        <w:t> </w:t>
      </w:r>
      <w:r>
        <w:rPr/>
        <w:t>análisis de</w:t>
      </w:r>
      <w:r>
        <w:rPr>
          <w:spacing w:val="-5"/>
        </w:rPr>
        <w:t> </w:t>
      </w:r>
      <w:r>
        <w:rPr/>
        <w:t>información</w:t>
      </w:r>
      <w:r>
        <w:rPr>
          <w:spacing w:val="-3"/>
        </w:rPr>
        <w:t> </w:t>
      </w:r>
      <w:r>
        <w:rPr/>
        <w:t>CT</w:t>
      </w:r>
      <w:r>
        <w:rPr>
          <w:spacing w:val="-1"/>
        </w:rPr>
        <w:t> </w:t>
      </w:r>
      <w:r>
        <w:rPr/>
        <w:t>y</w:t>
      </w:r>
      <w:r>
        <w:rPr>
          <w:spacing w:val="-11"/>
        </w:rPr>
        <w:t> </w:t>
      </w:r>
      <w:r>
        <w:rPr/>
        <w:t>su</w:t>
      </w:r>
      <w:r>
        <w:rPr>
          <w:spacing w:val="-4"/>
        </w:rPr>
        <w:t> </w:t>
      </w:r>
      <w:r>
        <w:rPr/>
        <w:t>uso</w:t>
      </w:r>
      <w:r>
        <w:rPr>
          <w:spacing w:val="-4"/>
        </w:rPr>
        <w:t> </w:t>
      </w:r>
      <w:r>
        <w:rPr/>
        <w:t>en</w:t>
      </w:r>
      <w:r>
        <w:rPr>
          <w:spacing w:val="-4"/>
        </w:rPr>
        <w:t> </w:t>
      </w:r>
      <w:r>
        <w:rPr/>
        <w:t>PET</w:t>
      </w:r>
      <w:r>
        <w:rPr>
          <w:spacing w:val="-1"/>
        </w:rPr>
        <w:t> </w:t>
      </w:r>
      <w:r>
        <w:rPr/>
        <w:t>y</w:t>
      </w:r>
      <w:r>
        <w:rPr>
          <w:spacing w:val="-12"/>
        </w:rPr>
        <w:t> </w:t>
      </w:r>
      <w:r>
        <w:rPr/>
        <w:t>Dosimetría.</w:t>
      </w:r>
      <w:r>
        <w:rPr>
          <w:spacing w:val="-1"/>
        </w:rPr>
        <w:t> </w:t>
      </w:r>
      <w:r>
        <w:rPr/>
        <w:t>Memoria</w:t>
      </w:r>
      <w:r>
        <w:rPr>
          <w:spacing w:val="-5"/>
        </w:rPr>
        <w:t> </w:t>
      </w:r>
      <w:r>
        <w:rPr/>
        <w:t>para</w:t>
      </w:r>
      <w:r>
        <w:rPr>
          <w:spacing w:val="-6"/>
        </w:rPr>
        <w:t> </w:t>
      </w:r>
      <w:r>
        <w:rPr/>
        <w:t>la</w:t>
      </w:r>
      <w:r>
        <w:rPr>
          <w:spacing w:val="-4"/>
        </w:rPr>
        <w:t> </w:t>
      </w:r>
      <w:r>
        <w:rPr/>
        <w:t>obtención</w:t>
      </w:r>
      <w:r>
        <w:rPr>
          <w:spacing w:val="-4"/>
        </w:rPr>
        <w:t> </w:t>
      </w:r>
      <w:r>
        <w:rPr/>
        <w:t>del Diploma de Estudios Avanzados. Universidad Complutense de Madrid Facultad de Ciencias Físicas Dpto. de Física Atómica, Molecular y</w:t>
      </w:r>
      <w:r>
        <w:rPr>
          <w:spacing w:val="-11"/>
        </w:rPr>
        <w:t> </w:t>
      </w:r>
      <w:r>
        <w:rPr/>
        <w:t>Nuclear.</w:t>
      </w:r>
    </w:p>
    <w:p>
      <w:pPr>
        <w:pStyle w:val="BodyText"/>
      </w:pPr>
    </w:p>
    <w:p>
      <w:pPr>
        <w:pStyle w:val="BodyText"/>
        <w:spacing w:line="360" w:lineRule="auto" w:before="143"/>
        <w:ind w:left="1167" w:right="122" w:hanging="708"/>
        <w:jc w:val="both"/>
      </w:pPr>
      <w:r>
        <w:rPr/>
        <w:t>Cervantes, E.F, y Cesín, V.A. 2007. La pequeña lechería rural o urbana en México y su papel en el amortiguamiento de la pobreza. Unell. Cien. Tec, 25: 72-85.</w:t>
      </w:r>
    </w:p>
    <w:p>
      <w:pPr>
        <w:spacing w:after="0" w:line="360" w:lineRule="auto"/>
        <w:jc w:val="both"/>
        <w:sectPr>
          <w:pgSz w:w="12240" w:h="15840"/>
          <w:pgMar w:header="0" w:footer="657" w:top="1360" w:bottom="840" w:left="1600" w:right="1580"/>
        </w:sectPr>
      </w:pPr>
    </w:p>
    <w:p>
      <w:pPr>
        <w:pStyle w:val="BodyText"/>
        <w:spacing w:before="50"/>
        <w:ind w:left="399" w:right="120"/>
      </w:pPr>
      <w:r>
        <w:rPr/>
        <w:t>Cochran, W.G. 1984. Técnicas de muestreo. Ed. CECSA, México, DF. 153 p.</w:t>
      </w:r>
    </w:p>
    <w:p>
      <w:pPr>
        <w:pStyle w:val="BodyText"/>
      </w:pPr>
    </w:p>
    <w:p>
      <w:pPr>
        <w:pStyle w:val="BodyText"/>
        <w:spacing w:line="360" w:lineRule="auto" w:before="144"/>
        <w:ind w:left="1107" w:right="117" w:hanging="708"/>
        <w:jc w:val="both"/>
      </w:pPr>
      <w:r>
        <w:rPr/>
        <w:t>Cuevas, R.V., Espinosa, G.J.A., Flores, M.A.B., Romero, S.F., Vélez, I.A., Jolalpa, B.J.L.,</w:t>
      </w:r>
      <w:r>
        <w:rPr>
          <w:spacing w:val="-12"/>
        </w:rPr>
        <w:t> </w:t>
      </w:r>
      <w:r>
        <w:rPr/>
        <w:t>Vázquez,</w:t>
      </w:r>
      <w:r>
        <w:rPr>
          <w:spacing w:val="-12"/>
        </w:rPr>
        <w:t> </w:t>
      </w:r>
      <w:r>
        <w:rPr/>
        <w:t>G.R.</w:t>
      </w:r>
      <w:r>
        <w:rPr>
          <w:spacing w:val="-12"/>
        </w:rPr>
        <w:t> </w:t>
      </w:r>
      <w:r>
        <w:rPr/>
        <w:t>2007.</w:t>
      </w:r>
      <w:r>
        <w:rPr>
          <w:spacing w:val="-12"/>
        </w:rPr>
        <w:t> </w:t>
      </w:r>
      <w:r>
        <w:rPr/>
        <w:t>Diagnóstico</w:t>
      </w:r>
      <w:r>
        <w:rPr>
          <w:spacing w:val="-13"/>
        </w:rPr>
        <w:t> </w:t>
      </w:r>
      <w:r>
        <w:rPr/>
        <w:t>de</w:t>
      </w:r>
      <w:r>
        <w:rPr>
          <w:spacing w:val="-13"/>
        </w:rPr>
        <w:t> </w:t>
      </w:r>
      <w:r>
        <w:rPr/>
        <w:t>la</w:t>
      </w:r>
      <w:r>
        <w:rPr>
          <w:spacing w:val="-11"/>
        </w:rPr>
        <w:t> </w:t>
      </w:r>
      <w:r>
        <w:rPr/>
        <w:t>cadena</w:t>
      </w:r>
      <w:r>
        <w:rPr>
          <w:spacing w:val="-13"/>
        </w:rPr>
        <w:t> </w:t>
      </w:r>
      <w:r>
        <w:rPr/>
        <w:t>productiva</w:t>
      </w:r>
      <w:r>
        <w:rPr>
          <w:spacing w:val="-9"/>
        </w:rPr>
        <w:t> </w:t>
      </w:r>
      <w:r>
        <w:rPr/>
        <w:t>de</w:t>
      </w:r>
      <w:r>
        <w:rPr>
          <w:spacing w:val="-13"/>
        </w:rPr>
        <w:t> </w:t>
      </w:r>
      <w:r>
        <w:rPr/>
        <w:t>leche</w:t>
      </w:r>
      <w:r>
        <w:rPr>
          <w:spacing w:val="-11"/>
        </w:rPr>
        <w:t> </w:t>
      </w:r>
      <w:r>
        <w:rPr/>
        <w:t>de</w:t>
      </w:r>
      <w:r>
        <w:rPr>
          <w:spacing w:val="-13"/>
        </w:rPr>
        <w:t> </w:t>
      </w:r>
      <w:r>
        <w:rPr/>
        <w:t>vaca en el estado de Hidalgo. Técnica Pecuaria de México, 45:</w:t>
      </w:r>
      <w:r>
        <w:rPr>
          <w:spacing w:val="-10"/>
        </w:rPr>
        <w:t> </w:t>
      </w:r>
      <w:r>
        <w:rPr/>
        <w:t>25-40.</w:t>
      </w:r>
    </w:p>
    <w:p>
      <w:pPr>
        <w:pStyle w:val="BodyText"/>
        <w:spacing w:before="8"/>
      </w:pPr>
    </w:p>
    <w:p>
      <w:pPr>
        <w:pStyle w:val="BodyText"/>
        <w:spacing w:line="360" w:lineRule="auto"/>
        <w:ind w:left="1107" w:right="119" w:hanging="708"/>
        <w:jc w:val="both"/>
      </w:pPr>
      <w:r>
        <w:rPr/>
        <w:t>Danielle, M.B. 2008. Economic feasibility of ethanol production from sweet sorghum juice</w:t>
      </w:r>
      <w:r>
        <w:rPr>
          <w:spacing w:val="-8"/>
        </w:rPr>
        <w:t> </w:t>
      </w:r>
      <w:r>
        <w:rPr/>
        <w:t>in</w:t>
      </w:r>
      <w:r>
        <w:rPr>
          <w:spacing w:val="-7"/>
        </w:rPr>
        <w:t> </w:t>
      </w:r>
      <w:r>
        <w:rPr/>
        <w:t>Texas.</w:t>
      </w:r>
      <w:r>
        <w:rPr>
          <w:spacing w:val="-9"/>
        </w:rPr>
        <w:t> </w:t>
      </w:r>
      <w:r>
        <w:rPr/>
        <w:t>Tesis</w:t>
      </w:r>
      <w:r>
        <w:rPr>
          <w:spacing w:val="-7"/>
        </w:rPr>
        <w:t> </w:t>
      </w:r>
      <w:r>
        <w:rPr/>
        <w:t>de</w:t>
      </w:r>
      <w:r>
        <w:rPr>
          <w:spacing w:val="-11"/>
        </w:rPr>
        <w:t> </w:t>
      </w:r>
      <w:r>
        <w:rPr/>
        <w:t>Maestría</w:t>
      </w:r>
      <w:r>
        <w:rPr>
          <w:spacing w:val="-8"/>
        </w:rPr>
        <w:t> </w:t>
      </w:r>
      <w:r>
        <w:rPr/>
        <w:t>en</w:t>
      </w:r>
      <w:r>
        <w:rPr>
          <w:spacing w:val="-7"/>
        </w:rPr>
        <w:t> </w:t>
      </w:r>
      <w:r>
        <w:rPr/>
        <w:t>Economía</w:t>
      </w:r>
      <w:r>
        <w:rPr>
          <w:spacing w:val="-8"/>
        </w:rPr>
        <w:t> </w:t>
      </w:r>
      <w:r>
        <w:rPr/>
        <w:t>Agrícola.</w:t>
      </w:r>
      <w:r>
        <w:rPr>
          <w:spacing w:val="-7"/>
        </w:rPr>
        <w:t> </w:t>
      </w:r>
      <w:r>
        <w:rPr/>
        <w:t>Texas</w:t>
      </w:r>
      <w:r>
        <w:rPr>
          <w:spacing w:val="-7"/>
        </w:rPr>
        <w:t> </w:t>
      </w:r>
      <w:r>
        <w:rPr/>
        <w:t>A&amp;M</w:t>
      </w:r>
      <w:r>
        <w:rPr>
          <w:spacing w:val="-7"/>
        </w:rPr>
        <w:t> </w:t>
      </w:r>
      <w:r>
        <w:rPr/>
        <w:t>University.</w:t>
      </w:r>
    </w:p>
    <w:p>
      <w:pPr>
        <w:pStyle w:val="BodyText"/>
      </w:pPr>
    </w:p>
    <w:p>
      <w:pPr>
        <w:pStyle w:val="BodyText"/>
        <w:spacing w:line="360" w:lineRule="auto" w:before="143"/>
        <w:ind w:left="1107" w:right="120" w:hanging="708"/>
        <w:jc w:val="both"/>
      </w:pPr>
      <w:r>
        <w:rPr/>
        <w:t>Duffy, P.A., Richardson, J.W., Smith, E.G. 1986. Effects of alternative farm programs and levels of price variability on Texas cotton farms. Southern Journal of Agricultural Economics. 97-106.</w:t>
      </w:r>
    </w:p>
    <w:p>
      <w:pPr>
        <w:pStyle w:val="BodyText"/>
      </w:pPr>
    </w:p>
    <w:p>
      <w:pPr>
        <w:pStyle w:val="BodyText"/>
        <w:spacing w:line="360" w:lineRule="auto" w:before="143"/>
        <w:ind w:left="1107" w:right="116" w:hanging="708"/>
        <w:jc w:val="both"/>
      </w:pPr>
      <w:r>
        <w:rPr/>
        <w:t>Espinosa, O.V.E., Rivera H.G., García H.L.A. 2008. Los canales y márgenes de comercialización de la leche cruda producida en sistema familiar (estudio de caso). Revista Veterinaria México, 39: 1-16.</w:t>
      </w:r>
    </w:p>
    <w:p>
      <w:pPr>
        <w:pStyle w:val="BodyText"/>
      </w:pPr>
    </w:p>
    <w:p>
      <w:pPr>
        <w:pStyle w:val="BodyText"/>
        <w:spacing w:line="360" w:lineRule="auto" w:before="143"/>
        <w:ind w:left="1107" w:right="123" w:hanging="708"/>
        <w:jc w:val="both"/>
      </w:pPr>
      <w:r>
        <w:rPr/>
        <w:t>Fideicomiso del Riesgo Compartido (FIRCO). 2008. Estrategias para aumentar la competitividad de la cadena productiva de leche en México. 89 p.</w:t>
      </w:r>
    </w:p>
    <w:p>
      <w:pPr>
        <w:pStyle w:val="BodyText"/>
        <w:spacing w:before="6"/>
      </w:pPr>
    </w:p>
    <w:p>
      <w:pPr>
        <w:pStyle w:val="BodyText"/>
        <w:spacing w:line="360" w:lineRule="auto"/>
        <w:ind w:left="1107" w:right="115" w:hanging="708"/>
        <w:jc w:val="both"/>
      </w:pPr>
      <w:r>
        <w:rPr/>
        <w:t>García, H, L, A., Aguilar V. A., Luévano G. A., y Cabral M. A. 2005. La globalización productiva y comercial de la leche y sus derivados. Articulación de la ganadería intensiva lechera de la Comarca Lagunera. Plaza y Valdés editores, Universidad Autónoma Metropolitana Unidad Xochimilco, México. 278 p.</w:t>
      </w:r>
    </w:p>
    <w:p>
      <w:pPr>
        <w:pStyle w:val="BodyText"/>
        <w:spacing w:before="8"/>
      </w:pPr>
    </w:p>
    <w:p>
      <w:pPr>
        <w:pStyle w:val="BodyText"/>
        <w:spacing w:line="360" w:lineRule="auto"/>
        <w:ind w:left="1107" w:right="122" w:hanging="708"/>
        <w:jc w:val="both"/>
      </w:pPr>
      <w:r>
        <w:rPr/>
        <w:t>Giner, R.G. 1997. Aplicación del método de Monte Carlo en la simulación numérica de respuestas</w:t>
      </w:r>
      <w:r>
        <w:rPr>
          <w:spacing w:val="-6"/>
        </w:rPr>
        <w:t> </w:t>
      </w:r>
      <w:r>
        <w:rPr/>
        <w:t>impulsivas</w:t>
      </w:r>
      <w:r>
        <w:rPr>
          <w:spacing w:val="-6"/>
        </w:rPr>
        <w:t> </w:t>
      </w:r>
      <w:r>
        <w:rPr/>
        <w:t>en</w:t>
      </w:r>
      <w:r>
        <w:rPr>
          <w:spacing w:val="-5"/>
        </w:rPr>
        <w:t> </w:t>
      </w:r>
      <w:r>
        <w:rPr/>
        <w:t>salas.</w:t>
      </w:r>
      <w:r>
        <w:rPr>
          <w:spacing w:val="-7"/>
        </w:rPr>
        <w:t> </w:t>
      </w:r>
      <w:r>
        <w:rPr/>
        <w:t>Validación</w:t>
      </w:r>
      <w:r>
        <w:rPr>
          <w:spacing w:val="-3"/>
        </w:rPr>
        <w:t> </w:t>
      </w:r>
      <w:r>
        <w:rPr/>
        <w:t>y</w:t>
      </w:r>
      <w:r>
        <w:rPr>
          <w:spacing w:val="-11"/>
        </w:rPr>
        <w:t> </w:t>
      </w:r>
      <w:r>
        <w:rPr/>
        <w:t>determinación</w:t>
      </w:r>
      <w:r>
        <w:rPr>
          <w:spacing w:val="-6"/>
        </w:rPr>
        <w:t> </w:t>
      </w:r>
      <w:r>
        <w:rPr/>
        <w:t>del</w:t>
      </w:r>
      <w:r>
        <w:rPr>
          <w:spacing w:val="-6"/>
        </w:rPr>
        <w:t> </w:t>
      </w:r>
      <w:r>
        <w:rPr/>
        <w:t>error</w:t>
      </w:r>
      <w:r>
        <w:rPr>
          <w:spacing w:val="-7"/>
        </w:rPr>
        <w:t> </w:t>
      </w:r>
      <w:r>
        <w:rPr/>
        <w:t>de</w:t>
      </w:r>
      <w:r>
        <w:rPr>
          <w:spacing w:val="-7"/>
        </w:rPr>
        <w:t> </w:t>
      </w:r>
      <w:r>
        <w:rPr/>
        <w:t>la</w:t>
      </w:r>
      <w:r>
        <w:rPr>
          <w:spacing w:val="-7"/>
        </w:rPr>
        <w:t> </w:t>
      </w:r>
      <w:r>
        <w:rPr/>
        <w:t>técnica del trazado de rayos. Tesis de Doctorado. Universidad de la</w:t>
      </w:r>
      <w:r>
        <w:rPr>
          <w:spacing w:val="-12"/>
        </w:rPr>
        <w:t> </w:t>
      </w:r>
      <w:r>
        <w:rPr/>
        <w:t>Laguna.</w:t>
      </w:r>
    </w:p>
    <w:p>
      <w:pPr>
        <w:pStyle w:val="BodyText"/>
        <w:spacing w:before="8"/>
      </w:pPr>
    </w:p>
    <w:p>
      <w:pPr>
        <w:pStyle w:val="BodyText"/>
        <w:ind w:left="399" w:right="120"/>
      </w:pPr>
      <w:r>
        <w:rPr/>
        <w:t>González-Estrada, A., Orrantia-Bustos, M.A. 2006. Los subsidios agrícolas de  México.</w:t>
      </w:r>
    </w:p>
    <w:p>
      <w:pPr>
        <w:pStyle w:val="BodyText"/>
        <w:spacing w:before="139"/>
        <w:ind w:left="1107" w:right="120"/>
      </w:pPr>
      <w:r>
        <w:rPr/>
        <w:t>Agricultura Técnica en México, 32: 323-331.</w:t>
      </w:r>
    </w:p>
    <w:p>
      <w:pPr>
        <w:spacing w:after="0"/>
        <w:sectPr>
          <w:pgSz w:w="12240" w:h="15840"/>
          <w:pgMar w:header="0" w:footer="657" w:top="1360" w:bottom="840" w:left="1660" w:right="1580"/>
        </w:sectPr>
      </w:pPr>
    </w:p>
    <w:p>
      <w:pPr>
        <w:pStyle w:val="BodyText"/>
        <w:spacing w:line="360" w:lineRule="auto" w:before="50"/>
        <w:ind w:left="1107" w:right="118" w:hanging="708"/>
        <w:jc w:val="both"/>
      </w:pPr>
      <w:r>
        <w:rPr/>
        <w:t>Grové, B. 2007. Stochastic efficiency optimisation analysis of alternative agricultural water</w:t>
      </w:r>
      <w:r>
        <w:rPr>
          <w:spacing w:val="-10"/>
        </w:rPr>
        <w:t> </w:t>
      </w:r>
      <w:r>
        <w:rPr/>
        <w:t>use</w:t>
      </w:r>
      <w:r>
        <w:rPr>
          <w:spacing w:val="-10"/>
        </w:rPr>
        <w:t> </w:t>
      </w:r>
      <w:r>
        <w:rPr/>
        <w:t>strategies</w:t>
      </w:r>
      <w:r>
        <w:rPr>
          <w:spacing w:val="-8"/>
        </w:rPr>
        <w:t> </w:t>
      </w:r>
      <w:r>
        <w:rPr/>
        <w:t>in</w:t>
      </w:r>
      <w:r>
        <w:rPr>
          <w:spacing w:val="-8"/>
        </w:rPr>
        <w:t> </w:t>
      </w:r>
      <w:r>
        <w:rPr/>
        <w:t>vaalharts</w:t>
      </w:r>
      <w:r>
        <w:rPr>
          <w:spacing w:val="-8"/>
        </w:rPr>
        <w:t> </w:t>
      </w:r>
      <w:r>
        <w:rPr/>
        <w:t>over</w:t>
      </w:r>
      <w:r>
        <w:rPr>
          <w:spacing w:val="-9"/>
        </w:rPr>
        <w:t> </w:t>
      </w:r>
      <w:r>
        <w:rPr/>
        <w:t>the</w:t>
      </w:r>
      <w:r>
        <w:rPr>
          <w:spacing w:val="-9"/>
        </w:rPr>
        <w:t> </w:t>
      </w:r>
      <w:r>
        <w:rPr/>
        <w:t>long-</w:t>
      </w:r>
      <w:r>
        <w:rPr>
          <w:spacing w:val="-7"/>
        </w:rPr>
        <w:t> </w:t>
      </w:r>
      <w:r>
        <w:rPr/>
        <w:t>and</w:t>
      </w:r>
      <w:r>
        <w:rPr>
          <w:spacing w:val="-7"/>
        </w:rPr>
        <w:t> </w:t>
      </w:r>
      <w:r>
        <w:rPr/>
        <w:t>short-run.</w:t>
      </w:r>
      <w:r>
        <w:rPr>
          <w:spacing w:val="-9"/>
        </w:rPr>
        <w:t> </w:t>
      </w:r>
      <w:r>
        <w:rPr/>
        <w:t>Tesis</w:t>
      </w:r>
      <w:r>
        <w:rPr>
          <w:spacing w:val="-8"/>
        </w:rPr>
        <w:t> </w:t>
      </w:r>
      <w:r>
        <w:rPr/>
        <w:t>de</w:t>
      </w:r>
      <w:r>
        <w:rPr>
          <w:spacing w:val="-10"/>
        </w:rPr>
        <w:t> </w:t>
      </w:r>
      <w:r>
        <w:rPr/>
        <w:t>Doctorado. Faculty of Natural and Agricultural Sciences Department of Agricultural Economics University of the Free State</w:t>
      </w:r>
      <w:r>
        <w:rPr>
          <w:spacing w:val="-7"/>
        </w:rPr>
        <w:t> </w:t>
      </w:r>
      <w:r>
        <w:rPr/>
        <w:t>Bloemfontein.</w:t>
      </w:r>
    </w:p>
    <w:p>
      <w:pPr>
        <w:pStyle w:val="BodyText"/>
      </w:pPr>
    </w:p>
    <w:p>
      <w:pPr>
        <w:pStyle w:val="BodyText"/>
        <w:spacing w:line="360" w:lineRule="auto" w:before="143"/>
        <w:ind w:left="1107" w:right="119" w:hanging="708"/>
        <w:jc w:val="both"/>
      </w:pPr>
      <w:r>
        <w:rPr/>
        <w:t>Hardaker,</w:t>
      </w:r>
      <w:r>
        <w:rPr>
          <w:spacing w:val="-15"/>
        </w:rPr>
        <w:t> </w:t>
      </w:r>
      <w:r>
        <w:rPr/>
        <w:t>J.B.,</w:t>
      </w:r>
      <w:r>
        <w:rPr>
          <w:spacing w:val="-12"/>
        </w:rPr>
        <w:t> </w:t>
      </w:r>
      <w:r>
        <w:rPr/>
        <w:t>y</w:t>
      </w:r>
      <w:r>
        <w:rPr>
          <w:spacing w:val="-19"/>
        </w:rPr>
        <w:t> </w:t>
      </w:r>
      <w:r>
        <w:rPr/>
        <w:t>Lien,</w:t>
      </w:r>
      <w:r>
        <w:rPr>
          <w:spacing w:val="-14"/>
        </w:rPr>
        <w:t> </w:t>
      </w:r>
      <w:r>
        <w:rPr/>
        <w:t>G.</w:t>
      </w:r>
      <w:r>
        <w:rPr>
          <w:spacing w:val="-15"/>
        </w:rPr>
        <w:t> </w:t>
      </w:r>
      <w:r>
        <w:rPr/>
        <w:t>2010.</w:t>
      </w:r>
      <w:r>
        <w:rPr>
          <w:spacing w:val="-14"/>
        </w:rPr>
        <w:t> </w:t>
      </w:r>
      <w:r>
        <w:rPr/>
        <w:t>Probabilities</w:t>
      </w:r>
      <w:r>
        <w:rPr>
          <w:spacing w:val="-15"/>
        </w:rPr>
        <w:t> </w:t>
      </w:r>
      <w:r>
        <w:rPr/>
        <w:t>for</w:t>
      </w:r>
      <w:r>
        <w:rPr>
          <w:spacing w:val="-16"/>
        </w:rPr>
        <w:t> </w:t>
      </w:r>
      <w:r>
        <w:rPr/>
        <w:t>decision</w:t>
      </w:r>
      <w:r>
        <w:rPr>
          <w:spacing w:val="-14"/>
        </w:rPr>
        <w:t> </w:t>
      </w:r>
      <w:r>
        <w:rPr/>
        <w:t>analysis</w:t>
      </w:r>
      <w:r>
        <w:rPr>
          <w:spacing w:val="-14"/>
        </w:rPr>
        <w:t> </w:t>
      </w:r>
      <w:r>
        <w:rPr/>
        <w:t>in</w:t>
      </w:r>
      <w:r>
        <w:rPr>
          <w:spacing w:val="-14"/>
        </w:rPr>
        <w:t> </w:t>
      </w:r>
      <w:r>
        <w:rPr/>
        <w:t>agriculture</w:t>
      </w:r>
      <w:r>
        <w:rPr>
          <w:spacing w:val="-16"/>
        </w:rPr>
        <w:t> </w:t>
      </w:r>
      <w:r>
        <w:rPr/>
        <w:t>and</w:t>
      </w:r>
      <w:r>
        <w:rPr>
          <w:spacing w:val="-14"/>
        </w:rPr>
        <w:t> </w:t>
      </w:r>
      <w:r>
        <w:rPr/>
        <w:t>rural resource</w:t>
      </w:r>
      <w:r>
        <w:rPr>
          <w:spacing w:val="-13"/>
        </w:rPr>
        <w:t> </w:t>
      </w:r>
      <w:r>
        <w:rPr/>
        <w:t>economics:</w:t>
      </w:r>
      <w:r>
        <w:rPr>
          <w:spacing w:val="-11"/>
        </w:rPr>
        <w:t> </w:t>
      </w:r>
      <w:r>
        <w:rPr/>
        <w:t>The</w:t>
      </w:r>
      <w:r>
        <w:rPr>
          <w:spacing w:val="-11"/>
        </w:rPr>
        <w:t> </w:t>
      </w:r>
      <w:r>
        <w:rPr/>
        <w:t>need</w:t>
      </w:r>
      <w:r>
        <w:rPr>
          <w:spacing w:val="-12"/>
        </w:rPr>
        <w:t> </w:t>
      </w:r>
      <w:r>
        <w:rPr/>
        <w:t>for</w:t>
      </w:r>
      <w:r>
        <w:rPr>
          <w:spacing w:val="-14"/>
        </w:rPr>
        <w:t> </w:t>
      </w:r>
      <w:r>
        <w:rPr/>
        <w:t>a</w:t>
      </w:r>
      <w:r>
        <w:rPr>
          <w:spacing w:val="-13"/>
        </w:rPr>
        <w:t> </w:t>
      </w:r>
      <w:r>
        <w:rPr/>
        <w:t>paradigm</w:t>
      </w:r>
      <w:r>
        <w:rPr>
          <w:spacing w:val="-12"/>
        </w:rPr>
        <w:t> </w:t>
      </w:r>
      <w:r>
        <w:rPr/>
        <w:t>change.</w:t>
      </w:r>
      <w:r>
        <w:rPr>
          <w:spacing w:val="36"/>
        </w:rPr>
        <w:t> </w:t>
      </w:r>
      <w:r>
        <w:rPr/>
        <w:t>Agricultural</w:t>
      </w:r>
      <w:r>
        <w:rPr>
          <w:spacing w:val="-12"/>
        </w:rPr>
        <w:t> </w:t>
      </w:r>
      <w:r>
        <w:rPr/>
        <w:t>Systems,</w:t>
      </w:r>
      <w:r>
        <w:rPr>
          <w:spacing w:val="-12"/>
        </w:rPr>
        <w:t> </w:t>
      </w:r>
      <w:r>
        <w:rPr/>
        <w:t>103: 345-350.</w:t>
      </w:r>
    </w:p>
    <w:p>
      <w:pPr>
        <w:pStyle w:val="BodyText"/>
      </w:pPr>
    </w:p>
    <w:p>
      <w:pPr>
        <w:pStyle w:val="BodyText"/>
        <w:spacing w:line="360" w:lineRule="auto" w:before="143"/>
        <w:ind w:left="1107" w:right="118" w:hanging="708"/>
        <w:jc w:val="both"/>
      </w:pPr>
      <w:r>
        <w:rPr/>
        <w:t>Hardaker, J.B., R.B.M. Huirne, J.R. Anderson, y G. Lien. 2004a. “Coping With Risk in Agriculture.” CABI Publishing, CAB International, Oxford, UK.</w:t>
      </w:r>
    </w:p>
    <w:p>
      <w:pPr>
        <w:pStyle w:val="BodyText"/>
      </w:pPr>
    </w:p>
    <w:p>
      <w:pPr>
        <w:pStyle w:val="BodyText"/>
        <w:spacing w:line="360" w:lineRule="auto" w:before="143"/>
        <w:ind w:left="1107" w:right="122" w:hanging="708"/>
        <w:jc w:val="both"/>
      </w:pPr>
      <w:r>
        <w:rPr/>
        <w:t>Hardaker, J.B., Richardson J.W., Lien, G., y Schumann, K.D. 2004b. ‘Stochastic efficiency analysis with risk aversion bounds: A simplified approach.’’ The Australian Journal of Agricultural and Resource Economics, 48: 253-70.</w:t>
      </w:r>
    </w:p>
    <w:p>
      <w:pPr>
        <w:pStyle w:val="BodyText"/>
      </w:pPr>
    </w:p>
    <w:p>
      <w:pPr>
        <w:pStyle w:val="BodyText"/>
        <w:spacing w:line="360" w:lineRule="auto" w:before="143"/>
        <w:ind w:left="1107" w:right="120" w:hanging="708"/>
        <w:jc w:val="both"/>
      </w:pPr>
      <w:r>
        <w:rPr/>
        <w:t>Herbst,</w:t>
      </w:r>
      <w:r>
        <w:rPr>
          <w:spacing w:val="-7"/>
        </w:rPr>
        <w:t> </w:t>
      </w:r>
      <w:r>
        <w:rPr/>
        <w:t>B.K.,</w:t>
      </w:r>
      <w:r>
        <w:rPr>
          <w:spacing w:val="-8"/>
        </w:rPr>
        <w:t> </w:t>
      </w:r>
      <w:r>
        <w:rPr/>
        <w:t>Anderson,</w:t>
      </w:r>
      <w:r>
        <w:rPr>
          <w:spacing w:val="-5"/>
        </w:rPr>
        <w:t> </w:t>
      </w:r>
      <w:r>
        <w:rPr/>
        <w:t>D.P.,</w:t>
      </w:r>
      <w:r>
        <w:rPr>
          <w:spacing w:val="-7"/>
        </w:rPr>
        <w:t> </w:t>
      </w:r>
      <w:r>
        <w:rPr/>
        <w:t>Outlaw,</w:t>
      </w:r>
      <w:r>
        <w:rPr>
          <w:spacing w:val="-7"/>
        </w:rPr>
        <w:t> </w:t>
      </w:r>
      <w:r>
        <w:rPr/>
        <w:t>J.L.,</w:t>
      </w:r>
      <w:r>
        <w:rPr>
          <w:spacing w:val="-7"/>
        </w:rPr>
        <w:t> </w:t>
      </w:r>
      <w:r>
        <w:rPr/>
        <w:t>Richardson,</w:t>
      </w:r>
      <w:r>
        <w:rPr>
          <w:spacing w:val="-8"/>
        </w:rPr>
        <w:t> </w:t>
      </w:r>
      <w:r>
        <w:rPr/>
        <w:t>J.W.</w:t>
      </w:r>
      <w:r>
        <w:rPr>
          <w:spacing w:val="-7"/>
        </w:rPr>
        <w:t> </w:t>
      </w:r>
      <w:r>
        <w:rPr/>
        <w:t>2011.</w:t>
      </w:r>
      <w:r>
        <w:rPr>
          <w:spacing w:val="-7"/>
        </w:rPr>
        <w:t> </w:t>
      </w:r>
      <w:r>
        <w:rPr/>
        <w:t>The</w:t>
      </w:r>
      <w:r>
        <w:rPr>
          <w:spacing w:val="-8"/>
        </w:rPr>
        <w:t> </w:t>
      </w:r>
      <w:r>
        <w:rPr/>
        <w:t>Effectiveness</w:t>
      </w:r>
      <w:r>
        <w:rPr>
          <w:spacing w:val="-7"/>
        </w:rPr>
        <w:t> </w:t>
      </w:r>
      <w:r>
        <w:rPr/>
        <w:t>of Dairy Risk Management at Managing Income, Revenue, and Margin Risk. Selected Paper prepared for presentation at the Southern Agricultural Economics Association Annual Meeting Corpus Christi, Texas, February 5 - 8,</w:t>
      </w:r>
      <w:r>
        <w:rPr>
          <w:spacing w:val="-11"/>
        </w:rPr>
        <w:t> </w:t>
      </w:r>
      <w:r>
        <w:rPr/>
        <w:t>2011.</w:t>
      </w:r>
    </w:p>
    <w:p>
      <w:pPr>
        <w:pStyle w:val="BodyText"/>
        <w:spacing w:before="8"/>
      </w:pPr>
    </w:p>
    <w:p>
      <w:pPr>
        <w:pStyle w:val="BodyText"/>
        <w:spacing w:line="360" w:lineRule="auto"/>
        <w:ind w:left="1107" w:right="116" w:hanging="708"/>
        <w:jc w:val="both"/>
      </w:pPr>
      <w:r>
        <w:rPr/>
        <w:t>Hernández-Martínez. J., García-Mata. R., Valdivia-Alcalá. R., Omaña-Silvestre. J.M. 2004. Evaluación de la competitividad y rentabilidad del cultivo del tomate rojo en Sinaloa. Revista Agrociencia de México, 38: 431-436.</w:t>
      </w:r>
    </w:p>
    <w:p>
      <w:pPr>
        <w:pStyle w:val="BodyText"/>
        <w:spacing w:before="8"/>
      </w:pPr>
    </w:p>
    <w:p>
      <w:pPr>
        <w:pStyle w:val="BodyText"/>
        <w:spacing w:line="360" w:lineRule="auto"/>
        <w:ind w:left="1107" w:right="117" w:hanging="708"/>
        <w:jc w:val="both"/>
      </w:pPr>
      <w:r>
        <w:rPr/>
        <w:t>Hobbs J.E., Cooney A., y Fulton M. 2000. Value chains in the Agri-food Sector. Departament of Agricultural Economics. University of Saskatchewan. Canadá. Campus Drive, Saskatoon SK. 32 p.</w:t>
      </w:r>
    </w:p>
    <w:p>
      <w:pPr>
        <w:pStyle w:val="BodyText"/>
        <w:spacing w:line="360" w:lineRule="auto" w:before="205"/>
        <w:ind w:left="1107" w:right="118" w:hanging="708"/>
        <w:jc w:val="both"/>
      </w:pPr>
      <w:r>
        <w:rPr/>
        <w:t>Iglesias, D. 2002. Cadenas de valor como estrategia; cadenas de valor en el sector agroalimentario. Documento de trabajo. Estación Experimetal Agropecuaria Anguil. Instituto Nacional de Tecnología Agropecuaria. 26 p.</w:t>
      </w:r>
    </w:p>
    <w:p>
      <w:pPr>
        <w:spacing w:after="0" w:line="360" w:lineRule="auto"/>
        <w:jc w:val="both"/>
        <w:sectPr>
          <w:pgSz w:w="12240" w:h="15840"/>
          <w:pgMar w:header="0" w:footer="657" w:top="1360" w:bottom="840" w:left="1660" w:right="1580"/>
        </w:sectPr>
      </w:pPr>
    </w:p>
    <w:p>
      <w:pPr>
        <w:pStyle w:val="BodyText"/>
        <w:spacing w:line="362" w:lineRule="auto" w:before="50"/>
        <w:ind w:left="1107" w:right="116" w:hanging="708"/>
        <w:jc w:val="both"/>
      </w:pPr>
      <w:r>
        <w:rPr/>
        <w:t>Iturrioz, G., e Iglesias, D. 2006. Los márgenes brutos de comercialización en la cadena de la carne bovina de la Provincia de La Pampa. Cuadernos del CEAgro. No. 8.</w:t>
      </w:r>
    </w:p>
    <w:p>
      <w:pPr>
        <w:pStyle w:val="BodyText"/>
      </w:pPr>
    </w:p>
    <w:p>
      <w:pPr>
        <w:pStyle w:val="BodyText"/>
        <w:spacing w:line="360" w:lineRule="auto" w:before="140"/>
        <w:ind w:left="1107" w:right="116" w:hanging="708"/>
        <w:jc w:val="both"/>
      </w:pPr>
      <w:r>
        <w:rPr/>
        <w:t>Kogut, B. 1985. “Designing Global Strategies: Comparative and Competitive Value- Added Chains”, Sloan Management Review, 26: 15-28.</w:t>
      </w:r>
    </w:p>
    <w:p>
      <w:pPr>
        <w:pStyle w:val="BodyText"/>
      </w:pPr>
    </w:p>
    <w:p>
      <w:pPr>
        <w:pStyle w:val="BodyText"/>
        <w:spacing w:line="360" w:lineRule="auto" w:before="143"/>
        <w:ind w:left="1107" w:right="121" w:hanging="708"/>
        <w:jc w:val="both"/>
      </w:pPr>
      <w:r>
        <w:rPr/>
        <w:t>Krugman, P., y Obstfeld, M. 2000. International Economics: Theory and Policy, fifth edition, Addison Wesley, Reading, Massachusetts.</w:t>
      </w:r>
    </w:p>
    <w:p>
      <w:pPr>
        <w:pStyle w:val="BodyText"/>
      </w:pPr>
    </w:p>
    <w:p>
      <w:pPr>
        <w:pStyle w:val="BodyText"/>
        <w:spacing w:line="360" w:lineRule="auto" w:before="143"/>
        <w:ind w:left="1107" w:right="123" w:hanging="708"/>
        <w:jc w:val="both"/>
      </w:pPr>
      <w:r>
        <w:rPr/>
        <w:t>Lee,</w:t>
      </w:r>
      <w:r>
        <w:rPr>
          <w:spacing w:val="-11"/>
        </w:rPr>
        <w:t> </w:t>
      </w:r>
      <w:r>
        <w:rPr/>
        <w:t>A.C.,</w:t>
      </w:r>
      <w:r>
        <w:rPr>
          <w:spacing w:val="-11"/>
        </w:rPr>
        <w:t> </w:t>
      </w:r>
      <w:r>
        <w:rPr/>
        <w:t>Conner,</w:t>
      </w:r>
      <w:r>
        <w:rPr>
          <w:spacing w:val="-12"/>
        </w:rPr>
        <w:t> </w:t>
      </w:r>
      <w:r>
        <w:rPr/>
        <w:t>J.R.,</w:t>
      </w:r>
      <w:r>
        <w:rPr>
          <w:spacing w:val="-13"/>
        </w:rPr>
        <w:t> </w:t>
      </w:r>
      <w:r>
        <w:rPr/>
        <w:t>Mjelde,</w:t>
      </w:r>
      <w:r>
        <w:rPr>
          <w:spacing w:val="-11"/>
        </w:rPr>
        <w:t> </w:t>
      </w:r>
      <w:r>
        <w:rPr/>
        <w:t>J.W.,</w:t>
      </w:r>
      <w:r>
        <w:rPr>
          <w:spacing w:val="-11"/>
        </w:rPr>
        <w:t> </w:t>
      </w:r>
      <w:r>
        <w:rPr/>
        <w:t>Richardson,</w:t>
      </w:r>
      <w:r>
        <w:rPr>
          <w:spacing w:val="-12"/>
        </w:rPr>
        <w:t> </w:t>
      </w:r>
      <w:r>
        <w:rPr/>
        <w:t>J.W.,</w:t>
      </w:r>
      <w:r>
        <w:rPr>
          <w:spacing w:val="-11"/>
        </w:rPr>
        <w:t> </w:t>
      </w:r>
      <w:r>
        <w:rPr/>
        <w:t>Stuth,</w:t>
      </w:r>
      <w:r>
        <w:rPr>
          <w:spacing w:val="-13"/>
        </w:rPr>
        <w:t> </w:t>
      </w:r>
      <w:r>
        <w:rPr/>
        <w:t>J.W.</w:t>
      </w:r>
      <w:r>
        <w:rPr>
          <w:spacing w:val="-13"/>
        </w:rPr>
        <w:t> </w:t>
      </w:r>
      <w:r>
        <w:rPr/>
        <w:t>2001.</w:t>
      </w:r>
      <w:r>
        <w:rPr>
          <w:spacing w:val="-13"/>
        </w:rPr>
        <w:t> </w:t>
      </w:r>
      <w:r>
        <w:rPr/>
        <w:t>Regional</w:t>
      </w:r>
      <w:r>
        <w:rPr>
          <w:spacing w:val="-11"/>
        </w:rPr>
        <w:t> </w:t>
      </w:r>
      <w:r>
        <w:rPr/>
        <w:t>Cost Share Necessary for Rancher Participation in Brush Control. Journal of Agricultural and Resource Economics, 26:</w:t>
      </w:r>
      <w:r>
        <w:rPr>
          <w:spacing w:val="-7"/>
        </w:rPr>
        <w:t> </w:t>
      </w:r>
      <w:r>
        <w:rPr/>
        <w:t>478-490.</w:t>
      </w:r>
    </w:p>
    <w:p>
      <w:pPr>
        <w:pStyle w:val="BodyText"/>
      </w:pPr>
    </w:p>
    <w:p>
      <w:pPr>
        <w:pStyle w:val="BodyText"/>
        <w:spacing w:line="360" w:lineRule="auto" w:before="143"/>
        <w:ind w:left="1107" w:right="121" w:hanging="708"/>
        <w:jc w:val="both"/>
      </w:pPr>
      <w:r>
        <w:rPr/>
        <w:t>Lien, G., Hardaker, J.B., Asseldonk. M. A.P.M. V. Richardson, J.W. 2009. Risk programming and sparse data: how to get more reliable results. Agricultural Systems, 101: 42-48.</w:t>
      </w:r>
    </w:p>
    <w:p>
      <w:pPr>
        <w:pStyle w:val="BodyText"/>
      </w:pPr>
    </w:p>
    <w:p>
      <w:pPr>
        <w:pStyle w:val="BodyText"/>
        <w:spacing w:line="360" w:lineRule="auto" w:before="143"/>
        <w:ind w:left="1107" w:right="121" w:hanging="708"/>
        <w:jc w:val="both"/>
      </w:pPr>
      <w:r>
        <w:rPr/>
        <w:t>Lien, G., Hardaker, J.B., Flaten, O. 2007. Risk and economic sustainability of crop farming systems. Agricultural Systems, 94: 541-552.</w:t>
      </w:r>
    </w:p>
    <w:p>
      <w:pPr>
        <w:pStyle w:val="BodyText"/>
      </w:pPr>
    </w:p>
    <w:p>
      <w:pPr>
        <w:pStyle w:val="BodyText"/>
        <w:spacing w:line="360" w:lineRule="auto" w:before="143"/>
        <w:ind w:left="1107" w:right="118" w:hanging="708"/>
        <w:jc w:val="both"/>
      </w:pPr>
      <w:r>
        <w:rPr/>
        <w:t>Magdaleno, H. A. 2012. Competitividad y cadena de valor de cítricos en México: Caso Nuevo</w:t>
      </w:r>
      <w:r>
        <w:rPr>
          <w:spacing w:val="-12"/>
        </w:rPr>
        <w:t> </w:t>
      </w:r>
      <w:r>
        <w:rPr/>
        <w:t>León.</w:t>
      </w:r>
      <w:r>
        <w:rPr>
          <w:spacing w:val="-12"/>
        </w:rPr>
        <w:t> </w:t>
      </w:r>
      <w:r>
        <w:rPr/>
        <w:t>Tesis</w:t>
      </w:r>
      <w:r>
        <w:rPr>
          <w:spacing w:val="-14"/>
        </w:rPr>
        <w:t> </w:t>
      </w:r>
      <w:r>
        <w:rPr/>
        <w:t>de</w:t>
      </w:r>
      <w:r>
        <w:rPr>
          <w:spacing w:val="-13"/>
        </w:rPr>
        <w:t> </w:t>
      </w:r>
      <w:r>
        <w:rPr/>
        <w:t>Maestría</w:t>
      </w:r>
      <w:r>
        <w:rPr>
          <w:spacing w:val="-15"/>
        </w:rPr>
        <w:t> </w:t>
      </w:r>
      <w:r>
        <w:rPr/>
        <w:t>en</w:t>
      </w:r>
      <w:r>
        <w:rPr>
          <w:spacing w:val="-12"/>
        </w:rPr>
        <w:t> </w:t>
      </w:r>
      <w:r>
        <w:rPr/>
        <w:t>Ciencias.</w:t>
      </w:r>
      <w:r>
        <w:rPr>
          <w:spacing w:val="-15"/>
        </w:rPr>
        <w:t> </w:t>
      </w:r>
      <w:r>
        <w:rPr/>
        <w:t>Colegio</w:t>
      </w:r>
      <w:r>
        <w:rPr>
          <w:spacing w:val="-14"/>
        </w:rPr>
        <w:t> </w:t>
      </w:r>
      <w:r>
        <w:rPr/>
        <w:t>de</w:t>
      </w:r>
      <w:r>
        <w:rPr>
          <w:spacing w:val="-15"/>
        </w:rPr>
        <w:t> </w:t>
      </w:r>
      <w:r>
        <w:rPr/>
        <w:t>Postgraduados.</w:t>
      </w:r>
      <w:r>
        <w:rPr>
          <w:spacing w:val="-12"/>
        </w:rPr>
        <w:t> </w:t>
      </w:r>
      <w:r>
        <w:rPr/>
        <w:t>Postgrado en Socioeconomía, Estadística e Informática</w:t>
      </w:r>
      <w:r>
        <w:rPr>
          <w:spacing w:val="-12"/>
        </w:rPr>
        <w:t> </w:t>
      </w:r>
      <w:r>
        <w:rPr/>
        <w:t>Economía.</w:t>
      </w:r>
    </w:p>
    <w:p>
      <w:pPr>
        <w:pStyle w:val="BodyText"/>
      </w:pPr>
    </w:p>
    <w:p>
      <w:pPr>
        <w:pStyle w:val="BodyText"/>
        <w:spacing w:line="360" w:lineRule="auto" w:before="143"/>
        <w:ind w:left="1107" w:right="114" w:hanging="708"/>
        <w:jc w:val="both"/>
      </w:pPr>
      <w:r>
        <w:rPr/>
        <w:t>Martínez, C.C.J., Cotera, R.J., Kido, C.M.T. 2013. Canales y márgenes de comercialización de productos lácteos en dobladero, Veracruz, México. Revista Mexicana de Agronegocios, 32: 281-288.</w:t>
      </w:r>
    </w:p>
    <w:p>
      <w:pPr>
        <w:pStyle w:val="BodyText"/>
        <w:spacing w:before="11"/>
      </w:pPr>
    </w:p>
    <w:p>
      <w:pPr>
        <w:pStyle w:val="BodyText"/>
        <w:spacing w:line="360" w:lineRule="auto"/>
        <w:ind w:left="1107" w:right="115" w:hanging="708"/>
        <w:jc w:val="both"/>
      </w:pPr>
      <w:r>
        <w:rPr/>
        <w:t>OECD (Organización para el Crecimiento y Desarrollo Económico). 1992. Competitiveness.</w:t>
      </w:r>
      <w:r>
        <w:rPr>
          <w:spacing w:val="-8"/>
        </w:rPr>
        <w:t> </w:t>
      </w:r>
      <w:r>
        <w:rPr/>
        <w:t>First</w:t>
      </w:r>
      <w:r>
        <w:rPr>
          <w:spacing w:val="-8"/>
        </w:rPr>
        <w:t> </w:t>
      </w:r>
      <w:r>
        <w:rPr/>
        <w:t>report</w:t>
      </w:r>
      <w:r>
        <w:rPr>
          <w:spacing w:val="-9"/>
        </w:rPr>
        <w:t> </w:t>
      </w:r>
      <w:r>
        <w:rPr/>
        <w:t>to</w:t>
      </w:r>
      <w:r>
        <w:rPr>
          <w:spacing w:val="-8"/>
        </w:rPr>
        <w:t> </w:t>
      </w:r>
      <w:r>
        <w:rPr/>
        <w:t>the</w:t>
      </w:r>
      <w:r>
        <w:rPr>
          <w:spacing w:val="-9"/>
        </w:rPr>
        <w:t> </w:t>
      </w:r>
      <w:r>
        <w:rPr/>
        <w:t>president</w:t>
      </w:r>
      <w:r>
        <w:rPr>
          <w:spacing w:val="-8"/>
        </w:rPr>
        <w:t> </w:t>
      </w:r>
      <w:r>
        <w:rPr/>
        <w:t>and</w:t>
      </w:r>
      <w:r>
        <w:rPr>
          <w:spacing w:val="-9"/>
        </w:rPr>
        <w:t> </w:t>
      </w:r>
      <w:r>
        <w:rPr/>
        <w:t>the</w:t>
      </w:r>
      <w:r>
        <w:rPr>
          <w:spacing w:val="-10"/>
        </w:rPr>
        <w:t> </w:t>
      </w:r>
      <w:r>
        <w:rPr/>
        <w:t>Congress.</w:t>
      </w:r>
      <w:r>
        <w:rPr>
          <w:spacing w:val="-6"/>
        </w:rPr>
        <w:t> </w:t>
      </w:r>
      <w:r>
        <w:rPr/>
        <w:t>Washington</w:t>
      </w:r>
      <w:r>
        <w:rPr>
          <w:spacing w:val="-8"/>
        </w:rPr>
        <w:t> </w:t>
      </w:r>
      <w:r>
        <w:rPr/>
        <w:t>D.C.</w:t>
      </w:r>
    </w:p>
    <w:p>
      <w:pPr>
        <w:spacing w:after="0" w:line="360" w:lineRule="auto"/>
        <w:jc w:val="both"/>
        <w:sectPr>
          <w:pgSz w:w="12240" w:h="15840"/>
          <w:pgMar w:header="0" w:footer="657" w:top="1360" w:bottom="840" w:left="1660" w:right="1580"/>
        </w:sectPr>
      </w:pPr>
    </w:p>
    <w:p>
      <w:pPr>
        <w:pStyle w:val="BodyText"/>
        <w:spacing w:line="360" w:lineRule="auto" w:before="50"/>
        <w:ind w:left="1107" w:right="117" w:hanging="708"/>
        <w:jc w:val="both"/>
      </w:pPr>
      <w:r>
        <w:rPr/>
        <w:t>OECD</w:t>
      </w:r>
      <w:r>
        <w:rPr>
          <w:spacing w:val="-12"/>
        </w:rPr>
        <w:t> </w:t>
      </w:r>
      <w:r>
        <w:rPr/>
        <w:t>(Organización</w:t>
      </w:r>
      <w:r>
        <w:rPr>
          <w:spacing w:val="-12"/>
        </w:rPr>
        <w:t> </w:t>
      </w:r>
      <w:r>
        <w:rPr/>
        <w:t>para</w:t>
      </w:r>
      <w:r>
        <w:rPr>
          <w:spacing w:val="-13"/>
        </w:rPr>
        <w:t> </w:t>
      </w:r>
      <w:r>
        <w:rPr/>
        <w:t>el</w:t>
      </w:r>
      <w:r>
        <w:rPr>
          <w:spacing w:val="-9"/>
        </w:rPr>
        <w:t> </w:t>
      </w:r>
      <w:r>
        <w:rPr/>
        <w:t>Crecimiento</w:t>
      </w:r>
      <w:r>
        <w:rPr>
          <w:spacing w:val="-7"/>
        </w:rPr>
        <w:t> </w:t>
      </w:r>
      <w:r>
        <w:rPr/>
        <w:t>y</w:t>
      </w:r>
      <w:r>
        <w:rPr>
          <w:spacing w:val="-14"/>
        </w:rPr>
        <w:t> </w:t>
      </w:r>
      <w:r>
        <w:rPr/>
        <w:t>Desarrollo</w:t>
      </w:r>
      <w:r>
        <w:rPr>
          <w:spacing w:val="-12"/>
        </w:rPr>
        <w:t> </w:t>
      </w:r>
      <w:r>
        <w:rPr/>
        <w:t>Económico).</w:t>
      </w:r>
      <w:r>
        <w:rPr>
          <w:spacing w:val="-10"/>
        </w:rPr>
        <w:t> </w:t>
      </w:r>
      <w:r>
        <w:rPr/>
        <w:t>FAO</w:t>
      </w:r>
      <w:r>
        <w:rPr>
          <w:spacing w:val="-10"/>
        </w:rPr>
        <w:t> </w:t>
      </w:r>
      <w:r>
        <w:rPr/>
        <w:t>(Organización para la Agricultura y Alimentación) 2011. Perspectivas Agrícolas 2011-2020. </w:t>
      </w:r>
      <w:hyperlink r:id="rId206">
        <w:r>
          <w:rPr/>
          <w:t>http://dx.doi.org/10.1787/agr_outlook-2011-es.</w:t>
        </w:r>
      </w:hyperlink>
    </w:p>
    <w:p>
      <w:pPr>
        <w:pStyle w:val="BodyText"/>
        <w:spacing w:before="11"/>
      </w:pPr>
    </w:p>
    <w:p>
      <w:pPr>
        <w:pStyle w:val="BodyText"/>
        <w:spacing w:line="360" w:lineRule="auto"/>
        <w:ind w:left="1107" w:right="114" w:hanging="708"/>
        <w:jc w:val="both"/>
      </w:pPr>
      <w:r>
        <w:rPr/>
        <w:t>Pearson, S.R., Monke E., Argwings-Kodhek G., Avillez F., Mukumbu M., Pagiola S., Sellen D., Winter-Nelson A. 1995. Agricultural Policy in Kenya. Applications of the Policy Analysis Matrix. Cornell University Press, Ithaca, NY.</w:t>
      </w:r>
    </w:p>
    <w:p>
      <w:pPr>
        <w:pStyle w:val="BodyText"/>
        <w:spacing w:before="8"/>
      </w:pPr>
    </w:p>
    <w:p>
      <w:pPr>
        <w:pStyle w:val="BodyText"/>
        <w:spacing w:line="360" w:lineRule="auto"/>
        <w:ind w:left="1107" w:right="120" w:hanging="708"/>
        <w:jc w:val="both"/>
      </w:pPr>
      <w:r>
        <w:rPr/>
        <w:t>Peña, Y., Nieto A. P.A., Díaz R.F. 2008. Cadenas de valor: un enfoque para las agrocadenas. Revista Equidad y Desarrollo, 9: 77-85.</w:t>
      </w:r>
    </w:p>
    <w:p>
      <w:pPr>
        <w:pStyle w:val="BodyText"/>
        <w:spacing w:before="8"/>
      </w:pPr>
    </w:p>
    <w:p>
      <w:pPr>
        <w:pStyle w:val="BodyText"/>
        <w:spacing w:line="360" w:lineRule="auto"/>
        <w:ind w:left="1107" w:right="117" w:hanging="708"/>
        <w:jc w:val="both"/>
      </w:pPr>
      <w:r>
        <w:rPr/>
        <w:t>Philip, D.T.J. 2009. Factors influencing the long–term competitiveness of selected commercial</w:t>
      </w:r>
      <w:r>
        <w:rPr>
          <w:spacing w:val="-10"/>
        </w:rPr>
        <w:t> </w:t>
      </w:r>
      <w:r>
        <w:rPr/>
        <w:t>milk</w:t>
      </w:r>
      <w:r>
        <w:rPr>
          <w:spacing w:val="-9"/>
        </w:rPr>
        <w:t> </w:t>
      </w:r>
      <w:r>
        <w:rPr/>
        <w:t>producers</w:t>
      </w:r>
      <w:r>
        <w:rPr>
          <w:spacing w:val="-10"/>
        </w:rPr>
        <w:t> </w:t>
      </w:r>
      <w:r>
        <w:rPr/>
        <w:t>in</w:t>
      </w:r>
      <w:r>
        <w:rPr>
          <w:spacing w:val="-9"/>
        </w:rPr>
        <w:t> </w:t>
      </w:r>
      <w:r>
        <w:rPr/>
        <w:t>east</w:t>
      </w:r>
      <w:r>
        <w:rPr>
          <w:spacing w:val="-9"/>
        </w:rPr>
        <w:t> </w:t>
      </w:r>
      <w:r>
        <w:rPr/>
        <w:t>griqualand,</w:t>
      </w:r>
      <w:r>
        <w:rPr>
          <w:spacing w:val="-10"/>
        </w:rPr>
        <w:t> </w:t>
      </w:r>
      <w:r>
        <w:rPr/>
        <w:t>South</w:t>
      </w:r>
      <w:r>
        <w:rPr>
          <w:spacing w:val="-9"/>
        </w:rPr>
        <w:t> </w:t>
      </w:r>
      <w:r>
        <w:rPr/>
        <w:t>Africa.</w:t>
      </w:r>
      <w:r>
        <w:rPr>
          <w:spacing w:val="-10"/>
        </w:rPr>
        <w:t> </w:t>
      </w:r>
      <w:r>
        <w:rPr/>
        <w:t>Tesis</w:t>
      </w:r>
      <w:r>
        <w:rPr>
          <w:spacing w:val="-9"/>
        </w:rPr>
        <w:t> </w:t>
      </w:r>
      <w:r>
        <w:rPr/>
        <w:t>de</w:t>
      </w:r>
      <w:r>
        <w:rPr>
          <w:spacing w:val="-11"/>
        </w:rPr>
        <w:t> </w:t>
      </w:r>
      <w:r>
        <w:rPr/>
        <w:t>Maestría</w:t>
      </w:r>
      <w:r>
        <w:rPr>
          <w:spacing w:val="-11"/>
        </w:rPr>
        <w:t> </w:t>
      </w:r>
      <w:r>
        <w:rPr/>
        <w:t>en Ciencias de la Agricultura (Agronegocios). School of Agricultural Sciences and Agribusiness Faculty of Science and Agriculture University of KwaZulu-Natal Pietermaritzburg.</w:t>
      </w:r>
    </w:p>
    <w:p>
      <w:pPr>
        <w:pStyle w:val="BodyText"/>
        <w:spacing w:before="11"/>
      </w:pPr>
    </w:p>
    <w:p>
      <w:pPr>
        <w:pStyle w:val="BodyText"/>
        <w:spacing w:line="360" w:lineRule="auto"/>
        <w:ind w:left="1107" w:right="119" w:hanging="708"/>
        <w:jc w:val="both"/>
      </w:pPr>
      <w:r>
        <w:rPr/>
        <w:t>Porter, M. 1990. “The Competitive Advantage of Nations”. Harvard Business Review, 68: 73-93.</w:t>
      </w:r>
    </w:p>
    <w:p>
      <w:pPr>
        <w:pStyle w:val="BodyText"/>
        <w:spacing w:before="8"/>
      </w:pPr>
    </w:p>
    <w:p>
      <w:pPr>
        <w:pStyle w:val="BodyText"/>
        <w:spacing w:line="360" w:lineRule="auto"/>
        <w:ind w:left="1107" w:right="119" w:hanging="708"/>
        <w:jc w:val="both"/>
      </w:pPr>
      <w:r>
        <w:rPr/>
        <w:t>Porter, M. 1993. La ventaja competitiva de las naciones. Buenos Aires: Ediciones Javier Vergara.</w:t>
      </w:r>
    </w:p>
    <w:p>
      <w:pPr>
        <w:pStyle w:val="BodyText"/>
        <w:spacing w:before="8"/>
      </w:pPr>
    </w:p>
    <w:p>
      <w:pPr>
        <w:pStyle w:val="BodyText"/>
        <w:spacing w:line="360" w:lineRule="auto"/>
        <w:ind w:left="1107" w:right="116" w:hanging="708"/>
        <w:jc w:val="both"/>
      </w:pPr>
      <w:r>
        <w:rPr/>
        <w:t>Posadas, D.R.R., Salinas, M.J.A., Arriaga, J.C.M., Callejas, J.N., Martínez, C.F.E.</w:t>
      </w:r>
      <w:r>
        <w:rPr>
          <w:spacing w:val="-42"/>
        </w:rPr>
        <w:t> </w:t>
      </w:r>
      <w:r>
        <w:rPr/>
        <w:t>2012. Competitividad y rentabilidad privada en la lechería de pequeña escala. En: Cavallotti-Vázquez Beatriz, Cesín-Vargas Alfredo, Ramírez-Valverde Benito, Marcof-Álvarez Carlos (Coordinadores). Ganadería y alimentación: alternativas frente a la crisis ambiental y el cambio social. Volumen 2, 593-606 p. UACH- COLPOS-UNAM. ISBN</w:t>
      </w:r>
      <w:r>
        <w:rPr>
          <w:spacing w:val="-9"/>
        </w:rPr>
        <w:t> </w:t>
      </w:r>
      <w:r>
        <w:rPr/>
        <w:t>978-607-715-076-3.</w:t>
      </w:r>
    </w:p>
    <w:p>
      <w:pPr>
        <w:spacing w:after="0" w:line="360" w:lineRule="auto"/>
        <w:jc w:val="both"/>
        <w:sectPr>
          <w:pgSz w:w="12240" w:h="15840"/>
          <w:pgMar w:header="0" w:footer="657" w:top="1360" w:bottom="840" w:left="1660" w:right="1580"/>
        </w:sectPr>
      </w:pPr>
    </w:p>
    <w:p>
      <w:pPr>
        <w:pStyle w:val="BodyText"/>
        <w:spacing w:line="360" w:lineRule="auto" w:before="50"/>
        <w:ind w:left="1107" w:right="118" w:hanging="708"/>
        <w:jc w:val="both"/>
      </w:pPr>
      <w:r>
        <w:rPr/>
        <w:t>Posadas, D.R.R., Callejas, J.N., Arriaga, J.C.M., Martínez, C.F.E. 2013b. Viabilidad económica y financiera de los sistemas lecheros de pequeña escala y el papel de la mano de obra familiar: Panorama económico 2010-2019. En: Betariz A. Cavallotti V., Gustavo E. Rojo M., Benito Ramírez V., Alfredo Cesín V., Carlos</w:t>
      </w:r>
    </w:p>
    <w:p>
      <w:pPr>
        <w:pStyle w:val="BodyText"/>
        <w:spacing w:line="360" w:lineRule="auto" w:before="4"/>
        <w:ind w:left="1107" w:right="120"/>
      </w:pPr>
      <w:r>
        <w:rPr/>
        <w:t>F. Marcof A., (coordinadores). La Ganadería en la seguridad alimentaria de las familias campesinas, 217-228 p. UACH. ISBN 432.341-300-0.</w:t>
      </w:r>
    </w:p>
    <w:p>
      <w:pPr>
        <w:pStyle w:val="BodyText"/>
      </w:pPr>
    </w:p>
    <w:p>
      <w:pPr>
        <w:pStyle w:val="BodyText"/>
        <w:tabs>
          <w:tab w:pos="2822" w:val="left" w:leader="none"/>
          <w:tab w:pos="4883" w:val="left" w:leader="none"/>
          <w:tab w:pos="5997" w:val="left" w:leader="none"/>
          <w:tab w:pos="8545" w:val="left" w:leader="none"/>
        </w:tabs>
        <w:spacing w:line="360" w:lineRule="auto" w:before="143"/>
        <w:ind w:left="1107" w:right="120" w:hanging="708"/>
      </w:pPr>
      <w:r>
        <w:rPr/>
        <w:t>Posadas, D.R.R., Salinas, M.J.A., Callejas, J.N., Álvarez, F.G., Herrera, H.J., Arriaga, J.C.M.,</w:t>
      </w:r>
      <w:r>
        <w:rPr>
          <w:spacing w:val="-8"/>
        </w:rPr>
        <w:t> </w:t>
      </w:r>
      <w:r>
        <w:rPr/>
        <w:t>Martínez,</w:t>
      </w:r>
      <w:r>
        <w:rPr>
          <w:spacing w:val="-6"/>
        </w:rPr>
        <w:t> </w:t>
      </w:r>
      <w:r>
        <w:rPr/>
        <w:t>C.F.E.</w:t>
      </w:r>
      <w:r>
        <w:rPr>
          <w:spacing w:val="-6"/>
        </w:rPr>
        <w:t> </w:t>
      </w:r>
      <w:r>
        <w:rPr/>
        <w:t>2013a.</w:t>
      </w:r>
      <w:r>
        <w:rPr>
          <w:spacing w:val="-6"/>
        </w:rPr>
        <w:t> </w:t>
      </w:r>
      <w:r>
        <w:rPr/>
        <w:t>Análisis</w:t>
      </w:r>
      <w:r>
        <w:rPr>
          <w:spacing w:val="-6"/>
        </w:rPr>
        <w:t> </w:t>
      </w:r>
      <w:r>
        <w:rPr/>
        <w:t>de</w:t>
      </w:r>
      <w:r>
        <w:rPr>
          <w:spacing w:val="-7"/>
        </w:rPr>
        <w:t> </w:t>
      </w:r>
      <w:r>
        <w:rPr/>
        <w:t>costos</w:t>
      </w:r>
      <w:r>
        <w:rPr>
          <w:spacing w:val="-1"/>
        </w:rPr>
        <w:t> </w:t>
      </w:r>
      <w:r>
        <w:rPr/>
        <w:t>y</w:t>
      </w:r>
      <w:r>
        <w:rPr>
          <w:spacing w:val="-11"/>
        </w:rPr>
        <w:t> </w:t>
      </w:r>
      <w:r>
        <w:rPr/>
        <w:t>estrategias</w:t>
      </w:r>
      <w:r>
        <w:rPr>
          <w:spacing w:val="-7"/>
        </w:rPr>
        <w:t> </w:t>
      </w:r>
      <w:r>
        <w:rPr/>
        <w:t>productivas</w:t>
      </w:r>
      <w:r>
        <w:rPr>
          <w:spacing w:val="-4"/>
        </w:rPr>
        <w:t> </w:t>
      </w:r>
      <w:r>
        <w:rPr/>
        <w:t>en</w:t>
      </w:r>
      <w:r>
        <w:rPr>
          <w:spacing w:val="-6"/>
        </w:rPr>
        <w:t> </w:t>
      </w:r>
      <w:r>
        <w:rPr/>
        <w:t>la lechería de pequeña escala en el periodo 2000-2012. Artículo en prensa en la Revista</w:t>
        <w:tab/>
        <w:t>Contaduría</w:t>
        <w:tab/>
        <w:t>y</w:t>
        <w:tab/>
        <w:t>Administración.</w:t>
        <w:tab/>
        <w:t>En: </w:t>
      </w:r>
      <w:hyperlink r:id="rId147">
        <w:r>
          <w:rPr>
            <w:u w:val="single"/>
          </w:rPr>
          <w:t>http://www.contaduriayadministracionunam.com.mx/userFiles/app/pp_1101201</w:t>
        </w:r>
      </w:hyperlink>
      <w:r>
        <w:rPr>
          <w:u w:val="single"/>
        </w:rPr>
        <w:t> </w:t>
      </w:r>
      <w:hyperlink r:id="rId147">
        <w:r>
          <w:rPr>
            <w:u w:val="single"/>
          </w:rPr>
          <w:t>3.pdf</w:t>
        </w:r>
        <w:r>
          <w:rPr/>
          <w:t>.</w:t>
        </w:r>
      </w:hyperlink>
    </w:p>
    <w:p>
      <w:pPr>
        <w:pStyle w:val="BodyText"/>
        <w:rPr>
          <w:sz w:val="20"/>
        </w:rPr>
      </w:pPr>
    </w:p>
    <w:p>
      <w:pPr>
        <w:pStyle w:val="BodyText"/>
        <w:spacing w:line="352" w:lineRule="auto" w:before="189"/>
        <w:ind w:left="1107" w:right="119" w:hanging="708"/>
        <w:jc w:val="both"/>
      </w:pPr>
      <w:r>
        <w:rPr/>
        <w:t>Richardson, J.W. 2008. “Simulation for Applied Risk Management with an Introduction to SIMETAR</w:t>
      </w:r>
      <w:r>
        <w:rPr>
          <w:position w:val="9"/>
          <w:sz w:val="16"/>
        </w:rPr>
        <w:t>©</w:t>
      </w:r>
      <w:r>
        <w:rPr/>
        <w:t>.” Department of Agricultural Economics, Agricultural &amp; Food Policy Center, Texas A&amp;M University.</w:t>
      </w:r>
    </w:p>
    <w:p>
      <w:pPr>
        <w:pStyle w:val="BodyText"/>
      </w:pPr>
    </w:p>
    <w:p>
      <w:pPr>
        <w:pStyle w:val="BodyText"/>
        <w:spacing w:line="360" w:lineRule="auto" w:before="151"/>
        <w:ind w:left="1107" w:right="118" w:hanging="708"/>
        <w:jc w:val="both"/>
      </w:pPr>
      <w:r>
        <w:rPr/>
        <w:t>Richardson, J.W., Schumann, K., y Feldman, P. 2005. “Simetar: Simulation for Excel to Analyze Risk.” Department of Agricultural Economics, Texas A&amp;M University, College Station, Texas, January 2005.</w:t>
      </w:r>
    </w:p>
    <w:p>
      <w:pPr>
        <w:pStyle w:val="BodyText"/>
      </w:pPr>
    </w:p>
    <w:p>
      <w:pPr>
        <w:pStyle w:val="BodyText"/>
        <w:spacing w:line="360" w:lineRule="auto" w:before="143"/>
        <w:ind w:left="1107" w:right="120" w:hanging="708"/>
        <w:jc w:val="both"/>
      </w:pPr>
      <w:r>
        <w:rPr/>
        <w:t>Roberts, M.J., C. Osteen, y M. Soule. 2004. Risk, Government Programs, and the Environment. Washington, DC: U.S. Department of Agriculture, Economic Research Service, Technical Bulletin No. 1908.</w:t>
      </w:r>
    </w:p>
    <w:p>
      <w:pPr>
        <w:pStyle w:val="BodyText"/>
        <w:rPr>
          <w:sz w:val="25"/>
        </w:rPr>
      </w:pPr>
    </w:p>
    <w:p>
      <w:pPr>
        <w:pStyle w:val="BodyText"/>
        <w:spacing w:line="360" w:lineRule="auto"/>
        <w:ind w:left="1107" w:right="115" w:hanging="708"/>
        <w:jc w:val="both"/>
      </w:pPr>
      <w:r>
        <w:rPr/>
        <w:t>SAGARPA (Secretaría de Agricultura, Ganadería, Desarrollo Rural, Pesca y Alimentación). 2010. Fondo Sectorial de Investigación en materia Agrícola, Pecuaria, Acuacultura, Agrobiotecnología y Recursos Fitogenéticos. Mejorar la productividad, competitividad y sustentabilidad de la cadena productiva de leche de </w:t>
      </w:r>
      <w:hyperlink r:id="rId207">
        <w:r>
          <w:rPr/>
          <w:t>bovinos 5 p. http://www.sagarpa.gob.mx/</w:t>
        </w:r>
      </w:hyperlink>
      <w:r>
        <w:rPr/>
        <w:t>ganadería.</w:t>
      </w:r>
    </w:p>
    <w:p>
      <w:pPr>
        <w:spacing w:after="0" w:line="360" w:lineRule="auto"/>
        <w:jc w:val="both"/>
        <w:sectPr>
          <w:pgSz w:w="12240" w:h="15840"/>
          <w:pgMar w:header="0" w:footer="657" w:top="1360" w:bottom="840" w:left="1660" w:right="1580"/>
        </w:sectPr>
      </w:pPr>
    </w:p>
    <w:p>
      <w:pPr>
        <w:pStyle w:val="BodyText"/>
        <w:spacing w:line="360" w:lineRule="auto" w:before="50"/>
        <w:ind w:left="1107" w:right="117" w:hanging="708"/>
        <w:jc w:val="both"/>
      </w:pPr>
      <w:r>
        <w:rPr/>
        <w:t>SAGARPA, (Secretaría de Agricultura, Ganadería, Desarrollo Rural, Pesca y Alimentación), AFPC (Agriculture and Food Policy Center) y FAPRI (Food and Agricultural Policy Research Institute). 2011a. Escenario Base 2009-2018. </w:t>
      </w:r>
      <w:hyperlink r:id="rId155">
        <w:r>
          <w:rPr>
            <w:u w:val="single"/>
          </w:rPr>
          <w:t>http://www.sagarpa.gob.mx/agronegocios/Documents/EBespa%C3%B1ol30090</w:t>
        </w:r>
      </w:hyperlink>
      <w:r>
        <w:rPr>
          <w:u w:val="single"/>
        </w:rPr>
        <w:t> </w:t>
      </w:r>
      <w:hyperlink r:id="rId155">
        <w:r>
          <w:rPr>
            <w:u w:val="single"/>
          </w:rPr>
          <w:t>9.pdf</w:t>
        </w:r>
        <w:r>
          <w:rPr/>
          <w:t>.</w:t>
        </w:r>
      </w:hyperlink>
    </w:p>
    <w:p>
      <w:pPr>
        <w:pStyle w:val="BodyText"/>
        <w:rPr>
          <w:sz w:val="20"/>
        </w:rPr>
      </w:pPr>
    </w:p>
    <w:p>
      <w:pPr>
        <w:pStyle w:val="BodyText"/>
        <w:tabs>
          <w:tab w:pos="1783" w:val="left" w:leader="none"/>
          <w:tab w:pos="2944" w:val="left" w:leader="none"/>
          <w:tab w:pos="3373" w:val="left" w:leader="none"/>
          <w:tab w:pos="4741" w:val="left" w:leader="none"/>
          <w:tab w:pos="5991" w:val="left" w:leader="none"/>
          <w:tab w:pos="7209" w:val="left" w:leader="none"/>
          <w:tab w:pos="8006" w:val="left" w:leader="none"/>
          <w:tab w:pos="8759" w:val="left" w:leader="none"/>
        </w:tabs>
        <w:spacing w:line="360" w:lineRule="auto" w:before="189"/>
        <w:ind w:left="1107" w:right="115" w:hanging="708"/>
      </w:pPr>
      <w:r>
        <w:rPr/>
        <w:t>SAGARPA,</w:t>
        <w:tab/>
        <w:t>Secretaría</w:t>
        <w:tab/>
        <w:t>de</w:t>
        <w:tab/>
        <w:t>Agricultura,</w:t>
        <w:tab/>
        <w:t>Ganadería,</w:t>
        <w:tab/>
        <w:t>Desarrollo</w:t>
        <w:tab/>
        <w:t>Rural,</w:t>
        <w:tab/>
        <w:t>Pesca</w:t>
        <w:tab/>
        <w:t>y Alimentación). SFA (Subsecretaría de Fomento a los Agronegocios). 2011b. Perspectivas de largo plazo para el sector agropecuario de México 2011- 2020. </w:t>
      </w:r>
      <w:hyperlink r:id="rId209">
        <w:r>
          <w:rPr>
            <w:u w:val="single"/>
          </w:rPr>
          <w:t>http://www.financierarural.gob.mx/informacionsectorrural/Documents/SAGAR</w:t>
        </w:r>
      </w:hyperlink>
      <w:r>
        <w:rPr>
          <w:u w:val="single"/>
        </w:rPr>
        <w:t> </w:t>
      </w:r>
      <w:hyperlink r:id="rId209">
        <w:r>
          <w:rPr>
            <w:u w:val="single"/>
          </w:rPr>
          <w:t>PA/Perspectivas-Largo-Plazo-2011-2020.pdf</w:t>
        </w:r>
      </w:hyperlink>
      <w:r>
        <w:rPr>
          <w:u w:val="single"/>
        </w:rPr>
        <w:t>.</w:t>
      </w:r>
    </w:p>
    <w:p>
      <w:pPr>
        <w:pStyle w:val="BodyText"/>
        <w:spacing w:before="11"/>
        <w:rPr>
          <w:sz w:val="18"/>
        </w:rPr>
      </w:pPr>
    </w:p>
    <w:p>
      <w:pPr>
        <w:pStyle w:val="BodyText"/>
        <w:spacing w:line="360" w:lineRule="auto" w:before="69"/>
        <w:ind w:left="1107" w:right="115" w:hanging="708"/>
        <w:jc w:val="both"/>
      </w:pPr>
      <w:r>
        <w:rPr/>
        <w:t>Secretaria de Economía. 2012. Análisis del sector lácteo en México. En: </w:t>
      </w:r>
      <w:hyperlink r:id="rId210">
        <w:r>
          <w:rPr/>
          <w:t>http://www.economia.gob.mx/files/comunidad_negocios/industria_comercio/inf</w:t>
        </w:r>
      </w:hyperlink>
      <w:r>
        <w:rPr/>
        <w:t> ormacionSectorial/analisis_sector_lacteo.pdf.</w:t>
      </w:r>
    </w:p>
    <w:p>
      <w:pPr>
        <w:pStyle w:val="BodyText"/>
        <w:spacing w:before="11"/>
      </w:pPr>
    </w:p>
    <w:p>
      <w:pPr>
        <w:pStyle w:val="BodyText"/>
        <w:spacing w:line="360" w:lineRule="auto"/>
        <w:ind w:left="1107" w:right="124" w:hanging="708"/>
        <w:jc w:val="both"/>
      </w:pPr>
      <w:r>
        <w:rPr/>
        <w:t>SIAP (Servicio de Información Agroalimentaria y Pesquera). 2013a. Información estadística sobre ganadería. </w:t>
      </w:r>
      <w:hyperlink r:id="rId211">
        <w:r>
          <w:rPr/>
          <w:t>http://www.siap.gob.mx</w:t>
        </w:r>
      </w:hyperlink>
      <w:r>
        <w:rPr/>
        <w:t>.</w:t>
      </w:r>
    </w:p>
    <w:p>
      <w:pPr>
        <w:pStyle w:val="BodyText"/>
        <w:spacing w:before="8"/>
      </w:pPr>
    </w:p>
    <w:p>
      <w:pPr>
        <w:pStyle w:val="BodyText"/>
        <w:tabs>
          <w:tab w:pos="6111" w:val="left" w:leader="none"/>
        </w:tabs>
        <w:spacing w:line="360" w:lineRule="auto"/>
        <w:ind w:left="1107" w:right="119" w:hanging="708"/>
        <w:jc w:val="both"/>
      </w:pPr>
      <w:r>
        <w:rPr/>
        <w:t>SIAP (Servicio de Información Agroalimentaria y Pesquera). 2013b. Boletín de leche, enero-marzo.</w:t>
        <w:tab/>
      </w:r>
      <w:hyperlink r:id="rId212">
        <w:r>
          <w:rPr/>
          <w:t>http://www.siap.gob.mx/wp-</w:t>
        </w:r>
      </w:hyperlink>
      <w:r>
        <w:rPr/>
        <w:t> content/uploads/2013/BoletinLeche/LecheMar2013.pdf.</w:t>
      </w:r>
    </w:p>
    <w:p>
      <w:pPr>
        <w:pStyle w:val="BodyText"/>
        <w:spacing w:before="8"/>
      </w:pPr>
    </w:p>
    <w:p>
      <w:pPr>
        <w:pStyle w:val="BodyText"/>
        <w:spacing w:line="360" w:lineRule="auto"/>
        <w:ind w:left="1107" w:right="120" w:hanging="708"/>
        <w:jc w:val="both"/>
      </w:pPr>
      <w:r>
        <w:rPr/>
        <w:t>SIAP (Servicio de Información Agroalimentaria y Pesquera). 2014. Información estadística sobre ganadería. </w:t>
      </w:r>
      <w:hyperlink r:id="rId211">
        <w:r>
          <w:rPr/>
          <w:t>http://www.siap.gob.mx</w:t>
        </w:r>
      </w:hyperlink>
      <w:r>
        <w:rPr/>
        <w:t>.</w:t>
      </w:r>
    </w:p>
    <w:p>
      <w:pPr>
        <w:pStyle w:val="BodyText"/>
        <w:spacing w:before="8"/>
      </w:pPr>
    </w:p>
    <w:p>
      <w:pPr>
        <w:pStyle w:val="BodyText"/>
        <w:spacing w:line="360" w:lineRule="auto"/>
        <w:ind w:left="1107" w:right="119" w:hanging="708"/>
        <w:jc w:val="both"/>
      </w:pPr>
      <w:r>
        <w:rPr/>
        <w:t>Siggel, E., y Cockburn, J. 1995. International competitiveness and its sources: a method of development policy analysis. Discussion Paper 9517, Department of Economics, Concordia University, Montreal, Quebec.</w:t>
      </w:r>
    </w:p>
    <w:p>
      <w:pPr>
        <w:pStyle w:val="BodyText"/>
      </w:pPr>
    </w:p>
    <w:p>
      <w:pPr>
        <w:pStyle w:val="BodyText"/>
        <w:spacing w:line="360" w:lineRule="auto" w:before="143"/>
        <w:ind w:left="1107" w:right="122" w:hanging="708"/>
        <w:jc w:val="both"/>
      </w:pPr>
      <w:r>
        <w:rPr/>
        <w:t>Siggel, E. 2003, Concepts and Measurements of Competitiveness and Comparative Advantage: Towards and Integrated Approach, Paper prepared for the International Industrial Organization Conference, Boston.</w:t>
      </w:r>
    </w:p>
    <w:p>
      <w:pPr>
        <w:spacing w:after="0" w:line="360" w:lineRule="auto"/>
        <w:jc w:val="both"/>
        <w:sectPr>
          <w:footerReference w:type="default" r:id="rId208"/>
          <w:pgSz w:w="12240" w:h="15840"/>
          <w:pgMar w:footer="657" w:header="0" w:top="1360" w:bottom="840" w:left="1660" w:right="1580"/>
          <w:pgNumType w:start="220"/>
        </w:sectPr>
      </w:pPr>
    </w:p>
    <w:p>
      <w:pPr>
        <w:pStyle w:val="BodyText"/>
        <w:spacing w:line="360" w:lineRule="auto" w:before="52"/>
        <w:ind w:left="1107" w:right="116" w:hanging="708"/>
        <w:jc w:val="both"/>
      </w:pPr>
      <w:r>
        <w:rPr/>
        <w:t>Sosa-Montes, M., García-Mata, R., Omaña-Silvestre, J.M., López-Díaz, S., López- López, E. 2000. Rentabilidad de doce granjas porcícolas en la región noroeste de Guanajuato en 1995. Agrociencia de México, 34: 107-113.</w:t>
      </w:r>
    </w:p>
    <w:p>
      <w:pPr>
        <w:pStyle w:val="BodyText"/>
        <w:spacing w:before="11"/>
      </w:pPr>
    </w:p>
    <w:p>
      <w:pPr>
        <w:pStyle w:val="BodyText"/>
        <w:spacing w:line="360" w:lineRule="auto"/>
        <w:ind w:left="1107" w:right="115" w:hanging="708"/>
        <w:jc w:val="both"/>
      </w:pPr>
      <w:r>
        <w:rPr/>
        <w:t>Vásquez, C.X., Pompa T. D., Guerra F.A. 2010. Un enfoque diferente para el análisis económico-financiero. Revista. Contribuciones a la Economía. ISSN 1696-8360. Disponible en formato electrónico. </w:t>
      </w:r>
      <w:hyperlink r:id="rId213">
        <w:r>
          <w:rPr>
            <w:u w:val="single"/>
          </w:rPr>
          <w:t>http://www.eumed.net/ce/2010a/</w:t>
        </w:r>
      </w:hyperlink>
      <w:r>
        <w:rPr/>
        <w:t>.</w:t>
      </w:r>
    </w:p>
    <w:p>
      <w:pPr>
        <w:pStyle w:val="BodyText"/>
        <w:spacing w:before="7"/>
        <w:rPr>
          <w:sz w:val="11"/>
        </w:rPr>
      </w:pPr>
    </w:p>
    <w:p>
      <w:pPr>
        <w:pStyle w:val="BodyText"/>
        <w:spacing w:before="69"/>
        <w:ind w:left="399" w:right="120"/>
      </w:pPr>
      <w:r>
        <w:rPr/>
        <w:t>Villareal, R. 2003. La competitividad sistémica conceptos y condiciones en México. En</w:t>
      </w:r>
    </w:p>
    <w:p>
      <w:pPr>
        <w:pStyle w:val="BodyText"/>
        <w:spacing w:line="360" w:lineRule="auto" w:before="139"/>
        <w:ind w:left="1107" w:right="120"/>
      </w:pPr>
      <w:r>
        <w:rPr/>
        <w:t>E. Dussell (comp). Perspectivas y retos de la competitividad en México, 187- 2018. México: UNAM.</w:t>
      </w:r>
    </w:p>
    <w:p>
      <w:pPr>
        <w:pStyle w:val="BodyText"/>
      </w:pPr>
    </w:p>
    <w:p>
      <w:pPr>
        <w:pStyle w:val="BodyText"/>
        <w:spacing w:line="360" w:lineRule="auto" w:before="143"/>
        <w:ind w:left="1107" w:right="117" w:hanging="708"/>
        <w:jc w:val="both"/>
      </w:pPr>
      <w:r>
        <w:rPr/>
        <w:t>Zacarías, S.A. 2006. Métodos de integración y Simulación Monte Carlo en la teoría bayesiana. Tesis de Licenciatura en Matemáticas Aplicadas. Universidad Tecnológica de la Mixteca.</w:t>
      </w:r>
    </w:p>
    <w:p>
      <w:pPr>
        <w:pStyle w:val="BodyText"/>
      </w:pPr>
    </w:p>
    <w:p>
      <w:pPr>
        <w:pStyle w:val="BodyText"/>
        <w:spacing w:line="360" w:lineRule="auto" w:before="143"/>
        <w:ind w:left="1107" w:right="115" w:hanging="708"/>
        <w:jc w:val="both"/>
      </w:pPr>
      <w:r>
        <w:rPr/>
        <w:t>Zamora, T. A.I. 2008. Rentabilidad y ventaja comparativa: Un Análisis de los sistemas de producción de guayaba en el estado de Michoacán. Tesis de Doctorado. Universidad Michoacana de San Nicolás de Hidalgo, Instituto de</w:t>
      </w:r>
      <w:r>
        <w:rPr>
          <w:spacing w:val="-24"/>
        </w:rPr>
        <w:t> </w:t>
      </w:r>
      <w:r>
        <w:rPr/>
        <w:t>Investigaciones Económicas y</w:t>
      </w:r>
      <w:r>
        <w:rPr>
          <w:spacing w:val="-7"/>
        </w:rPr>
        <w:t> </w:t>
      </w:r>
      <w:r>
        <w:rPr/>
        <w:t>Empresariales.</w:t>
      </w:r>
    </w:p>
    <w:p>
      <w:pPr>
        <w:spacing w:after="0" w:line="360" w:lineRule="auto"/>
        <w:jc w:val="both"/>
        <w:sectPr>
          <w:pgSz w:w="12240" w:h="15840"/>
          <w:pgMar w:header="0" w:footer="657" w:top="1360" w:bottom="840" w:left="1660" w:right="1580"/>
        </w:sectPr>
      </w:pPr>
    </w:p>
    <w:p>
      <w:pPr>
        <w:pStyle w:val="Heading1"/>
        <w:jc w:val="left"/>
      </w:pPr>
      <w:r>
        <w:rPr/>
        <w:t>ANEXOS</w:t>
      </w:r>
    </w:p>
    <w:p>
      <w:pPr>
        <w:pStyle w:val="BodyText"/>
        <w:rPr>
          <w:b/>
        </w:rPr>
      </w:pPr>
    </w:p>
    <w:p>
      <w:pPr>
        <w:pStyle w:val="BodyText"/>
        <w:spacing w:before="3"/>
        <w:rPr>
          <w:b/>
          <w:sz w:val="34"/>
        </w:rPr>
      </w:pPr>
    </w:p>
    <w:p>
      <w:pPr>
        <w:pStyle w:val="BodyText"/>
        <w:ind w:left="171"/>
      </w:pPr>
      <w:r>
        <w:rPr>
          <w:b/>
        </w:rPr>
        <w:t>Anexo Tabla 1. </w:t>
      </w:r>
      <w:r>
        <w:rPr/>
        <w:t>Simulación de precios de tres insumos alimenticios (cien iteraciones por insumo)</w:t>
      </w:r>
    </w:p>
    <w:p>
      <w:pPr>
        <w:pStyle w:val="BodyText"/>
        <w:spacing w:before="8"/>
      </w:pP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351"/>
        <w:gridCol w:w="2319"/>
        <w:gridCol w:w="2286"/>
        <w:gridCol w:w="1884"/>
      </w:tblGrid>
      <w:tr>
        <w:trPr>
          <w:trHeight w:val="289" w:hRule="exact"/>
        </w:trPr>
        <w:tc>
          <w:tcPr>
            <w:tcW w:w="2351" w:type="dxa"/>
            <w:tcBorders>
              <w:left w:val="nil"/>
              <w:bottom w:val="nil"/>
              <w:right w:val="nil"/>
            </w:tcBorders>
          </w:tcPr>
          <w:p>
            <w:pPr>
              <w:pStyle w:val="TableParagraph"/>
              <w:spacing w:before="19"/>
              <w:ind w:left="705" w:right="660"/>
              <w:jc w:val="center"/>
              <w:rPr>
                <w:sz w:val="20"/>
              </w:rPr>
            </w:pPr>
            <w:r>
              <w:rPr>
                <w:sz w:val="20"/>
              </w:rPr>
              <w:t>Media</w:t>
            </w:r>
          </w:p>
        </w:tc>
        <w:tc>
          <w:tcPr>
            <w:tcW w:w="2319" w:type="dxa"/>
            <w:tcBorders>
              <w:left w:val="nil"/>
              <w:bottom w:val="nil"/>
              <w:right w:val="nil"/>
            </w:tcBorders>
          </w:tcPr>
          <w:p>
            <w:pPr>
              <w:pStyle w:val="TableParagraph"/>
              <w:spacing w:before="19"/>
              <w:ind w:left="658" w:right="569"/>
              <w:jc w:val="center"/>
              <w:rPr>
                <w:sz w:val="20"/>
              </w:rPr>
            </w:pPr>
            <w:r>
              <w:rPr>
                <w:sz w:val="20"/>
              </w:rPr>
              <w:t>2.32794985</w:t>
            </w:r>
          </w:p>
        </w:tc>
        <w:tc>
          <w:tcPr>
            <w:tcW w:w="2286" w:type="dxa"/>
            <w:tcBorders>
              <w:left w:val="nil"/>
              <w:bottom w:val="nil"/>
              <w:right w:val="nil"/>
            </w:tcBorders>
          </w:tcPr>
          <w:p>
            <w:pPr>
              <w:pStyle w:val="TableParagraph"/>
              <w:spacing w:before="19"/>
              <w:ind w:left="567" w:right="471"/>
              <w:jc w:val="center"/>
              <w:rPr>
                <w:sz w:val="20"/>
              </w:rPr>
            </w:pPr>
            <w:r>
              <w:rPr>
                <w:sz w:val="20"/>
              </w:rPr>
              <w:t>3.29793731</w:t>
            </w:r>
          </w:p>
        </w:tc>
        <w:tc>
          <w:tcPr>
            <w:tcW w:w="1884" w:type="dxa"/>
            <w:tcBorders>
              <w:left w:val="nil"/>
              <w:bottom w:val="nil"/>
              <w:right w:val="nil"/>
            </w:tcBorders>
          </w:tcPr>
          <w:p>
            <w:pPr>
              <w:pStyle w:val="TableParagraph"/>
              <w:spacing w:before="19"/>
              <w:ind w:left="473" w:right="418"/>
              <w:jc w:val="center"/>
              <w:rPr>
                <w:sz w:val="20"/>
              </w:rPr>
            </w:pPr>
            <w:r>
              <w:rPr>
                <w:sz w:val="20"/>
              </w:rPr>
              <w:t>2.13112689</w:t>
            </w:r>
          </w:p>
        </w:tc>
      </w:tr>
      <w:tr>
        <w:trPr>
          <w:trHeight w:val="256" w:hRule="exact"/>
        </w:trPr>
        <w:tc>
          <w:tcPr>
            <w:tcW w:w="2351" w:type="dxa"/>
            <w:tcBorders>
              <w:top w:val="nil"/>
              <w:left w:val="nil"/>
              <w:bottom w:val="nil"/>
              <w:right w:val="nil"/>
            </w:tcBorders>
          </w:tcPr>
          <w:p>
            <w:pPr>
              <w:pStyle w:val="TableParagraph"/>
              <w:spacing w:before="4"/>
              <w:ind w:left="706" w:right="658"/>
              <w:jc w:val="center"/>
              <w:rPr>
                <w:sz w:val="13"/>
              </w:rPr>
            </w:pPr>
            <w:r>
              <w:rPr>
                <w:sz w:val="20"/>
              </w:rPr>
              <w:t>DE</w:t>
            </w:r>
            <w:r>
              <w:rPr>
                <w:position w:val="7"/>
                <w:sz w:val="13"/>
              </w:rPr>
              <w:t>¥</w:t>
            </w:r>
          </w:p>
        </w:tc>
        <w:tc>
          <w:tcPr>
            <w:tcW w:w="2319" w:type="dxa"/>
            <w:tcBorders>
              <w:top w:val="nil"/>
              <w:left w:val="nil"/>
              <w:bottom w:val="nil"/>
              <w:right w:val="nil"/>
            </w:tcBorders>
          </w:tcPr>
          <w:p>
            <w:pPr>
              <w:pStyle w:val="TableParagraph"/>
              <w:spacing w:before="9"/>
              <w:ind w:left="657" w:right="569"/>
              <w:jc w:val="center"/>
              <w:rPr>
                <w:sz w:val="20"/>
              </w:rPr>
            </w:pPr>
            <w:r>
              <w:rPr>
                <w:sz w:val="20"/>
              </w:rPr>
              <w:t>0.41051653</w:t>
            </w:r>
          </w:p>
        </w:tc>
        <w:tc>
          <w:tcPr>
            <w:tcW w:w="2286" w:type="dxa"/>
            <w:tcBorders>
              <w:top w:val="nil"/>
              <w:left w:val="nil"/>
              <w:bottom w:val="nil"/>
              <w:right w:val="nil"/>
            </w:tcBorders>
          </w:tcPr>
          <w:p>
            <w:pPr>
              <w:pStyle w:val="TableParagraph"/>
              <w:spacing w:before="9"/>
              <w:ind w:left="567" w:right="471"/>
              <w:jc w:val="center"/>
              <w:rPr>
                <w:sz w:val="20"/>
              </w:rPr>
            </w:pPr>
            <w:r>
              <w:rPr>
                <w:sz w:val="20"/>
              </w:rPr>
              <w:t>0.65879408</w:t>
            </w:r>
          </w:p>
        </w:tc>
        <w:tc>
          <w:tcPr>
            <w:tcW w:w="1884" w:type="dxa"/>
            <w:tcBorders>
              <w:top w:val="nil"/>
              <w:left w:val="nil"/>
              <w:bottom w:val="nil"/>
              <w:right w:val="nil"/>
            </w:tcBorders>
          </w:tcPr>
          <w:p>
            <w:pPr>
              <w:pStyle w:val="TableParagraph"/>
              <w:spacing w:before="9"/>
              <w:ind w:left="473" w:right="418"/>
              <w:jc w:val="center"/>
              <w:rPr>
                <w:sz w:val="20"/>
              </w:rPr>
            </w:pPr>
            <w:r>
              <w:rPr>
                <w:sz w:val="20"/>
              </w:rPr>
              <w:t>0.40984225</w:t>
            </w:r>
          </w:p>
        </w:tc>
      </w:tr>
      <w:tr>
        <w:trPr>
          <w:trHeight w:val="254" w:hRule="exact"/>
        </w:trPr>
        <w:tc>
          <w:tcPr>
            <w:tcW w:w="2351" w:type="dxa"/>
            <w:tcBorders>
              <w:top w:val="nil"/>
              <w:left w:val="nil"/>
              <w:bottom w:val="nil"/>
              <w:right w:val="nil"/>
            </w:tcBorders>
          </w:tcPr>
          <w:p>
            <w:pPr>
              <w:pStyle w:val="TableParagraph"/>
              <w:spacing w:before="3"/>
              <w:ind w:left="705" w:right="660"/>
              <w:jc w:val="center"/>
              <w:rPr>
                <w:sz w:val="13"/>
              </w:rPr>
            </w:pPr>
            <w:r>
              <w:rPr>
                <w:sz w:val="20"/>
              </w:rPr>
              <w:t>CV</w:t>
            </w:r>
            <w:r>
              <w:rPr>
                <w:position w:val="7"/>
                <w:sz w:val="13"/>
              </w:rPr>
              <w:t>ȹ</w:t>
            </w:r>
          </w:p>
        </w:tc>
        <w:tc>
          <w:tcPr>
            <w:tcW w:w="2319" w:type="dxa"/>
            <w:tcBorders>
              <w:top w:val="nil"/>
              <w:left w:val="nil"/>
              <w:bottom w:val="nil"/>
              <w:right w:val="nil"/>
            </w:tcBorders>
          </w:tcPr>
          <w:p>
            <w:pPr>
              <w:pStyle w:val="TableParagraph"/>
              <w:spacing w:before="8"/>
              <w:ind w:left="657" w:right="569"/>
              <w:jc w:val="center"/>
              <w:rPr>
                <w:sz w:val="20"/>
              </w:rPr>
            </w:pPr>
            <w:r>
              <w:rPr>
                <w:sz w:val="20"/>
              </w:rPr>
              <w:t>17.6342513</w:t>
            </w:r>
          </w:p>
        </w:tc>
        <w:tc>
          <w:tcPr>
            <w:tcW w:w="2286" w:type="dxa"/>
            <w:tcBorders>
              <w:top w:val="nil"/>
              <w:left w:val="nil"/>
              <w:bottom w:val="nil"/>
              <w:right w:val="nil"/>
            </w:tcBorders>
          </w:tcPr>
          <w:p>
            <w:pPr>
              <w:pStyle w:val="TableParagraph"/>
              <w:spacing w:before="8"/>
              <w:ind w:left="567" w:right="471"/>
              <w:jc w:val="center"/>
              <w:rPr>
                <w:sz w:val="20"/>
              </w:rPr>
            </w:pPr>
            <w:r>
              <w:rPr>
                <w:sz w:val="20"/>
              </w:rPr>
              <w:t>19.9759431</w:t>
            </w:r>
          </w:p>
        </w:tc>
        <w:tc>
          <w:tcPr>
            <w:tcW w:w="1884" w:type="dxa"/>
            <w:tcBorders>
              <w:top w:val="nil"/>
              <w:left w:val="nil"/>
              <w:bottom w:val="nil"/>
              <w:right w:val="nil"/>
            </w:tcBorders>
          </w:tcPr>
          <w:p>
            <w:pPr>
              <w:pStyle w:val="TableParagraph"/>
              <w:spacing w:before="8"/>
              <w:ind w:left="473" w:right="418"/>
              <w:jc w:val="center"/>
              <w:rPr>
                <w:sz w:val="20"/>
              </w:rPr>
            </w:pPr>
            <w:r>
              <w:rPr>
                <w:sz w:val="20"/>
              </w:rPr>
              <w:t>19.2312457</w:t>
            </w:r>
          </w:p>
        </w:tc>
      </w:tr>
      <w:tr>
        <w:trPr>
          <w:trHeight w:val="254" w:hRule="exact"/>
        </w:trPr>
        <w:tc>
          <w:tcPr>
            <w:tcW w:w="2351" w:type="dxa"/>
            <w:tcBorders>
              <w:top w:val="nil"/>
              <w:left w:val="nil"/>
              <w:bottom w:val="nil"/>
              <w:right w:val="nil"/>
            </w:tcBorders>
          </w:tcPr>
          <w:p>
            <w:pPr>
              <w:pStyle w:val="TableParagraph"/>
              <w:spacing w:before="3"/>
              <w:ind w:left="706" w:right="660"/>
              <w:jc w:val="center"/>
              <w:rPr>
                <w:sz w:val="13"/>
              </w:rPr>
            </w:pPr>
            <w:r>
              <w:rPr>
                <w:sz w:val="20"/>
              </w:rPr>
              <w:t>Min</w:t>
            </w:r>
            <w:r>
              <w:rPr>
                <w:position w:val="7"/>
                <w:sz w:val="13"/>
              </w:rPr>
              <w:t>Ƌ</w:t>
            </w:r>
          </w:p>
        </w:tc>
        <w:tc>
          <w:tcPr>
            <w:tcW w:w="2319" w:type="dxa"/>
            <w:tcBorders>
              <w:top w:val="nil"/>
              <w:left w:val="nil"/>
              <w:bottom w:val="nil"/>
              <w:right w:val="nil"/>
            </w:tcBorders>
          </w:tcPr>
          <w:p>
            <w:pPr>
              <w:pStyle w:val="TableParagraph"/>
              <w:spacing w:before="8"/>
              <w:ind w:left="657" w:right="569"/>
              <w:jc w:val="center"/>
              <w:rPr>
                <w:sz w:val="20"/>
              </w:rPr>
            </w:pPr>
            <w:r>
              <w:rPr>
                <w:sz w:val="20"/>
              </w:rPr>
              <w:t>1.3077358</w:t>
            </w:r>
          </w:p>
        </w:tc>
        <w:tc>
          <w:tcPr>
            <w:tcW w:w="2286" w:type="dxa"/>
            <w:tcBorders>
              <w:top w:val="nil"/>
              <w:left w:val="nil"/>
              <w:bottom w:val="nil"/>
              <w:right w:val="nil"/>
            </w:tcBorders>
          </w:tcPr>
          <w:p>
            <w:pPr>
              <w:pStyle w:val="TableParagraph"/>
              <w:spacing w:before="8"/>
              <w:ind w:left="567" w:right="471"/>
              <w:jc w:val="center"/>
              <w:rPr>
                <w:sz w:val="20"/>
              </w:rPr>
            </w:pPr>
            <w:r>
              <w:rPr>
                <w:sz w:val="20"/>
              </w:rPr>
              <w:t>1.46428858</w:t>
            </w:r>
          </w:p>
        </w:tc>
        <w:tc>
          <w:tcPr>
            <w:tcW w:w="1884" w:type="dxa"/>
            <w:tcBorders>
              <w:top w:val="nil"/>
              <w:left w:val="nil"/>
              <w:bottom w:val="nil"/>
              <w:right w:val="nil"/>
            </w:tcBorders>
          </w:tcPr>
          <w:p>
            <w:pPr>
              <w:pStyle w:val="TableParagraph"/>
              <w:spacing w:before="8"/>
              <w:ind w:left="473" w:right="418"/>
              <w:jc w:val="center"/>
              <w:rPr>
                <w:sz w:val="20"/>
              </w:rPr>
            </w:pPr>
            <w:r>
              <w:rPr>
                <w:sz w:val="20"/>
              </w:rPr>
              <w:t>1.05023082</w:t>
            </w:r>
          </w:p>
        </w:tc>
      </w:tr>
      <w:tr>
        <w:trPr>
          <w:trHeight w:val="265" w:hRule="exact"/>
        </w:trPr>
        <w:tc>
          <w:tcPr>
            <w:tcW w:w="2351" w:type="dxa"/>
            <w:tcBorders>
              <w:top w:val="nil"/>
              <w:left w:val="nil"/>
              <w:bottom w:val="nil"/>
              <w:right w:val="nil"/>
            </w:tcBorders>
          </w:tcPr>
          <w:p>
            <w:pPr>
              <w:pStyle w:val="TableParagraph"/>
              <w:spacing w:before="3"/>
              <w:ind w:left="706" w:right="660"/>
              <w:jc w:val="center"/>
              <w:rPr>
                <w:sz w:val="13"/>
              </w:rPr>
            </w:pPr>
            <w:r>
              <w:rPr>
                <w:sz w:val="20"/>
              </w:rPr>
              <w:t>Max</w:t>
            </w:r>
            <w:r>
              <w:rPr>
                <w:position w:val="7"/>
                <w:sz w:val="13"/>
              </w:rPr>
              <w:t>Ʈ</w:t>
            </w:r>
          </w:p>
        </w:tc>
        <w:tc>
          <w:tcPr>
            <w:tcW w:w="2319" w:type="dxa"/>
            <w:tcBorders>
              <w:top w:val="nil"/>
              <w:left w:val="nil"/>
              <w:bottom w:val="nil"/>
              <w:right w:val="nil"/>
            </w:tcBorders>
          </w:tcPr>
          <w:p>
            <w:pPr>
              <w:pStyle w:val="TableParagraph"/>
              <w:spacing w:before="8"/>
              <w:ind w:left="657" w:right="569"/>
              <w:jc w:val="center"/>
              <w:rPr>
                <w:sz w:val="20"/>
              </w:rPr>
            </w:pPr>
            <w:r>
              <w:rPr>
                <w:sz w:val="20"/>
              </w:rPr>
              <w:t>3.26385483</w:t>
            </w:r>
          </w:p>
        </w:tc>
        <w:tc>
          <w:tcPr>
            <w:tcW w:w="2286" w:type="dxa"/>
            <w:tcBorders>
              <w:top w:val="nil"/>
              <w:left w:val="nil"/>
              <w:bottom w:val="nil"/>
              <w:right w:val="nil"/>
            </w:tcBorders>
          </w:tcPr>
          <w:p>
            <w:pPr>
              <w:pStyle w:val="TableParagraph"/>
              <w:spacing w:before="8"/>
              <w:ind w:left="567" w:right="471"/>
              <w:jc w:val="center"/>
              <w:rPr>
                <w:sz w:val="20"/>
              </w:rPr>
            </w:pPr>
            <w:r>
              <w:rPr>
                <w:sz w:val="20"/>
              </w:rPr>
              <w:t>4.86046523</w:t>
            </w:r>
          </w:p>
        </w:tc>
        <w:tc>
          <w:tcPr>
            <w:tcW w:w="1884" w:type="dxa"/>
            <w:tcBorders>
              <w:top w:val="nil"/>
              <w:left w:val="nil"/>
              <w:bottom w:val="nil"/>
              <w:right w:val="nil"/>
            </w:tcBorders>
          </w:tcPr>
          <w:p>
            <w:pPr>
              <w:pStyle w:val="TableParagraph"/>
              <w:spacing w:before="8"/>
              <w:ind w:left="473" w:right="418"/>
              <w:jc w:val="center"/>
              <w:rPr>
                <w:sz w:val="20"/>
              </w:rPr>
            </w:pPr>
            <w:r>
              <w:rPr>
                <w:sz w:val="20"/>
              </w:rPr>
              <w:t>3.10115736</w:t>
            </w:r>
          </w:p>
        </w:tc>
      </w:tr>
      <w:tr>
        <w:trPr>
          <w:trHeight w:val="256" w:hRule="exact"/>
        </w:trPr>
        <w:tc>
          <w:tcPr>
            <w:tcW w:w="2351" w:type="dxa"/>
            <w:tcBorders>
              <w:top w:val="nil"/>
              <w:left w:val="nil"/>
              <w:bottom w:val="nil"/>
              <w:right w:val="nil"/>
            </w:tcBorders>
          </w:tcPr>
          <w:p>
            <w:pPr>
              <w:pStyle w:val="TableParagraph"/>
              <w:spacing w:before="4"/>
              <w:ind w:left="706" w:right="660"/>
              <w:jc w:val="center"/>
              <w:rPr>
                <w:b/>
                <w:sz w:val="20"/>
              </w:rPr>
            </w:pPr>
            <w:r>
              <w:rPr>
                <w:b/>
                <w:sz w:val="20"/>
              </w:rPr>
              <w:t>Iteraciones</w:t>
            </w:r>
          </w:p>
        </w:tc>
        <w:tc>
          <w:tcPr>
            <w:tcW w:w="2319" w:type="dxa"/>
            <w:tcBorders>
              <w:top w:val="nil"/>
              <w:left w:val="nil"/>
              <w:bottom w:val="nil"/>
              <w:right w:val="nil"/>
            </w:tcBorders>
          </w:tcPr>
          <w:p>
            <w:pPr>
              <w:pStyle w:val="TableParagraph"/>
              <w:spacing w:before="4"/>
              <w:ind w:left="660" w:right="569"/>
              <w:jc w:val="center"/>
              <w:rPr>
                <w:b/>
                <w:sz w:val="20"/>
              </w:rPr>
            </w:pPr>
            <w:r>
              <w:rPr>
                <w:b/>
                <w:sz w:val="20"/>
              </w:rPr>
              <w:t>Maíz blanco</w:t>
            </w:r>
          </w:p>
        </w:tc>
        <w:tc>
          <w:tcPr>
            <w:tcW w:w="2286" w:type="dxa"/>
            <w:tcBorders>
              <w:top w:val="nil"/>
              <w:left w:val="nil"/>
              <w:bottom w:val="nil"/>
              <w:right w:val="nil"/>
            </w:tcBorders>
          </w:tcPr>
          <w:p>
            <w:pPr>
              <w:pStyle w:val="TableParagraph"/>
              <w:spacing w:before="4"/>
              <w:ind w:left="567" w:right="473"/>
              <w:jc w:val="center"/>
              <w:rPr>
                <w:b/>
                <w:sz w:val="20"/>
              </w:rPr>
            </w:pPr>
            <w:r>
              <w:rPr>
                <w:b/>
                <w:sz w:val="20"/>
              </w:rPr>
              <w:t>Maíz amarillo</w:t>
            </w:r>
          </w:p>
        </w:tc>
        <w:tc>
          <w:tcPr>
            <w:tcW w:w="1884" w:type="dxa"/>
            <w:tcBorders>
              <w:top w:val="nil"/>
              <w:left w:val="nil"/>
              <w:bottom w:val="nil"/>
              <w:right w:val="nil"/>
            </w:tcBorders>
          </w:tcPr>
          <w:p>
            <w:pPr>
              <w:pStyle w:val="TableParagraph"/>
              <w:spacing w:before="4"/>
              <w:ind w:left="474" w:right="365"/>
              <w:jc w:val="center"/>
              <w:rPr>
                <w:b/>
                <w:sz w:val="20"/>
              </w:rPr>
            </w:pPr>
            <w:r>
              <w:rPr>
                <w:b/>
                <w:sz w:val="20"/>
              </w:rPr>
              <w:t>Sorgo</w:t>
            </w:r>
          </w:p>
        </w:tc>
      </w:tr>
      <w:tr>
        <w:trPr>
          <w:trHeight w:val="252" w:hRule="exact"/>
        </w:trPr>
        <w:tc>
          <w:tcPr>
            <w:tcW w:w="2351" w:type="dxa"/>
            <w:tcBorders>
              <w:top w:val="nil"/>
              <w:left w:val="nil"/>
              <w:bottom w:val="nil"/>
              <w:right w:val="nil"/>
            </w:tcBorders>
          </w:tcPr>
          <w:p>
            <w:pPr>
              <w:pStyle w:val="TableParagraph"/>
              <w:spacing w:line="229" w:lineRule="exact"/>
              <w:ind w:left="47"/>
              <w:jc w:val="center"/>
              <w:rPr>
                <w:sz w:val="20"/>
              </w:rPr>
            </w:pPr>
            <w:r>
              <w:rPr>
                <w:w w:val="99"/>
                <w:sz w:val="20"/>
              </w:rPr>
              <w:t>1</w:t>
            </w:r>
          </w:p>
        </w:tc>
        <w:tc>
          <w:tcPr>
            <w:tcW w:w="2319" w:type="dxa"/>
            <w:tcBorders>
              <w:top w:val="nil"/>
              <w:left w:val="nil"/>
              <w:bottom w:val="nil"/>
              <w:right w:val="nil"/>
            </w:tcBorders>
          </w:tcPr>
          <w:p>
            <w:pPr>
              <w:pStyle w:val="TableParagraph"/>
              <w:spacing w:line="229" w:lineRule="exact"/>
              <w:ind w:left="657" w:right="569"/>
              <w:jc w:val="center"/>
              <w:rPr>
                <w:sz w:val="20"/>
              </w:rPr>
            </w:pPr>
            <w:r>
              <w:rPr>
                <w:sz w:val="20"/>
              </w:rPr>
              <w:t>3.11853023</w:t>
            </w:r>
          </w:p>
        </w:tc>
        <w:tc>
          <w:tcPr>
            <w:tcW w:w="2286" w:type="dxa"/>
            <w:tcBorders>
              <w:top w:val="nil"/>
              <w:left w:val="nil"/>
              <w:bottom w:val="nil"/>
              <w:right w:val="nil"/>
            </w:tcBorders>
          </w:tcPr>
          <w:p>
            <w:pPr>
              <w:pStyle w:val="TableParagraph"/>
              <w:spacing w:line="229" w:lineRule="exact"/>
              <w:ind w:left="567" w:right="471"/>
              <w:jc w:val="center"/>
              <w:rPr>
                <w:sz w:val="20"/>
              </w:rPr>
            </w:pPr>
            <w:r>
              <w:rPr>
                <w:sz w:val="20"/>
              </w:rPr>
              <w:t>4.79006595</w:t>
            </w:r>
          </w:p>
        </w:tc>
        <w:tc>
          <w:tcPr>
            <w:tcW w:w="1884" w:type="dxa"/>
            <w:tcBorders>
              <w:top w:val="nil"/>
              <w:left w:val="nil"/>
              <w:bottom w:val="nil"/>
              <w:right w:val="nil"/>
            </w:tcBorders>
          </w:tcPr>
          <w:p>
            <w:pPr>
              <w:pStyle w:val="TableParagraph"/>
              <w:spacing w:line="229" w:lineRule="exact"/>
              <w:ind w:left="473" w:right="418"/>
              <w:jc w:val="center"/>
              <w:rPr>
                <w:sz w:val="20"/>
              </w:rPr>
            </w:pPr>
            <w:r>
              <w:rPr>
                <w:sz w:val="20"/>
              </w:rPr>
              <w:t>2.80618986</w:t>
            </w:r>
          </w:p>
        </w:tc>
      </w:tr>
      <w:tr>
        <w:trPr>
          <w:trHeight w:val="255" w:hRule="exact"/>
        </w:trPr>
        <w:tc>
          <w:tcPr>
            <w:tcW w:w="2351" w:type="dxa"/>
            <w:tcBorders>
              <w:top w:val="nil"/>
              <w:left w:val="nil"/>
              <w:bottom w:val="nil"/>
              <w:right w:val="nil"/>
            </w:tcBorders>
          </w:tcPr>
          <w:p>
            <w:pPr>
              <w:pStyle w:val="TableParagraph"/>
              <w:spacing w:before="1"/>
              <w:ind w:left="47"/>
              <w:jc w:val="center"/>
              <w:rPr>
                <w:sz w:val="20"/>
              </w:rPr>
            </w:pPr>
            <w:r>
              <w:rPr>
                <w:w w:val="99"/>
                <w:sz w:val="20"/>
              </w:rPr>
              <w:t>2</w:t>
            </w:r>
          </w:p>
        </w:tc>
        <w:tc>
          <w:tcPr>
            <w:tcW w:w="2319" w:type="dxa"/>
            <w:tcBorders>
              <w:top w:val="nil"/>
              <w:left w:val="nil"/>
              <w:bottom w:val="nil"/>
              <w:right w:val="nil"/>
            </w:tcBorders>
          </w:tcPr>
          <w:p>
            <w:pPr>
              <w:pStyle w:val="TableParagraph"/>
              <w:spacing w:before="1"/>
              <w:ind w:left="657" w:right="569"/>
              <w:jc w:val="center"/>
              <w:rPr>
                <w:sz w:val="20"/>
              </w:rPr>
            </w:pPr>
            <w:r>
              <w:rPr>
                <w:sz w:val="20"/>
              </w:rPr>
              <w:t>1.7695543</w:t>
            </w:r>
          </w:p>
        </w:tc>
        <w:tc>
          <w:tcPr>
            <w:tcW w:w="2286" w:type="dxa"/>
            <w:tcBorders>
              <w:top w:val="nil"/>
              <w:left w:val="nil"/>
              <w:bottom w:val="nil"/>
              <w:right w:val="nil"/>
            </w:tcBorders>
          </w:tcPr>
          <w:p>
            <w:pPr>
              <w:pStyle w:val="TableParagraph"/>
              <w:spacing w:before="1"/>
              <w:ind w:left="567" w:right="471"/>
              <w:jc w:val="center"/>
              <w:rPr>
                <w:sz w:val="20"/>
              </w:rPr>
            </w:pPr>
            <w:r>
              <w:rPr>
                <w:sz w:val="20"/>
              </w:rPr>
              <w:t>2.46297102</w:t>
            </w:r>
          </w:p>
        </w:tc>
        <w:tc>
          <w:tcPr>
            <w:tcW w:w="1884" w:type="dxa"/>
            <w:tcBorders>
              <w:top w:val="nil"/>
              <w:left w:val="nil"/>
              <w:bottom w:val="nil"/>
              <w:right w:val="nil"/>
            </w:tcBorders>
          </w:tcPr>
          <w:p>
            <w:pPr>
              <w:pStyle w:val="TableParagraph"/>
              <w:spacing w:before="1"/>
              <w:ind w:left="473" w:right="418"/>
              <w:jc w:val="center"/>
              <w:rPr>
                <w:sz w:val="20"/>
              </w:rPr>
            </w:pPr>
            <w:r>
              <w:rPr>
                <w:sz w:val="20"/>
              </w:rPr>
              <w:t>1.58929704</w:t>
            </w:r>
          </w:p>
        </w:tc>
      </w:tr>
      <w:tr>
        <w:trPr>
          <w:trHeight w:val="256" w:hRule="exact"/>
        </w:trPr>
        <w:tc>
          <w:tcPr>
            <w:tcW w:w="2351" w:type="dxa"/>
            <w:tcBorders>
              <w:top w:val="nil"/>
              <w:left w:val="nil"/>
              <w:bottom w:val="nil"/>
              <w:right w:val="nil"/>
            </w:tcBorders>
          </w:tcPr>
          <w:p>
            <w:pPr>
              <w:pStyle w:val="TableParagraph"/>
              <w:spacing w:before="1"/>
              <w:ind w:left="47"/>
              <w:jc w:val="center"/>
              <w:rPr>
                <w:sz w:val="20"/>
              </w:rPr>
            </w:pPr>
            <w:r>
              <w:rPr>
                <w:w w:val="99"/>
                <w:sz w:val="20"/>
              </w:rPr>
              <w:t>3</w:t>
            </w:r>
          </w:p>
        </w:tc>
        <w:tc>
          <w:tcPr>
            <w:tcW w:w="2319" w:type="dxa"/>
            <w:tcBorders>
              <w:top w:val="nil"/>
              <w:left w:val="nil"/>
              <w:bottom w:val="nil"/>
              <w:right w:val="nil"/>
            </w:tcBorders>
          </w:tcPr>
          <w:p>
            <w:pPr>
              <w:pStyle w:val="TableParagraph"/>
              <w:spacing w:before="1"/>
              <w:ind w:left="657" w:right="569"/>
              <w:jc w:val="center"/>
              <w:rPr>
                <w:sz w:val="20"/>
              </w:rPr>
            </w:pPr>
            <w:r>
              <w:rPr>
                <w:sz w:val="20"/>
              </w:rPr>
              <w:t>2.6439413</w:t>
            </w:r>
          </w:p>
        </w:tc>
        <w:tc>
          <w:tcPr>
            <w:tcW w:w="2286" w:type="dxa"/>
            <w:tcBorders>
              <w:top w:val="nil"/>
              <w:left w:val="nil"/>
              <w:bottom w:val="nil"/>
              <w:right w:val="nil"/>
            </w:tcBorders>
          </w:tcPr>
          <w:p>
            <w:pPr>
              <w:pStyle w:val="TableParagraph"/>
              <w:spacing w:before="1"/>
              <w:ind w:left="567" w:right="471"/>
              <w:jc w:val="center"/>
              <w:rPr>
                <w:sz w:val="20"/>
              </w:rPr>
            </w:pPr>
            <w:r>
              <w:rPr>
                <w:sz w:val="20"/>
              </w:rPr>
              <w:t>3.70743959</w:t>
            </w:r>
          </w:p>
        </w:tc>
        <w:tc>
          <w:tcPr>
            <w:tcW w:w="1884" w:type="dxa"/>
            <w:tcBorders>
              <w:top w:val="nil"/>
              <w:left w:val="nil"/>
              <w:bottom w:val="nil"/>
              <w:right w:val="nil"/>
            </w:tcBorders>
          </w:tcPr>
          <w:p>
            <w:pPr>
              <w:pStyle w:val="TableParagraph"/>
              <w:spacing w:before="1"/>
              <w:ind w:left="473" w:right="418"/>
              <w:jc w:val="center"/>
              <w:rPr>
                <w:sz w:val="20"/>
              </w:rPr>
            </w:pPr>
            <w:r>
              <w:rPr>
                <w:sz w:val="20"/>
              </w:rPr>
              <w:t>2.47845801</w:t>
            </w:r>
          </w:p>
        </w:tc>
      </w:tr>
      <w:tr>
        <w:trPr>
          <w:trHeight w:val="256" w:hRule="exact"/>
        </w:trPr>
        <w:tc>
          <w:tcPr>
            <w:tcW w:w="2351" w:type="dxa"/>
            <w:tcBorders>
              <w:top w:val="nil"/>
              <w:left w:val="nil"/>
              <w:bottom w:val="nil"/>
              <w:right w:val="nil"/>
            </w:tcBorders>
          </w:tcPr>
          <w:p>
            <w:pPr>
              <w:pStyle w:val="TableParagraph"/>
              <w:spacing w:before="2"/>
              <w:ind w:left="47"/>
              <w:jc w:val="center"/>
              <w:rPr>
                <w:sz w:val="20"/>
              </w:rPr>
            </w:pPr>
            <w:r>
              <w:rPr>
                <w:w w:val="99"/>
                <w:sz w:val="20"/>
              </w:rPr>
              <w:t>4</w:t>
            </w:r>
          </w:p>
        </w:tc>
        <w:tc>
          <w:tcPr>
            <w:tcW w:w="2319" w:type="dxa"/>
            <w:tcBorders>
              <w:top w:val="nil"/>
              <w:left w:val="nil"/>
              <w:bottom w:val="nil"/>
              <w:right w:val="nil"/>
            </w:tcBorders>
          </w:tcPr>
          <w:p>
            <w:pPr>
              <w:pStyle w:val="TableParagraph"/>
              <w:spacing w:before="2"/>
              <w:ind w:left="657" w:right="569"/>
              <w:jc w:val="center"/>
              <w:rPr>
                <w:sz w:val="20"/>
              </w:rPr>
            </w:pPr>
            <w:r>
              <w:rPr>
                <w:sz w:val="20"/>
              </w:rPr>
              <w:t>2.46812197</w:t>
            </w:r>
          </w:p>
        </w:tc>
        <w:tc>
          <w:tcPr>
            <w:tcW w:w="2286" w:type="dxa"/>
            <w:tcBorders>
              <w:top w:val="nil"/>
              <w:left w:val="nil"/>
              <w:bottom w:val="nil"/>
              <w:right w:val="nil"/>
            </w:tcBorders>
          </w:tcPr>
          <w:p>
            <w:pPr>
              <w:pStyle w:val="TableParagraph"/>
              <w:spacing w:before="2"/>
              <w:ind w:left="567" w:right="471"/>
              <w:jc w:val="center"/>
              <w:rPr>
                <w:sz w:val="20"/>
              </w:rPr>
            </w:pPr>
            <w:r>
              <w:rPr>
                <w:sz w:val="20"/>
              </w:rPr>
              <w:t>3.51549125</w:t>
            </w:r>
          </w:p>
        </w:tc>
        <w:tc>
          <w:tcPr>
            <w:tcW w:w="1884" w:type="dxa"/>
            <w:tcBorders>
              <w:top w:val="nil"/>
              <w:left w:val="nil"/>
              <w:bottom w:val="nil"/>
              <w:right w:val="nil"/>
            </w:tcBorders>
          </w:tcPr>
          <w:p>
            <w:pPr>
              <w:pStyle w:val="TableParagraph"/>
              <w:spacing w:before="2"/>
              <w:ind w:left="473" w:right="418"/>
              <w:jc w:val="center"/>
              <w:rPr>
                <w:sz w:val="20"/>
              </w:rPr>
            </w:pPr>
            <w:r>
              <w:rPr>
                <w:sz w:val="20"/>
              </w:rPr>
              <w:t>2.25466406</w:t>
            </w:r>
          </w:p>
        </w:tc>
      </w:tr>
      <w:tr>
        <w:trPr>
          <w:trHeight w:val="254" w:hRule="exact"/>
        </w:trPr>
        <w:tc>
          <w:tcPr>
            <w:tcW w:w="2351" w:type="dxa"/>
            <w:tcBorders>
              <w:top w:val="nil"/>
              <w:left w:val="nil"/>
              <w:bottom w:val="nil"/>
              <w:right w:val="nil"/>
            </w:tcBorders>
          </w:tcPr>
          <w:p>
            <w:pPr>
              <w:pStyle w:val="TableParagraph"/>
              <w:spacing w:before="1"/>
              <w:ind w:left="47"/>
              <w:jc w:val="center"/>
              <w:rPr>
                <w:sz w:val="20"/>
              </w:rPr>
            </w:pPr>
            <w:r>
              <w:rPr>
                <w:w w:val="99"/>
                <w:sz w:val="20"/>
              </w:rPr>
              <w:t>5</w:t>
            </w:r>
          </w:p>
        </w:tc>
        <w:tc>
          <w:tcPr>
            <w:tcW w:w="2319" w:type="dxa"/>
            <w:tcBorders>
              <w:top w:val="nil"/>
              <w:left w:val="nil"/>
              <w:bottom w:val="nil"/>
              <w:right w:val="nil"/>
            </w:tcBorders>
          </w:tcPr>
          <w:p>
            <w:pPr>
              <w:pStyle w:val="TableParagraph"/>
              <w:spacing w:before="1"/>
              <w:ind w:left="657" w:right="569"/>
              <w:jc w:val="center"/>
              <w:rPr>
                <w:sz w:val="20"/>
              </w:rPr>
            </w:pPr>
            <w:r>
              <w:rPr>
                <w:sz w:val="20"/>
              </w:rPr>
              <w:t>2.50647882</w:t>
            </w:r>
          </w:p>
        </w:tc>
        <w:tc>
          <w:tcPr>
            <w:tcW w:w="2286" w:type="dxa"/>
            <w:tcBorders>
              <w:top w:val="nil"/>
              <w:left w:val="nil"/>
              <w:bottom w:val="nil"/>
              <w:right w:val="nil"/>
            </w:tcBorders>
          </w:tcPr>
          <w:p>
            <w:pPr>
              <w:pStyle w:val="TableParagraph"/>
              <w:spacing w:before="1"/>
              <w:ind w:left="567" w:right="471"/>
              <w:jc w:val="center"/>
              <w:rPr>
                <w:sz w:val="20"/>
              </w:rPr>
            </w:pPr>
            <w:r>
              <w:rPr>
                <w:sz w:val="20"/>
              </w:rPr>
              <w:t>3.58503447</w:t>
            </w:r>
          </w:p>
        </w:tc>
        <w:tc>
          <w:tcPr>
            <w:tcW w:w="1884" w:type="dxa"/>
            <w:tcBorders>
              <w:top w:val="nil"/>
              <w:left w:val="nil"/>
              <w:bottom w:val="nil"/>
              <w:right w:val="nil"/>
            </w:tcBorders>
          </w:tcPr>
          <w:p>
            <w:pPr>
              <w:pStyle w:val="TableParagraph"/>
              <w:spacing w:before="1"/>
              <w:ind w:left="473" w:right="418"/>
              <w:jc w:val="center"/>
              <w:rPr>
                <w:sz w:val="20"/>
              </w:rPr>
            </w:pPr>
            <w:r>
              <w:rPr>
                <w:sz w:val="20"/>
              </w:rPr>
              <w:t>2.22519944</w:t>
            </w:r>
          </w:p>
        </w:tc>
      </w:tr>
      <w:tr>
        <w:trPr>
          <w:trHeight w:val="254" w:hRule="exact"/>
        </w:trPr>
        <w:tc>
          <w:tcPr>
            <w:tcW w:w="2351" w:type="dxa"/>
            <w:tcBorders>
              <w:top w:val="nil"/>
              <w:left w:val="nil"/>
              <w:bottom w:val="nil"/>
              <w:right w:val="nil"/>
            </w:tcBorders>
          </w:tcPr>
          <w:p>
            <w:pPr>
              <w:pStyle w:val="TableParagraph"/>
              <w:spacing w:before="1"/>
              <w:ind w:left="47"/>
              <w:jc w:val="center"/>
              <w:rPr>
                <w:sz w:val="20"/>
              </w:rPr>
            </w:pPr>
            <w:r>
              <w:rPr>
                <w:w w:val="99"/>
                <w:sz w:val="20"/>
              </w:rPr>
              <w:t>6</w:t>
            </w:r>
          </w:p>
        </w:tc>
        <w:tc>
          <w:tcPr>
            <w:tcW w:w="2319" w:type="dxa"/>
            <w:tcBorders>
              <w:top w:val="nil"/>
              <w:left w:val="nil"/>
              <w:bottom w:val="nil"/>
              <w:right w:val="nil"/>
            </w:tcBorders>
          </w:tcPr>
          <w:p>
            <w:pPr>
              <w:pStyle w:val="TableParagraph"/>
              <w:spacing w:before="1"/>
              <w:ind w:left="657" w:right="569"/>
              <w:jc w:val="center"/>
              <w:rPr>
                <w:sz w:val="20"/>
              </w:rPr>
            </w:pPr>
            <w:r>
              <w:rPr>
                <w:sz w:val="20"/>
              </w:rPr>
              <w:t>2.11040456</w:t>
            </w:r>
          </w:p>
        </w:tc>
        <w:tc>
          <w:tcPr>
            <w:tcW w:w="2286" w:type="dxa"/>
            <w:tcBorders>
              <w:top w:val="nil"/>
              <w:left w:val="nil"/>
              <w:bottom w:val="nil"/>
              <w:right w:val="nil"/>
            </w:tcBorders>
          </w:tcPr>
          <w:p>
            <w:pPr>
              <w:pStyle w:val="TableParagraph"/>
              <w:spacing w:before="1"/>
              <w:ind w:left="567" w:right="471"/>
              <w:jc w:val="center"/>
              <w:rPr>
                <w:sz w:val="20"/>
              </w:rPr>
            </w:pPr>
            <w:r>
              <w:rPr>
                <w:sz w:val="20"/>
              </w:rPr>
              <w:t>3.02762091</w:t>
            </w:r>
          </w:p>
        </w:tc>
        <w:tc>
          <w:tcPr>
            <w:tcW w:w="1884" w:type="dxa"/>
            <w:tcBorders>
              <w:top w:val="nil"/>
              <w:left w:val="nil"/>
              <w:bottom w:val="nil"/>
              <w:right w:val="nil"/>
            </w:tcBorders>
          </w:tcPr>
          <w:p>
            <w:pPr>
              <w:pStyle w:val="TableParagraph"/>
              <w:spacing w:before="1"/>
              <w:ind w:left="473" w:right="418"/>
              <w:jc w:val="center"/>
              <w:rPr>
                <w:sz w:val="20"/>
              </w:rPr>
            </w:pPr>
            <w:r>
              <w:rPr>
                <w:sz w:val="20"/>
              </w:rPr>
              <w:t>1.89454705</w:t>
            </w:r>
          </w:p>
        </w:tc>
      </w:tr>
      <w:tr>
        <w:trPr>
          <w:trHeight w:val="256" w:hRule="exact"/>
        </w:trPr>
        <w:tc>
          <w:tcPr>
            <w:tcW w:w="2351" w:type="dxa"/>
            <w:tcBorders>
              <w:top w:val="nil"/>
              <w:left w:val="nil"/>
              <w:bottom w:val="nil"/>
              <w:right w:val="nil"/>
            </w:tcBorders>
          </w:tcPr>
          <w:p>
            <w:pPr>
              <w:pStyle w:val="TableParagraph"/>
              <w:spacing w:before="1"/>
              <w:ind w:left="47"/>
              <w:jc w:val="center"/>
              <w:rPr>
                <w:sz w:val="20"/>
              </w:rPr>
            </w:pPr>
            <w:r>
              <w:rPr>
                <w:w w:val="99"/>
                <w:sz w:val="20"/>
              </w:rPr>
              <w:t>7</w:t>
            </w:r>
          </w:p>
        </w:tc>
        <w:tc>
          <w:tcPr>
            <w:tcW w:w="2319" w:type="dxa"/>
            <w:tcBorders>
              <w:top w:val="nil"/>
              <w:left w:val="nil"/>
              <w:bottom w:val="nil"/>
              <w:right w:val="nil"/>
            </w:tcBorders>
          </w:tcPr>
          <w:p>
            <w:pPr>
              <w:pStyle w:val="TableParagraph"/>
              <w:spacing w:before="1"/>
              <w:ind w:left="657" w:right="569"/>
              <w:jc w:val="center"/>
              <w:rPr>
                <w:sz w:val="20"/>
              </w:rPr>
            </w:pPr>
            <w:r>
              <w:rPr>
                <w:sz w:val="20"/>
              </w:rPr>
              <w:t>2.30371153</w:t>
            </w:r>
          </w:p>
        </w:tc>
        <w:tc>
          <w:tcPr>
            <w:tcW w:w="2286" w:type="dxa"/>
            <w:tcBorders>
              <w:top w:val="nil"/>
              <w:left w:val="nil"/>
              <w:bottom w:val="nil"/>
              <w:right w:val="nil"/>
            </w:tcBorders>
          </w:tcPr>
          <w:p>
            <w:pPr>
              <w:pStyle w:val="TableParagraph"/>
              <w:spacing w:before="1"/>
              <w:ind w:left="567" w:right="471"/>
              <w:jc w:val="center"/>
              <w:rPr>
                <w:sz w:val="20"/>
              </w:rPr>
            </w:pPr>
            <w:r>
              <w:rPr>
                <w:sz w:val="20"/>
              </w:rPr>
              <w:t>3.21195553</w:t>
            </w:r>
          </w:p>
        </w:tc>
        <w:tc>
          <w:tcPr>
            <w:tcW w:w="1884" w:type="dxa"/>
            <w:tcBorders>
              <w:top w:val="nil"/>
              <w:left w:val="nil"/>
              <w:bottom w:val="nil"/>
              <w:right w:val="nil"/>
            </w:tcBorders>
          </w:tcPr>
          <w:p>
            <w:pPr>
              <w:pStyle w:val="TableParagraph"/>
              <w:spacing w:before="1"/>
              <w:ind w:left="473" w:right="418"/>
              <w:jc w:val="center"/>
              <w:rPr>
                <w:sz w:val="20"/>
              </w:rPr>
            </w:pPr>
            <w:r>
              <w:rPr>
                <w:sz w:val="20"/>
              </w:rPr>
              <w:t>2.21570208</w:t>
            </w:r>
          </w:p>
        </w:tc>
      </w:tr>
      <w:tr>
        <w:trPr>
          <w:trHeight w:val="256" w:hRule="exact"/>
        </w:trPr>
        <w:tc>
          <w:tcPr>
            <w:tcW w:w="2351" w:type="dxa"/>
            <w:tcBorders>
              <w:top w:val="nil"/>
              <w:left w:val="nil"/>
              <w:bottom w:val="nil"/>
              <w:right w:val="nil"/>
            </w:tcBorders>
          </w:tcPr>
          <w:p>
            <w:pPr>
              <w:pStyle w:val="TableParagraph"/>
              <w:spacing w:before="2"/>
              <w:ind w:left="47"/>
              <w:jc w:val="center"/>
              <w:rPr>
                <w:sz w:val="20"/>
              </w:rPr>
            </w:pPr>
            <w:r>
              <w:rPr>
                <w:w w:val="99"/>
                <w:sz w:val="20"/>
              </w:rPr>
              <w:t>8</w:t>
            </w:r>
          </w:p>
        </w:tc>
        <w:tc>
          <w:tcPr>
            <w:tcW w:w="2319" w:type="dxa"/>
            <w:tcBorders>
              <w:top w:val="nil"/>
              <w:left w:val="nil"/>
              <w:bottom w:val="nil"/>
              <w:right w:val="nil"/>
            </w:tcBorders>
          </w:tcPr>
          <w:p>
            <w:pPr>
              <w:pStyle w:val="TableParagraph"/>
              <w:spacing w:before="2"/>
              <w:ind w:left="657" w:right="569"/>
              <w:jc w:val="center"/>
              <w:rPr>
                <w:sz w:val="20"/>
              </w:rPr>
            </w:pPr>
            <w:r>
              <w:rPr>
                <w:sz w:val="20"/>
              </w:rPr>
              <w:t>1.77825353</w:t>
            </w:r>
          </w:p>
        </w:tc>
        <w:tc>
          <w:tcPr>
            <w:tcW w:w="2286" w:type="dxa"/>
            <w:tcBorders>
              <w:top w:val="nil"/>
              <w:left w:val="nil"/>
              <w:bottom w:val="nil"/>
              <w:right w:val="nil"/>
            </w:tcBorders>
          </w:tcPr>
          <w:p>
            <w:pPr>
              <w:pStyle w:val="TableParagraph"/>
              <w:spacing w:before="2"/>
              <w:ind w:left="567" w:right="471"/>
              <w:jc w:val="center"/>
              <w:rPr>
                <w:sz w:val="20"/>
              </w:rPr>
            </w:pPr>
            <w:r>
              <w:rPr>
                <w:sz w:val="20"/>
              </w:rPr>
              <w:t>3.08457741</w:t>
            </w:r>
          </w:p>
        </w:tc>
        <w:tc>
          <w:tcPr>
            <w:tcW w:w="1884" w:type="dxa"/>
            <w:tcBorders>
              <w:top w:val="nil"/>
              <w:left w:val="nil"/>
              <w:bottom w:val="nil"/>
              <w:right w:val="nil"/>
            </w:tcBorders>
          </w:tcPr>
          <w:p>
            <w:pPr>
              <w:pStyle w:val="TableParagraph"/>
              <w:spacing w:before="2"/>
              <w:ind w:left="473" w:right="418"/>
              <w:jc w:val="center"/>
              <w:rPr>
                <w:sz w:val="20"/>
              </w:rPr>
            </w:pPr>
            <w:r>
              <w:rPr>
                <w:sz w:val="20"/>
              </w:rPr>
              <w:t>1.53421395</w:t>
            </w:r>
          </w:p>
        </w:tc>
      </w:tr>
      <w:tr>
        <w:trPr>
          <w:trHeight w:val="254" w:hRule="exact"/>
        </w:trPr>
        <w:tc>
          <w:tcPr>
            <w:tcW w:w="2351" w:type="dxa"/>
            <w:tcBorders>
              <w:top w:val="nil"/>
              <w:left w:val="nil"/>
              <w:bottom w:val="nil"/>
              <w:right w:val="nil"/>
            </w:tcBorders>
          </w:tcPr>
          <w:p>
            <w:pPr>
              <w:pStyle w:val="TableParagraph"/>
              <w:spacing w:before="1"/>
              <w:ind w:left="47"/>
              <w:jc w:val="center"/>
              <w:rPr>
                <w:sz w:val="20"/>
              </w:rPr>
            </w:pPr>
            <w:r>
              <w:rPr>
                <w:w w:val="99"/>
                <w:sz w:val="20"/>
              </w:rPr>
              <w:t>9</w:t>
            </w:r>
          </w:p>
        </w:tc>
        <w:tc>
          <w:tcPr>
            <w:tcW w:w="2319" w:type="dxa"/>
            <w:tcBorders>
              <w:top w:val="nil"/>
              <w:left w:val="nil"/>
              <w:bottom w:val="nil"/>
              <w:right w:val="nil"/>
            </w:tcBorders>
          </w:tcPr>
          <w:p>
            <w:pPr>
              <w:pStyle w:val="TableParagraph"/>
              <w:spacing w:before="1"/>
              <w:ind w:left="657" w:right="569"/>
              <w:jc w:val="center"/>
              <w:rPr>
                <w:sz w:val="20"/>
              </w:rPr>
            </w:pPr>
            <w:r>
              <w:rPr>
                <w:sz w:val="20"/>
              </w:rPr>
              <w:t>2.45220011</w:t>
            </w:r>
          </w:p>
        </w:tc>
        <w:tc>
          <w:tcPr>
            <w:tcW w:w="2286" w:type="dxa"/>
            <w:tcBorders>
              <w:top w:val="nil"/>
              <w:left w:val="nil"/>
              <w:bottom w:val="nil"/>
              <w:right w:val="nil"/>
            </w:tcBorders>
          </w:tcPr>
          <w:p>
            <w:pPr>
              <w:pStyle w:val="TableParagraph"/>
              <w:spacing w:before="1"/>
              <w:ind w:left="567" w:right="471"/>
              <w:jc w:val="center"/>
              <w:rPr>
                <w:sz w:val="20"/>
              </w:rPr>
            </w:pPr>
            <w:r>
              <w:rPr>
                <w:sz w:val="20"/>
              </w:rPr>
              <w:t>3.30346573</w:t>
            </w:r>
          </w:p>
        </w:tc>
        <w:tc>
          <w:tcPr>
            <w:tcW w:w="1884" w:type="dxa"/>
            <w:tcBorders>
              <w:top w:val="nil"/>
              <w:left w:val="nil"/>
              <w:bottom w:val="nil"/>
              <w:right w:val="nil"/>
            </w:tcBorders>
          </w:tcPr>
          <w:p>
            <w:pPr>
              <w:pStyle w:val="TableParagraph"/>
              <w:spacing w:before="1"/>
              <w:ind w:left="473" w:right="418"/>
              <w:jc w:val="center"/>
              <w:rPr>
                <w:sz w:val="20"/>
              </w:rPr>
            </w:pPr>
            <w:r>
              <w:rPr>
                <w:sz w:val="20"/>
              </w:rPr>
              <w:t>2.1442513</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10</w:t>
            </w:r>
          </w:p>
        </w:tc>
        <w:tc>
          <w:tcPr>
            <w:tcW w:w="2319" w:type="dxa"/>
            <w:tcBorders>
              <w:top w:val="nil"/>
              <w:left w:val="nil"/>
              <w:bottom w:val="nil"/>
              <w:right w:val="nil"/>
            </w:tcBorders>
          </w:tcPr>
          <w:p>
            <w:pPr>
              <w:pStyle w:val="TableParagraph"/>
              <w:spacing w:before="1"/>
              <w:ind w:left="657" w:right="569"/>
              <w:jc w:val="center"/>
              <w:rPr>
                <w:sz w:val="20"/>
              </w:rPr>
            </w:pPr>
            <w:r>
              <w:rPr>
                <w:sz w:val="20"/>
              </w:rPr>
              <w:t>3.1508531</w:t>
            </w:r>
          </w:p>
        </w:tc>
        <w:tc>
          <w:tcPr>
            <w:tcW w:w="2286" w:type="dxa"/>
            <w:tcBorders>
              <w:top w:val="nil"/>
              <w:left w:val="nil"/>
              <w:bottom w:val="nil"/>
              <w:right w:val="nil"/>
            </w:tcBorders>
          </w:tcPr>
          <w:p>
            <w:pPr>
              <w:pStyle w:val="TableParagraph"/>
              <w:spacing w:before="1"/>
              <w:ind w:left="567" w:right="471"/>
              <w:jc w:val="center"/>
              <w:rPr>
                <w:sz w:val="20"/>
              </w:rPr>
            </w:pPr>
            <w:r>
              <w:rPr>
                <w:sz w:val="20"/>
              </w:rPr>
              <w:t>4.07079537</w:t>
            </w:r>
          </w:p>
        </w:tc>
        <w:tc>
          <w:tcPr>
            <w:tcW w:w="1884" w:type="dxa"/>
            <w:tcBorders>
              <w:top w:val="nil"/>
              <w:left w:val="nil"/>
              <w:bottom w:val="nil"/>
              <w:right w:val="nil"/>
            </w:tcBorders>
          </w:tcPr>
          <w:p>
            <w:pPr>
              <w:pStyle w:val="TableParagraph"/>
              <w:spacing w:before="1"/>
              <w:ind w:left="474" w:right="417"/>
              <w:jc w:val="center"/>
              <w:rPr>
                <w:sz w:val="20"/>
              </w:rPr>
            </w:pPr>
            <w:r>
              <w:rPr>
                <w:sz w:val="20"/>
              </w:rPr>
              <w:t>3.02587445</w:t>
            </w:r>
          </w:p>
        </w:tc>
      </w:tr>
      <w:tr>
        <w:trPr>
          <w:trHeight w:val="256"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11</w:t>
            </w:r>
          </w:p>
        </w:tc>
        <w:tc>
          <w:tcPr>
            <w:tcW w:w="2319" w:type="dxa"/>
            <w:tcBorders>
              <w:top w:val="nil"/>
              <w:left w:val="nil"/>
              <w:bottom w:val="nil"/>
              <w:right w:val="nil"/>
            </w:tcBorders>
          </w:tcPr>
          <w:p>
            <w:pPr>
              <w:pStyle w:val="TableParagraph"/>
              <w:spacing w:before="1"/>
              <w:ind w:left="657" w:right="569"/>
              <w:jc w:val="center"/>
              <w:rPr>
                <w:sz w:val="20"/>
              </w:rPr>
            </w:pPr>
            <w:r>
              <w:rPr>
                <w:sz w:val="20"/>
              </w:rPr>
              <w:t>2.5971797</w:t>
            </w:r>
          </w:p>
        </w:tc>
        <w:tc>
          <w:tcPr>
            <w:tcW w:w="2286" w:type="dxa"/>
            <w:tcBorders>
              <w:top w:val="nil"/>
              <w:left w:val="nil"/>
              <w:bottom w:val="nil"/>
              <w:right w:val="nil"/>
            </w:tcBorders>
          </w:tcPr>
          <w:p>
            <w:pPr>
              <w:pStyle w:val="TableParagraph"/>
              <w:spacing w:before="1"/>
              <w:ind w:left="567" w:right="471"/>
              <w:jc w:val="center"/>
              <w:rPr>
                <w:sz w:val="20"/>
              </w:rPr>
            </w:pPr>
            <w:r>
              <w:rPr>
                <w:sz w:val="20"/>
              </w:rPr>
              <w:t>3.53259031</w:t>
            </w:r>
          </w:p>
        </w:tc>
        <w:tc>
          <w:tcPr>
            <w:tcW w:w="1884" w:type="dxa"/>
            <w:tcBorders>
              <w:top w:val="nil"/>
              <w:left w:val="nil"/>
              <w:bottom w:val="nil"/>
              <w:right w:val="nil"/>
            </w:tcBorders>
          </w:tcPr>
          <w:p>
            <w:pPr>
              <w:pStyle w:val="TableParagraph"/>
              <w:spacing w:before="1"/>
              <w:ind w:left="473" w:right="418"/>
              <w:jc w:val="center"/>
              <w:rPr>
                <w:sz w:val="20"/>
              </w:rPr>
            </w:pPr>
            <w:r>
              <w:rPr>
                <w:sz w:val="20"/>
              </w:rPr>
              <w:t>2.37961442</w:t>
            </w:r>
          </w:p>
        </w:tc>
      </w:tr>
      <w:tr>
        <w:trPr>
          <w:trHeight w:val="256" w:hRule="exact"/>
        </w:trPr>
        <w:tc>
          <w:tcPr>
            <w:tcW w:w="2351" w:type="dxa"/>
            <w:tcBorders>
              <w:top w:val="nil"/>
              <w:left w:val="nil"/>
              <w:bottom w:val="nil"/>
              <w:right w:val="nil"/>
            </w:tcBorders>
          </w:tcPr>
          <w:p>
            <w:pPr>
              <w:pStyle w:val="TableParagraph"/>
              <w:spacing w:before="2"/>
              <w:ind w:left="706" w:right="658"/>
              <w:jc w:val="center"/>
              <w:rPr>
                <w:sz w:val="20"/>
              </w:rPr>
            </w:pPr>
            <w:r>
              <w:rPr>
                <w:sz w:val="20"/>
              </w:rPr>
              <w:t>12</w:t>
            </w:r>
          </w:p>
        </w:tc>
        <w:tc>
          <w:tcPr>
            <w:tcW w:w="2319" w:type="dxa"/>
            <w:tcBorders>
              <w:top w:val="nil"/>
              <w:left w:val="nil"/>
              <w:bottom w:val="nil"/>
              <w:right w:val="nil"/>
            </w:tcBorders>
          </w:tcPr>
          <w:p>
            <w:pPr>
              <w:pStyle w:val="TableParagraph"/>
              <w:spacing w:before="2"/>
              <w:ind w:left="657" w:right="569"/>
              <w:jc w:val="center"/>
              <w:rPr>
                <w:sz w:val="20"/>
              </w:rPr>
            </w:pPr>
            <w:r>
              <w:rPr>
                <w:sz w:val="20"/>
              </w:rPr>
              <w:t>2.43412702</w:t>
            </w:r>
          </w:p>
        </w:tc>
        <w:tc>
          <w:tcPr>
            <w:tcW w:w="2286" w:type="dxa"/>
            <w:tcBorders>
              <w:top w:val="nil"/>
              <w:left w:val="nil"/>
              <w:bottom w:val="nil"/>
              <w:right w:val="nil"/>
            </w:tcBorders>
          </w:tcPr>
          <w:p>
            <w:pPr>
              <w:pStyle w:val="TableParagraph"/>
              <w:spacing w:before="2"/>
              <w:ind w:left="567" w:right="471"/>
              <w:jc w:val="center"/>
              <w:rPr>
                <w:sz w:val="20"/>
              </w:rPr>
            </w:pPr>
            <w:r>
              <w:rPr>
                <w:sz w:val="20"/>
              </w:rPr>
              <w:t>2.99484181</w:t>
            </w:r>
          </w:p>
        </w:tc>
        <w:tc>
          <w:tcPr>
            <w:tcW w:w="1884" w:type="dxa"/>
            <w:tcBorders>
              <w:top w:val="nil"/>
              <w:left w:val="nil"/>
              <w:bottom w:val="nil"/>
              <w:right w:val="nil"/>
            </w:tcBorders>
          </w:tcPr>
          <w:p>
            <w:pPr>
              <w:pStyle w:val="TableParagraph"/>
              <w:spacing w:before="2"/>
              <w:ind w:left="473" w:right="418"/>
              <w:jc w:val="center"/>
              <w:rPr>
                <w:sz w:val="20"/>
              </w:rPr>
            </w:pPr>
            <w:r>
              <w:rPr>
                <w:sz w:val="20"/>
              </w:rPr>
              <w:t>2.32466679</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13</w:t>
            </w:r>
          </w:p>
        </w:tc>
        <w:tc>
          <w:tcPr>
            <w:tcW w:w="2319" w:type="dxa"/>
            <w:tcBorders>
              <w:top w:val="nil"/>
              <w:left w:val="nil"/>
              <w:bottom w:val="nil"/>
              <w:right w:val="nil"/>
            </w:tcBorders>
          </w:tcPr>
          <w:p>
            <w:pPr>
              <w:pStyle w:val="TableParagraph"/>
              <w:spacing w:before="1"/>
              <w:ind w:left="657" w:right="569"/>
              <w:jc w:val="center"/>
              <w:rPr>
                <w:sz w:val="20"/>
              </w:rPr>
            </w:pPr>
            <w:r>
              <w:rPr>
                <w:sz w:val="20"/>
              </w:rPr>
              <w:t>2.60764454</w:t>
            </w:r>
          </w:p>
        </w:tc>
        <w:tc>
          <w:tcPr>
            <w:tcW w:w="2286" w:type="dxa"/>
            <w:tcBorders>
              <w:top w:val="nil"/>
              <w:left w:val="nil"/>
              <w:bottom w:val="nil"/>
              <w:right w:val="nil"/>
            </w:tcBorders>
          </w:tcPr>
          <w:p>
            <w:pPr>
              <w:pStyle w:val="TableParagraph"/>
              <w:spacing w:before="1"/>
              <w:ind w:left="567" w:right="471"/>
              <w:jc w:val="center"/>
              <w:rPr>
                <w:sz w:val="20"/>
              </w:rPr>
            </w:pPr>
            <w:r>
              <w:rPr>
                <w:sz w:val="20"/>
              </w:rPr>
              <w:t>3.09289621</w:t>
            </w:r>
          </w:p>
        </w:tc>
        <w:tc>
          <w:tcPr>
            <w:tcW w:w="1884" w:type="dxa"/>
            <w:tcBorders>
              <w:top w:val="nil"/>
              <w:left w:val="nil"/>
              <w:bottom w:val="nil"/>
              <w:right w:val="nil"/>
            </w:tcBorders>
          </w:tcPr>
          <w:p>
            <w:pPr>
              <w:pStyle w:val="TableParagraph"/>
              <w:spacing w:before="1"/>
              <w:ind w:left="473" w:right="418"/>
              <w:jc w:val="center"/>
              <w:rPr>
                <w:sz w:val="20"/>
              </w:rPr>
            </w:pPr>
            <w:r>
              <w:rPr>
                <w:sz w:val="20"/>
              </w:rPr>
              <w:t>2.34331511</w:t>
            </w:r>
          </w:p>
        </w:tc>
      </w:tr>
      <w:tr>
        <w:trPr>
          <w:trHeight w:val="255"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14</w:t>
            </w:r>
          </w:p>
        </w:tc>
        <w:tc>
          <w:tcPr>
            <w:tcW w:w="2319" w:type="dxa"/>
            <w:tcBorders>
              <w:top w:val="nil"/>
              <w:left w:val="nil"/>
              <w:bottom w:val="nil"/>
              <w:right w:val="nil"/>
            </w:tcBorders>
          </w:tcPr>
          <w:p>
            <w:pPr>
              <w:pStyle w:val="TableParagraph"/>
              <w:spacing w:before="1"/>
              <w:ind w:left="657" w:right="569"/>
              <w:jc w:val="center"/>
              <w:rPr>
                <w:sz w:val="20"/>
              </w:rPr>
            </w:pPr>
            <w:r>
              <w:rPr>
                <w:sz w:val="20"/>
              </w:rPr>
              <w:t>2.15810071</w:t>
            </w:r>
          </w:p>
        </w:tc>
        <w:tc>
          <w:tcPr>
            <w:tcW w:w="2286" w:type="dxa"/>
            <w:tcBorders>
              <w:top w:val="nil"/>
              <w:left w:val="nil"/>
              <w:bottom w:val="nil"/>
              <w:right w:val="nil"/>
            </w:tcBorders>
          </w:tcPr>
          <w:p>
            <w:pPr>
              <w:pStyle w:val="TableParagraph"/>
              <w:spacing w:before="1"/>
              <w:ind w:left="567" w:right="471"/>
              <w:jc w:val="center"/>
              <w:rPr>
                <w:sz w:val="20"/>
              </w:rPr>
            </w:pPr>
            <w:r>
              <w:rPr>
                <w:sz w:val="20"/>
              </w:rPr>
              <w:t>2.87445831</w:t>
            </w:r>
          </w:p>
        </w:tc>
        <w:tc>
          <w:tcPr>
            <w:tcW w:w="1884" w:type="dxa"/>
            <w:tcBorders>
              <w:top w:val="nil"/>
              <w:left w:val="nil"/>
              <w:bottom w:val="nil"/>
              <w:right w:val="nil"/>
            </w:tcBorders>
          </w:tcPr>
          <w:p>
            <w:pPr>
              <w:pStyle w:val="TableParagraph"/>
              <w:spacing w:before="1"/>
              <w:ind w:left="473" w:right="418"/>
              <w:jc w:val="center"/>
              <w:rPr>
                <w:sz w:val="20"/>
              </w:rPr>
            </w:pPr>
            <w:r>
              <w:rPr>
                <w:sz w:val="20"/>
              </w:rPr>
              <w:t>2.0804116</w:t>
            </w:r>
          </w:p>
        </w:tc>
      </w:tr>
      <w:tr>
        <w:trPr>
          <w:trHeight w:val="256"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15</w:t>
            </w:r>
          </w:p>
        </w:tc>
        <w:tc>
          <w:tcPr>
            <w:tcW w:w="2319" w:type="dxa"/>
            <w:tcBorders>
              <w:top w:val="nil"/>
              <w:left w:val="nil"/>
              <w:bottom w:val="nil"/>
              <w:right w:val="nil"/>
            </w:tcBorders>
          </w:tcPr>
          <w:p>
            <w:pPr>
              <w:pStyle w:val="TableParagraph"/>
              <w:spacing w:before="1"/>
              <w:ind w:left="657" w:right="569"/>
              <w:jc w:val="center"/>
              <w:rPr>
                <w:sz w:val="20"/>
              </w:rPr>
            </w:pPr>
            <w:r>
              <w:rPr>
                <w:sz w:val="20"/>
              </w:rPr>
              <w:t>1.94749999</w:t>
            </w:r>
          </w:p>
        </w:tc>
        <w:tc>
          <w:tcPr>
            <w:tcW w:w="2286" w:type="dxa"/>
            <w:tcBorders>
              <w:top w:val="nil"/>
              <w:left w:val="nil"/>
              <w:bottom w:val="nil"/>
              <w:right w:val="nil"/>
            </w:tcBorders>
          </w:tcPr>
          <w:p>
            <w:pPr>
              <w:pStyle w:val="TableParagraph"/>
              <w:spacing w:before="1"/>
              <w:ind w:left="567" w:right="471"/>
              <w:jc w:val="center"/>
              <w:rPr>
                <w:sz w:val="20"/>
              </w:rPr>
            </w:pPr>
            <w:r>
              <w:rPr>
                <w:sz w:val="20"/>
              </w:rPr>
              <w:t>2.71840388</w:t>
            </w:r>
          </w:p>
        </w:tc>
        <w:tc>
          <w:tcPr>
            <w:tcW w:w="1884" w:type="dxa"/>
            <w:tcBorders>
              <w:top w:val="nil"/>
              <w:left w:val="nil"/>
              <w:bottom w:val="nil"/>
              <w:right w:val="nil"/>
            </w:tcBorders>
          </w:tcPr>
          <w:p>
            <w:pPr>
              <w:pStyle w:val="TableParagraph"/>
              <w:spacing w:before="1"/>
              <w:ind w:left="473" w:right="418"/>
              <w:jc w:val="center"/>
              <w:rPr>
                <w:sz w:val="20"/>
              </w:rPr>
            </w:pPr>
            <w:r>
              <w:rPr>
                <w:sz w:val="20"/>
              </w:rPr>
              <w:t>1.75307574</w:t>
            </w:r>
          </w:p>
        </w:tc>
      </w:tr>
      <w:tr>
        <w:trPr>
          <w:trHeight w:val="256" w:hRule="exact"/>
        </w:trPr>
        <w:tc>
          <w:tcPr>
            <w:tcW w:w="2351" w:type="dxa"/>
            <w:tcBorders>
              <w:top w:val="nil"/>
              <w:left w:val="nil"/>
              <w:bottom w:val="nil"/>
              <w:right w:val="nil"/>
            </w:tcBorders>
          </w:tcPr>
          <w:p>
            <w:pPr>
              <w:pStyle w:val="TableParagraph"/>
              <w:spacing w:before="2"/>
              <w:ind w:left="706" w:right="658"/>
              <w:jc w:val="center"/>
              <w:rPr>
                <w:sz w:val="20"/>
              </w:rPr>
            </w:pPr>
            <w:r>
              <w:rPr>
                <w:sz w:val="20"/>
              </w:rPr>
              <w:t>16</w:t>
            </w:r>
          </w:p>
        </w:tc>
        <w:tc>
          <w:tcPr>
            <w:tcW w:w="2319" w:type="dxa"/>
            <w:tcBorders>
              <w:top w:val="nil"/>
              <w:left w:val="nil"/>
              <w:bottom w:val="nil"/>
              <w:right w:val="nil"/>
            </w:tcBorders>
          </w:tcPr>
          <w:p>
            <w:pPr>
              <w:pStyle w:val="TableParagraph"/>
              <w:spacing w:before="2"/>
              <w:ind w:left="657" w:right="569"/>
              <w:jc w:val="center"/>
              <w:rPr>
                <w:sz w:val="20"/>
              </w:rPr>
            </w:pPr>
            <w:r>
              <w:rPr>
                <w:sz w:val="20"/>
              </w:rPr>
              <w:t>2.73744439</w:t>
            </w:r>
          </w:p>
        </w:tc>
        <w:tc>
          <w:tcPr>
            <w:tcW w:w="2286" w:type="dxa"/>
            <w:tcBorders>
              <w:top w:val="nil"/>
              <w:left w:val="nil"/>
              <w:bottom w:val="nil"/>
              <w:right w:val="nil"/>
            </w:tcBorders>
          </w:tcPr>
          <w:p>
            <w:pPr>
              <w:pStyle w:val="TableParagraph"/>
              <w:spacing w:before="2"/>
              <w:ind w:left="567" w:right="471"/>
              <w:jc w:val="center"/>
              <w:rPr>
                <w:sz w:val="20"/>
              </w:rPr>
            </w:pPr>
            <w:r>
              <w:rPr>
                <w:sz w:val="20"/>
              </w:rPr>
              <w:t>4.10186041</w:t>
            </w:r>
          </w:p>
        </w:tc>
        <w:tc>
          <w:tcPr>
            <w:tcW w:w="1884" w:type="dxa"/>
            <w:tcBorders>
              <w:top w:val="nil"/>
              <w:left w:val="nil"/>
              <w:bottom w:val="nil"/>
              <w:right w:val="nil"/>
            </w:tcBorders>
          </w:tcPr>
          <w:p>
            <w:pPr>
              <w:pStyle w:val="TableParagraph"/>
              <w:spacing w:before="2"/>
              <w:ind w:left="473" w:right="418"/>
              <w:jc w:val="center"/>
              <w:rPr>
                <w:sz w:val="20"/>
              </w:rPr>
            </w:pPr>
            <w:r>
              <w:rPr>
                <w:sz w:val="20"/>
              </w:rPr>
              <w:t>2.45992569</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17</w:t>
            </w:r>
          </w:p>
        </w:tc>
        <w:tc>
          <w:tcPr>
            <w:tcW w:w="2319" w:type="dxa"/>
            <w:tcBorders>
              <w:top w:val="nil"/>
              <w:left w:val="nil"/>
              <w:bottom w:val="nil"/>
              <w:right w:val="nil"/>
            </w:tcBorders>
          </w:tcPr>
          <w:p>
            <w:pPr>
              <w:pStyle w:val="TableParagraph"/>
              <w:spacing w:before="1"/>
              <w:ind w:left="657" w:right="569"/>
              <w:jc w:val="center"/>
              <w:rPr>
                <w:sz w:val="20"/>
              </w:rPr>
            </w:pPr>
            <w:r>
              <w:rPr>
                <w:sz w:val="20"/>
              </w:rPr>
              <w:t>2.99364299</w:t>
            </w:r>
          </w:p>
        </w:tc>
        <w:tc>
          <w:tcPr>
            <w:tcW w:w="2286" w:type="dxa"/>
            <w:tcBorders>
              <w:top w:val="nil"/>
              <w:left w:val="nil"/>
              <w:bottom w:val="nil"/>
              <w:right w:val="nil"/>
            </w:tcBorders>
          </w:tcPr>
          <w:p>
            <w:pPr>
              <w:pStyle w:val="TableParagraph"/>
              <w:spacing w:before="1"/>
              <w:ind w:left="567" w:right="471"/>
              <w:jc w:val="center"/>
              <w:rPr>
                <w:sz w:val="20"/>
              </w:rPr>
            </w:pPr>
            <w:r>
              <w:rPr>
                <w:sz w:val="20"/>
              </w:rPr>
              <w:t>4.00458498</w:t>
            </w:r>
          </w:p>
        </w:tc>
        <w:tc>
          <w:tcPr>
            <w:tcW w:w="1884" w:type="dxa"/>
            <w:tcBorders>
              <w:top w:val="nil"/>
              <w:left w:val="nil"/>
              <w:bottom w:val="nil"/>
              <w:right w:val="nil"/>
            </w:tcBorders>
          </w:tcPr>
          <w:p>
            <w:pPr>
              <w:pStyle w:val="TableParagraph"/>
              <w:spacing w:before="1"/>
              <w:ind w:left="474" w:right="418"/>
              <w:jc w:val="center"/>
              <w:rPr>
                <w:sz w:val="20"/>
              </w:rPr>
            </w:pPr>
            <w:r>
              <w:rPr>
                <w:sz w:val="20"/>
              </w:rPr>
              <w:t>2.83165645</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18</w:t>
            </w:r>
          </w:p>
        </w:tc>
        <w:tc>
          <w:tcPr>
            <w:tcW w:w="2319" w:type="dxa"/>
            <w:tcBorders>
              <w:top w:val="nil"/>
              <w:left w:val="nil"/>
              <w:bottom w:val="nil"/>
              <w:right w:val="nil"/>
            </w:tcBorders>
          </w:tcPr>
          <w:p>
            <w:pPr>
              <w:pStyle w:val="TableParagraph"/>
              <w:spacing w:before="1"/>
              <w:ind w:left="657" w:right="569"/>
              <w:jc w:val="center"/>
              <w:rPr>
                <w:sz w:val="20"/>
              </w:rPr>
            </w:pPr>
            <w:r>
              <w:rPr>
                <w:sz w:val="20"/>
              </w:rPr>
              <w:t>2.56471485</w:t>
            </w:r>
          </w:p>
        </w:tc>
        <w:tc>
          <w:tcPr>
            <w:tcW w:w="2286" w:type="dxa"/>
            <w:tcBorders>
              <w:top w:val="nil"/>
              <w:left w:val="nil"/>
              <w:bottom w:val="nil"/>
              <w:right w:val="nil"/>
            </w:tcBorders>
          </w:tcPr>
          <w:p>
            <w:pPr>
              <w:pStyle w:val="TableParagraph"/>
              <w:spacing w:before="1"/>
              <w:ind w:left="567" w:right="471"/>
              <w:jc w:val="center"/>
              <w:rPr>
                <w:sz w:val="20"/>
              </w:rPr>
            </w:pPr>
            <w:r>
              <w:rPr>
                <w:sz w:val="20"/>
              </w:rPr>
              <w:t>3.75526336</w:t>
            </w:r>
          </w:p>
        </w:tc>
        <w:tc>
          <w:tcPr>
            <w:tcW w:w="1884" w:type="dxa"/>
            <w:tcBorders>
              <w:top w:val="nil"/>
              <w:left w:val="nil"/>
              <w:bottom w:val="nil"/>
              <w:right w:val="nil"/>
            </w:tcBorders>
          </w:tcPr>
          <w:p>
            <w:pPr>
              <w:pStyle w:val="TableParagraph"/>
              <w:spacing w:before="1"/>
              <w:ind w:left="473" w:right="418"/>
              <w:jc w:val="center"/>
              <w:rPr>
                <w:sz w:val="20"/>
              </w:rPr>
            </w:pPr>
            <w:r>
              <w:rPr>
                <w:sz w:val="20"/>
              </w:rPr>
              <w:t>2.40477305</w:t>
            </w:r>
          </w:p>
        </w:tc>
      </w:tr>
      <w:tr>
        <w:trPr>
          <w:trHeight w:val="256"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19</w:t>
            </w:r>
          </w:p>
        </w:tc>
        <w:tc>
          <w:tcPr>
            <w:tcW w:w="2319" w:type="dxa"/>
            <w:tcBorders>
              <w:top w:val="nil"/>
              <w:left w:val="nil"/>
              <w:bottom w:val="nil"/>
              <w:right w:val="nil"/>
            </w:tcBorders>
          </w:tcPr>
          <w:p>
            <w:pPr>
              <w:pStyle w:val="TableParagraph"/>
              <w:spacing w:before="1"/>
              <w:ind w:left="657" w:right="569"/>
              <w:jc w:val="center"/>
              <w:rPr>
                <w:sz w:val="20"/>
              </w:rPr>
            </w:pPr>
            <w:r>
              <w:rPr>
                <w:sz w:val="20"/>
              </w:rPr>
              <w:t>1.82801153</w:t>
            </w:r>
          </w:p>
        </w:tc>
        <w:tc>
          <w:tcPr>
            <w:tcW w:w="2286" w:type="dxa"/>
            <w:tcBorders>
              <w:top w:val="nil"/>
              <w:left w:val="nil"/>
              <w:bottom w:val="nil"/>
              <w:right w:val="nil"/>
            </w:tcBorders>
          </w:tcPr>
          <w:p>
            <w:pPr>
              <w:pStyle w:val="TableParagraph"/>
              <w:spacing w:before="1"/>
              <w:ind w:left="567" w:right="471"/>
              <w:jc w:val="center"/>
              <w:rPr>
                <w:sz w:val="20"/>
              </w:rPr>
            </w:pPr>
            <w:r>
              <w:rPr>
                <w:sz w:val="20"/>
              </w:rPr>
              <w:t>2.51704069</w:t>
            </w:r>
          </w:p>
        </w:tc>
        <w:tc>
          <w:tcPr>
            <w:tcW w:w="1884" w:type="dxa"/>
            <w:tcBorders>
              <w:top w:val="nil"/>
              <w:left w:val="nil"/>
              <w:bottom w:val="nil"/>
              <w:right w:val="nil"/>
            </w:tcBorders>
          </w:tcPr>
          <w:p>
            <w:pPr>
              <w:pStyle w:val="TableParagraph"/>
              <w:spacing w:before="1"/>
              <w:ind w:left="473" w:right="418"/>
              <w:jc w:val="center"/>
              <w:rPr>
                <w:sz w:val="20"/>
              </w:rPr>
            </w:pPr>
            <w:r>
              <w:rPr>
                <w:sz w:val="20"/>
              </w:rPr>
              <w:t>1.62416482</w:t>
            </w:r>
          </w:p>
        </w:tc>
      </w:tr>
      <w:tr>
        <w:trPr>
          <w:trHeight w:val="256" w:hRule="exact"/>
        </w:trPr>
        <w:tc>
          <w:tcPr>
            <w:tcW w:w="2351" w:type="dxa"/>
            <w:tcBorders>
              <w:top w:val="nil"/>
              <w:left w:val="nil"/>
              <w:bottom w:val="nil"/>
              <w:right w:val="nil"/>
            </w:tcBorders>
          </w:tcPr>
          <w:p>
            <w:pPr>
              <w:pStyle w:val="TableParagraph"/>
              <w:spacing w:before="2"/>
              <w:ind w:left="706" w:right="658"/>
              <w:jc w:val="center"/>
              <w:rPr>
                <w:sz w:val="20"/>
              </w:rPr>
            </w:pPr>
            <w:r>
              <w:rPr>
                <w:sz w:val="20"/>
              </w:rPr>
              <w:t>20</w:t>
            </w:r>
          </w:p>
        </w:tc>
        <w:tc>
          <w:tcPr>
            <w:tcW w:w="2319" w:type="dxa"/>
            <w:tcBorders>
              <w:top w:val="nil"/>
              <w:left w:val="nil"/>
              <w:bottom w:val="nil"/>
              <w:right w:val="nil"/>
            </w:tcBorders>
          </w:tcPr>
          <w:p>
            <w:pPr>
              <w:pStyle w:val="TableParagraph"/>
              <w:spacing w:before="2"/>
              <w:ind w:left="657" w:right="569"/>
              <w:jc w:val="center"/>
              <w:rPr>
                <w:sz w:val="20"/>
              </w:rPr>
            </w:pPr>
            <w:r>
              <w:rPr>
                <w:sz w:val="20"/>
              </w:rPr>
              <w:t>1.93773828</w:t>
            </w:r>
          </w:p>
        </w:tc>
        <w:tc>
          <w:tcPr>
            <w:tcW w:w="2286" w:type="dxa"/>
            <w:tcBorders>
              <w:top w:val="nil"/>
              <w:left w:val="nil"/>
              <w:bottom w:val="nil"/>
              <w:right w:val="nil"/>
            </w:tcBorders>
          </w:tcPr>
          <w:p>
            <w:pPr>
              <w:pStyle w:val="TableParagraph"/>
              <w:spacing w:before="2"/>
              <w:ind w:left="567" w:right="471"/>
              <w:jc w:val="center"/>
              <w:rPr>
                <w:sz w:val="20"/>
              </w:rPr>
            </w:pPr>
            <w:r>
              <w:rPr>
                <w:sz w:val="20"/>
              </w:rPr>
              <w:t>3.10972911</w:t>
            </w:r>
          </w:p>
        </w:tc>
        <w:tc>
          <w:tcPr>
            <w:tcW w:w="1884" w:type="dxa"/>
            <w:tcBorders>
              <w:top w:val="nil"/>
              <w:left w:val="nil"/>
              <w:bottom w:val="nil"/>
              <w:right w:val="nil"/>
            </w:tcBorders>
          </w:tcPr>
          <w:p>
            <w:pPr>
              <w:pStyle w:val="TableParagraph"/>
              <w:spacing w:before="2"/>
              <w:ind w:left="473" w:right="418"/>
              <w:jc w:val="center"/>
              <w:rPr>
                <w:sz w:val="20"/>
              </w:rPr>
            </w:pPr>
            <w:r>
              <w:rPr>
                <w:sz w:val="20"/>
              </w:rPr>
              <w:t>1.64918475</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21</w:t>
            </w:r>
          </w:p>
        </w:tc>
        <w:tc>
          <w:tcPr>
            <w:tcW w:w="2319" w:type="dxa"/>
            <w:tcBorders>
              <w:top w:val="nil"/>
              <w:left w:val="nil"/>
              <w:bottom w:val="nil"/>
              <w:right w:val="nil"/>
            </w:tcBorders>
          </w:tcPr>
          <w:p>
            <w:pPr>
              <w:pStyle w:val="TableParagraph"/>
              <w:spacing w:before="1"/>
              <w:ind w:left="657" w:right="569"/>
              <w:jc w:val="center"/>
              <w:rPr>
                <w:sz w:val="20"/>
              </w:rPr>
            </w:pPr>
            <w:r>
              <w:rPr>
                <w:sz w:val="20"/>
              </w:rPr>
              <w:t>2.07803566</w:t>
            </w:r>
          </w:p>
        </w:tc>
        <w:tc>
          <w:tcPr>
            <w:tcW w:w="2286" w:type="dxa"/>
            <w:tcBorders>
              <w:top w:val="nil"/>
              <w:left w:val="nil"/>
              <w:bottom w:val="nil"/>
              <w:right w:val="nil"/>
            </w:tcBorders>
          </w:tcPr>
          <w:p>
            <w:pPr>
              <w:pStyle w:val="TableParagraph"/>
              <w:spacing w:before="1"/>
              <w:ind w:left="567" w:right="471"/>
              <w:jc w:val="center"/>
              <w:rPr>
                <w:sz w:val="20"/>
              </w:rPr>
            </w:pPr>
            <w:r>
              <w:rPr>
                <w:sz w:val="20"/>
              </w:rPr>
              <w:t>2.95667832</w:t>
            </w:r>
          </w:p>
        </w:tc>
        <w:tc>
          <w:tcPr>
            <w:tcW w:w="1884" w:type="dxa"/>
            <w:tcBorders>
              <w:top w:val="nil"/>
              <w:left w:val="nil"/>
              <w:bottom w:val="nil"/>
              <w:right w:val="nil"/>
            </w:tcBorders>
          </w:tcPr>
          <w:p>
            <w:pPr>
              <w:pStyle w:val="TableParagraph"/>
              <w:spacing w:before="1"/>
              <w:ind w:left="473" w:right="418"/>
              <w:jc w:val="center"/>
              <w:rPr>
                <w:sz w:val="20"/>
              </w:rPr>
            </w:pPr>
            <w:r>
              <w:rPr>
                <w:sz w:val="20"/>
              </w:rPr>
              <w:t>2.06775667</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22</w:t>
            </w:r>
          </w:p>
        </w:tc>
        <w:tc>
          <w:tcPr>
            <w:tcW w:w="2319" w:type="dxa"/>
            <w:tcBorders>
              <w:top w:val="nil"/>
              <w:left w:val="nil"/>
              <w:bottom w:val="nil"/>
              <w:right w:val="nil"/>
            </w:tcBorders>
          </w:tcPr>
          <w:p>
            <w:pPr>
              <w:pStyle w:val="TableParagraph"/>
              <w:spacing w:before="1"/>
              <w:ind w:left="657" w:right="569"/>
              <w:jc w:val="center"/>
              <w:rPr>
                <w:sz w:val="20"/>
              </w:rPr>
            </w:pPr>
            <w:r>
              <w:rPr>
                <w:sz w:val="20"/>
              </w:rPr>
              <w:t>2.04118068</w:t>
            </w:r>
          </w:p>
        </w:tc>
        <w:tc>
          <w:tcPr>
            <w:tcW w:w="2286" w:type="dxa"/>
            <w:tcBorders>
              <w:top w:val="nil"/>
              <w:left w:val="nil"/>
              <w:bottom w:val="nil"/>
              <w:right w:val="nil"/>
            </w:tcBorders>
          </w:tcPr>
          <w:p>
            <w:pPr>
              <w:pStyle w:val="TableParagraph"/>
              <w:spacing w:before="1"/>
              <w:ind w:left="567" w:right="471"/>
              <w:jc w:val="center"/>
              <w:rPr>
                <w:sz w:val="20"/>
              </w:rPr>
            </w:pPr>
            <w:r>
              <w:rPr>
                <w:sz w:val="20"/>
              </w:rPr>
              <w:t>2.87320816</w:t>
            </w:r>
          </w:p>
        </w:tc>
        <w:tc>
          <w:tcPr>
            <w:tcW w:w="1884" w:type="dxa"/>
            <w:tcBorders>
              <w:top w:val="nil"/>
              <w:left w:val="nil"/>
              <w:bottom w:val="nil"/>
              <w:right w:val="nil"/>
            </w:tcBorders>
          </w:tcPr>
          <w:p>
            <w:pPr>
              <w:pStyle w:val="TableParagraph"/>
              <w:spacing w:before="1"/>
              <w:ind w:left="473" w:right="418"/>
              <w:jc w:val="center"/>
              <w:rPr>
                <w:sz w:val="20"/>
              </w:rPr>
            </w:pPr>
            <w:r>
              <w:rPr>
                <w:sz w:val="20"/>
              </w:rPr>
              <w:t>1.9389086</w:t>
            </w:r>
          </w:p>
        </w:tc>
      </w:tr>
      <w:tr>
        <w:trPr>
          <w:trHeight w:val="256"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23</w:t>
            </w:r>
          </w:p>
        </w:tc>
        <w:tc>
          <w:tcPr>
            <w:tcW w:w="2319" w:type="dxa"/>
            <w:tcBorders>
              <w:top w:val="nil"/>
              <w:left w:val="nil"/>
              <w:bottom w:val="nil"/>
              <w:right w:val="nil"/>
            </w:tcBorders>
          </w:tcPr>
          <w:p>
            <w:pPr>
              <w:pStyle w:val="TableParagraph"/>
              <w:spacing w:before="1"/>
              <w:ind w:left="657" w:right="569"/>
              <w:jc w:val="center"/>
              <w:rPr>
                <w:sz w:val="20"/>
              </w:rPr>
            </w:pPr>
            <w:r>
              <w:rPr>
                <w:sz w:val="20"/>
              </w:rPr>
              <w:t>2.17011734</w:t>
            </w:r>
          </w:p>
        </w:tc>
        <w:tc>
          <w:tcPr>
            <w:tcW w:w="2286" w:type="dxa"/>
            <w:tcBorders>
              <w:top w:val="nil"/>
              <w:left w:val="nil"/>
              <w:bottom w:val="nil"/>
              <w:right w:val="nil"/>
            </w:tcBorders>
          </w:tcPr>
          <w:p>
            <w:pPr>
              <w:pStyle w:val="TableParagraph"/>
              <w:spacing w:before="1"/>
              <w:ind w:left="567" w:right="471"/>
              <w:jc w:val="center"/>
              <w:rPr>
                <w:sz w:val="20"/>
              </w:rPr>
            </w:pPr>
            <w:r>
              <w:rPr>
                <w:sz w:val="20"/>
              </w:rPr>
              <w:t>2.79391589</w:t>
            </w:r>
          </w:p>
        </w:tc>
        <w:tc>
          <w:tcPr>
            <w:tcW w:w="1884" w:type="dxa"/>
            <w:tcBorders>
              <w:top w:val="nil"/>
              <w:left w:val="nil"/>
              <w:bottom w:val="nil"/>
              <w:right w:val="nil"/>
            </w:tcBorders>
          </w:tcPr>
          <w:p>
            <w:pPr>
              <w:pStyle w:val="TableParagraph"/>
              <w:spacing w:before="1"/>
              <w:ind w:left="473" w:right="418"/>
              <w:jc w:val="center"/>
              <w:rPr>
                <w:sz w:val="20"/>
              </w:rPr>
            </w:pPr>
            <w:r>
              <w:rPr>
                <w:sz w:val="20"/>
              </w:rPr>
              <w:t>1.93078277</w:t>
            </w:r>
          </w:p>
        </w:tc>
      </w:tr>
      <w:tr>
        <w:trPr>
          <w:trHeight w:val="256" w:hRule="exact"/>
        </w:trPr>
        <w:tc>
          <w:tcPr>
            <w:tcW w:w="2351" w:type="dxa"/>
            <w:tcBorders>
              <w:top w:val="nil"/>
              <w:left w:val="nil"/>
              <w:bottom w:val="nil"/>
              <w:right w:val="nil"/>
            </w:tcBorders>
          </w:tcPr>
          <w:p>
            <w:pPr>
              <w:pStyle w:val="TableParagraph"/>
              <w:spacing w:before="2"/>
              <w:ind w:left="706" w:right="658"/>
              <w:jc w:val="center"/>
              <w:rPr>
                <w:sz w:val="20"/>
              </w:rPr>
            </w:pPr>
            <w:r>
              <w:rPr>
                <w:sz w:val="20"/>
              </w:rPr>
              <w:t>24</w:t>
            </w:r>
          </w:p>
        </w:tc>
        <w:tc>
          <w:tcPr>
            <w:tcW w:w="2319" w:type="dxa"/>
            <w:tcBorders>
              <w:top w:val="nil"/>
              <w:left w:val="nil"/>
              <w:bottom w:val="nil"/>
              <w:right w:val="nil"/>
            </w:tcBorders>
          </w:tcPr>
          <w:p>
            <w:pPr>
              <w:pStyle w:val="TableParagraph"/>
              <w:spacing w:before="2"/>
              <w:ind w:left="657" w:right="569"/>
              <w:jc w:val="center"/>
              <w:rPr>
                <w:sz w:val="20"/>
              </w:rPr>
            </w:pPr>
            <w:r>
              <w:rPr>
                <w:sz w:val="20"/>
              </w:rPr>
              <w:t>1.90729238</w:t>
            </w:r>
          </w:p>
        </w:tc>
        <w:tc>
          <w:tcPr>
            <w:tcW w:w="2286" w:type="dxa"/>
            <w:tcBorders>
              <w:top w:val="nil"/>
              <w:left w:val="nil"/>
              <w:bottom w:val="nil"/>
              <w:right w:val="nil"/>
            </w:tcBorders>
          </w:tcPr>
          <w:p>
            <w:pPr>
              <w:pStyle w:val="TableParagraph"/>
              <w:spacing w:before="2"/>
              <w:ind w:left="567" w:right="471"/>
              <w:jc w:val="center"/>
              <w:rPr>
                <w:sz w:val="20"/>
              </w:rPr>
            </w:pPr>
            <w:r>
              <w:rPr>
                <w:sz w:val="20"/>
              </w:rPr>
              <w:t>2.64913239</w:t>
            </w:r>
          </w:p>
        </w:tc>
        <w:tc>
          <w:tcPr>
            <w:tcW w:w="1884" w:type="dxa"/>
            <w:tcBorders>
              <w:top w:val="nil"/>
              <w:left w:val="nil"/>
              <w:bottom w:val="nil"/>
              <w:right w:val="nil"/>
            </w:tcBorders>
          </w:tcPr>
          <w:p>
            <w:pPr>
              <w:pStyle w:val="TableParagraph"/>
              <w:spacing w:before="2"/>
              <w:ind w:left="474" w:right="418"/>
              <w:jc w:val="center"/>
              <w:rPr>
                <w:sz w:val="20"/>
              </w:rPr>
            </w:pPr>
            <w:r>
              <w:rPr>
                <w:sz w:val="20"/>
              </w:rPr>
              <w:t>1.79946685</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25</w:t>
            </w:r>
          </w:p>
        </w:tc>
        <w:tc>
          <w:tcPr>
            <w:tcW w:w="2319" w:type="dxa"/>
            <w:tcBorders>
              <w:top w:val="nil"/>
              <w:left w:val="nil"/>
              <w:bottom w:val="nil"/>
              <w:right w:val="nil"/>
            </w:tcBorders>
          </w:tcPr>
          <w:p>
            <w:pPr>
              <w:pStyle w:val="TableParagraph"/>
              <w:spacing w:before="1"/>
              <w:ind w:left="657" w:right="569"/>
              <w:jc w:val="center"/>
              <w:rPr>
                <w:sz w:val="20"/>
              </w:rPr>
            </w:pPr>
            <w:r>
              <w:rPr>
                <w:sz w:val="20"/>
              </w:rPr>
              <w:t>2.11148366</w:t>
            </w:r>
          </w:p>
        </w:tc>
        <w:tc>
          <w:tcPr>
            <w:tcW w:w="2286" w:type="dxa"/>
            <w:tcBorders>
              <w:top w:val="nil"/>
              <w:left w:val="nil"/>
              <w:bottom w:val="nil"/>
              <w:right w:val="nil"/>
            </w:tcBorders>
          </w:tcPr>
          <w:p>
            <w:pPr>
              <w:pStyle w:val="TableParagraph"/>
              <w:spacing w:before="1"/>
              <w:ind w:left="567" w:right="471"/>
              <w:jc w:val="center"/>
              <w:rPr>
                <w:sz w:val="20"/>
              </w:rPr>
            </w:pPr>
            <w:r>
              <w:rPr>
                <w:sz w:val="20"/>
              </w:rPr>
              <w:t>2.7066812</w:t>
            </w:r>
          </w:p>
        </w:tc>
        <w:tc>
          <w:tcPr>
            <w:tcW w:w="1884" w:type="dxa"/>
            <w:tcBorders>
              <w:top w:val="nil"/>
              <w:left w:val="nil"/>
              <w:bottom w:val="nil"/>
              <w:right w:val="nil"/>
            </w:tcBorders>
          </w:tcPr>
          <w:p>
            <w:pPr>
              <w:pStyle w:val="TableParagraph"/>
              <w:spacing w:before="1"/>
              <w:ind w:left="473" w:right="418"/>
              <w:jc w:val="center"/>
              <w:rPr>
                <w:sz w:val="20"/>
              </w:rPr>
            </w:pPr>
            <w:r>
              <w:rPr>
                <w:sz w:val="20"/>
              </w:rPr>
              <w:t>1.87415833</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26</w:t>
            </w:r>
          </w:p>
        </w:tc>
        <w:tc>
          <w:tcPr>
            <w:tcW w:w="2319" w:type="dxa"/>
            <w:tcBorders>
              <w:top w:val="nil"/>
              <w:left w:val="nil"/>
              <w:bottom w:val="nil"/>
              <w:right w:val="nil"/>
            </w:tcBorders>
          </w:tcPr>
          <w:p>
            <w:pPr>
              <w:pStyle w:val="TableParagraph"/>
              <w:spacing w:before="1"/>
              <w:ind w:left="657" w:right="569"/>
              <w:jc w:val="center"/>
              <w:rPr>
                <w:sz w:val="20"/>
              </w:rPr>
            </w:pPr>
            <w:r>
              <w:rPr>
                <w:sz w:val="20"/>
              </w:rPr>
              <w:t>2.49711612</w:t>
            </w:r>
          </w:p>
        </w:tc>
        <w:tc>
          <w:tcPr>
            <w:tcW w:w="2286" w:type="dxa"/>
            <w:tcBorders>
              <w:top w:val="nil"/>
              <w:left w:val="nil"/>
              <w:bottom w:val="nil"/>
              <w:right w:val="nil"/>
            </w:tcBorders>
          </w:tcPr>
          <w:p>
            <w:pPr>
              <w:pStyle w:val="TableParagraph"/>
              <w:spacing w:before="1"/>
              <w:ind w:left="567" w:right="471"/>
              <w:jc w:val="center"/>
              <w:rPr>
                <w:sz w:val="20"/>
              </w:rPr>
            </w:pPr>
            <w:r>
              <w:rPr>
                <w:sz w:val="20"/>
              </w:rPr>
              <w:t>4.01006204</w:t>
            </w:r>
          </w:p>
        </w:tc>
        <w:tc>
          <w:tcPr>
            <w:tcW w:w="1884" w:type="dxa"/>
            <w:tcBorders>
              <w:top w:val="nil"/>
              <w:left w:val="nil"/>
              <w:bottom w:val="nil"/>
              <w:right w:val="nil"/>
            </w:tcBorders>
          </w:tcPr>
          <w:p>
            <w:pPr>
              <w:pStyle w:val="TableParagraph"/>
              <w:spacing w:before="1"/>
              <w:ind w:left="473" w:right="418"/>
              <w:jc w:val="center"/>
              <w:rPr>
                <w:sz w:val="20"/>
              </w:rPr>
            </w:pPr>
            <w:r>
              <w:rPr>
                <w:sz w:val="20"/>
              </w:rPr>
              <w:t>2.28658652</w:t>
            </w:r>
          </w:p>
        </w:tc>
      </w:tr>
      <w:tr>
        <w:trPr>
          <w:trHeight w:val="256"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27</w:t>
            </w:r>
          </w:p>
        </w:tc>
        <w:tc>
          <w:tcPr>
            <w:tcW w:w="2319" w:type="dxa"/>
            <w:tcBorders>
              <w:top w:val="nil"/>
              <w:left w:val="nil"/>
              <w:bottom w:val="nil"/>
              <w:right w:val="nil"/>
            </w:tcBorders>
          </w:tcPr>
          <w:p>
            <w:pPr>
              <w:pStyle w:val="TableParagraph"/>
              <w:spacing w:before="1"/>
              <w:ind w:left="657" w:right="569"/>
              <w:jc w:val="center"/>
              <w:rPr>
                <w:sz w:val="20"/>
              </w:rPr>
            </w:pPr>
            <w:r>
              <w:rPr>
                <w:sz w:val="20"/>
              </w:rPr>
              <w:t>2.54059413</w:t>
            </w:r>
          </w:p>
        </w:tc>
        <w:tc>
          <w:tcPr>
            <w:tcW w:w="2286" w:type="dxa"/>
            <w:tcBorders>
              <w:top w:val="nil"/>
              <w:left w:val="nil"/>
              <w:bottom w:val="nil"/>
              <w:right w:val="nil"/>
            </w:tcBorders>
          </w:tcPr>
          <w:p>
            <w:pPr>
              <w:pStyle w:val="TableParagraph"/>
              <w:spacing w:before="1"/>
              <w:ind w:left="567" w:right="471"/>
              <w:jc w:val="center"/>
              <w:rPr>
                <w:sz w:val="20"/>
              </w:rPr>
            </w:pPr>
            <w:r>
              <w:rPr>
                <w:sz w:val="20"/>
              </w:rPr>
              <w:t>3.65127005</w:t>
            </w:r>
          </w:p>
        </w:tc>
        <w:tc>
          <w:tcPr>
            <w:tcW w:w="1884" w:type="dxa"/>
            <w:tcBorders>
              <w:top w:val="nil"/>
              <w:left w:val="nil"/>
              <w:bottom w:val="nil"/>
              <w:right w:val="nil"/>
            </w:tcBorders>
          </w:tcPr>
          <w:p>
            <w:pPr>
              <w:pStyle w:val="TableParagraph"/>
              <w:spacing w:before="1"/>
              <w:ind w:left="473" w:right="418"/>
              <w:jc w:val="center"/>
              <w:rPr>
                <w:sz w:val="20"/>
              </w:rPr>
            </w:pPr>
            <w:r>
              <w:rPr>
                <w:sz w:val="20"/>
              </w:rPr>
              <w:t>2.43833025</w:t>
            </w:r>
          </w:p>
        </w:tc>
      </w:tr>
      <w:tr>
        <w:trPr>
          <w:trHeight w:val="256" w:hRule="exact"/>
        </w:trPr>
        <w:tc>
          <w:tcPr>
            <w:tcW w:w="2351" w:type="dxa"/>
            <w:tcBorders>
              <w:top w:val="nil"/>
              <w:left w:val="nil"/>
              <w:bottom w:val="nil"/>
              <w:right w:val="nil"/>
            </w:tcBorders>
          </w:tcPr>
          <w:p>
            <w:pPr>
              <w:pStyle w:val="TableParagraph"/>
              <w:spacing w:before="2"/>
              <w:ind w:left="706" w:right="658"/>
              <w:jc w:val="center"/>
              <w:rPr>
                <w:sz w:val="20"/>
              </w:rPr>
            </w:pPr>
            <w:r>
              <w:rPr>
                <w:sz w:val="20"/>
              </w:rPr>
              <w:t>28</w:t>
            </w:r>
          </w:p>
        </w:tc>
        <w:tc>
          <w:tcPr>
            <w:tcW w:w="2319" w:type="dxa"/>
            <w:tcBorders>
              <w:top w:val="nil"/>
              <w:left w:val="nil"/>
              <w:bottom w:val="nil"/>
              <w:right w:val="nil"/>
            </w:tcBorders>
          </w:tcPr>
          <w:p>
            <w:pPr>
              <w:pStyle w:val="TableParagraph"/>
              <w:spacing w:before="2"/>
              <w:ind w:left="657" w:right="569"/>
              <w:jc w:val="center"/>
              <w:rPr>
                <w:sz w:val="20"/>
              </w:rPr>
            </w:pPr>
            <w:r>
              <w:rPr>
                <w:sz w:val="20"/>
              </w:rPr>
              <w:t>2.08921574</w:t>
            </w:r>
          </w:p>
        </w:tc>
        <w:tc>
          <w:tcPr>
            <w:tcW w:w="2286" w:type="dxa"/>
            <w:tcBorders>
              <w:top w:val="nil"/>
              <w:left w:val="nil"/>
              <w:bottom w:val="nil"/>
              <w:right w:val="nil"/>
            </w:tcBorders>
          </w:tcPr>
          <w:p>
            <w:pPr>
              <w:pStyle w:val="TableParagraph"/>
              <w:spacing w:before="2"/>
              <w:ind w:left="567" w:right="471"/>
              <w:jc w:val="center"/>
              <w:rPr>
                <w:sz w:val="20"/>
              </w:rPr>
            </w:pPr>
            <w:r>
              <w:rPr>
                <w:sz w:val="20"/>
              </w:rPr>
              <w:t>2.87807297</w:t>
            </w:r>
          </w:p>
        </w:tc>
        <w:tc>
          <w:tcPr>
            <w:tcW w:w="1884" w:type="dxa"/>
            <w:tcBorders>
              <w:top w:val="nil"/>
              <w:left w:val="nil"/>
              <w:bottom w:val="nil"/>
              <w:right w:val="nil"/>
            </w:tcBorders>
          </w:tcPr>
          <w:p>
            <w:pPr>
              <w:pStyle w:val="TableParagraph"/>
              <w:spacing w:before="2"/>
              <w:ind w:left="473" w:right="418"/>
              <w:jc w:val="center"/>
              <w:rPr>
                <w:sz w:val="20"/>
              </w:rPr>
            </w:pPr>
            <w:r>
              <w:rPr>
                <w:sz w:val="20"/>
              </w:rPr>
              <w:t>1.92938453</w:t>
            </w:r>
          </w:p>
        </w:tc>
      </w:tr>
      <w:tr>
        <w:trPr>
          <w:trHeight w:val="254" w:hRule="exact"/>
        </w:trPr>
        <w:tc>
          <w:tcPr>
            <w:tcW w:w="2351" w:type="dxa"/>
            <w:tcBorders>
              <w:top w:val="nil"/>
              <w:left w:val="nil"/>
              <w:bottom w:val="nil"/>
              <w:right w:val="nil"/>
            </w:tcBorders>
          </w:tcPr>
          <w:p>
            <w:pPr>
              <w:pStyle w:val="TableParagraph"/>
              <w:spacing w:before="1"/>
              <w:ind w:left="706" w:right="658"/>
              <w:jc w:val="center"/>
              <w:rPr>
                <w:sz w:val="20"/>
              </w:rPr>
            </w:pPr>
            <w:r>
              <w:rPr>
                <w:sz w:val="20"/>
              </w:rPr>
              <w:t>29</w:t>
            </w:r>
          </w:p>
        </w:tc>
        <w:tc>
          <w:tcPr>
            <w:tcW w:w="2319" w:type="dxa"/>
            <w:tcBorders>
              <w:top w:val="nil"/>
              <w:left w:val="nil"/>
              <w:bottom w:val="nil"/>
              <w:right w:val="nil"/>
            </w:tcBorders>
          </w:tcPr>
          <w:p>
            <w:pPr>
              <w:pStyle w:val="TableParagraph"/>
              <w:spacing w:before="1"/>
              <w:ind w:left="657" w:right="569"/>
              <w:jc w:val="center"/>
              <w:rPr>
                <w:sz w:val="20"/>
              </w:rPr>
            </w:pPr>
            <w:r>
              <w:rPr>
                <w:sz w:val="20"/>
              </w:rPr>
              <w:t>2.32952265</w:t>
            </w:r>
          </w:p>
        </w:tc>
        <w:tc>
          <w:tcPr>
            <w:tcW w:w="2286" w:type="dxa"/>
            <w:tcBorders>
              <w:top w:val="nil"/>
              <w:left w:val="nil"/>
              <w:bottom w:val="nil"/>
              <w:right w:val="nil"/>
            </w:tcBorders>
          </w:tcPr>
          <w:p>
            <w:pPr>
              <w:pStyle w:val="TableParagraph"/>
              <w:spacing w:before="1"/>
              <w:ind w:left="567" w:right="471"/>
              <w:jc w:val="center"/>
              <w:rPr>
                <w:sz w:val="20"/>
              </w:rPr>
            </w:pPr>
            <w:r>
              <w:rPr>
                <w:sz w:val="20"/>
              </w:rPr>
              <w:t>2.9754107</w:t>
            </w:r>
          </w:p>
        </w:tc>
        <w:tc>
          <w:tcPr>
            <w:tcW w:w="1884" w:type="dxa"/>
            <w:tcBorders>
              <w:top w:val="nil"/>
              <w:left w:val="nil"/>
              <w:bottom w:val="nil"/>
              <w:right w:val="nil"/>
            </w:tcBorders>
          </w:tcPr>
          <w:p>
            <w:pPr>
              <w:pStyle w:val="TableParagraph"/>
              <w:spacing w:before="1"/>
              <w:ind w:left="473" w:right="418"/>
              <w:jc w:val="center"/>
              <w:rPr>
                <w:sz w:val="20"/>
              </w:rPr>
            </w:pPr>
            <w:r>
              <w:rPr>
                <w:sz w:val="20"/>
              </w:rPr>
              <w:t>2.06201508</w:t>
            </w:r>
          </w:p>
        </w:tc>
      </w:tr>
      <w:tr>
        <w:trPr>
          <w:trHeight w:val="254" w:hRule="exact"/>
        </w:trPr>
        <w:tc>
          <w:tcPr>
            <w:tcW w:w="2351" w:type="dxa"/>
            <w:tcBorders>
              <w:top w:val="nil"/>
              <w:left w:val="nil"/>
              <w:bottom w:val="nil"/>
              <w:right w:val="nil"/>
            </w:tcBorders>
          </w:tcPr>
          <w:p>
            <w:pPr>
              <w:pStyle w:val="TableParagraph"/>
              <w:spacing w:before="1"/>
              <w:ind w:left="45"/>
              <w:jc w:val="center"/>
              <w:rPr>
                <w:sz w:val="20"/>
              </w:rPr>
            </w:pPr>
            <w:r>
              <w:rPr>
                <w:w w:val="99"/>
                <w:sz w:val="20"/>
              </w:rPr>
              <w:t>.</w:t>
            </w:r>
          </w:p>
        </w:tc>
        <w:tc>
          <w:tcPr>
            <w:tcW w:w="2319" w:type="dxa"/>
            <w:tcBorders>
              <w:top w:val="nil"/>
              <w:left w:val="nil"/>
              <w:bottom w:val="nil"/>
              <w:right w:val="nil"/>
            </w:tcBorders>
          </w:tcPr>
          <w:p>
            <w:pPr>
              <w:pStyle w:val="TableParagraph"/>
              <w:spacing w:before="1"/>
              <w:ind w:left="657" w:right="569"/>
              <w:jc w:val="center"/>
              <w:rPr>
                <w:sz w:val="20"/>
              </w:rPr>
            </w:pPr>
            <w:r>
              <w:rPr>
                <w:sz w:val="20"/>
              </w:rPr>
              <w:t>1.3077358</w:t>
            </w:r>
          </w:p>
        </w:tc>
        <w:tc>
          <w:tcPr>
            <w:tcW w:w="2286" w:type="dxa"/>
            <w:tcBorders>
              <w:top w:val="nil"/>
              <w:left w:val="nil"/>
              <w:bottom w:val="nil"/>
              <w:right w:val="nil"/>
            </w:tcBorders>
          </w:tcPr>
          <w:p>
            <w:pPr>
              <w:pStyle w:val="TableParagraph"/>
              <w:spacing w:before="1"/>
              <w:ind w:left="567" w:right="471"/>
              <w:jc w:val="center"/>
              <w:rPr>
                <w:sz w:val="20"/>
              </w:rPr>
            </w:pPr>
            <w:r>
              <w:rPr>
                <w:sz w:val="20"/>
              </w:rPr>
              <w:t>1.66102197</w:t>
            </w:r>
          </w:p>
        </w:tc>
        <w:tc>
          <w:tcPr>
            <w:tcW w:w="1884" w:type="dxa"/>
            <w:tcBorders>
              <w:top w:val="nil"/>
              <w:left w:val="nil"/>
              <w:bottom w:val="nil"/>
              <w:right w:val="nil"/>
            </w:tcBorders>
          </w:tcPr>
          <w:p>
            <w:pPr>
              <w:pStyle w:val="TableParagraph"/>
              <w:spacing w:before="1"/>
              <w:ind w:left="473" w:right="418"/>
              <w:jc w:val="center"/>
              <w:rPr>
                <w:sz w:val="20"/>
              </w:rPr>
            </w:pPr>
            <w:r>
              <w:rPr>
                <w:sz w:val="20"/>
              </w:rPr>
              <w:t>1.05023082</w:t>
            </w:r>
          </w:p>
        </w:tc>
      </w:tr>
      <w:tr>
        <w:trPr>
          <w:trHeight w:val="256" w:hRule="exact"/>
        </w:trPr>
        <w:tc>
          <w:tcPr>
            <w:tcW w:w="2351" w:type="dxa"/>
            <w:tcBorders>
              <w:top w:val="nil"/>
              <w:left w:val="nil"/>
              <w:bottom w:val="nil"/>
              <w:right w:val="nil"/>
            </w:tcBorders>
          </w:tcPr>
          <w:p>
            <w:pPr>
              <w:pStyle w:val="TableParagraph"/>
              <w:spacing w:before="1"/>
              <w:ind w:left="45"/>
              <w:jc w:val="center"/>
              <w:rPr>
                <w:sz w:val="20"/>
              </w:rPr>
            </w:pPr>
            <w:r>
              <w:rPr>
                <w:w w:val="99"/>
                <w:sz w:val="20"/>
              </w:rPr>
              <w:t>.</w:t>
            </w:r>
          </w:p>
        </w:tc>
        <w:tc>
          <w:tcPr>
            <w:tcW w:w="2319" w:type="dxa"/>
            <w:tcBorders>
              <w:top w:val="nil"/>
              <w:left w:val="nil"/>
              <w:bottom w:val="nil"/>
              <w:right w:val="nil"/>
            </w:tcBorders>
          </w:tcPr>
          <w:p>
            <w:pPr>
              <w:pStyle w:val="TableParagraph"/>
              <w:spacing w:before="1"/>
              <w:ind w:left="657" w:right="569"/>
              <w:jc w:val="center"/>
              <w:rPr>
                <w:sz w:val="20"/>
              </w:rPr>
            </w:pPr>
            <w:r>
              <w:rPr>
                <w:sz w:val="20"/>
              </w:rPr>
              <w:t>2.45616178</w:t>
            </w:r>
          </w:p>
        </w:tc>
        <w:tc>
          <w:tcPr>
            <w:tcW w:w="2286" w:type="dxa"/>
            <w:tcBorders>
              <w:top w:val="nil"/>
              <w:left w:val="nil"/>
              <w:bottom w:val="nil"/>
              <w:right w:val="nil"/>
            </w:tcBorders>
          </w:tcPr>
          <w:p>
            <w:pPr>
              <w:pStyle w:val="TableParagraph"/>
              <w:spacing w:before="1"/>
              <w:ind w:left="567" w:right="471"/>
              <w:jc w:val="center"/>
              <w:rPr>
                <w:sz w:val="20"/>
              </w:rPr>
            </w:pPr>
            <w:r>
              <w:rPr>
                <w:sz w:val="20"/>
              </w:rPr>
              <w:t>3.54473764</w:t>
            </w:r>
          </w:p>
        </w:tc>
        <w:tc>
          <w:tcPr>
            <w:tcW w:w="1884" w:type="dxa"/>
            <w:tcBorders>
              <w:top w:val="nil"/>
              <w:left w:val="nil"/>
              <w:bottom w:val="nil"/>
              <w:right w:val="nil"/>
            </w:tcBorders>
          </w:tcPr>
          <w:p>
            <w:pPr>
              <w:pStyle w:val="TableParagraph"/>
              <w:spacing w:before="1"/>
              <w:ind w:left="474" w:right="418"/>
              <w:jc w:val="center"/>
              <w:rPr>
                <w:sz w:val="20"/>
              </w:rPr>
            </w:pPr>
            <w:r>
              <w:rPr>
                <w:sz w:val="20"/>
              </w:rPr>
              <w:t>2.30370596</w:t>
            </w:r>
          </w:p>
        </w:tc>
      </w:tr>
      <w:tr>
        <w:trPr>
          <w:trHeight w:val="256" w:hRule="exact"/>
        </w:trPr>
        <w:tc>
          <w:tcPr>
            <w:tcW w:w="2351" w:type="dxa"/>
            <w:tcBorders>
              <w:top w:val="nil"/>
              <w:left w:val="nil"/>
              <w:bottom w:val="nil"/>
              <w:right w:val="nil"/>
            </w:tcBorders>
          </w:tcPr>
          <w:p>
            <w:pPr>
              <w:pStyle w:val="TableParagraph"/>
              <w:spacing w:before="2"/>
              <w:ind w:left="45"/>
              <w:jc w:val="center"/>
              <w:rPr>
                <w:sz w:val="20"/>
              </w:rPr>
            </w:pPr>
            <w:r>
              <w:rPr>
                <w:w w:val="99"/>
                <w:sz w:val="20"/>
              </w:rPr>
              <w:t>.</w:t>
            </w:r>
          </w:p>
        </w:tc>
        <w:tc>
          <w:tcPr>
            <w:tcW w:w="2319" w:type="dxa"/>
            <w:tcBorders>
              <w:top w:val="nil"/>
              <w:left w:val="nil"/>
              <w:bottom w:val="nil"/>
              <w:right w:val="nil"/>
            </w:tcBorders>
          </w:tcPr>
          <w:p>
            <w:pPr>
              <w:pStyle w:val="TableParagraph"/>
              <w:spacing w:before="2"/>
              <w:ind w:left="657" w:right="569"/>
              <w:jc w:val="center"/>
              <w:rPr>
                <w:sz w:val="20"/>
              </w:rPr>
            </w:pPr>
            <w:r>
              <w:rPr>
                <w:sz w:val="20"/>
              </w:rPr>
              <w:t>1.70403548</w:t>
            </w:r>
          </w:p>
        </w:tc>
        <w:tc>
          <w:tcPr>
            <w:tcW w:w="2286" w:type="dxa"/>
            <w:tcBorders>
              <w:top w:val="nil"/>
              <w:left w:val="nil"/>
              <w:bottom w:val="nil"/>
              <w:right w:val="nil"/>
            </w:tcBorders>
          </w:tcPr>
          <w:p>
            <w:pPr>
              <w:pStyle w:val="TableParagraph"/>
              <w:spacing w:before="2"/>
              <w:ind w:left="567" w:right="471"/>
              <w:jc w:val="center"/>
              <w:rPr>
                <w:sz w:val="20"/>
              </w:rPr>
            </w:pPr>
            <w:r>
              <w:rPr>
                <w:sz w:val="20"/>
              </w:rPr>
              <w:t>2.28693229</w:t>
            </w:r>
          </w:p>
        </w:tc>
        <w:tc>
          <w:tcPr>
            <w:tcW w:w="1884" w:type="dxa"/>
            <w:tcBorders>
              <w:top w:val="nil"/>
              <w:left w:val="nil"/>
              <w:bottom w:val="nil"/>
              <w:right w:val="nil"/>
            </w:tcBorders>
          </w:tcPr>
          <w:p>
            <w:pPr>
              <w:pStyle w:val="TableParagraph"/>
              <w:spacing w:before="2"/>
              <w:ind w:left="473" w:right="418"/>
              <w:jc w:val="center"/>
              <w:rPr>
                <w:sz w:val="20"/>
              </w:rPr>
            </w:pPr>
            <w:r>
              <w:rPr>
                <w:sz w:val="20"/>
              </w:rPr>
              <w:t>1.5505796</w:t>
            </w:r>
          </w:p>
        </w:tc>
      </w:tr>
      <w:tr>
        <w:trPr>
          <w:trHeight w:val="254" w:hRule="exact"/>
        </w:trPr>
        <w:tc>
          <w:tcPr>
            <w:tcW w:w="2351" w:type="dxa"/>
            <w:tcBorders>
              <w:top w:val="nil"/>
              <w:left w:val="nil"/>
              <w:bottom w:val="nil"/>
              <w:right w:val="nil"/>
            </w:tcBorders>
          </w:tcPr>
          <w:p>
            <w:pPr>
              <w:pStyle w:val="TableParagraph"/>
              <w:spacing w:before="1"/>
              <w:ind w:left="45"/>
              <w:jc w:val="center"/>
              <w:rPr>
                <w:sz w:val="20"/>
              </w:rPr>
            </w:pPr>
            <w:r>
              <w:rPr>
                <w:w w:val="99"/>
                <w:sz w:val="20"/>
              </w:rPr>
              <w:t>.</w:t>
            </w:r>
          </w:p>
        </w:tc>
        <w:tc>
          <w:tcPr>
            <w:tcW w:w="2319" w:type="dxa"/>
            <w:tcBorders>
              <w:top w:val="nil"/>
              <w:left w:val="nil"/>
              <w:bottom w:val="nil"/>
              <w:right w:val="nil"/>
            </w:tcBorders>
          </w:tcPr>
          <w:p>
            <w:pPr>
              <w:pStyle w:val="TableParagraph"/>
              <w:spacing w:before="1"/>
              <w:ind w:left="657" w:right="569"/>
              <w:jc w:val="center"/>
              <w:rPr>
                <w:sz w:val="20"/>
              </w:rPr>
            </w:pPr>
            <w:r>
              <w:rPr>
                <w:sz w:val="20"/>
              </w:rPr>
              <w:t>2.38082897</w:t>
            </w:r>
          </w:p>
        </w:tc>
        <w:tc>
          <w:tcPr>
            <w:tcW w:w="2286" w:type="dxa"/>
            <w:tcBorders>
              <w:top w:val="nil"/>
              <w:left w:val="nil"/>
              <w:bottom w:val="nil"/>
              <w:right w:val="nil"/>
            </w:tcBorders>
          </w:tcPr>
          <w:p>
            <w:pPr>
              <w:pStyle w:val="TableParagraph"/>
              <w:spacing w:before="1"/>
              <w:ind w:left="567" w:right="471"/>
              <w:jc w:val="center"/>
              <w:rPr>
                <w:sz w:val="20"/>
              </w:rPr>
            </w:pPr>
            <w:r>
              <w:rPr>
                <w:sz w:val="20"/>
              </w:rPr>
              <w:t>3.24038332</w:t>
            </w:r>
          </w:p>
        </w:tc>
        <w:tc>
          <w:tcPr>
            <w:tcW w:w="1884" w:type="dxa"/>
            <w:tcBorders>
              <w:top w:val="nil"/>
              <w:left w:val="nil"/>
              <w:bottom w:val="nil"/>
              <w:right w:val="nil"/>
            </w:tcBorders>
          </w:tcPr>
          <w:p>
            <w:pPr>
              <w:pStyle w:val="TableParagraph"/>
              <w:spacing w:before="1"/>
              <w:ind w:left="473" w:right="418"/>
              <w:jc w:val="center"/>
              <w:rPr>
                <w:sz w:val="20"/>
              </w:rPr>
            </w:pPr>
            <w:r>
              <w:rPr>
                <w:sz w:val="20"/>
              </w:rPr>
              <w:t>2.31581588</w:t>
            </w:r>
          </w:p>
        </w:tc>
      </w:tr>
      <w:tr>
        <w:trPr>
          <w:trHeight w:val="254" w:hRule="exact"/>
        </w:trPr>
        <w:tc>
          <w:tcPr>
            <w:tcW w:w="2351" w:type="dxa"/>
            <w:tcBorders>
              <w:top w:val="nil"/>
              <w:left w:val="nil"/>
              <w:bottom w:val="nil"/>
              <w:right w:val="nil"/>
            </w:tcBorders>
          </w:tcPr>
          <w:p>
            <w:pPr>
              <w:pStyle w:val="TableParagraph"/>
              <w:spacing w:before="1"/>
              <w:ind w:left="45"/>
              <w:jc w:val="center"/>
              <w:rPr>
                <w:sz w:val="20"/>
              </w:rPr>
            </w:pPr>
            <w:r>
              <w:rPr>
                <w:w w:val="99"/>
                <w:sz w:val="20"/>
              </w:rPr>
              <w:t>.</w:t>
            </w:r>
          </w:p>
        </w:tc>
        <w:tc>
          <w:tcPr>
            <w:tcW w:w="2319" w:type="dxa"/>
            <w:tcBorders>
              <w:top w:val="nil"/>
              <w:left w:val="nil"/>
              <w:bottom w:val="nil"/>
              <w:right w:val="nil"/>
            </w:tcBorders>
          </w:tcPr>
          <w:p>
            <w:pPr>
              <w:pStyle w:val="TableParagraph"/>
              <w:spacing w:before="1"/>
              <w:ind w:left="657" w:right="569"/>
              <w:jc w:val="center"/>
              <w:rPr>
                <w:sz w:val="20"/>
              </w:rPr>
            </w:pPr>
            <w:r>
              <w:rPr>
                <w:sz w:val="20"/>
              </w:rPr>
              <w:t>2.29006845</w:t>
            </w:r>
          </w:p>
        </w:tc>
        <w:tc>
          <w:tcPr>
            <w:tcW w:w="2286" w:type="dxa"/>
            <w:tcBorders>
              <w:top w:val="nil"/>
              <w:left w:val="nil"/>
              <w:bottom w:val="nil"/>
              <w:right w:val="nil"/>
            </w:tcBorders>
          </w:tcPr>
          <w:p>
            <w:pPr>
              <w:pStyle w:val="TableParagraph"/>
              <w:spacing w:before="1"/>
              <w:ind w:left="567" w:right="471"/>
              <w:jc w:val="center"/>
              <w:rPr>
                <w:sz w:val="20"/>
              </w:rPr>
            </w:pPr>
            <w:r>
              <w:rPr>
                <w:sz w:val="20"/>
              </w:rPr>
              <w:t>3.05166533</w:t>
            </w:r>
          </w:p>
        </w:tc>
        <w:tc>
          <w:tcPr>
            <w:tcW w:w="1884" w:type="dxa"/>
            <w:tcBorders>
              <w:top w:val="nil"/>
              <w:left w:val="nil"/>
              <w:bottom w:val="nil"/>
              <w:right w:val="nil"/>
            </w:tcBorders>
          </w:tcPr>
          <w:p>
            <w:pPr>
              <w:pStyle w:val="TableParagraph"/>
              <w:spacing w:before="1"/>
              <w:ind w:left="473" w:right="418"/>
              <w:jc w:val="center"/>
              <w:rPr>
                <w:sz w:val="20"/>
              </w:rPr>
            </w:pPr>
            <w:r>
              <w:rPr>
                <w:sz w:val="20"/>
              </w:rPr>
              <w:t>2.02436618</w:t>
            </w:r>
          </w:p>
        </w:tc>
      </w:tr>
      <w:tr>
        <w:trPr>
          <w:trHeight w:val="260" w:hRule="exact"/>
        </w:trPr>
        <w:tc>
          <w:tcPr>
            <w:tcW w:w="2351" w:type="dxa"/>
            <w:tcBorders>
              <w:top w:val="nil"/>
              <w:left w:val="nil"/>
              <w:right w:val="nil"/>
            </w:tcBorders>
          </w:tcPr>
          <w:p>
            <w:pPr>
              <w:pStyle w:val="TableParagraph"/>
              <w:spacing w:before="1"/>
              <w:ind w:left="706" w:right="658"/>
              <w:jc w:val="center"/>
              <w:rPr>
                <w:sz w:val="20"/>
              </w:rPr>
            </w:pPr>
            <w:r>
              <w:rPr>
                <w:sz w:val="20"/>
              </w:rPr>
              <w:t>100</w:t>
            </w:r>
          </w:p>
        </w:tc>
        <w:tc>
          <w:tcPr>
            <w:tcW w:w="2319" w:type="dxa"/>
            <w:tcBorders>
              <w:top w:val="nil"/>
              <w:left w:val="nil"/>
              <w:right w:val="nil"/>
            </w:tcBorders>
          </w:tcPr>
          <w:p>
            <w:pPr>
              <w:pStyle w:val="TableParagraph"/>
              <w:spacing w:before="1"/>
              <w:ind w:left="657" w:right="569"/>
              <w:jc w:val="center"/>
              <w:rPr>
                <w:sz w:val="20"/>
              </w:rPr>
            </w:pPr>
            <w:r>
              <w:rPr>
                <w:sz w:val="20"/>
              </w:rPr>
              <w:t>3.00216046</w:t>
            </w:r>
          </w:p>
        </w:tc>
        <w:tc>
          <w:tcPr>
            <w:tcW w:w="2286" w:type="dxa"/>
            <w:tcBorders>
              <w:top w:val="nil"/>
              <w:left w:val="nil"/>
              <w:right w:val="nil"/>
            </w:tcBorders>
          </w:tcPr>
          <w:p>
            <w:pPr>
              <w:pStyle w:val="TableParagraph"/>
              <w:spacing w:before="1"/>
              <w:ind w:left="567" w:right="471"/>
              <w:jc w:val="center"/>
              <w:rPr>
                <w:sz w:val="20"/>
              </w:rPr>
            </w:pPr>
            <w:r>
              <w:rPr>
                <w:sz w:val="20"/>
              </w:rPr>
              <w:t>4.86046523</w:t>
            </w:r>
          </w:p>
        </w:tc>
        <w:tc>
          <w:tcPr>
            <w:tcW w:w="1884" w:type="dxa"/>
            <w:tcBorders>
              <w:top w:val="nil"/>
              <w:left w:val="nil"/>
              <w:right w:val="nil"/>
            </w:tcBorders>
          </w:tcPr>
          <w:p>
            <w:pPr>
              <w:pStyle w:val="TableParagraph"/>
              <w:spacing w:before="1"/>
              <w:ind w:left="473" w:right="418"/>
              <w:jc w:val="center"/>
              <w:rPr>
                <w:sz w:val="20"/>
              </w:rPr>
            </w:pPr>
            <w:r>
              <w:rPr>
                <w:sz w:val="20"/>
              </w:rPr>
              <w:t>2.75510773</w:t>
            </w:r>
          </w:p>
        </w:tc>
      </w:tr>
    </w:tbl>
    <w:p>
      <w:pPr>
        <w:spacing w:line="202" w:lineRule="exact" w:before="0"/>
        <w:ind w:left="171" w:right="0" w:firstLine="0"/>
        <w:jc w:val="left"/>
        <w:rPr>
          <w:sz w:val="20"/>
        </w:rPr>
      </w:pPr>
      <w:r>
        <w:rPr>
          <w:sz w:val="20"/>
        </w:rPr>
        <w:t>Fuente: Richardson, 2005.</w:t>
      </w:r>
    </w:p>
    <w:p>
      <w:pPr>
        <w:spacing w:line="233" w:lineRule="exact" w:before="0"/>
        <w:ind w:left="171" w:right="0" w:firstLine="0"/>
        <w:jc w:val="left"/>
        <w:rPr>
          <w:sz w:val="20"/>
        </w:rPr>
      </w:pPr>
      <w:r>
        <w:rPr>
          <w:position w:val="7"/>
          <w:sz w:val="13"/>
        </w:rPr>
        <w:t>¥</w:t>
      </w:r>
      <w:r>
        <w:rPr>
          <w:sz w:val="20"/>
        </w:rPr>
        <w:t>Desviación estándar; </w:t>
      </w:r>
      <w:r>
        <w:rPr>
          <w:position w:val="7"/>
          <w:sz w:val="13"/>
        </w:rPr>
        <w:t>ȹ</w:t>
      </w:r>
      <w:r>
        <w:rPr>
          <w:sz w:val="20"/>
        </w:rPr>
        <w:t>Coeficiente de variación; </w:t>
      </w:r>
      <w:r>
        <w:rPr>
          <w:position w:val="7"/>
          <w:sz w:val="13"/>
        </w:rPr>
        <w:t>Ƌ</w:t>
      </w:r>
      <w:r>
        <w:rPr>
          <w:sz w:val="20"/>
        </w:rPr>
        <w:t>Mínimo; </w:t>
      </w:r>
      <w:r>
        <w:rPr>
          <w:position w:val="7"/>
          <w:sz w:val="13"/>
        </w:rPr>
        <w:t>Ʈ</w:t>
      </w:r>
      <w:r>
        <w:rPr>
          <w:sz w:val="20"/>
        </w:rPr>
        <w:t>Máximo.</w:t>
      </w:r>
    </w:p>
    <w:p>
      <w:pPr>
        <w:spacing w:after="0" w:line="233" w:lineRule="exact"/>
        <w:jc w:val="left"/>
        <w:rPr>
          <w:sz w:val="20"/>
        </w:rPr>
        <w:sectPr>
          <w:pgSz w:w="12240" w:h="15840"/>
          <w:pgMar w:header="0" w:footer="657" w:top="1360" w:bottom="840" w:left="1600" w:right="1580"/>
        </w:sectPr>
      </w:pPr>
    </w:p>
    <w:p>
      <w:pPr>
        <w:spacing w:before="52" w:after="30"/>
        <w:ind w:left="191" w:right="8" w:firstLine="0"/>
        <w:jc w:val="left"/>
        <w:rPr>
          <w:sz w:val="24"/>
        </w:rPr>
      </w:pPr>
      <w:r>
        <w:rPr>
          <w:b/>
          <w:sz w:val="24"/>
        </w:rPr>
        <w:t>Anexo Tabla 2</w:t>
      </w:r>
      <w:r>
        <w:rPr>
          <w:sz w:val="24"/>
        </w:rPr>
        <w:t>. Pasos para determinar una DME</w:t>
      </w: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728"/>
        <w:gridCol w:w="1310"/>
        <w:gridCol w:w="1253"/>
        <w:gridCol w:w="1272"/>
        <w:gridCol w:w="896"/>
        <w:gridCol w:w="488"/>
        <w:gridCol w:w="1073"/>
        <w:gridCol w:w="821"/>
      </w:tblGrid>
      <w:tr>
        <w:trPr>
          <w:trHeight w:val="646" w:hRule="exact"/>
        </w:trPr>
        <w:tc>
          <w:tcPr>
            <w:tcW w:w="1728" w:type="dxa"/>
            <w:tcBorders>
              <w:left w:val="nil"/>
              <w:right w:val="nil"/>
            </w:tcBorders>
          </w:tcPr>
          <w:p>
            <w:pPr>
              <w:pStyle w:val="TableParagraph"/>
              <w:spacing w:before="7"/>
              <w:jc w:val="left"/>
              <w:rPr>
                <w:sz w:val="27"/>
              </w:rPr>
            </w:pPr>
          </w:p>
          <w:p>
            <w:pPr>
              <w:pStyle w:val="TableParagraph"/>
              <w:spacing w:before="1"/>
              <w:ind w:left="108"/>
              <w:jc w:val="left"/>
              <w:rPr>
                <w:sz w:val="24"/>
              </w:rPr>
            </w:pPr>
            <w:r>
              <w:rPr>
                <w:sz w:val="24"/>
              </w:rPr>
              <w:t>observaciones</w:t>
            </w:r>
          </w:p>
        </w:tc>
        <w:tc>
          <w:tcPr>
            <w:tcW w:w="1310" w:type="dxa"/>
            <w:tcBorders>
              <w:left w:val="nil"/>
              <w:right w:val="nil"/>
            </w:tcBorders>
          </w:tcPr>
          <w:p>
            <w:pPr>
              <w:pStyle w:val="TableParagraph"/>
              <w:spacing w:before="7"/>
              <w:jc w:val="left"/>
              <w:rPr>
                <w:sz w:val="27"/>
              </w:rPr>
            </w:pPr>
          </w:p>
          <w:p>
            <w:pPr>
              <w:pStyle w:val="TableParagraph"/>
              <w:spacing w:before="1"/>
              <w:ind w:left="261"/>
              <w:jc w:val="left"/>
              <w:rPr>
                <w:sz w:val="24"/>
              </w:rPr>
            </w:pPr>
            <w:r>
              <w:rPr>
                <w:sz w:val="24"/>
              </w:rPr>
              <w:t>Maíz</w:t>
            </w:r>
          </w:p>
        </w:tc>
        <w:tc>
          <w:tcPr>
            <w:tcW w:w="1253" w:type="dxa"/>
            <w:tcBorders>
              <w:left w:val="nil"/>
              <w:right w:val="nil"/>
            </w:tcBorders>
          </w:tcPr>
          <w:p>
            <w:pPr>
              <w:pStyle w:val="TableParagraph"/>
              <w:spacing w:before="11"/>
              <w:ind w:left="272"/>
              <w:jc w:val="left"/>
              <w:rPr>
                <w:b/>
                <w:sz w:val="24"/>
              </w:rPr>
            </w:pPr>
            <w:r>
              <w:rPr>
                <w:b/>
                <w:sz w:val="24"/>
              </w:rPr>
              <w:t>Precios</w:t>
            </w:r>
          </w:p>
          <w:p>
            <w:pPr>
              <w:pStyle w:val="TableParagraph"/>
              <w:spacing w:before="31"/>
              <w:ind w:left="212"/>
              <w:jc w:val="left"/>
              <w:rPr>
                <w:sz w:val="24"/>
              </w:rPr>
            </w:pPr>
            <w:r>
              <w:rPr>
                <w:sz w:val="24"/>
              </w:rPr>
              <w:t>Trigo</w:t>
            </w:r>
          </w:p>
        </w:tc>
        <w:tc>
          <w:tcPr>
            <w:tcW w:w="1272" w:type="dxa"/>
            <w:tcBorders>
              <w:left w:val="nil"/>
              <w:right w:val="nil"/>
            </w:tcBorders>
          </w:tcPr>
          <w:p>
            <w:pPr>
              <w:pStyle w:val="TableParagraph"/>
              <w:spacing w:before="7"/>
              <w:jc w:val="left"/>
              <w:rPr>
                <w:sz w:val="27"/>
              </w:rPr>
            </w:pPr>
          </w:p>
          <w:p>
            <w:pPr>
              <w:pStyle w:val="TableParagraph"/>
              <w:spacing w:before="1"/>
              <w:ind w:left="219"/>
              <w:jc w:val="left"/>
              <w:rPr>
                <w:sz w:val="24"/>
              </w:rPr>
            </w:pPr>
            <w:r>
              <w:rPr>
                <w:sz w:val="24"/>
              </w:rPr>
              <w:t>Sorgo</w:t>
            </w:r>
          </w:p>
        </w:tc>
        <w:tc>
          <w:tcPr>
            <w:tcW w:w="896" w:type="dxa"/>
            <w:tcBorders>
              <w:left w:val="nil"/>
              <w:right w:val="nil"/>
            </w:tcBorders>
          </w:tcPr>
          <w:p>
            <w:pPr>
              <w:pStyle w:val="TableParagraph"/>
              <w:spacing w:before="7"/>
              <w:jc w:val="left"/>
              <w:rPr>
                <w:sz w:val="27"/>
              </w:rPr>
            </w:pPr>
          </w:p>
          <w:p>
            <w:pPr>
              <w:pStyle w:val="TableParagraph"/>
              <w:spacing w:before="1"/>
              <w:ind w:left="158" w:right="36"/>
              <w:jc w:val="center"/>
              <w:rPr>
                <w:sz w:val="24"/>
              </w:rPr>
            </w:pPr>
            <w:r>
              <w:rPr>
                <w:sz w:val="24"/>
              </w:rPr>
              <w:t>Maíz</w:t>
            </w:r>
          </w:p>
        </w:tc>
        <w:tc>
          <w:tcPr>
            <w:tcW w:w="1561" w:type="dxa"/>
            <w:gridSpan w:val="2"/>
            <w:tcBorders>
              <w:left w:val="nil"/>
              <w:right w:val="nil"/>
            </w:tcBorders>
          </w:tcPr>
          <w:p>
            <w:pPr>
              <w:pStyle w:val="TableParagraph"/>
              <w:spacing w:before="11"/>
              <w:ind w:left="57"/>
              <w:jc w:val="left"/>
              <w:rPr>
                <w:b/>
                <w:sz w:val="24"/>
              </w:rPr>
            </w:pPr>
            <w:r>
              <w:rPr>
                <w:b/>
                <w:sz w:val="24"/>
              </w:rPr>
              <w:t>Rendimientos</w:t>
            </w:r>
          </w:p>
          <w:p>
            <w:pPr>
              <w:pStyle w:val="TableParagraph"/>
              <w:spacing w:before="31"/>
              <w:ind w:left="619"/>
              <w:jc w:val="left"/>
              <w:rPr>
                <w:sz w:val="24"/>
              </w:rPr>
            </w:pPr>
            <w:r>
              <w:rPr>
                <w:sz w:val="24"/>
              </w:rPr>
              <w:t>Trigo</w:t>
            </w:r>
          </w:p>
        </w:tc>
        <w:tc>
          <w:tcPr>
            <w:tcW w:w="821" w:type="dxa"/>
            <w:tcBorders>
              <w:left w:val="nil"/>
              <w:right w:val="nil"/>
            </w:tcBorders>
          </w:tcPr>
          <w:p>
            <w:pPr>
              <w:pStyle w:val="TableParagraph"/>
              <w:spacing w:before="7"/>
              <w:jc w:val="left"/>
              <w:rPr>
                <w:sz w:val="27"/>
              </w:rPr>
            </w:pPr>
          </w:p>
          <w:p>
            <w:pPr>
              <w:pStyle w:val="TableParagraph"/>
              <w:spacing w:before="1"/>
              <w:ind w:right="135"/>
              <w:rPr>
                <w:sz w:val="24"/>
              </w:rPr>
            </w:pPr>
            <w:r>
              <w:rPr>
                <w:sz w:val="24"/>
              </w:rPr>
              <w:t>Sorgo</w:t>
            </w:r>
          </w:p>
        </w:tc>
      </w:tr>
      <w:tr>
        <w:trPr>
          <w:trHeight w:val="341" w:hRule="exact"/>
        </w:trPr>
        <w:tc>
          <w:tcPr>
            <w:tcW w:w="1728" w:type="dxa"/>
            <w:tcBorders>
              <w:left w:val="nil"/>
              <w:bottom w:val="nil"/>
              <w:right w:val="nil"/>
            </w:tcBorders>
          </w:tcPr>
          <w:p>
            <w:pPr>
              <w:pStyle w:val="TableParagraph"/>
              <w:spacing w:before="18"/>
              <w:ind w:right="151"/>
              <w:jc w:val="center"/>
              <w:rPr>
                <w:sz w:val="24"/>
              </w:rPr>
            </w:pPr>
            <w:r>
              <w:rPr>
                <w:sz w:val="24"/>
              </w:rPr>
              <w:t>1</w:t>
            </w:r>
          </w:p>
        </w:tc>
        <w:tc>
          <w:tcPr>
            <w:tcW w:w="1310" w:type="dxa"/>
            <w:tcBorders>
              <w:left w:val="nil"/>
              <w:bottom w:val="nil"/>
              <w:right w:val="nil"/>
            </w:tcBorders>
          </w:tcPr>
          <w:p>
            <w:pPr>
              <w:pStyle w:val="TableParagraph"/>
              <w:spacing w:before="18"/>
              <w:ind w:left="297"/>
              <w:jc w:val="left"/>
              <w:rPr>
                <w:sz w:val="24"/>
              </w:rPr>
            </w:pPr>
            <w:r>
              <w:rPr>
                <w:sz w:val="24"/>
              </w:rPr>
              <w:t>1.50</w:t>
            </w:r>
          </w:p>
        </w:tc>
        <w:tc>
          <w:tcPr>
            <w:tcW w:w="1253" w:type="dxa"/>
            <w:tcBorders>
              <w:left w:val="nil"/>
              <w:bottom w:val="nil"/>
              <w:right w:val="nil"/>
            </w:tcBorders>
          </w:tcPr>
          <w:p>
            <w:pPr>
              <w:pStyle w:val="TableParagraph"/>
              <w:spacing w:before="18"/>
              <w:ind w:left="269"/>
              <w:jc w:val="left"/>
              <w:rPr>
                <w:sz w:val="24"/>
              </w:rPr>
            </w:pPr>
            <w:r>
              <w:rPr>
                <w:sz w:val="24"/>
              </w:rPr>
              <w:t>2.42</w:t>
            </w:r>
          </w:p>
        </w:tc>
        <w:tc>
          <w:tcPr>
            <w:tcW w:w="1272" w:type="dxa"/>
            <w:tcBorders>
              <w:left w:val="nil"/>
              <w:bottom w:val="nil"/>
              <w:right w:val="nil"/>
            </w:tcBorders>
          </w:tcPr>
          <w:p>
            <w:pPr>
              <w:pStyle w:val="TableParagraph"/>
              <w:spacing w:before="18"/>
              <w:ind w:left="296"/>
              <w:jc w:val="left"/>
              <w:rPr>
                <w:sz w:val="24"/>
              </w:rPr>
            </w:pPr>
            <w:r>
              <w:rPr>
                <w:sz w:val="24"/>
              </w:rPr>
              <w:t>1.37</w:t>
            </w:r>
          </w:p>
        </w:tc>
        <w:tc>
          <w:tcPr>
            <w:tcW w:w="896" w:type="dxa"/>
            <w:tcBorders>
              <w:left w:val="nil"/>
              <w:bottom w:val="nil"/>
              <w:right w:val="nil"/>
            </w:tcBorders>
          </w:tcPr>
          <w:p>
            <w:pPr>
              <w:pStyle w:val="TableParagraph"/>
              <w:spacing w:before="18"/>
              <w:ind w:left="158" w:right="37"/>
              <w:jc w:val="center"/>
              <w:rPr>
                <w:sz w:val="24"/>
              </w:rPr>
            </w:pPr>
            <w:r>
              <w:rPr>
                <w:sz w:val="24"/>
              </w:rPr>
              <w:t>119.37</w:t>
            </w:r>
          </w:p>
        </w:tc>
        <w:tc>
          <w:tcPr>
            <w:tcW w:w="1561" w:type="dxa"/>
            <w:gridSpan w:val="2"/>
            <w:tcBorders>
              <w:left w:val="nil"/>
              <w:bottom w:val="nil"/>
              <w:right w:val="nil"/>
            </w:tcBorders>
          </w:tcPr>
          <w:p>
            <w:pPr>
              <w:pStyle w:val="TableParagraph"/>
              <w:spacing w:before="18"/>
              <w:ind w:left="617"/>
              <w:jc w:val="left"/>
              <w:rPr>
                <w:sz w:val="24"/>
              </w:rPr>
            </w:pPr>
            <w:r>
              <w:rPr>
                <w:sz w:val="24"/>
              </w:rPr>
              <w:t>34.43</w:t>
            </w:r>
          </w:p>
        </w:tc>
        <w:tc>
          <w:tcPr>
            <w:tcW w:w="821" w:type="dxa"/>
            <w:tcBorders>
              <w:left w:val="nil"/>
              <w:bottom w:val="nil"/>
              <w:right w:val="nil"/>
            </w:tcBorders>
          </w:tcPr>
          <w:p>
            <w:pPr>
              <w:pStyle w:val="TableParagraph"/>
              <w:spacing w:before="18"/>
              <w:ind w:right="149"/>
              <w:rPr>
                <w:sz w:val="24"/>
              </w:rPr>
            </w:pPr>
            <w:r>
              <w:rPr>
                <w:sz w:val="24"/>
              </w:rPr>
              <w:t>67.74</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2</w:t>
            </w:r>
          </w:p>
        </w:tc>
        <w:tc>
          <w:tcPr>
            <w:tcW w:w="1310" w:type="dxa"/>
            <w:tcBorders>
              <w:top w:val="nil"/>
              <w:left w:val="nil"/>
              <w:bottom w:val="nil"/>
              <w:right w:val="nil"/>
            </w:tcBorders>
          </w:tcPr>
          <w:p>
            <w:pPr>
              <w:pStyle w:val="TableParagraph"/>
              <w:spacing w:line="275" w:lineRule="exact"/>
              <w:ind w:left="297"/>
              <w:jc w:val="left"/>
              <w:rPr>
                <w:sz w:val="24"/>
              </w:rPr>
            </w:pPr>
            <w:r>
              <w:rPr>
                <w:sz w:val="24"/>
              </w:rPr>
              <w:t>1.94</w:t>
            </w:r>
          </w:p>
        </w:tc>
        <w:tc>
          <w:tcPr>
            <w:tcW w:w="1253" w:type="dxa"/>
            <w:tcBorders>
              <w:top w:val="nil"/>
              <w:left w:val="nil"/>
              <w:bottom w:val="nil"/>
              <w:right w:val="nil"/>
            </w:tcBorders>
          </w:tcPr>
          <w:p>
            <w:pPr>
              <w:pStyle w:val="TableParagraph"/>
              <w:spacing w:line="275" w:lineRule="exact"/>
              <w:ind w:left="269"/>
              <w:jc w:val="left"/>
              <w:rPr>
                <w:sz w:val="24"/>
              </w:rPr>
            </w:pPr>
            <w:r>
              <w:rPr>
                <w:sz w:val="24"/>
              </w:rPr>
              <w:t>2.57</w:t>
            </w:r>
          </w:p>
        </w:tc>
        <w:tc>
          <w:tcPr>
            <w:tcW w:w="1272" w:type="dxa"/>
            <w:tcBorders>
              <w:top w:val="nil"/>
              <w:left w:val="nil"/>
              <w:bottom w:val="nil"/>
              <w:right w:val="nil"/>
            </w:tcBorders>
          </w:tcPr>
          <w:p>
            <w:pPr>
              <w:pStyle w:val="TableParagraph"/>
              <w:spacing w:line="275" w:lineRule="exact"/>
              <w:ind w:left="296"/>
              <w:jc w:val="left"/>
              <w:rPr>
                <w:sz w:val="24"/>
              </w:rPr>
            </w:pPr>
            <w:r>
              <w:rPr>
                <w:sz w:val="24"/>
              </w:rPr>
              <w:t>1.70</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119.84</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37.67</w:t>
            </w:r>
          </w:p>
        </w:tc>
        <w:tc>
          <w:tcPr>
            <w:tcW w:w="821" w:type="dxa"/>
            <w:tcBorders>
              <w:top w:val="nil"/>
              <w:left w:val="nil"/>
              <w:bottom w:val="nil"/>
              <w:right w:val="nil"/>
            </w:tcBorders>
          </w:tcPr>
          <w:p>
            <w:pPr>
              <w:pStyle w:val="TableParagraph"/>
              <w:spacing w:line="275" w:lineRule="exact"/>
              <w:ind w:right="149"/>
              <w:rPr>
                <w:sz w:val="24"/>
              </w:rPr>
            </w:pPr>
            <w:r>
              <w:rPr>
                <w:sz w:val="24"/>
              </w:rPr>
              <w:t>69.40</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3</w:t>
            </w:r>
          </w:p>
        </w:tc>
        <w:tc>
          <w:tcPr>
            <w:tcW w:w="1310" w:type="dxa"/>
            <w:tcBorders>
              <w:top w:val="nil"/>
              <w:left w:val="nil"/>
              <w:bottom w:val="nil"/>
              <w:right w:val="nil"/>
            </w:tcBorders>
          </w:tcPr>
          <w:p>
            <w:pPr>
              <w:pStyle w:val="TableParagraph"/>
              <w:spacing w:line="275" w:lineRule="exact"/>
              <w:ind w:left="297"/>
              <w:jc w:val="left"/>
              <w:rPr>
                <w:sz w:val="24"/>
              </w:rPr>
            </w:pPr>
            <w:r>
              <w:rPr>
                <w:sz w:val="24"/>
              </w:rPr>
              <w:t>2.54</w:t>
            </w:r>
          </w:p>
        </w:tc>
        <w:tc>
          <w:tcPr>
            <w:tcW w:w="1253" w:type="dxa"/>
            <w:tcBorders>
              <w:top w:val="nil"/>
              <w:left w:val="nil"/>
              <w:bottom w:val="nil"/>
              <w:right w:val="nil"/>
            </w:tcBorders>
          </w:tcPr>
          <w:p>
            <w:pPr>
              <w:pStyle w:val="TableParagraph"/>
              <w:spacing w:line="275" w:lineRule="exact"/>
              <w:ind w:left="269"/>
              <w:jc w:val="left"/>
              <w:rPr>
                <w:sz w:val="24"/>
              </w:rPr>
            </w:pPr>
            <w:r>
              <w:rPr>
                <w:sz w:val="24"/>
              </w:rPr>
              <w:t>3.72</w:t>
            </w:r>
          </w:p>
        </w:tc>
        <w:tc>
          <w:tcPr>
            <w:tcW w:w="1272" w:type="dxa"/>
            <w:tcBorders>
              <w:top w:val="nil"/>
              <w:left w:val="nil"/>
              <w:bottom w:val="nil"/>
              <w:right w:val="nil"/>
            </w:tcBorders>
          </w:tcPr>
          <w:p>
            <w:pPr>
              <w:pStyle w:val="TableParagraph"/>
              <w:spacing w:line="275" w:lineRule="exact"/>
              <w:ind w:left="296"/>
              <w:jc w:val="left"/>
              <w:rPr>
                <w:sz w:val="24"/>
              </w:rPr>
            </w:pPr>
            <w:r>
              <w:rPr>
                <w:sz w:val="24"/>
              </w:rPr>
              <w:t>2.27</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84.61</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34.07</w:t>
            </w:r>
          </w:p>
        </w:tc>
        <w:tc>
          <w:tcPr>
            <w:tcW w:w="821" w:type="dxa"/>
            <w:tcBorders>
              <w:top w:val="nil"/>
              <w:left w:val="nil"/>
              <w:bottom w:val="nil"/>
              <w:right w:val="nil"/>
            </w:tcBorders>
          </w:tcPr>
          <w:p>
            <w:pPr>
              <w:pStyle w:val="TableParagraph"/>
              <w:spacing w:line="275" w:lineRule="exact"/>
              <w:ind w:right="149"/>
              <w:rPr>
                <w:sz w:val="24"/>
              </w:rPr>
            </w:pPr>
            <w:r>
              <w:rPr>
                <w:sz w:val="24"/>
              </w:rPr>
              <w:t>63.78</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4</w:t>
            </w:r>
          </w:p>
        </w:tc>
        <w:tc>
          <w:tcPr>
            <w:tcW w:w="1310" w:type="dxa"/>
            <w:tcBorders>
              <w:top w:val="nil"/>
              <w:left w:val="nil"/>
              <w:bottom w:val="nil"/>
              <w:right w:val="nil"/>
            </w:tcBorders>
          </w:tcPr>
          <w:p>
            <w:pPr>
              <w:pStyle w:val="TableParagraph"/>
              <w:spacing w:line="275" w:lineRule="exact"/>
              <w:ind w:left="297"/>
              <w:jc w:val="left"/>
              <w:rPr>
                <w:sz w:val="24"/>
              </w:rPr>
            </w:pPr>
            <w:r>
              <w:rPr>
                <w:sz w:val="24"/>
              </w:rPr>
              <w:t>2.36</w:t>
            </w:r>
          </w:p>
        </w:tc>
        <w:tc>
          <w:tcPr>
            <w:tcW w:w="1253" w:type="dxa"/>
            <w:tcBorders>
              <w:top w:val="nil"/>
              <w:left w:val="nil"/>
              <w:bottom w:val="nil"/>
              <w:right w:val="nil"/>
            </w:tcBorders>
          </w:tcPr>
          <w:p>
            <w:pPr>
              <w:pStyle w:val="TableParagraph"/>
              <w:spacing w:line="275" w:lineRule="exact"/>
              <w:ind w:left="269"/>
              <w:jc w:val="left"/>
              <w:rPr>
                <w:sz w:val="24"/>
              </w:rPr>
            </w:pPr>
            <w:r>
              <w:rPr>
                <w:sz w:val="24"/>
              </w:rPr>
              <w:t>3.72</w:t>
            </w:r>
          </w:p>
        </w:tc>
        <w:tc>
          <w:tcPr>
            <w:tcW w:w="1272" w:type="dxa"/>
            <w:tcBorders>
              <w:top w:val="nil"/>
              <w:left w:val="nil"/>
              <w:bottom w:val="nil"/>
              <w:right w:val="nil"/>
            </w:tcBorders>
          </w:tcPr>
          <w:p>
            <w:pPr>
              <w:pStyle w:val="TableParagraph"/>
              <w:spacing w:line="275" w:lineRule="exact"/>
              <w:ind w:left="296"/>
              <w:jc w:val="left"/>
              <w:rPr>
                <w:sz w:val="24"/>
              </w:rPr>
            </w:pPr>
            <w:r>
              <w:rPr>
                <w:sz w:val="24"/>
              </w:rPr>
              <w:t>2.10</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116.16</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32.75</w:t>
            </w:r>
          </w:p>
        </w:tc>
        <w:tc>
          <w:tcPr>
            <w:tcW w:w="821" w:type="dxa"/>
            <w:tcBorders>
              <w:top w:val="nil"/>
              <w:left w:val="nil"/>
              <w:bottom w:val="nil"/>
              <w:right w:val="nil"/>
            </w:tcBorders>
          </w:tcPr>
          <w:p>
            <w:pPr>
              <w:pStyle w:val="TableParagraph"/>
              <w:spacing w:line="275" w:lineRule="exact"/>
              <w:ind w:right="149"/>
              <w:rPr>
                <w:sz w:val="24"/>
              </w:rPr>
            </w:pPr>
            <w:r>
              <w:rPr>
                <w:sz w:val="24"/>
              </w:rPr>
              <w:t>55.43</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5</w:t>
            </w:r>
          </w:p>
        </w:tc>
        <w:tc>
          <w:tcPr>
            <w:tcW w:w="1310" w:type="dxa"/>
            <w:tcBorders>
              <w:top w:val="nil"/>
              <w:left w:val="nil"/>
              <w:bottom w:val="nil"/>
              <w:right w:val="nil"/>
            </w:tcBorders>
          </w:tcPr>
          <w:p>
            <w:pPr>
              <w:pStyle w:val="TableParagraph"/>
              <w:spacing w:line="275" w:lineRule="exact"/>
              <w:ind w:left="297"/>
              <w:jc w:val="left"/>
              <w:rPr>
                <w:sz w:val="24"/>
              </w:rPr>
            </w:pPr>
            <w:r>
              <w:rPr>
                <w:sz w:val="24"/>
              </w:rPr>
              <w:t>2.28</w:t>
            </w:r>
          </w:p>
        </w:tc>
        <w:tc>
          <w:tcPr>
            <w:tcW w:w="1253" w:type="dxa"/>
            <w:tcBorders>
              <w:top w:val="nil"/>
              <w:left w:val="nil"/>
              <w:bottom w:val="nil"/>
              <w:right w:val="nil"/>
            </w:tcBorders>
          </w:tcPr>
          <w:p>
            <w:pPr>
              <w:pStyle w:val="TableParagraph"/>
              <w:spacing w:line="275" w:lineRule="exact"/>
              <w:ind w:left="269"/>
              <w:jc w:val="left"/>
              <w:rPr>
                <w:sz w:val="24"/>
              </w:rPr>
            </w:pPr>
            <w:r>
              <w:rPr>
                <w:sz w:val="24"/>
              </w:rPr>
              <w:t>2.61</w:t>
            </w:r>
          </w:p>
        </w:tc>
        <w:tc>
          <w:tcPr>
            <w:tcW w:w="1272" w:type="dxa"/>
            <w:tcBorders>
              <w:top w:val="nil"/>
              <w:left w:val="nil"/>
              <w:bottom w:val="nil"/>
              <w:right w:val="nil"/>
            </w:tcBorders>
          </w:tcPr>
          <w:p>
            <w:pPr>
              <w:pStyle w:val="TableParagraph"/>
              <w:spacing w:line="275" w:lineRule="exact"/>
              <w:ind w:left="296"/>
              <w:jc w:val="left"/>
              <w:rPr>
                <w:sz w:val="24"/>
              </w:rPr>
            </w:pPr>
            <w:r>
              <w:rPr>
                <w:sz w:val="24"/>
              </w:rPr>
              <w:t>2.12</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118.50</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39.50</w:t>
            </w:r>
          </w:p>
        </w:tc>
        <w:tc>
          <w:tcPr>
            <w:tcW w:w="821" w:type="dxa"/>
            <w:tcBorders>
              <w:top w:val="nil"/>
              <w:left w:val="nil"/>
              <w:bottom w:val="nil"/>
              <w:right w:val="nil"/>
            </w:tcBorders>
          </w:tcPr>
          <w:p>
            <w:pPr>
              <w:pStyle w:val="TableParagraph"/>
              <w:spacing w:line="275" w:lineRule="exact"/>
              <w:ind w:right="149"/>
              <w:rPr>
                <w:sz w:val="24"/>
              </w:rPr>
            </w:pPr>
            <w:r>
              <w:rPr>
                <w:sz w:val="24"/>
              </w:rPr>
              <w:t>63.08</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6</w:t>
            </w:r>
          </w:p>
        </w:tc>
        <w:tc>
          <w:tcPr>
            <w:tcW w:w="1310" w:type="dxa"/>
            <w:tcBorders>
              <w:top w:val="nil"/>
              <w:left w:val="nil"/>
              <w:bottom w:val="nil"/>
              <w:right w:val="nil"/>
            </w:tcBorders>
          </w:tcPr>
          <w:p>
            <w:pPr>
              <w:pStyle w:val="TableParagraph"/>
              <w:spacing w:line="275" w:lineRule="exact"/>
              <w:ind w:left="297"/>
              <w:jc w:val="left"/>
              <w:rPr>
                <w:sz w:val="24"/>
              </w:rPr>
            </w:pPr>
            <w:r>
              <w:rPr>
                <w:sz w:val="24"/>
              </w:rPr>
              <w:t>2.37</w:t>
            </w:r>
          </w:p>
        </w:tc>
        <w:tc>
          <w:tcPr>
            <w:tcW w:w="1253" w:type="dxa"/>
            <w:tcBorders>
              <w:top w:val="nil"/>
              <w:left w:val="nil"/>
              <w:bottom w:val="nil"/>
              <w:right w:val="nil"/>
            </w:tcBorders>
          </w:tcPr>
          <w:p>
            <w:pPr>
              <w:pStyle w:val="TableParagraph"/>
              <w:spacing w:line="275" w:lineRule="exact"/>
              <w:ind w:left="269"/>
              <w:jc w:val="left"/>
              <w:rPr>
                <w:sz w:val="24"/>
              </w:rPr>
            </w:pPr>
            <w:r>
              <w:rPr>
                <w:sz w:val="24"/>
              </w:rPr>
              <w:t>3.00</w:t>
            </w:r>
          </w:p>
        </w:tc>
        <w:tc>
          <w:tcPr>
            <w:tcW w:w="1272" w:type="dxa"/>
            <w:tcBorders>
              <w:top w:val="nil"/>
              <w:left w:val="nil"/>
              <w:bottom w:val="nil"/>
              <w:right w:val="nil"/>
            </w:tcBorders>
          </w:tcPr>
          <w:p>
            <w:pPr>
              <w:pStyle w:val="TableParagraph"/>
              <w:spacing w:line="275" w:lineRule="exact"/>
              <w:ind w:left="296"/>
              <w:jc w:val="left"/>
              <w:rPr>
                <w:sz w:val="24"/>
              </w:rPr>
            </w:pPr>
            <w:r>
              <w:rPr>
                <w:sz w:val="24"/>
              </w:rPr>
              <w:t>2.25</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108.58</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34.33</w:t>
            </w:r>
          </w:p>
        </w:tc>
        <w:tc>
          <w:tcPr>
            <w:tcW w:w="821" w:type="dxa"/>
            <w:tcBorders>
              <w:top w:val="nil"/>
              <w:left w:val="nil"/>
              <w:bottom w:val="nil"/>
              <w:right w:val="nil"/>
            </w:tcBorders>
          </w:tcPr>
          <w:p>
            <w:pPr>
              <w:pStyle w:val="TableParagraph"/>
              <w:spacing w:line="275" w:lineRule="exact"/>
              <w:ind w:right="149"/>
              <w:rPr>
                <w:sz w:val="24"/>
              </w:rPr>
            </w:pPr>
            <w:r>
              <w:rPr>
                <w:sz w:val="24"/>
              </w:rPr>
              <w:t>59.26</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7</w:t>
            </w:r>
          </w:p>
        </w:tc>
        <w:tc>
          <w:tcPr>
            <w:tcW w:w="1310" w:type="dxa"/>
            <w:tcBorders>
              <w:top w:val="nil"/>
              <w:left w:val="nil"/>
              <w:bottom w:val="nil"/>
              <w:right w:val="nil"/>
            </w:tcBorders>
          </w:tcPr>
          <w:p>
            <w:pPr>
              <w:pStyle w:val="TableParagraph"/>
              <w:spacing w:line="275" w:lineRule="exact"/>
              <w:ind w:left="297"/>
              <w:jc w:val="left"/>
              <w:rPr>
                <w:sz w:val="24"/>
              </w:rPr>
            </w:pPr>
            <w:r>
              <w:rPr>
                <w:sz w:val="24"/>
              </w:rPr>
              <w:t>2.07</w:t>
            </w:r>
          </w:p>
        </w:tc>
        <w:tc>
          <w:tcPr>
            <w:tcW w:w="1253" w:type="dxa"/>
            <w:tcBorders>
              <w:top w:val="nil"/>
              <w:left w:val="nil"/>
              <w:bottom w:val="nil"/>
              <w:right w:val="nil"/>
            </w:tcBorders>
          </w:tcPr>
          <w:p>
            <w:pPr>
              <w:pStyle w:val="TableParagraph"/>
              <w:spacing w:line="275" w:lineRule="exact"/>
              <w:ind w:left="269"/>
              <w:jc w:val="left"/>
              <w:rPr>
                <w:sz w:val="24"/>
              </w:rPr>
            </w:pPr>
            <w:r>
              <w:rPr>
                <w:sz w:val="24"/>
              </w:rPr>
              <w:t>3.24</w:t>
            </w:r>
          </w:p>
        </w:tc>
        <w:tc>
          <w:tcPr>
            <w:tcW w:w="1272" w:type="dxa"/>
            <w:tcBorders>
              <w:top w:val="nil"/>
              <w:left w:val="nil"/>
              <w:bottom w:val="nil"/>
              <w:right w:val="nil"/>
            </w:tcBorders>
          </w:tcPr>
          <w:p>
            <w:pPr>
              <w:pStyle w:val="TableParagraph"/>
              <w:spacing w:line="275" w:lineRule="exact"/>
              <w:ind w:left="296"/>
              <w:jc w:val="left"/>
              <w:rPr>
                <w:sz w:val="24"/>
              </w:rPr>
            </w:pPr>
            <w:r>
              <w:rPr>
                <w:sz w:val="24"/>
              </w:rPr>
              <w:t>1.87</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131.48</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39.30</w:t>
            </w:r>
          </w:p>
        </w:tc>
        <w:tc>
          <w:tcPr>
            <w:tcW w:w="821" w:type="dxa"/>
            <w:tcBorders>
              <w:top w:val="nil"/>
              <w:left w:val="nil"/>
              <w:bottom w:val="nil"/>
              <w:right w:val="nil"/>
            </w:tcBorders>
          </w:tcPr>
          <w:p>
            <w:pPr>
              <w:pStyle w:val="TableParagraph"/>
              <w:spacing w:line="275" w:lineRule="exact"/>
              <w:ind w:right="149"/>
              <w:rPr>
                <w:sz w:val="24"/>
              </w:rPr>
            </w:pPr>
            <w:r>
              <w:rPr>
                <w:sz w:val="24"/>
              </w:rPr>
              <w:t>72.62</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8</w:t>
            </w:r>
          </w:p>
        </w:tc>
        <w:tc>
          <w:tcPr>
            <w:tcW w:w="1310" w:type="dxa"/>
            <w:tcBorders>
              <w:top w:val="nil"/>
              <w:left w:val="nil"/>
              <w:bottom w:val="nil"/>
              <w:right w:val="nil"/>
            </w:tcBorders>
          </w:tcPr>
          <w:p>
            <w:pPr>
              <w:pStyle w:val="TableParagraph"/>
              <w:spacing w:line="275" w:lineRule="exact"/>
              <w:ind w:left="297"/>
              <w:jc w:val="left"/>
              <w:rPr>
                <w:sz w:val="24"/>
              </w:rPr>
            </w:pPr>
            <w:r>
              <w:rPr>
                <w:sz w:val="24"/>
              </w:rPr>
              <w:t>2.50</w:t>
            </w:r>
          </w:p>
        </w:tc>
        <w:tc>
          <w:tcPr>
            <w:tcW w:w="1253" w:type="dxa"/>
            <w:tcBorders>
              <w:top w:val="nil"/>
              <w:left w:val="nil"/>
              <w:bottom w:val="nil"/>
              <w:right w:val="nil"/>
            </w:tcBorders>
          </w:tcPr>
          <w:p>
            <w:pPr>
              <w:pStyle w:val="TableParagraph"/>
              <w:spacing w:line="275" w:lineRule="exact"/>
              <w:ind w:left="269"/>
              <w:jc w:val="left"/>
              <w:rPr>
                <w:sz w:val="24"/>
              </w:rPr>
            </w:pPr>
            <w:r>
              <w:rPr>
                <w:sz w:val="24"/>
              </w:rPr>
              <w:t>3.26</w:t>
            </w:r>
          </w:p>
        </w:tc>
        <w:tc>
          <w:tcPr>
            <w:tcW w:w="1272" w:type="dxa"/>
            <w:tcBorders>
              <w:top w:val="nil"/>
              <w:left w:val="nil"/>
              <w:bottom w:val="nil"/>
              <w:right w:val="nil"/>
            </w:tcBorders>
          </w:tcPr>
          <w:p>
            <w:pPr>
              <w:pStyle w:val="TableParagraph"/>
              <w:spacing w:line="275" w:lineRule="exact"/>
              <w:ind w:left="296"/>
              <w:jc w:val="left"/>
              <w:rPr>
                <w:sz w:val="24"/>
              </w:rPr>
            </w:pPr>
            <w:r>
              <w:rPr>
                <w:sz w:val="24"/>
              </w:rPr>
              <w:t>2.31</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100.71</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38.21</w:t>
            </w:r>
          </w:p>
        </w:tc>
        <w:tc>
          <w:tcPr>
            <w:tcW w:w="821" w:type="dxa"/>
            <w:tcBorders>
              <w:top w:val="nil"/>
              <w:left w:val="nil"/>
              <w:bottom w:val="nil"/>
              <w:right w:val="nil"/>
            </w:tcBorders>
          </w:tcPr>
          <w:p>
            <w:pPr>
              <w:pStyle w:val="TableParagraph"/>
              <w:spacing w:line="275" w:lineRule="exact"/>
              <w:ind w:right="149"/>
              <w:rPr>
                <w:sz w:val="24"/>
              </w:rPr>
            </w:pPr>
            <w:r>
              <w:rPr>
                <w:sz w:val="24"/>
              </w:rPr>
              <w:t>59.91</w:t>
            </w:r>
          </w:p>
        </w:tc>
      </w:tr>
      <w:tr>
        <w:trPr>
          <w:trHeight w:val="300" w:hRule="exact"/>
        </w:trPr>
        <w:tc>
          <w:tcPr>
            <w:tcW w:w="1728" w:type="dxa"/>
            <w:tcBorders>
              <w:top w:val="nil"/>
              <w:left w:val="nil"/>
              <w:bottom w:val="nil"/>
              <w:right w:val="nil"/>
            </w:tcBorders>
          </w:tcPr>
          <w:p>
            <w:pPr>
              <w:pStyle w:val="TableParagraph"/>
              <w:spacing w:line="275" w:lineRule="exact"/>
              <w:ind w:right="151"/>
              <w:jc w:val="center"/>
              <w:rPr>
                <w:sz w:val="24"/>
              </w:rPr>
            </w:pPr>
            <w:r>
              <w:rPr>
                <w:sz w:val="24"/>
              </w:rPr>
              <w:t>9</w:t>
            </w:r>
          </w:p>
        </w:tc>
        <w:tc>
          <w:tcPr>
            <w:tcW w:w="1310" w:type="dxa"/>
            <w:tcBorders>
              <w:top w:val="nil"/>
              <w:left w:val="nil"/>
              <w:bottom w:val="nil"/>
              <w:right w:val="nil"/>
            </w:tcBorders>
          </w:tcPr>
          <w:p>
            <w:pPr>
              <w:pStyle w:val="TableParagraph"/>
              <w:spacing w:line="275" w:lineRule="exact"/>
              <w:ind w:left="297"/>
              <w:jc w:val="left"/>
              <w:rPr>
                <w:sz w:val="24"/>
              </w:rPr>
            </w:pPr>
            <w:r>
              <w:rPr>
                <w:sz w:val="24"/>
              </w:rPr>
              <w:t>2.26</w:t>
            </w:r>
          </w:p>
        </w:tc>
        <w:tc>
          <w:tcPr>
            <w:tcW w:w="1253" w:type="dxa"/>
            <w:tcBorders>
              <w:top w:val="nil"/>
              <w:left w:val="nil"/>
              <w:bottom w:val="nil"/>
              <w:right w:val="nil"/>
            </w:tcBorders>
          </w:tcPr>
          <w:p>
            <w:pPr>
              <w:pStyle w:val="TableParagraph"/>
              <w:spacing w:line="275" w:lineRule="exact"/>
              <w:ind w:left="269"/>
              <w:jc w:val="left"/>
              <w:rPr>
                <w:sz w:val="24"/>
              </w:rPr>
            </w:pPr>
            <w:r>
              <w:rPr>
                <w:sz w:val="24"/>
              </w:rPr>
              <w:t>3.45</w:t>
            </w:r>
          </w:p>
        </w:tc>
        <w:tc>
          <w:tcPr>
            <w:tcW w:w="1272" w:type="dxa"/>
            <w:tcBorders>
              <w:top w:val="nil"/>
              <w:left w:val="nil"/>
              <w:bottom w:val="nil"/>
              <w:right w:val="nil"/>
            </w:tcBorders>
          </w:tcPr>
          <w:p>
            <w:pPr>
              <w:pStyle w:val="TableParagraph"/>
              <w:spacing w:line="275" w:lineRule="exact"/>
              <w:ind w:left="296"/>
              <w:jc w:val="left"/>
              <w:rPr>
                <w:sz w:val="24"/>
              </w:rPr>
            </w:pPr>
            <w:r>
              <w:rPr>
                <w:sz w:val="24"/>
              </w:rPr>
              <w:t>2.13</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138.61</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37.57</w:t>
            </w:r>
          </w:p>
        </w:tc>
        <w:tc>
          <w:tcPr>
            <w:tcW w:w="821" w:type="dxa"/>
            <w:tcBorders>
              <w:top w:val="nil"/>
              <w:left w:val="nil"/>
              <w:bottom w:val="nil"/>
              <w:right w:val="nil"/>
            </w:tcBorders>
          </w:tcPr>
          <w:p>
            <w:pPr>
              <w:pStyle w:val="TableParagraph"/>
              <w:spacing w:line="275" w:lineRule="exact"/>
              <w:ind w:right="149"/>
              <w:rPr>
                <w:sz w:val="24"/>
              </w:rPr>
            </w:pPr>
            <w:r>
              <w:rPr>
                <w:sz w:val="24"/>
              </w:rPr>
              <w:t>72.81</w:t>
            </w:r>
          </w:p>
        </w:tc>
      </w:tr>
      <w:tr>
        <w:trPr>
          <w:trHeight w:val="300" w:hRule="exact"/>
        </w:trPr>
        <w:tc>
          <w:tcPr>
            <w:tcW w:w="1728" w:type="dxa"/>
            <w:tcBorders>
              <w:top w:val="nil"/>
              <w:left w:val="nil"/>
              <w:bottom w:val="nil"/>
              <w:right w:val="nil"/>
            </w:tcBorders>
          </w:tcPr>
          <w:p>
            <w:pPr>
              <w:pStyle w:val="TableParagraph"/>
              <w:spacing w:line="275" w:lineRule="exact"/>
              <w:ind w:left="648" w:right="799"/>
              <w:jc w:val="center"/>
              <w:rPr>
                <w:sz w:val="24"/>
              </w:rPr>
            </w:pPr>
            <w:r>
              <w:rPr>
                <w:sz w:val="24"/>
              </w:rPr>
              <w:t>10</w:t>
            </w:r>
          </w:p>
        </w:tc>
        <w:tc>
          <w:tcPr>
            <w:tcW w:w="1310" w:type="dxa"/>
            <w:tcBorders>
              <w:top w:val="nil"/>
              <w:left w:val="nil"/>
              <w:bottom w:val="nil"/>
              <w:right w:val="nil"/>
            </w:tcBorders>
          </w:tcPr>
          <w:p>
            <w:pPr>
              <w:pStyle w:val="TableParagraph"/>
              <w:spacing w:line="275" w:lineRule="exact"/>
              <w:ind w:left="297"/>
              <w:jc w:val="left"/>
              <w:rPr>
                <w:sz w:val="24"/>
              </w:rPr>
            </w:pPr>
            <w:r>
              <w:rPr>
                <w:sz w:val="24"/>
              </w:rPr>
              <w:t>3.24</w:t>
            </w:r>
          </w:p>
        </w:tc>
        <w:tc>
          <w:tcPr>
            <w:tcW w:w="1253" w:type="dxa"/>
            <w:tcBorders>
              <w:top w:val="nil"/>
              <w:left w:val="nil"/>
              <w:bottom w:val="nil"/>
              <w:right w:val="nil"/>
            </w:tcBorders>
          </w:tcPr>
          <w:p>
            <w:pPr>
              <w:pStyle w:val="TableParagraph"/>
              <w:spacing w:line="275" w:lineRule="exact"/>
              <w:ind w:left="269"/>
              <w:jc w:val="left"/>
              <w:rPr>
                <w:sz w:val="24"/>
              </w:rPr>
            </w:pPr>
            <w:r>
              <w:rPr>
                <w:sz w:val="24"/>
              </w:rPr>
              <w:t>4.55</w:t>
            </w:r>
          </w:p>
        </w:tc>
        <w:tc>
          <w:tcPr>
            <w:tcW w:w="1272" w:type="dxa"/>
            <w:tcBorders>
              <w:top w:val="nil"/>
              <w:left w:val="nil"/>
              <w:bottom w:val="nil"/>
              <w:right w:val="nil"/>
            </w:tcBorders>
          </w:tcPr>
          <w:p>
            <w:pPr>
              <w:pStyle w:val="TableParagraph"/>
              <w:spacing w:line="275" w:lineRule="exact"/>
              <w:ind w:left="296"/>
              <w:jc w:val="left"/>
              <w:rPr>
                <w:sz w:val="24"/>
              </w:rPr>
            </w:pPr>
            <w:r>
              <w:rPr>
                <w:sz w:val="24"/>
              </w:rPr>
              <w:t>3.19</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113.45</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35.81</w:t>
            </w:r>
          </w:p>
        </w:tc>
        <w:tc>
          <w:tcPr>
            <w:tcW w:w="821" w:type="dxa"/>
            <w:tcBorders>
              <w:top w:val="nil"/>
              <w:left w:val="nil"/>
              <w:bottom w:val="nil"/>
              <w:right w:val="nil"/>
            </w:tcBorders>
          </w:tcPr>
          <w:p>
            <w:pPr>
              <w:pStyle w:val="TableParagraph"/>
              <w:spacing w:line="275" w:lineRule="exact"/>
              <w:ind w:right="149"/>
              <w:rPr>
                <w:sz w:val="24"/>
              </w:rPr>
            </w:pPr>
            <w:r>
              <w:rPr>
                <w:sz w:val="24"/>
              </w:rPr>
              <w:t>55.61</w:t>
            </w:r>
          </w:p>
        </w:tc>
      </w:tr>
      <w:tr>
        <w:trPr>
          <w:trHeight w:val="300" w:hRule="exact"/>
        </w:trPr>
        <w:tc>
          <w:tcPr>
            <w:tcW w:w="1728" w:type="dxa"/>
            <w:tcBorders>
              <w:top w:val="nil"/>
              <w:left w:val="nil"/>
              <w:bottom w:val="nil"/>
              <w:right w:val="nil"/>
            </w:tcBorders>
          </w:tcPr>
          <w:p>
            <w:pPr>
              <w:pStyle w:val="TableParagraph"/>
              <w:spacing w:line="275" w:lineRule="exact"/>
              <w:ind w:left="648" w:right="799"/>
              <w:jc w:val="center"/>
              <w:rPr>
                <w:sz w:val="24"/>
              </w:rPr>
            </w:pPr>
            <w:r>
              <w:rPr>
                <w:sz w:val="24"/>
              </w:rPr>
              <w:t>11</w:t>
            </w:r>
          </w:p>
        </w:tc>
        <w:tc>
          <w:tcPr>
            <w:tcW w:w="1310" w:type="dxa"/>
            <w:tcBorders>
              <w:top w:val="nil"/>
              <w:left w:val="nil"/>
              <w:bottom w:val="nil"/>
              <w:right w:val="nil"/>
            </w:tcBorders>
          </w:tcPr>
          <w:p>
            <w:pPr>
              <w:pStyle w:val="TableParagraph"/>
              <w:spacing w:line="275" w:lineRule="exact"/>
              <w:ind w:left="297"/>
              <w:jc w:val="left"/>
              <w:rPr>
                <w:sz w:val="24"/>
              </w:rPr>
            </w:pPr>
            <w:r>
              <w:rPr>
                <w:sz w:val="24"/>
              </w:rPr>
              <w:t>2.71</w:t>
            </w:r>
          </w:p>
        </w:tc>
        <w:tc>
          <w:tcPr>
            <w:tcW w:w="1253" w:type="dxa"/>
            <w:tcBorders>
              <w:top w:val="nil"/>
              <w:left w:val="nil"/>
              <w:bottom w:val="nil"/>
              <w:right w:val="nil"/>
            </w:tcBorders>
          </w:tcPr>
          <w:p>
            <w:pPr>
              <w:pStyle w:val="TableParagraph"/>
              <w:spacing w:line="275" w:lineRule="exact"/>
              <w:ind w:left="269"/>
              <w:jc w:val="left"/>
              <w:rPr>
                <w:sz w:val="24"/>
              </w:rPr>
            </w:pPr>
            <w:r>
              <w:rPr>
                <w:sz w:val="24"/>
              </w:rPr>
              <w:t>4.30</w:t>
            </w:r>
          </w:p>
        </w:tc>
        <w:tc>
          <w:tcPr>
            <w:tcW w:w="1272" w:type="dxa"/>
            <w:tcBorders>
              <w:top w:val="nil"/>
              <w:left w:val="nil"/>
              <w:bottom w:val="nil"/>
              <w:right w:val="nil"/>
            </w:tcBorders>
          </w:tcPr>
          <w:p>
            <w:pPr>
              <w:pStyle w:val="TableParagraph"/>
              <w:spacing w:line="275" w:lineRule="exact"/>
              <w:ind w:left="296"/>
              <w:jc w:val="left"/>
              <w:rPr>
                <w:sz w:val="24"/>
              </w:rPr>
            </w:pPr>
            <w:r>
              <w:rPr>
                <w:sz w:val="24"/>
              </w:rPr>
              <w:t>2.34</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127.05</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36.31</w:t>
            </w:r>
          </w:p>
        </w:tc>
        <w:tc>
          <w:tcPr>
            <w:tcW w:w="821" w:type="dxa"/>
            <w:tcBorders>
              <w:top w:val="nil"/>
              <w:left w:val="nil"/>
              <w:bottom w:val="nil"/>
              <w:right w:val="nil"/>
            </w:tcBorders>
          </w:tcPr>
          <w:p>
            <w:pPr>
              <w:pStyle w:val="TableParagraph"/>
              <w:spacing w:line="275" w:lineRule="exact"/>
              <w:ind w:right="149"/>
              <w:rPr>
                <w:sz w:val="24"/>
              </w:rPr>
            </w:pPr>
            <w:r>
              <w:rPr>
                <w:sz w:val="24"/>
              </w:rPr>
              <w:t>67.47</w:t>
            </w:r>
          </w:p>
        </w:tc>
      </w:tr>
      <w:tr>
        <w:trPr>
          <w:trHeight w:val="300" w:hRule="exact"/>
        </w:trPr>
        <w:tc>
          <w:tcPr>
            <w:tcW w:w="1728" w:type="dxa"/>
            <w:tcBorders>
              <w:top w:val="nil"/>
              <w:left w:val="nil"/>
              <w:bottom w:val="nil"/>
              <w:right w:val="nil"/>
            </w:tcBorders>
          </w:tcPr>
          <w:p>
            <w:pPr>
              <w:pStyle w:val="TableParagraph"/>
              <w:spacing w:line="275" w:lineRule="exact"/>
              <w:ind w:left="648" w:right="799"/>
              <w:jc w:val="center"/>
              <w:rPr>
                <w:sz w:val="24"/>
              </w:rPr>
            </w:pPr>
            <w:r>
              <w:rPr>
                <w:sz w:val="24"/>
              </w:rPr>
              <w:t>12</w:t>
            </w:r>
          </w:p>
        </w:tc>
        <w:tc>
          <w:tcPr>
            <w:tcW w:w="1310" w:type="dxa"/>
            <w:tcBorders>
              <w:top w:val="nil"/>
              <w:left w:val="nil"/>
              <w:bottom w:val="nil"/>
              <w:right w:val="nil"/>
            </w:tcBorders>
          </w:tcPr>
          <w:p>
            <w:pPr>
              <w:pStyle w:val="TableParagraph"/>
              <w:spacing w:line="275" w:lineRule="exact"/>
              <w:ind w:left="297"/>
              <w:jc w:val="left"/>
              <w:rPr>
                <w:sz w:val="24"/>
              </w:rPr>
            </w:pPr>
            <w:r>
              <w:rPr>
                <w:sz w:val="24"/>
              </w:rPr>
              <w:t>2.45</w:t>
            </w:r>
          </w:p>
        </w:tc>
        <w:tc>
          <w:tcPr>
            <w:tcW w:w="1253" w:type="dxa"/>
            <w:tcBorders>
              <w:top w:val="nil"/>
              <w:left w:val="nil"/>
              <w:bottom w:val="nil"/>
              <w:right w:val="nil"/>
            </w:tcBorders>
          </w:tcPr>
          <w:p>
            <w:pPr>
              <w:pStyle w:val="TableParagraph"/>
              <w:spacing w:line="275" w:lineRule="exact"/>
              <w:ind w:left="269"/>
              <w:jc w:val="left"/>
              <w:rPr>
                <w:sz w:val="24"/>
              </w:rPr>
            </w:pPr>
            <w:r>
              <w:rPr>
                <w:sz w:val="24"/>
              </w:rPr>
              <w:t>3.38</w:t>
            </w:r>
          </w:p>
        </w:tc>
        <w:tc>
          <w:tcPr>
            <w:tcW w:w="1272" w:type="dxa"/>
            <w:tcBorders>
              <w:top w:val="nil"/>
              <w:left w:val="nil"/>
              <w:bottom w:val="nil"/>
              <w:right w:val="nil"/>
            </w:tcBorders>
          </w:tcPr>
          <w:p>
            <w:pPr>
              <w:pStyle w:val="TableParagraph"/>
              <w:spacing w:line="275" w:lineRule="exact"/>
              <w:ind w:left="296"/>
              <w:jc w:val="left"/>
              <w:rPr>
                <w:sz w:val="24"/>
              </w:rPr>
            </w:pPr>
            <w:r>
              <w:rPr>
                <w:sz w:val="24"/>
              </w:rPr>
              <w:t>2.20</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127.04</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39.74</w:t>
            </w:r>
          </w:p>
        </w:tc>
        <w:tc>
          <w:tcPr>
            <w:tcW w:w="821" w:type="dxa"/>
            <w:tcBorders>
              <w:top w:val="nil"/>
              <w:left w:val="nil"/>
              <w:bottom w:val="nil"/>
              <w:right w:val="nil"/>
            </w:tcBorders>
          </w:tcPr>
          <w:p>
            <w:pPr>
              <w:pStyle w:val="TableParagraph"/>
              <w:spacing w:line="275" w:lineRule="exact"/>
              <w:ind w:right="149"/>
              <w:rPr>
                <w:sz w:val="24"/>
              </w:rPr>
            </w:pPr>
            <w:r>
              <w:rPr>
                <w:sz w:val="24"/>
              </w:rPr>
              <w:t>69.55</w:t>
            </w:r>
          </w:p>
        </w:tc>
      </w:tr>
      <w:tr>
        <w:trPr>
          <w:trHeight w:val="270" w:hRule="exact"/>
        </w:trPr>
        <w:tc>
          <w:tcPr>
            <w:tcW w:w="1728" w:type="dxa"/>
            <w:tcBorders>
              <w:top w:val="nil"/>
              <w:left w:val="nil"/>
              <w:bottom w:val="nil"/>
              <w:right w:val="nil"/>
            </w:tcBorders>
          </w:tcPr>
          <w:p>
            <w:pPr>
              <w:pStyle w:val="TableParagraph"/>
              <w:spacing w:line="275" w:lineRule="exact"/>
              <w:ind w:left="648" w:right="799"/>
              <w:jc w:val="center"/>
              <w:rPr>
                <w:sz w:val="24"/>
              </w:rPr>
            </w:pPr>
            <w:r>
              <w:rPr>
                <w:sz w:val="24"/>
              </w:rPr>
              <w:t>13</w:t>
            </w:r>
          </w:p>
        </w:tc>
        <w:tc>
          <w:tcPr>
            <w:tcW w:w="1310" w:type="dxa"/>
            <w:tcBorders>
              <w:top w:val="nil"/>
              <w:left w:val="nil"/>
              <w:bottom w:val="nil"/>
              <w:right w:val="nil"/>
            </w:tcBorders>
          </w:tcPr>
          <w:p>
            <w:pPr>
              <w:pStyle w:val="TableParagraph"/>
              <w:spacing w:line="275" w:lineRule="exact"/>
              <w:ind w:left="297"/>
              <w:jc w:val="left"/>
              <w:rPr>
                <w:sz w:val="24"/>
              </w:rPr>
            </w:pPr>
            <w:r>
              <w:rPr>
                <w:sz w:val="24"/>
              </w:rPr>
              <w:t>2.01</w:t>
            </w:r>
          </w:p>
        </w:tc>
        <w:tc>
          <w:tcPr>
            <w:tcW w:w="1253" w:type="dxa"/>
            <w:tcBorders>
              <w:top w:val="nil"/>
              <w:left w:val="nil"/>
              <w:bottom w:val="nil"/>
              <w:right w:val="nil"/>
            </w:tcBorders>
          </w:tcPr>
          <w:p>
            <w:pPr>
              <w:pStyle w:val="TableParagraph"/>
              <w:spacing w:line="275" w:lineRule="exact"/>
              <w:ind w:left="269"/>
              <w:jc w:val="left"/>
              <w:rPr>
                <w:sz w:val="24"/>
              </w:rPr>
            </w:pPr>
            <w:r>
              <w:rPr>
                <w:sz w:val="24"/>
              </w:rPr>
              <w:t>2.61</w:t>
            </w:r>
          </w:p>
        </w:tc>
        <w:tc>
          <w:tcPr>
            <w:tcW w:w="1272" w:type="dxa"/>
            <w:tcBorders>
              <w:top w:val="nil"/>
              <w:left w:val="nil"/>
              <w:bottom w:val="nil"/>
              <w:right w:val="nil"/>
            </w:tcBorders>
          </w:tcPr>
          <w:p>
            <w:pPr>
              <w:pStyle w:val="TableParagraph"/>
              <w:spacing w:line="275" w:lineRule="exact"/>
              <w:ind w:left="296"/>
              <w:jc w:val="left"/>
              <w:rPr>
                <w:sz w:val="24"/>
              </w:rPr>
            </w:pPr>
            <w:r>
              <w:rPr>
                <w:sz w:val="24"/>
              </w:rPr>
              <w:t>1.82</w:t>
            </w:r>
          </w:p>
        </w:tc>
        <w:tc>
          <w:tcPr>
            <w:tcW w:w="896" w:type="dxa"/>
            <w:tcBorders>
              <w:top w:val="nil"/>
              <w:left w:val="nil"/>
              <w:bottom w:val="nil"/>
              <w:right w:val="nil"/>
            </w:tcBorders>
          </w:tcPr>
          <w:p>
            <w:pPr>
              <w:pStyle w:val="TableParagraph"/>
              <w:spacing w:line="275" w:lineRule="exact"/>
              <w:ind w:left="158" w:right="37"/>
              <w:jc w:val="center"/>
              <w:rPr>
                <w:sz w:val="24"/>
              </w:rPr>
            </w:pPr>
            <w:r>
              <w:rPr>
                <w:sz w:val="24"/>
              </w:rPr>
              <w:t>133.30</w:t>
            </w:r>
          </w:p>
        </w:tc>
        <w:tc>
          <w:tcPr>
            <w:tcW w:w="1561" w:type="dxa"/>
            <w:gridSpan w:val="2"/>
            <w:tcBorders>
              <w:top w:val="nil"/>
              <w:left w:val="nil"/>
              <w:bottom w:val="nil"/>
              <w:right w:val="nil"/>
            </w:tcBorders>
          </w:tcPr>
          <w:p>
            <w:pPr>
              <w:pStyle w:val="TableParagraph"/>
              <w:spacing w:line="275" w:lineRule="exact"/>
              <w:ind w:left="617"/>
              <w:jc w:val="left"/>
              <w:rPr>
                <w:sz w:val="24"/>
              </w:rPr>
            </w:pPr>
            <w:r>
              <w:rPr>
                <w:sz w:val="24"/>
              </w:rPr>
              <w:t>43.27</w:t>
            </w:r>
          </w:p>
        </w:tc>
        <w:tc>
          <w:tcPr>
            <w:tcW w:w="821" w:type="dxa"/>
            <w:tcBorders>
              <w:top w:val="nil"/>
              <w:left w:val="nil"/>
              <w:bottom w:val="nil"/>
              <w:right w:val="nil"/>
            </w:tcBorders>
          </w:tcPr>
          <w:p>
            <w:pPr>
              <w:pStyle w:val="TableParagraph"/>
              <w:spacing w:line="275" w:lineRule="exact"/>
              <w:ind w:right="149"/>
              <w:rPr>
                <w:sz w:val="24"/>
              </w:rPr>
            </w:pPr>
            <w:r>
              <w:rPr>
                <w:sz w:val="24"/>
              </w:rPr>
              <w:t>66.47</w:t>
            </w:r>
          </w:p>
        </w:tc>
      </w:tr>
      <w:tr>
        <w:trPr>
          <w:trHeight w:val="335" w:hRule="exact"/>
        </w:trPr>
        <w:tc>
          <w:tcPr>
            <w:tcW w:w="8841" w:type="dxa"/>
            <w:gridSpan w:val="8"/>
            <w:tcBorders>
              <w:top w:val="nil"/>
              <w:left w:val="nil"/>
              <w:bottom w:val="nil"/>
              <w:right w:val="nil"/>
            </w:tcBorders>
          </w:tcPr>
          <w:p>
            <w:pPr>
              <w:pStyle w:val="TableParagraph"/>
              <w:spacing w:before="34"/>
              <w:ind w:left="69"/>
              <w:jc w:val="left"/>
              <w:rPr>
                <w:b/>
                <w:sz w:val="24"/>
              </w:rPr>
            </w:pPr>
            <w:r>
              <w:rPr>
                <w:b/>
                <w:sz w:val="24"/>
              </w:rPr>
              <w:t>Paso 1. Resumen de estadísticos</w:t>
            </w:r>
          </w:p>
        </w:tc>
      </w:tr>
      <w:tr>
        <w:trPr>
          <w:trHeight w:val="327" w:hRule="exact"/>
        </w:trPr>
        <w:tc>
          <w:tcPr>
            <w:tcW w:w="1728" w:type="dxa"/>
            <w:tcBorders>
              <w:left w:val="nil"/>
              <w:bottom w:val="nil"/>
              <w:right w:val="nil"/>
            </w:tcBorders>
          </w:tcPr>
          <w:p>
            <w:pPr>
              <w:pStyle w:val="TableParagraph"/>
              <w:spacing w:before="18"/>
              <w:ind w:left="69"/>
              <w:jc w:val="left"/>
              <w:rPr>
                <w:sz w:val="24"/>
              </w:rPr>
            </w:pPr>
            <w:r>
              <w:rPr>
                <w:sz w:val="24"/>
              </w:rPr>
              <w:t>Media</w:t>
            </w:r>
          </w:p>
        </w:tc>
        <w:tc>
          <w:tcPr>
            <w:tcW w:w="1310" w:type="dxa"/>
            <w:tcBorders>
              <w:left w:val="nil"/>
              <w:bottom w:val="nil"/>
              <w:right w:val="nil"/>
            </w:tcBorders>
          </w:tcPr>
          <w:p>
            <w:pPr>
              <w:pStyle w:val="TableParagraph"/>
              <w:spacing w:before="18"/>
              <w:ind w:right="210"/>
              <w:rPr>
                <w:sz w:val="24"/>
              </w:rPr>
            </w:pPr>
            <w:r>
              <w:rPr>
                <w:sz w:val="24"/>
              </w:rPr>
              <w:t>2.33</w:t>
            </w:r>
          </w:p>
        </w:tc>
        <w:tc>
          <w:tcPr>
            <w:tcW w:w="1253" w:type="dxa"/>
            <w:tcBorders>
              <w:left w:val="nil"/>
              <w:bottom w:val="nil"/>
              <w:right w:val="nil"/>
            </w:tcBorders>
          </w:tcPr>
          <w:p>
            <w:pPr>
              <w:pStyle w:val="TableParagraph"/>
              <w:spacing w:before="18"/>
              <w:ind w:right="217"/>
              <w:rPr>
                <w:sz w:val="24"/>
              </w:rPr>
            </w:pPr>
            <w:r>
              <w:rPr>
                <w:sz w:val="24"/>
              </w:rPr>
              <w:t>3.29</w:t>
            </w:r>
          </w:p>
        </w:tc>
        <w:tc>
          <w:tcPr>
            <w:tcW w:w="1272" w:type="dxa"/>
            <w:tcBorders>
              <w:left w:val="nil"/>
              <w:bottom w:val="nil"/>
              <w:right w:val="nil"/>
            </w:tcBorders>
          </w:tcPr>
          <w:p>
            <w:pPr>
              <w:pStyle w:val="TableParagraph"/>
              <w:spacing w:before="18"/>
              <w:ind w:right="176"/>
              <w:rPr>
                <w:sz w:val="24"/>
              </w:rPr>
            </w:pPr>
            <w:r>
              <w:rPr>
                <w:sz w:val="24"/>
              </w:rPr>
              <w:t>2.13</w:t>
            </w:r>
          </w:p>
        </w:tc>
        <w:tc>
          <w:tcPr>
            <w:tcW w:w="1384" w:type="dxa"/>
            <w:gridSpan w:val="2"/>
            <w:tcBorders>
              <w:left w:val="nil"/>
              <w:bottom w:val="nil"/>
              <w:right w:val="nil"/>
            </w:tcBorders>
          </w:tcPr>
          <w:p>
            <w:pPr>
              <w:pStyle w:val="TableParagraph"/>
              <w:spacing w:before="18"/>
              <w:ind w:left="399"/>
              <w:jc w:val="left"/>
              <w:rPr>
                <w:sz w:val="24"/>
              </w:rPr>
            </w:pPr>
            <w:r>
              <w:rPr>
                <w:sz w:val="24"/>
              </w:rPr>
              <w:t>118.36</w:t>
            </w:r>
          </w:p>
        </w:tc>
        <w:tc>
          <w:tcPr>
            <w:tcW w:w="1073" w:type="dxa"/>
            <w:tcBorders>
              <w:left w:val="nil"/>
              <w:bottom w:val="nil"/>
              <w:right w:val="nil"/>
            </w:tcBorders>
          </w:tcPr>
          <w:p>
            <w:pPr>
              <w:pStyle w:val="TableParagraph"/>
              <w:spacing w:before="18"/>
              <w:ind w:right="86"/>
              <w:rPr>
                <w:sz w:val="24"/>
              </w:rPr>
            </w:pPr>
            <w:r>
              <w:rPr>
                <w:sz w:val="24"/>
              </w:rPr>
              <w:t>37.15</w:t>
            </w:r>
          </w:p>
        </w:tc>
        <w:tc>
          <w:tcPr>
            <w:tcW w:w="821" w:type="dxa"/>
            <w:tcBorders>
              <w:left w:val="nil"/>
              <w:bottom w:val="nil"/>
              <w:right w:val="nil"/>
            </w:tcBorders>
          </w:tcPr>
          <w:p>
            <w:pPr>
              <w:pStyle w:val="TableParagraph"/>
              <w:spacing w:before="18"/>
              <w:ind w:right="71"/>
              <w:rPr>
                <w:sz w:val="24"/>
              </w:rPr>
            </w:pPr>
            <w:r>
              <w:rPr>
                <w:sz w:val="24"/>
              </w:rPr>
              <w:t>64.85</w:t>
            </w:r>
          </w:p>
        </w:tc>
      </w:tr>
      <w:tr>
        <w:trPr>
          <w:trHeight w:val="300" w:hRule="exact"/>
        </w:trPr>
        <w:tc>
          <w:tcPr>
            <w:tcW w:w="1728" w:type="dxa"/>
            <w:tcBorders>
              <w:top w:val="nil"/>
              <w:left w:val="nil"/>
              <w:bottom w:val="nil"/>
              <w:right w:val="nil"/>
            </w:tcBorders>
          </w:tcPr>
          <w:p>
            <w:pPr>
              <w:pStyle w:val="TableParagraph"/>
              <w:spacing w:line="289" w:lineRule="exact"/>
              <w:ind w:left="69"/>
              <w:jc w:val="left"/>
              <w:rPr>
                <w:sz w:val="16"/>
              </w:rPr>
            </w:pPr>
            <w:r>
              <w:rPr>
                <w:sz w:val="24"/>
              </w:rPr>
              <w:t>DE</w:t>
            </w:r>
            <w:r>
              <w:rPr>
                <w:position w:val="9"/>
                <w:sz w:val="16"/>
              </w:rPr>
              <w:t>¥</w:t>
            </w:r>
          </w:p>
        </w:tc>
        <w:tc>
          <w:tcPr>
            <w:tcW w:w="1310" w:type="dxa"/>
            <w:tcBorders>
              <w:top w:val="nil"/>
              <w:left w:val="nil"/>
              <w:bottom w:val="nil"/>
              <w:right w:val="nil"/>
            </w:tcBorders>
          </w:tcPr>
          <w:p>
            <w:pPr>
              <w:pStyle w:val="TableParagraph"/>
              <w:spacing w:before="12"/>
              <w:ind w:right="210"/>
              <w:rPr>
                <w:sz w:val="24"/>
              </w:rPr>
            </w:pPr>
            <w:r>
              <w:rPr>
                <w:sz w:val="24"/>
              </w:rPr>
              <w:t>0.400</w:t>
            </w:r>
          </w:p>
        </w:tc>
        <w:tc>
          <w:tcPr>
            <w:tcW w:w="1253" w:type="dxa"/>
            <w:tcBorders>
              <w:top w:val="nil"/>
              <w:left w:val="nil"/>
              <w:bottom w:val="nil"/>
              <w:right w:val="nil"/>
            </w:tcBorders>
          </w:tcPr>
          <w:p>
            <w:pPr>
              <w:pStyle w:val="TableParagraph"/>
              <w:spacing w:before="12"/>
              <w:ind w:right="217"/>
              <w:rPr>
                <w:sz w:val="24"/>
              </w:rPr>
            </w:pPr>
            <w:r>
              <w:rPr>
                <w:sz w:val="24"/>
              </w:rPr>
              <w:t>0.63</w:t>
            </w:r>
          </w:p>
        </w:tc>
        <w:tc>
          <w:tcPr>
            <w:tcW w:w="1272" w:type="dxa"/>
            <w:tcBorders>
              <w:top w:val="nil"/>
              <w:left w:val="nil"/>
              <w:bottom w:val="nil"/>
              <w:right w:val="nil"/>
            </w:tcBorders>
          </w:tcPr>
          <w:p>
            <w:pPr>
              <w:pStyle w:val="TableParagraph"/>
              <w:spacing w:before="12"/>
              <w:ind w:right="176"/>
              <w:rPr>
                <w:sz w:val="24"/>
              </w:rPr>
            </w:pPr>
            <w:r>
              <w:rPr>
                <w:sz w:val="24"/>
              </w:rPr>
              <w:t>0.41</w:t>
            </w:r>
          </w:p>
        </w:tc>
        <w:tc>
          <w:tcPr>
            <w:tcW w:w="1384" w:type="dxa"/>
            <w:gridSpan w:val="2"/>
            <w:tcBorders>
              <w:top w:val="nil"/>
              <w:left w:val="nil"/>
              <w:bottom w:val="nil"/>
              <w:right w:val="nil"/>
            </w:tcBorders>
          </w:tcPr>
          <w:p>
            <w:pPr>
              <w:pStyle w:val="TableParagraph"/>
              <w:spacing w:before="12"/>
              <w:ind w:left="519"/>
              <w:jc w:val="left"/>
              <w:rPr>
                <w:sz w:val="24"/>
              </w:rPr>
            </w:pPr>
            <w:r>
              <w:rPr>
                <w:sz w:val="24"/>
              </w:rPr>
              <w:t>13.96</w:t>
            </w:r>
          </w:p>
        </w:tc>
        <w:tc>
          <w:tcPr>
            <w:tcW w:w="1073" w:type="dxa"/>
            <w:tcBorders>
              <w:top w:val="nil"/>
              <w:left w:val="nil"/>
              <w:bottom w:val="nil"/>
              <w:right w:val="nil"/>
            </w:tcBorders>
          </w:tcPr>
          <w:p>
            <w:pPr>
              <w:pStyle w:val="TableParagraph"/>
              <w:spacing w:before="12"/>
              <w:ind w:right="86"/>
              <w:rPr>
                <w:sz w:val="24"/>
              </w:rPr>
            </w:pPr>
            <w:r>
              <w:rPr>
                <w:sz w:val="24"/>
              </w:rPr>
              <w:t>2.81</w:t>
            </w:r>
          </w:p>
        </w:tc>
        <w:tc>
          <w:tcPr>
            <w:tcW w:w="821" w:type="dxa"/>
            <w:tcBorders>
              <w:top w:val="nil"/>
              <w:left w:val="nil"/>
              <w:bottom w:val="nil"/>
              <w:right w:val="nil"/>
            </w:tcBorders>
          </w:tcPr>
          <w:p>
            <w:pPr>
              <w:pStyle w:val="TableParagraph"/>
              <w:spacing w:before="12"/>
              <w:ind w:right="71"/>
              <w:rPr>
                <w:sz w:val="24"/>
              </w:rPr>
            </w:pPr>
            <w:r>
              <w:rPr>
                <w:sz w:val="24"/>
              </w:rPr>
              <w:t>5.67</w:t>
            </w:r>
          </w:p>
        </w:tc>
      </w:tr>
      <w:tr>
        <w:trPr>
          <w:trHeight w:val="300" w:hRule="exact"/>
        </w:trPr>
        <w:tc>
          <w:tcPr>
            <w:tcW w:w="1728" w:type="dxa"/>
            <w:tcBorders>
              <w:top w:val="nil"/>
              <w:left w:val="nil"/>
              <w:bottom w:val="nil"/>
              <w:right w:val="nil"/>
            </w:tcBorders>
          </w:tcPr>
          <w:p>
            <w:pPr>
              <w:pStyle w:val="TableParagraph"/>
              <w:spacing w:line="289" w:lineRule="exact"/>
              <w:ind w:left="69"/>
              <w:jc w:val="left"/>
              <w:rPr>
                <w:sz w:val="16"/>
              </w:rPr>
            </w:pPr>
            <w:r>
              <w:rPr>
                <w:sz w:val="24"/>
              </w:rPr>
              <w:t>CV</w:t>
            </w:r>
            <w:r>
              <w:rPr>
                <w:position w:val="9"/>
                <w:sz w:val="16"/>
              </w:rPr>
              <w:t>ȹ</w:t>
            </w:r>
          </w:p>
        </w:tc>
        <w:tc>
          <w:tcPr>
            <w:tcW w:w="1310" w:type="dxa"/>
            <w:tcBorders>
              <w:top w:val="nil"/>
              <w:left w:val="nil"/>
              <w:bottom w:val="nil"/>
              <w:right w:val="nil"/>
            </w:tcBorders>
          </w:tcPr>
          <w:p>
            <w:pPr>
              <w:pStyle w:val="TableParagraph"/>
              <w:spacing w:before="12"/>
              <w:ind w:right="210"/>
              <w:rPr>
                <w:sz w:val="24"/>
              </w:rPr>
            </w:pPr>
            <w:r>
              <w:rPr>
                <w:sz w:val="24"/>
              </w:rPr>
              <w:t>0.17</w:t>
            </w:r>
          </w:p>
        </w:tc>
        <w:tc>
          <w:tcPr>
            <w:tcW w:w="1253" w:type="dxa"/>
            <w:tcBorders>
              <w:top w:val="nil"/>
              <w:left w:val="nil"/>
              <w:bottom w:val="nil"/>
              <w:right w:val="nil"/>
            </w:tcBorders>
          </w:tcPr>
          <w:p>
            <w:pPr>
              <w:pStyle w:val="TableParagraph"/>
              <w:spacing w:before="12"/>
              <w:ind w:right="217"/>
              <w:rPr>
                <w:sz w:val="24"/>
              </w:rPr>
            </w:pPr>
            <w:r>
              <w:rPr>
                <w:sz w:val="24"/>
              </w:rPr>
              <w:t>0.19</w:t>
            </w:r>
          </w:p>
        </w:tc>
        <w:tc>
          <w:tcPr>
            <w:tcW w:w="1272" w:type="dxa"/>
            <w:tcBorders>
              <w:top w:val="nil"/>
              <w:left w:val="nil"/>
              <w:bottom w:val="nil"/>
              <w:right w:val="nil"/>
            </w:tcBorders>
          </w:tcPr>
          <w:p>
            <w:pPr>
              <w:pStyle w:val="TableParagraph"/>
              <w:spacing w:before="12"/>
              <w:ind w:right="176"/>
              <w:rPr>
                <w:sz w:val="24"/>
              </w:rPr>
            </w:pPr>
            <w:r>
              <w:rPr>
                <w:sz w:val="24"/>
              </w:rPr>
              <w:t>0.19</w:t>
            </w:r>
          </w:p>
        </w:tc>
        <w:tc>
          <w:tcPr>
            <w:tcW w:w="1384" w:type="dxa"/>
            <w:gridSpan w:val="2"/>
            <w:tcBorders>
              <w:top w:val="nil"/>
              <w:left w:val="nil"/>
              <w:bottom w:val="nil"/>
              <w:right w:val="nil"/>
            </w:tcBorders>
          </w:tcPr>
          <w:p>
            <w:pPr>
              <w:pStyle w:val="TableParagraph"/>
              <w:spacing w:before="12"/>
              <w:ind w:left="639"/>
              <w:jc w:val="left"/>
              <w:rPr>
                <w:sz w:val="24"/>
              </w:rPr>
            </w:pPr>
            <w:r>
              <w:rPr>
                <w:sz w:val="24"/>
              </w:rPr>
              <w:t>0.12</w:t>
            </w:r>
          </w:p>
        </w:tc>
        <w:tc>
          <w:tcPr>
            <w:tcW w:w="1073" w:type="dxa"/>
            <w:tcBorders>
              <w:top w:val="nil"/>
              <w:left w:val="nil"/>
              <w:bottom w:val="nil"/>
              <w:right w:val="nil"/>
            </w:tcBorders>
          </w:tcPr>
          <w:p>
            <w:pPr>
              <w:pStyle w:val="TableParagraph"/>
              <w:spacing w:before="12"/>
              <w:ind w:right="86"/>
              <w:rPr>
                <w:sz w:val="24"/>
              </w:rPr>
            </w:pPr>
            <w:r>
              <w:rPr>
                <w:sz w:val="24"/>
              </w:rPr>
              <w:t>0.08</w:t>
            </w:r>
          </w:p>
        </w:tc>
        <w:tc>
          <w:tcPr>
            <w:tcW w:w="821" w:type="dxa"/>
            <w:tcBorders>
              <w:top w:val="nil"/>
              <w:left w:val="nil"/>
              <w:bottom w:val="nil"/>
              <w:right w:val="nil"/>
            </w:tcBorders>
          </w:tcPr>
          <w:p>
            <w:pPr>
              <w:pStyle w:val="TableParagraph"/>
              <w:spacing w:before="12"/>
              <w:ind w:right="71"/>
              <w:rPr>
                <w:sz w:val="24"/>
              </w:rPr>
            </w:pPr>
            <w:r>
              <w:rPr>
                <w:sz w:val="24"/>
              </w:rPr>
              <w:t>0.09</w:t>
            </w:r>
          </w:p>
        </w:tc>
      </w:tr>
      <w:tr>
        <w:trPr>
          <w:trHeight w:val="300" w:hRule="exact"/>
        </w:trPr>
        <w:tc>
          <w:tcPr>
            <w:tcW w:w="1728" w:type="dxa"/>
            <w:tcBorders>
              <w:top w:val="nil"/>
              <w:left w:val="nil"/>
              <w:bottom w:val="nil"/>
              <w:right w:val="nil"/>
            </w:tcBorders>
          </w:tcPr>
          <w:p>
            <w:pPr>
              <w:pStyle w:val="TableParagraph"/>
              <w:spacing w:line="289" w:lineRule="exact"/>
              <w:ind w:left="69"/>
              <w:jc w:val="left"/>
              <w:rPr>
                <w:sz w:val="16"/>
              </w:rPr>
            </w:pPr>
            <w:r>
              <w:rPr>
                <w:sz w:val="24"/>
              </w:rPr>
              <w:t>Min</w:t>
            </w:r>
            <w:r>
              <w:rPr>
                <w:position w:val="9"/>
                <w:sz w:val="16"/>
              </w:rPr>
              <w:t>Ƌ</w:t>
            </w:r>
          </w:p>
        </w:tc>
        <w:tc>
          <w:tcPr>
            <w:tcW w:w="1310" w:type="dxa"/>
            <w:tcBorders>
              <w:top w:val="nil"/>
              <w:left w:val="nil"/>
              <w:bottom w:val="nil"/>
              <w:right w:val="nil"/>
            </w:tcBorders>
          </w:tcPr>
          <w:p>
            <w:pPr>
              <w:pStyle w:val="TableParagraph"/>
              <w:spacing w:before="12"/>
              <w:ind w:right="210"/>
              <w:rPr>
                <w:sz w:val="24"/>
              </w:rPr>
            </w:pPr>
            <w:r>
              <w:rPr>
                <w:sz w:val="24"/>
              </w:rPr>
              <w:t>1.50</w:t>
            </w:r>
          </w:p>
        </w:tc>
        <w:tc>
          <w:tcPr>
            <w:tcW w:w="1253" w:type="dxa"/>
            <w:tcBorders>
              <w:top w:val="nil"/>
              <w:left w:val="nil"/>
              <w:bottom w:val="nil"/>
              <w:right w:val="nil"/>
            </w:tcBorders>
          </w:tcPr>
          <w:p>
            <w:pPr>
              <w:pStyle w:val="TableParagraph"/>
              <w:spacing w:before="12"/>
              <w:ind w:right="217"/>
              <w:rPr>
                <w:sz w:val="24"/>
              </w:rPr>
            </w:pPr>
            <w:r>
              <w:rPr>
                <w:sz w:val="24"/>
              </w:rPr>
              <w:t>2.42</w:t>
            </w:r>
          </w:p>
        </w:tc>
        <w:tc>
          <w:tcPr>
            <w:tcW w:w="1272" w:type="dxa"/>
            <w:tcBorders>
              <w:top w:val="nil"/>
              <w:left w:val="nil"/>
              <w:bottom w:val="nil"/>
              <w:right w:val="nil"/>
            </w:tcBorders>
          </w:tcPr>
          <w:p>
            <w:pPr>
              <w:pStyle w:val="TableParagraph"/>
              <w:spacing w:before="12"/>
              <w:ind w:right="176"/>
              <w:rPr>
                <w:sz w:val="24"/>
              </w:rPr>
            </w:pPr>
            <w:r>
              <w:rPr>
                <w:sz w:val="24"/>
              </w:rPr>
              <w:t>1.37</w:t>
            </w:r>
          </w:p>
        </w:tc>
        <w:tc>
          <w:tcPr>
            <w:tcW w:w="1384" w:type="dxa"/>
            <w:gridSpan w:val="2"/>
            <w:tcBorders>
              <w:top w:val="nil"/>
              <w:left w:val="nil"/>
              <w:bottom w:val="nil"/>
              <w:right w:val="nil"/>
            </w:tcBorders>
          </w:tcPr>
          <w:p>
            <w:pPr>
              <w:pStyle w:val="TableParagraph"/>
              <w:spacing w:before="12"/>
              <w:ind w:left="519"/>
              <w:jc w:val="left"/>
              <w:rPr>
                <w:sz w:val="24"/>
              </w:rPr>
            </w:pPr>
            <w:r>
              <w:rPr>
                <w:sz w:val="24"/>
              </w:rPr>
              <w:t>84.61</w:t>
            </w:r>
          </w:p>
        </w:tc>
        <w:tc>
          <w:tcPr>
            <w:tcW w:w="1073" w:type="dxa"/>
            <w:tcBorders>
              <w:top w:val="nil"/>
              <w:left w:val="nil"/>
              <w:bottom w:val="nil"/>
              <w:right w:val="nil"/>
            </w:tcBorders>
          </w:tcPr>
          <w:p>
            <w:pPr>
              <w:pStyle w:val="TableParagraph"/>
              <w:spacing w:before="12"/>
              <w:ind w:right="86"/>
              <w:rPr>
                <w:sz w:val="24"/>
              </w:rPr>
            </w:pPr>
            <w:r>
              <w:rPr>
                <w:sz w:val="24"/>
              </w:rPr>
              <w:t>32.75</w:t>
            </w:r>
          </w:p>
        </w:tc>
        <w:tc>
          <w:tcPr>
            <w:tcW w:w="821" w:type="dxa"/>
            <w:tcBorders>
              <w:top w:val="nil"/>
              <w:left w:val="nil"/>
              <w:bottom w:val="nil"/>
              <w:right w:val="nil"/>
            </w:tcBorders>
          </w:tcPr>
          <w:p>
            <w:pPr>
              <w:pStyle w:val="TableParagraph"/>
              <w:spacing w:before="12"/>
              <w:ind w:right="71"/>
              <w:rPr>
                <w:sz w:val="24"/>
              </w:rPr>
            </w:pPr>
            <w:r>
              <w:rPr>
                <w:sz w:val="24"/>
              </w:rPr>
              <w:t>55.43</w:t>
            </w:r>
          </w:p>
        </w:tc>
      </w:tr>
      <w:tr>
        <w:trPr>
          <w:trHeight w:val="314" w:hRule="exact"/>
        </w:trPr>
        <w:tc>
          <w:tcPr>
            <w:tcW w:w="1728" w:type="dxa"/>
            <w:tcBorders>
              <w:top w:val="nil"/>
              <w:left w:val="nil"/>
              <w:bottom w:val="nil"/>
              <w:right w:val="nil"/>
            </w:tcBorders>
          </w:tcPr>
          <w:p>
            <w:pPr>
              <w:pStyle w:val="TableParagraph"/>
              <w:spacing w:line="289" w:lineRule="exact"/>
              <w:ind w:left="69"/>
              <w:jc w:val="left"/>
              <w:rPr>
                <w:sz w:val="16"/>
              </w:rPr>
            </w:pPr>
            <w:r>
              <w:rPr>
                <w:sz w:val="24"/>
              </w:rPr>
              <w:t>Max</w:t>
            </w:r>
            <w:r>
              <w:rPr>
                <w:position w:val="9"/>
                <w:sz w:val="16"/>
              </w:rPr>
              <w:t>Ʈ</w:t>
            </w:r>
          </w:p>
        </w:tc>
        <w:tc>
          <w:tcPr>
            <w:tcW w:w="1310" w:type="dxa"/>
            <w:tcBorders>
              <w:top w:val="nil"/>
              <w:left w:val="nil"/>
              <w:bottom w:val="nil"/>
              <w:right w:val="nil"/>
            </w:tcBorders>
          </w:tcPr>
          <w:p>
            <w:pPr>
              <w:pStyle w:val="TableParagraph"/>
              <w:spacing w:before="12"/>
              <w:ind w:right="210"/>
              <w:rPr>
                <w:sz w:val="24"/>
              </w:rPr>
            </w:pPr>
            <w:r>
              <w:rPr>
                <w:sz w:val="24"/>
              </w:rPr>
              <w:t>3.24</w:t>
            </w:r>
          </w:p>
        </w:tc>
        <w:tc>
          <w:tcPr>
            <w:tcW w:w="1253" w:type="dxa"/>
            <w:tcBorders>
              <w:top w:val="nil"/>
              <w:left w:val="nil"/>
              <w:bottom w:val="nil"/>
              <w:right w:val="nil"/>
            </w:tcBorders>
          </w:tcPr>
          <w:p>
            <w:pPr>
              <w:pStyle w:val="TableParagraph"/>
              <w:spacing w:before="12"/>
              <w:ind w:right="217"/>
              <w:rPr>
                <w:sz w:val="24"/>
              </w:rPr>
            </w:pPr>
            <w:r>
              <w:rPr>
                <w:sz w:val="24"/>
              </w:rPr>
              <w:t>4.55</w:t>
            </w:r>
          </w:p>
        </w:tc>
        <w:tc>
          <w:tcPr>
            <w:tcW w:w="1272" w:type="dxa"/>
            <w:tcBorders>
              <w:top w:val="nil"/>
              <w:left w:val="nil"/>
              <w:bottom w:val="nil"/>
              <w:right w:val="nil"/>
            </w:tcBorders>
          </w:tcPr>
          <w:p>
            <w:pPr>
              <w:pStyle w:val="TableParagraph"/>
              <w:spacing w:before="12"/>
              <w:ind w:right="176"/>
              <w:rPr>
                <w:sz w:val="24"/>
              </w:rPr>
            </w:pPr>
            <w:r>
              <w:rPr>
                <w:sz w:val="24"/>
              </w:rPr>
              <w:t>3.19</w:t>
            </w:r>
          </w:p>
        </w:tc>
        <w:tc>
          <w:tcPr>
            <w:tcW w:w="1384" w:type="dxa"/>
            <w:gridSpan w:val="2"/>
            <w:tcBorders>
              <w:top w:val="nil"/>
              <w:left w:val="nil"/>
              <w:bottom w:val="nil"/>
              <w:right w:val="nil"/>
            </w:tcBorders>
          </w:tcPr>
          <w:p>
            <w:pPr>
              <w:pStyle w:val="TableParagraph"/>
              <w:spacing w:before="12"/>
              <w:ind w:left="399"/>
              <w:jc w:val="left"/>
              <w:rPr>
                <w:sz w:val="24"/>
              </w:rPr>
            </w:pPr>
            <w:r>
              <w:rPr>
                <w:sz w:val="24"/>
              </w:rPr>
              <w:t>138.61</w:t>
            </w:r>
          </w:p>
        </w:tc>
        <w:tc>
          <w:tcPr>
            <w:tcW w:w="1073" w:type="dxa"/>
            <w:tcBorders>
              <w:top w:val="nil"/>
              <w:left w:val="nil"/>
              <w:bottom w:val="nil"/>
              <w:right w:val="nil"/>
            </w:tcBorders>
          </w:tcPr>
          <w:p>
            <w:pPr>
              <w:pStyle w:val="TableParagraph"/>
              <w:spacing w:before="12"/>
              <w:ind w:right="86"/>
              <w:rPr>
                <w:sz w:val="24"/>
              </w:rPr>
            </w:pPr>
            <w:r>
              <w:rPr>
                <w:sz w:val="24"/>
              </w:rPr>
              <w:t>43.27</w:t>
            </w:r>
          </w:p>
        </w:tc>
        <w:tc>
          <w:tcPr>
            <w:tcW w:w="821" w:type="dxa"/>
            <w:tcBorders>
              <w:top w:val="nil"/>
              <w:left w:val="nil"/>
              <w:bottom w:val="nil"/>
              <w:right w:val="nil"/>
            </w:tcBorders>
          </w:tcPr>
          <w:p>
            <w:pPr>
              <w:pStyle w:val="TableParagraph"/>
              <w:spacing w:before="12"/>
              <w:ind w:right="71"/>
              <w:rPr>
                <w:sz w:val="24"/>
              </w:rPr>
            </w:pPr>
            <w:r>
              <w:rPr>
                <w:sz w:val="24"/>
              </w:rPr>
              <w:t>72.81</w:t>
            </w:r>
          </w:p>
        </w:tc>
      </w:tr>
      <w:tr>
        <w:trPr>
          <w:trHeight w:val="305" w:hRule="exact"/>
        </w:trPr>
        <w:tc>
          <w:tcPr>
            <w:tcW w:w="1728" w:type="dxa"/>
            <w:tcBorders>
              <w:top w:val="nil"/>
              <w:left w:val="nil"/>
              <w:right w:val="nil"/>
            </w:tcBorders>
          </w:tcPr>
          <w:p>
            <w:pPr>
              <w:pStyle w:val="TableParagraph"/>
              <w:spacing w:line="275" w:lineRule="exact"/>
              <w:ind w:left="69"/>
              <w:jc w:val="left"/>
              <w:rPr>
                <w:sz w:val="24"/>
              </w:rPr>
            </w:pPr>
            <w:r>
              <w:rPr>
                <w:sz w:val="24"/>
              </w:rPr>
              <w:t>Sumatoria</w:t>
            </w:r>
          </w:p>
        </w:tc>
        <w:tc>
          <w:tcPr>
            <w:tcW w:w="1310" w:type="dxa"/>
            <w:tcBorders>
              <w:top w:val="nil"/>
              <w:left w:val="nil"/>
              <w:right w:val="nil"/>
            </w:tcBorders>
          </w:tcPr>
          <w:p>
            <w:pPr>
              <w:pStyle w:val="TableParagraph"/>
              <w:spacing w:line="275" w:lineRule="exact"/>
              <w:ind w:right="210"/>
              <w:rPr>
                <w:sz w:val="24"/>
              </w:rPr>
            </w:pPr>
            <w:r>
              <w:rPr>
                <w:sz w:val="24"/>
              </w:rPr>
              <w:t>30.23</w:t>
            </w:r>
          </w:p>
        </w:tc>
        <w:tc>
          <w:tcPr>
            <w:tcW w:w="1253" w:type="dxa"/>
            <w:tcBorders>
              <w:top w:val="nil"/>
              <w:left w:val="nil"/>
              <w:right w:val="nil"/>
            </w:tcBorders>
          </w:tcPr>
          <w:p>
            <w:pPr>
              <w:pStyle w:val="TableParagraph"/>
              <w:spacing w:line="275" w:lineRule="exact"/>
              <w:ind w:right="217"/>
              <w:rPr>
                <w:sz w:val="24"/>
              </w:rPr>
            </w:pPr>
            <w:r>
              <w:rPr>
                <w:sz w:val="24"/>
              </w:rPr>
              <w:t>42.83</w:t>
            </w:r>
          </w:p>
        </w:tc>
        <w:tc>
          <w:tcPr>
            <w:tcW w:w="1272" w:type="dxa"/>
            <w:tcBorders>
              <w:top w:val="nil"/>
              <w:left w:val="nil"/>
              <w:right w:val="nil"/>
            </w:tcBorders>
          </w:tcPr>
          <w:p>
            <w:pPr>
              <w:pStyle w:val="TableParagraph"/>
              <w:spacing w:line="275" w:lineRule="exact"/>
              <w:ind w:right="176"/>
              <w:rPr>
                <w:sz w:val="24"/>
              </w:rPr>
            </w:pPr>
            <w:r>
              <w:rPr>
                <w:sz w:val="24"/>
              </w:rPr>
              <w:t>27.67</w:t>
            </w:r>
          </w:p>
        </w:tc>
        <w:tc>
          <w:tcPr>
            <w:tcW w:w="1384" w:type="dxa"/>
            <w:gridSpan w:val="2"/>
            <w:tcBorders>
              <w:top w:val="nil"/>
              <w:left w:val="nil"/>
              <w:right w:val="nil"/>
            </w:tcBorders>
          </w:tcPr>
          <w:p>
            <w:pPr>
              <w:pStyle w:val="TableParagraph"/>
              <w:spacing w:line="275" w:lineRule="exact"/>
              <w:ind w:left="279"/>
              <w:jc w:val="left"/>
              <w:rPr>
                <w:sz w:val="24"/>
              </w:rPr>
            </w:pPr>
            <w:r>
              <w:rPr>
                <w:sz w:val="24"/>
              </w:rPr>
              <w:t>1538.72</w:t>
            </w:r>
          </w:p>
        </w:tc>
        <w:tc>
          <w:tcPr>
            <w:tcW w:w="1073" w:type="dxa"/>
            <w:tcBorders>
              <w:top w:val="nil"/>
              <w:left w:val="nil"/>
              <w:right w:val="nil"/>
            </w:tcBorders>
          </w:tcPr>
          <w:p>
            <w:pPr>
              <w:pStyle w:val="TableParagraph"/>
              <w:spacing w:line="275" w:lineRule="exact"/>
              <w:ind w:right="86"/>
              <w:rPr>
                <w:sz w:val="24"/>
              </w:rPr>
            </w:pPr>
            <w:r>
              <w:rPr>
                <w:sz w:val="24"/>
              </w:rPr>
              <w:t>482.98</w:t>
            </w:r>
          </w:p>
        </w:tc>
        <w:tc>
          <w:tcPr>
            <w:tcW w:w="821" w:type="dxa"/>
            <w:tcBorders>
              <w:top w:val="nil"/>
              <w:left w:val="nil"/>
              <w:right w:val="nil"/>
            </w:tcBorders>
          </w:tcPr>
          <w:p>
            <w:pPr>
              <w:pStyle w:val="TableParagraph"/>
              <w:spacing w:line="275" w:lineRule="exact"/>
              <w:ind w:right="71"/>
              <w:rPr>
                <w:sz w:val="24"/>
              </w:rPr>
            </w:pPr>
            <w:r>
              <w:rPr>
                <w:sz w:val="24"/>
              </w:rPr>
              <w:t>843.11</w:t>
            </w:r>
          </w:p>
        </w:tc>
      </w:tr>
    </w:tbl>
    <w:p>
      <w:pPr>
        <w:spacing w:line="200" w:lineRule="exact" w:before="0"/>
        <w:ind w:left="191" w:right="8" w:firstLine="0"/>
        <w:jc w:val="left"/>
        <w:rPr>
          <w:sz w:val="20"/>
        </w:rPr>
      </w:pPr>
      <w:r>
        <w:rPr>
          <w:sz w:val="20"/>
        </w:rPr>
        <w:t>Fuente: Richardson, 2005.</w:t>
      </w:r>
    </w:p>
    <w:p>
      <w:pPr>
        <w:spacing w:line="233" w:lineRule="exact" w:before="0"/>
        <w:ind w:left="191" w:right="8" w:firstLine="0"/>
        <w:jc w:val="left"/>
        <w:rPr>
          <w:sz w:val="20"/>
        </w:rPr>
      </w:pPr>
      <w:r>
        <w:rPr>
          <w:position w:val="7"/>
          <w:sz w:val="13"/>
        </w:rPr>
        <w:t>¥</w:t>
      </w:r>
      <w:r>
        <w:rPr>
          <w:sz w:val="20"/>
        </w:rPr>
        <w:t>Desviación estándar; </w:t>
      </w:r>
      <w:r>
        <w:rPr>
          <w:position w:val="7"/>
          <w:sz w:val="13"/>
        </w:rPr>
        <w:t>ȹ</w:t>
      </w:r>
      <w:r>
        <w:rPr>
          <w:sz w:val="20"/>
        </w:rPr>
        <w:t>Coeficiente de variación; </w:t>
      </w:r>
      <w:r>
        <w:rPr>
          <w:position w:val="7"/>
          <w:sz w:val="13"/>
        </w:rPr>
        <w:t>Ƌ</w:t>
      </w:r>
      <w:r>
        <w:rPr>
          <w:sz w:val="20"/>
        </w:rPr>
        <w:t>Mínimo; </w:t>
      </w:r>
      <w:r>
        <w:rPr>
          <w:position w:val="7"/>
          <w:sz w:val="13"/>
        </w:rPr>
        <w:t>Ʈ</w:t>
      </w:r>
      <w:r>
        <w:rPr>
          <w:sz w:val="20"/>
        </w:rPr>
        <w:t>Máximo.</w:t>
      </w: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before="69" w:after="8"/>
        <w:ind w:left="191" w:right="8"/>
      </w:pPr>
      <w:r>
        <w:rPr>
          <w:b/>
        </w:rPr>
        <w:t>Anexo Tabla 2. </w:t>
      </w:r>
      <w:r>
        <w:rPr/>
        <w:t>Continuación Paso 2. Regresión simple de la tendencia de precios y rendimientos</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1443,22" stroked="true" strokeweight="2.16pt" strokecolor="#000000"/>
            <v:line style="position:absolute" from="1443,22" to="1486,22" stroked="true" strokeweight="2.16pt" strokecolor="#000000"/>
            <v:line style="position:absolute" from="1486,22" to="2682,22" stroked="true" strokeweight="2.16pt" strokecolor="#000000"/>
            <v:line style="position:absolute" from="2682,22" to="2725,22" stroked="true" strokeweight="2.16pt" strokecolor="#000000"/>
            <v:line style="position:absolute" from="2725,22" to="3918,22" stroked="true" strokeweight="2.16pt" strokecolor="#000000"/>
            <v:line style="position:absolute" from="3918,22" to="3961,22" stroked="true" strokeweight="2.16pt" strokecolor="#000000"/>
            <v:line style="position:absolute" from="3961,22" to="5154,22" stroked="true" strokeweight="2.16pt" strokecolor="#000000"/>
            <v:line style="position:absolute" from="5154,22" to="5197,22" stroked="true" strokeweight="2.16pt" strokecolor="#000000"/>
            <v:line style="position:absolute" from="5197,22" to="6390,22" stroked="true" strokeweight="2.16pt" strokecolor="#000000"/>
            <v:line style="position:absolute" from="6390,22" to="6433,22" stroked="true" strokeweight="2.16pt" strokecolor="#000000"/>
            <v:line style="position:absolute" from="6433,22" to="7627,22" stroked="true" strokeweight="2.16pt" strokecolor="#000000"/>
            <v:line style="position:absolute" from="7627,22" to="7670,22" stroked="true" strokeweight="2.16pt" strokecolor="#000000"/>
            <v:line style="position:absolute" from="7670,22" to="8863,22" stroked="true" strokeweight="2.16pt" strokecolor="#000000"/>
          </v:group>
        </w:pict>
      </w:r>
      <w:r>
        <w:rPr>
          <w:position w:val="0"/>
          <w:sz w:val="4"/>
        </w:rPr>
      </w:r>
    </w:p>
    <w:p>
      <w:pPr>
        <w:pStyle w:val="BodyText"/>
        <w:tabs>
          <w:tab w:pos="2049" w:val="left" w:leader="none"/>
          <w:tab w:pos="3285" w:val="left" w:leader="none"/>
          <w:tab w:pos="4521" w:val="left" w:leader="none"/>
          <w:tab w:pos="5520" w:val="left" w:leader="none"/>
          <w:tab w:pos="6876" w:val="left" w:leader="none"/>
          <w:tab w:pos="8110" w:val="left" w:leader="none"/>
        </w:tabs>
        <w:spacing w:before="18"/>
        <w:ind w:left="191" w:right="8"/>
      </w:pPr>
      <w:r>
        <w:rPr/>
        <w:t>Intercepto</w:t>
        <w:tab/>
        <w:t>1.9789</w:t>
        <w:tab/>
        <w:t>2.8361</w:t>
        <w:tab/>
        <w:t>1.7899</w:t>
        <w:tab/>
        <w:t>106.3055</w:t>
        <w:tab/>
        <w:t>34.0154</w:t>
        <w:tab/>
        <w:t>63.7573</w:t>
      </w:r>
    </w:p>
    <w:p>
      <w:pPr>
        <w:pStyle w:val="BodyText"/>
        <w:tabs>
          <w:tab w:pos="2049" w:val="left" w:leader="none"/>
          <w:tab w:pos="3285" w:val="left" w:leader="none"/>
          <w:tab w:pos="4521" w:val="left" w:leader="none"/>
          <w:tab w:pos="5760" w:val="left" w:leader="none"/>
          <w:tab w:pos="6996" w:val="left" w:leader="none"/>
          <w:tab w:pos="8890" w:val="right" w:leader="none"/>
        </w:tabs>
        <w:spacing w:before="24"/>
        <w:ind w:left="191"/>
      </w:pPr>
      <w:r>
        <w:rPr/>
        <w:t>Pendiente</w:t>
        <w:tab/>
        <w:t>0.0495</w:t>
        <w:tab/>
        <w:t>0.0655</w:t>
        <w:tab/>
        <w:t>0.0483</w:t>
        <w:tab/>
        <w:t>1.7225</w:t>
        <w:tab/>
        <w:t>0.4481</w:t>
        <w:tab/>
        <w:t>0.1568</w:t>
      </w:r>
    </w:p>
    <w:p>
      <w:pPr>
        <w:pStyle w:val="BodyText"/>
        <w:tabs>
          <w:tab w:pos="2049" w:val="left" w:leader="none"/>
          <w:tab w:pos="3285" w:val="left" w:leader="none"/>
          <w:tab w:pos="4521" w:val="left" w:leader="none"/>
          <w:tab w:pos="5760" w:val="left" w:leader="none"/>
          <w:tab w:pos="6996" w:val="left" w:leader="none"/>
          <w:tab w:pos="8890" w:val="right" w:leader="none"/>
        </w:tabs>
        <w:spacing w:before="8" w:after="35"/>
        <w:ind w:left="191"/>
      </w:pPr>
      <w:r>
        <w:rPr/>
        <w:t>R</w:t>
      </w:r>
      <w:r>
        <w:rPr>
          <w:position w:val="9"/>
          <w:sz w:val="16"/>
        </w:rPr>
        <w:t>2</w:t>
        <w:tab/>
      </w:r>
      <w:r>
        <w:rPr/>
        <w:t>0.2138</w:t>
        <w:tab/>
        <w:t>0.1470</w:t>
        <w:tab/>
        <w:t>0.1962</w:t>
        <w:tab/>
        <w:t>0.2131</w:t>
        <w:tab/>
        <w:t>0.3564</w:t>
        <w:tab/>
        <w:t>0.0107</w:t>
      </w: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7"/>
        <w:gridCol w:w="1238"/>
        <w:gridCol w:w="1236"/>
        <w:gridCol w:w="1237"/>
        <w:gridCol w:w="1237"/>
        <w:gridCol w:w="1235"/>
        <w:gridCol w:w="1019"/>
      </w:tblGrid>
      <w:tr>
        <w:trPr>
          <w:trHeight w:val="291" w:hRule="exact"/>
        </w:trPr>
        <w:tc>
          <w:tcPr>
            <w:tcW w:w="1637" w:type="dxa"/>
          </w:tcPr>
          <w:p>
            <w:pPr>
              <w:pStyle w:val="TableParagraph"/>
              <w:spacing w:line="266" w:lineRule="exact"/>
              <w:ind w:left="69"/>
              <w:jc w:val="left"/>
              <w:rPr>
                <w:sz w:val="24"/>
              </w:rPr>
            </w:pPr>
            <w:r>
              <w:rPr>
                <w:sz w:val="24"/>
              </w:rPr>
              <w:t>Proporción-F</w:t>
            </w:r>
          </w:p>
        </w:tc>
        <w:tc>
          <w:tcPr>
            <w:tcW w:w="1238" w:type="dxa"/>
          </w:tcPr>
          <w:p>
            <w:pPr>
              <w:pStyle w:val="TableParagraph"/>
              <w:spacing w:line="266" w:lineRule="exact"/>
              <w:ind w:left="269" w:right="268"/>
              <w:jc w:val="center"/>
              <w:rPr>
                <w:sz w:val="24"/>
              </w:rPr>
            </w:pPr>
            <w:r>
              <w:rPr>
                <w:sz w:val="24"/>
              </w:rPr>
              <w:t>2.9919</w:t>
            </w:r>
          </w:p>
        </w:tc>
        <w:tc>
          <w:tcPr>
            <w:tcW w:w="1236" w:type="dxa"/>
          </w:tcPr>
          <w:p>
            <w:pPr>
              <w:pStyle w:val="TableParagraph"/>
              <w:spacing w:line="266" w:lineRule="exact"/>
              <w:ind w:left="268" w:right="268"/>
              <w:jc w:val="center"/>
              <w:rPr>
                <w:sz w:val="24"/>
              </w:rPr>
            </w:pPr>
            <w:r>
              <w:rPr>
                <w:sz w:val="24"/>
              </w:rPr>
              <w:t>1.8956</w:t>
            </w:r>
          </w:p>
        </w:tc>
        <w:tc>
          <w:tcPr>
            <w:tcW w:w="1237" w:type="dxa"/>
          </w:tcPr>
          <w:p>
            <w:pPr>
              <w:pStyle w:val="TableParagraph"/>
              <w:spacing w:line="266" w:lineRule="exact"/>
              <w:ind w:left="267" w:right="268"/>
              <w:jc w:val="center"/>
              <w:rPr>
                <w:sz w:val="24"/>
              </w:rPr>
            </w:pPr>
            <w:r>
              <w:rPr>
                <w:sz w:val="24"/>
              </w:rPr>
              <w:t>2.6844</w:t>
            </w:r>
          </w:p>
        </w:tc>
        <w:tc>
          <w:tcPr>
            <w:tcW w:w="1237" w:type="dxa"/>
          </w:tcPr>
          <w:p>
            <w:pPr>
              <w:pStyle w:val="TableParagraph"/>
              <w:spacing w:line="266" w:lineRule="exact"/>
              <w:ind w:left="268" w:right="267"/>
              <w:jc w:val="center"/>
              <w:rPr>
                <w:sz w:val="24"/>
              </w:rPr>
            </w:pPr>
            <w:r>
              <w:rPr>
                <w:sz w:val="24"/>
              </w:rPr>
              <w:t>2.9781</w:t>
            </w:r>
          </w:p>
        </w:tc>
        <w:tc>
          <w:tcPr>
            <w:tcW w:w="1235" w:type="dxa"/>
          </w:tcPr>
          <w:p>
            <w:pPr>
              <w:pStyle w:val="TableParagraph"/>
              <w:spacing w:line="266" w:lineRule="exact"/>
              <w:ind w:left="287"/>
              <w:jc w:val="left"/>
              <w:rPr>
                <w:sz w:val="24"/>
              </w:rPr>
            </w:pPr>
            <w:r>
              <w:rPr>
                <w:sz w:val="24"/>
              </w:rPr>
              <w:t>6.0912</w:t>
            </w:r>
          </w:p>
        </w:tc>
        <w:tc>
          <w:tcPr>
            <w:tcW w:w="1019" w:type="dxa"/>
          </w:tcPr>
          <w:p>
            <w:pPr>
              <w:pStyle w:val="TableParagraph"/>
              <w:spacing w:line="266" w:lineRule="exact"/>
              <w:ind w:right="71"/>
              <w:rPr>
                <w:sz w:val="24"/>
              </w:rPr>
            </w:pPr>
            <w:r>
              <w:rPr>
                <w:sz w:val="24"/>
              </w:rPr>
              <w:t>0.1190</w:t>
            </w:r>
          </w:p>
        </w:tc>
      </w:tr>
      <w:tr>
        <w:trPr>
          <w:trHeight w:val="300" w:hRule="exact"/>
        </w:trPr>
        <w:tc>
          <w:tcPr>
            <w:tcW w:w="1637" w:type="dxa"/>
          </w:tcPr>
          <w:p>
            <w:pPr>
              <w:pStyle w:val="TableParagraph"/>
              <w:spacing w:line="275" w:lineRule="exact"/>
              <w:ind w:left="69"/>
              <w:jc w:val="left"/>
              <w:rPr>
                <w:sz w:val="24"/>
              </w:rPr>
            </w:pPr>
            <w:r>
              <w:rPr>
                <w:sz w:val="24"/>
              </w:rPr>
              <w:t>Prob(F)</w:t>
            </w:r>
          </w:p>
        </w:tc>
        <w:tc>
          <w:tcPr>
            <w:tcW w:w="1238" w:type="dxa"/>
          </w:tcPr>
          <w:p>
            <w:pPr>
              <w:pStyle w:val="TableParagraph"/>
              <w:spacing w:line="275" w:lineRule="exact"/>
              <w:ind w:left="269" w:right="268"/>
              <w:jc w:val="center"/>
              <w:rPr>
                <w:sz w:val="24"/>
              </w:rPr>
            </w:pPr>
            <w:r>
              <w:rPr>
                <w:sz w:val="24"/>
              </w:rPr>
              <w:t>0.1116</w:t>
            </w:r>
          </w:p>
        </w:tc>
        <w:tc>
          <w:tcPr>
            <w:tcW w:w="1236" w:type="dxa"/>
          </w:tcPr>
          <w:p>
            <w:pPr>
              <w:pStyle w:val="TableParagraph"/>
              <w:spacing w:line="275" w:lineRule="exact"/>
              <w:ind w:left="268" w:right="268"/>
              <w:jc w:val="center"/>
              <w:rPr>
                <w:sz w:val="24"/>
              </w:rPr>
            </w:pPr>
            <w:r>
              <w:rPr>
                <w:sz w:val="24"/>
              </w:rPr>
              <w:t>0.1959</w:t>
            </w:r>
          </w:p>
        </w:tc>
        <w:tc>
          <w:tcPr>
            <w:tcW w:w="1237" w:type="dxa"/>
          </w:tcPr>
          <w:p>
            <w:pPr>
              <w:pStyle w:val="TableParagraph"/>
              <w:spacing w:line="275" w:lineRule="exact"/>
              <w:ind w:left="267" w:right="268"/>
              <w:jc w:val="center"/>
              <w:rPr>
                <w:sz w:val="24"/>
              </w:rPr>
            </w:pPr>
            <w:r>
              <w:rPr>
                <w:sz w:val="24"/>
              </w:rPr>
              <w:t>0.1296</w:t>
            </w:r>
          </w:p>
        </w:tc>
        <w:tc>
          <w:tcPr>
            <w:tcW w:w="1237" w:type="dxa"/>
          </w:tcPr>
          <w:p>
            <w:pPr>
              <w:pStyle w:val="TableParagraph"/>
              <w:spacing w:line="275" w:lineRule="exact"/>
              <w:ind w:left="268" w:right="267"/>
              <w:jc w:val="center"/>
              <w:rPr>
                <w:sz w:val="24"/>
              </w:rPr>
            </w:pPr>
            <w:r>
              <w:rPr>
                <w:sz w:val="24"/>
              </w:rPr>
              <w:t>0.1123</w:t>
            </w:r>
          </w:p>
        </w:tc>
        <w:tc>
          <w:tcPr>
            <w:tcW w:w="1235" w:type="dxa"/>
          </w:tcPr>
          <w:p>
            <w:pPr>
              <w:pStyle w:val="TableParagraph"/>
              <w:spacing w:line="275" w:lineRule="exact"/>
              <w:ind w:left="287"/>
              <w:jc w:val="left"/>
              <w:rPr>
                <w:sz w:val="24"/>
              </w:rPr>
            </w:pPr>
            <w:r>
              <w:rPr>
                <w:sz w:val="24"/>
              </w:rPr>
              <w:t>0.0312</w:t>
            </w:r>
          </w:p>
        </w:tc>
        <w:tc>
          <w:tcPr>
            <w:tcW w:w="1019" w:type="dxa"/>
          </w:tcPr>
          <w:p>
            <w:pPr>
              <w:pStyle w:val="TableParagraph"/>
              <w:spacing w:line="275" w:lineRule="exact"/>
              <w:ind w:right="71"/>
              <w:rPr>
                <w:sz w:val="24"/>
              </w:rPr>
            </w:pPr>
            <w:r>
              <w:rPr>
                <w:sz w:val="24"/>
              </w:rPr>
              <w:t>0.7367</w:t>
            </w:r>
          </w:p>
        </w:tc>
      </w:tr>
      <w:tr>
        <w:trPr>
          <w:trHeight w:val="300" w:hRule="exact"/>
        </w:trPr>
        <w:tc>
          <w:tcPr>
            <w:tcW w:w="1637" w:type="dxa"/>
          </w:tcPr>
          <w:p>
            <w:pPr>
              <w:pStyle w:val="TableParagraph"/>
              <w:spacing w:line="275" w:lineRule="exact"/>
              <w:ind w:left="69"/>
              <w:jc w:val="left"/>
              <w:rPr>
                <w:sz w:val="24"/>
              </w:rPr>
            </w:pPr>
            <w:r>
              <w:rPr>
                <w:sz w:val="24"/>
              </w:rPr>
              <w:t>T-Test</w:t>
            </w:r>
          </w:p>
        </w:tc>
        <w:tc>
          <w:tcPr>
            <w:tcW w:w="1238" w:type="dxa"/>
          </w:tcPr>
          <w:p>
            <w:pPr>
              <w:pStyle w:val="TableParagraph"/>
              <w:spacing w:line="275" w:lineRule="exact"/>
              <w:ind w:left="269" w:right="268"/>
              <w:jc w:val="center"/>
              <w:rPr>
                <w:sz w:val="24"/>
              </w:rPr>
            </w:pPr>
            <w:r>
              <w:rPr>
                <w:sz w:val="24"/>
              </w:rPr>
              <w:t>1.7297</w:t>
            </w:r>
          </w:p>
        </w:tc>
        <w:tc>
          <w:tcPr>
            <w:tcW w:w="1236" w:type="dxa"/>
          </w:tcPr>
          <w:p>
            <w:pPr>
              <w:pStyle w:val="TableParagraph"/>
              <w:spacing w:line="275" w:lineRule="exact"/>
              <w:ind w:left="268" w:right="268"/>
              <w:jc w:val="center"/>
              <w:rPr>
                <w:sz w:val="24"/>
              </w:rPr>
            </w:pPr>
            <w:r>
              <w:rPr>
                <w:sz w:val="24"/>
              </w:rPr>
              <w:t>1.3768</w:t>
            </w:r>
          </w:p>
        </w:tc>
        <w:tc>
          <w:tcPr>
            <w:tcW w:w="1237" w:type="dxa"/>
          </w:tcPr>
          <w:p>
            <w:pPr>
              <w:pStyle w:val="TableParagraph"/>
              <w:spacing w:line="275" w:lineRule="exact"/>
              <w:ind w:left="267" w:right="268"/>
              <w:jc w:val="center"/>
              <w:rPr>
                <w:sz w:val="24"/>
              </w:rPr>
            </w:pPr>
            <w:r>
              <w:rPr>
                <w:sz w:val="24"/>
              </w:rPr>
              <w:t>1.6384</w:t>
            </w:r>
          </w:p>
        </w:tc>
        <w:tc>
          <w:tcPr>
            <w:tcW w:w="1237" w:type="dxa"/>
          </w:tcPr>
          <w:p>
            <w:pPr>
              <w:pStyle w:val="TableParagraph"/>
              <w:spacing w:line="275" w:lineRule="exact"/>
              <w:ind w:left="268" w:right="267"/>
              <w:jc w:val="center"/>
              <w:rPr>
                <w:sz w:val="24"/>
              </w:rPr>
            </w:pPr>
            <w:r>
              <w:rPr>
                <w:sz w:val="24"/>
              </w:rPr>
              <w:t>1.7257</w:t>
            </w:r>
          </w:p>
        </w:tc>
        <w:tc>
          <w:tcPr>
            <w:tcW w:w="1235" w:type="dxa"/>
          </w:tcPr>
          <w:p>
            <w:pPr>
              <w:pStyle w:val="TableParagraph"/>
              <w:spacing w:line="275" w:lineRule="exact"/>
              <w:ind w:left="287"/>
              <w:jc w:val="left"/>
              <w:rPr>
                <w:sz w:val="24"/>
              </w:rPr>
            </w:pPr>
            <w:r>
              <w:rPr>
                <w:sz w:val="24"/>
              </w:rPr>
              <w:t>2.4680</w:t>
            </w:r>
          </w:p>
        </w:tc>
        <w:tc>
          <w:tcPr>
            <w:tcW w:w="1019" w:type="dxa"/>
          </w:tcPr>
          <w:p>
            <w:pPr>
              <w:pStyle w:val="TableParagraph"/>
              <w:spacing w:line="275" w:lineRule="exact"/>
              <w:ind w:right="71"/>
              <w:rPr>
                <w:sz w:val="24"/>
              </w:rPr>
            </w:pPr>
            <w:r>
              <w:rPr>
                <w:sz w:val="24"/>
              </w:rPr>
              <w:t>0.3449</w:t>
            </w:r>
          </w:p>
        </w:tc>
      </w:tr>
      <w:tr>
        <w:trPr>
          <w:trHeight w:val="305" w:hRule="exact"/>
        </w:trPr>
        <w:tc>
          <w:tcPr>
            <w:tcW w:w="1637" w:type="dxa"/>
            <w:tcBorders>
              <w:bottom w:val="single" w:sz="17" w:space="0" w:color="000000"/>
            </w:tcBorders>
          </w:tcPr>
          <w:p>
            <w:pPr>
              <w:pStyle w:val="TableParagraph"/>
              <w:spacing w:line="275" w:lineRule="exact"/>
              <w:ind w:left="69"/>
              <w:jc w:val="left"/>
              <w:rPr>
                <w:sz w:val="24"/>
              </w:rPr>
            </w:pPr>
            <w:r>
              <w:rPr>
                <w:sz w:val="24"/>
              </w:rPr>
              <w:t>Prob(T)</w:t>
            </w:r>
          </w:p>
        </w:tc>
        <w:tc>
          <w:tcPr>
            <w:tcW w:w="1238" w:type="dxa"/>
            <w:tcBorders>
              <w:bottom w:val="single" w:sz="17" w:space="0" w:color="000000"/>
            </w:tcBorders>
          </w:tcPr>
          <w:p>
            <w:pPr>
              <w:pStyle w:val="TableParagraph"/>
              <w:spacing w:line="275" w:lineRule="exact"/>
              <w:ind w:left="269" w:right="268"/>
              <w:jc w:val="center"/>
              <w:rPr>
                <w:sz w:val="24"/>
              </w:rPr>
            </w:pPr>
            <w:r>
              <w:rPr>
                <w:sz w:val="24"/>
              </w:rPr>
              <w:t>0.1093</w:t>
            </w:r>
          </w:p>
        </w:tc>
        <w:tc>
          <w:tcPr>
            <w:tcW w:w="1236" w:type="dxa"/>
            <w:tcBorders>
              <w:bottom w:val="single" w:sz="17" w:space="0" w:color="000000"/>
            </w:tcBorders>
          </w:tcPr>
          <w:p>
            <w:pPr>
              <w:pStyle w:val="TableParagraph"/>
              <w:spacing w:line="275" w:lineRule="exact"/>
              <w:ind w:left="268" w:right="268"/>
              <w:jc w:val="center"/>
              <w:rPr>
                <w:sz w:val="24"/>
              </w:rPr>
            </w:pPr>
            <w:r>
              <w:rPr>
                <w:sz w:val="24"/>
              </w:rPr>
              <w:t>0.1937</w:t>
            </w:r>
          </w:p>
        </w:tc>
        <w:tc>
          <w:tcPr>
            <w:tcW w:w="1237" w:type="dxa"/>
            <w:tcBorders>
              <w:bottom w:val="single" w:sz="17" w:space="0" w:color="000000"/>
            </w:tcBorders>
          </w:tcPr>
          <w:p>
            <w:pPr>
              <w:pStyle w:val="TableParagraph"/>
              <w:spacing w:line="275" w:lineRule="exact"/>
              <w:ind w:left="267" w:right="268"/>
              <w:jc w:val="center"/>
              <w:rPr>
                <w:sz w:val="24"/>
              </w:rPr>
            </w:pPr>
            <w:r>
              <w:rPr>
                <w:sz w:val="24"/>
              </w:rPr>
              <w:t>0.1273</w:t>
            </w:r>
          </w:p>
        </w:tc>
        <w:tc>
          <w:tcPr>
            <w:tcW w:w="1237" w:type="dxa"/>
            <w:tcBorders>
              <w:bottom w:val="single" w:sz="17" w:space="0" w:color="000000"/>
            </w:tcBorders>
          </w:tcPr>
          <w:p>
            <w:pPr>
              <w:pStyle w:val="TableParagraph"/>
              <w:spacing w:line="275" w:lineRule="exact"/>
              <w:ind w:left="268" w:right="267"/>
              <w:jc w:val="center"/>
              <w:rPr>
                <w:sz w:val="24"/>
              </w:rPr>
            </w:pPr>
            <w:r>
              <w:rPr>
                <w:sz w:val="24"/>
              </w:rPr>
              <w:t>0.1100</w:t>
            </w:r>
          </w:p>
        </w:tc>
        <w:tc>
          <w:tcPr>
            <w:tcW w:w="1235" w:type="dxa"/>
            <w:tcBorders>
              <w:bottom w:val="single" w:sz="17" w:space="0" w:color="000000"/>
            </w:tcBorders>
          </w:tcPr>
          <w:p>
            <w:pPr>
              <w:pStyle w:val="TableParagraph"/>
              <w:spacing w:line="275" w:lineRule="exact"/>
              <w:ind w:left="287"/>
              <w:jc w:val="left"/>
              <w:rPr>
                <w:sz w:val="24"/>
              </w:rPr>
            </w:pPr>
            <w:r>
              <w:rPr>
                <w:sz w:val="24"/>
              </w:rPr>
              <w:t>0.0296</w:t>
            </w:r>
          </w:p>
        </w:tc>
        <w:tc>
          <w:tcPr>
            <w:tcW w:w="1019" w:type="dxa"/>
            <w:tcBorders>
              <w:bottom w:val="single" w:sz="17" w:space="0" w:color="000000"/>
            </w:tcBorders>
          </w:tcPr>
          <w:p>
            <w:pPr>
              <w:pStyle w:val="TableParagraph"/>
              <w:spacing w:line="275" w:lineRule="exact"/>
              <w:ind w:right="71"/>
              <w:rPr>
                <w:sz w:val="24"/>
              </w:rPr>
            </w:pPr>
            <w:r>
              <w:rPr>
                <w:sz w:val="24"/>
              </w:rPr>
              <w:t>0.7361</w:t>
            </w:r>
          </w:p>
        </w:tc>
      </w:tr>
    </w:tbl>
    <w:p>
      <w:pPr>
        <w:spacing w:after="0" w:line="275" w:lineRule="exact"/>
        <w:rPr>
          <w:sz w:val="24"/>
        </w:rPr>
        <w:sectPr>
          <w:pgSz w:w="12240" w:h="15840"/>
          <w:pgMar w:header="0" w:footer="657" w:top="1380" w:bottom="840" w:left="1580" w:right="1560"/>
        </w:sectPr>
      </w:pPr>
    </w:p>
    <w:p>
      <w:pPr>
        <w:pStyle w:val="BodyText"/>
        <w:spacing w:before="48" w:after="8"/>
        <w:ind w:left="191" w:right="8"/>
      </w:pPr>
      <w:r>
        <w:rPr>
          <w:b/>
        </w:rPr>
        <w:t>Anexo Tabla 2. </w:t>
      </w:r>
      <w:r>
        <w:rPr/>
        <w:t>Continuación Paso 3. Crear una tabla de residuales utilizando las desviaciones de la media de cada variable</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8863,22" stroked="true" strokeweight="2.16pt" strokecolor="#000000"/>
          </v:group>
        </w:pict>
      </w:r>
      <w:r>
        <w:rPr>
          <w:position w:val="0"/>
          <w:sz w:val="4"/>
        </w:rPr>
      </w:r>
    </w:p>
    <w:p>
      <w:pPr>
        <w:pStyle w:val="Heading1"/>
        <w:tabs>
          <w:tab w:pos="6277" w:val="left" w:leader="none"/>
        </w:tabs>
        <w:spacing w:before="10" w:after="35"/>
        <w:ind w:left="2772" w:right="8"/>
        <w:jc w:val="left"/>
      </w:pPr>
      <w:r>
        <w:rPr/>
        <w:t>Precios</w:t>
        <w:tab/>
        <w:t>Rendimientos</w:t>
      </w: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9"/>
        <w:gridCol w:w="1043"/>
        <w:gridCol w:w="1162"/>
        <w:gridCol w:w="1194"/>
        <w:gridCol w:w="1284"/>
        <w:gridCol w:w="1263"/>
        <w:gridCol w:w="1435"/>
      </w:tblGrid>
      <w:tr>
        <w:trPr>
          <w:trHeight w:val="302" w:hRule="exact"/>
        </w:trPr>
        <w:tc>
          <w:tcPr>
            <w:tcW w:w="1459" w:type="dxa"/>
            <w:tcBorders>
              <w:bottom w:val="single" w:sz="17" w:space="0" w:color="000000"/>
            </w:tcBorders>
          </w:tcPr>
          <w:p>
            <w:pPr>
              <w:pStyle w:val="TableParagraph"/>
              <w:spacing w:line="248" w:lineRule="exact"/>
              <w:ind w:left="103" w:right="101"/>
              <w:jc w:val="center"/>
              <w:rPr>
                <w:sz w:val="24"/>
              </w:rPr>
            </w:pPr>
            <w:r>
              <w:rPr>
                <w:sz w:val="24"/>
              </w:rPr>
              <w:t>Observación</w:t>
            </w:r>
          </w:p>
        </w:tc>
        <w:tc>
          <w:tcPr>
            <w:tcW w:w="1043" w:type="dxa"/>
            <w:tcBorders>
              <w:bottom w:val="single" w:sz="17" w:space="0" w:color="000000"/>
            </w:tcBorders>
          </w:tcPr>
          <w:p>
            <w:pPr>
              <w:pStyle w:val="TableParagraph"/>
              <w:spacing w:line="272" w:lineRule="exact"/>
              <w:ind w:left="101" w:right="159"/>
              <w:jc w:val="center"/>
              <w:rPr>
                <w:sz w:val="24"/>
              </w:rPr>
            </w:pPr>
            <w:r>
              <w:rPr>
                <w:sz w:val="24"/>
              </w:rPr>
              <w:t>Maíz</w:t>
            </w:r>
          </w:p>
        </w:tc>
        <w:tc>
          <w:tcPr>
            <w:tcW w:w="1162" w:type="dxa"/>
            <w:tcBorders>
              <w:bottom w:val="single" w:sz="17" w:space="0" w:color="000000"/>
            </w:tcBorders>
          </w:tcPr>
          <w:p>
            <w:pPr>
              <w:pStyle w:val="TableParagraph"/>
              <w:spacing w:line="272" w:lineRule="exact"/>
              <w:ind w:left="159" w:right="219"/>
              <w:jc w:val="center"/>
              <w:rPr>
                <w:sz w:val="24"/>
              </w:rPr>
            </w:pPr>
            <w:r>
              <w:rPr>
                <w:sz w:val="24"/>
              </w:rPr>
              <w:t>Trigo</w:t>
            </w:r>
          </w:p>
        </w:tc>
        <w:tc>
          <w:tcPr>
            <w:tcW w:w="1194" w:type="dxa"/>
            <w:tcBorders>
              <w:bottom w:val="single" w:sz="17" w:space="0" w:color="000000"/>
            </w:tcBorders>
          </w:tcPr>
          <w:p>
            <w:pPr>
              <w:pStyle w:val="TableParagraph"/>
              <w:spacing w:line="272" w:lineRule="exact"/>
              <w:ind w:left="220" w:right="193"/>
              <w:jc w:val="center"/>
              <w:rPr>
                <w:sz w:val="24"/>
              </w:rPr>
            </w:pPr>
            <w:r>
              <w:rPr>
                <w:sz w:val="24"/>
              </w:rPr>
              <w:t>Sorgo</w:t>
            </w:r>
          </w:p>
        </w:tc>
        <w:tc>
          <w:tcPr>
            <w:tcW w:w="1284" w:type="dxa"/>
            <w:tcBorders>
              <w:bottom w:val="single" w:sz="17" w:space="0" w:color="000000"/>
            </w:tcBorders>
          </w:tcPr>
          <w:p>
            <w:pPr>
              <w:pStyle w:val="TableParagraph"/>
              <w:spacing w:line="272" w:lineRule="exact"/>
              <w:ind w:left="191" w:right="191"/>
              <w:jc w:val="center"/>
              <w:rPr>
                <w:sz w:val="24"/>
              </w:rPr>
            </w:pPr>
            <w:r>
              <w:rPr>
                <w:sz w:val="24"/>
              </w:rPr>
              <w:t>Maíz</w:t>
            </w:r>
          </w:p>
        </w:tc>
        <w:tc>
          <w:tcPr>
            <w:tcW w:w="1263" w:type="dxa"/>
            <w:tcBorders>
              <w:bottom w:val="single" w:sz="17" w:space="0" w:color="000000"/>
            </w:tcBorders>
          </w:tcPr>
          <w:p>
            <w:pPr>
              <w:pStyle w:val="TableParagraph"/>
              <w:spacing w:line="272" w:lineRule="exact"/>
              <w:ind w:left="314"/>
              <w:jc w:val="left"/>
              <w:rPr>
                <w:sz w:val="24"/>
              </w:rPr>
            </w:pPr>
            <w:r>
              <w:rPr>
                <w:sz w:val="24"/>
              </w:rPr>
              <w:t>Trigo</w:t>
            </w:r>
          </w:p>
        </w:tc>
        <w:tc>
          <w:tcPr>
            <w:tcW w:w="1435" w:type="dxa"/>
            <w:tcBorders>
              <w:bottom w:val="single" w:sz="17" w:space="0" w:color="000000"/>
            </w:tcBorders>
          </w:tcPr>
          <w:p>
            <w:pPr>
              <w:pStyle w:val="TableParagraph"/>
              <w:spacing w:line="272" w:lineRule="exact"/>
              <w:ind w:right="423"/>
              <w:rPr>
                <w:sz w:val="24"/>
              </w:rPr>
            </w:pPr>
            <w:r>
              <w:rPr>
                <w:sz w:val="24"/>
              </w:rPr>
              <w:t>Sorgo</w:t>
            </w:r>
          </w:p>
        </w:tc>
      </w:tr>
      <w:tr>
        <w:trPr>
          <w:trHeight w:val="341" w:hRule="exact"/>
        </w:trPr>
        <w:tc>
          <w:tcPr>
            <w:tcW w:w="1459" w:type="dxa"/>
            <w:tcBorders>
              <w:top w:val="single" w:sz="17" w:space="0" w:color="000000"/>
            </w:tcBorders>
          </w:tcPr>
          <w:p>
            <w:pPr>
              <w:pStyle w:val="TableParagraph"/>
              <w:spacing w:before="18"/>
              <w:ind w:left="5"/>
              <w:jc w:val="center"/>
              <w:rPr>
                <w:sz w:val="24"/>
              </w:rPr>
            </w:pPr>
            <w:r>
              <w:rPr>
                <w:sz w:val="24"/>
              </w:rPr>
              <w:t>1</w:t>
            </w:r>
          </w:p>
        </w:tc>
        <w:tc>
          <w:tcPr>
            <w:tcW w:w="1043" w:type="dxa"/>
            <w:tcBorders>
              <w:top w:val="single" w:sz="17" w:space="0" w:color="000000"/>
            </w:tcBorders>
          </w:tcPr>
          <w:p>
            <w:pPr>
              <w:pStyle w:val="TableParagraph"/>
              <w:spacing w:before="18"/>
              <w:ind w:left="103" w:right="159"/>
              <w:jc w:val="center"/>
              <w:rPr>
                <w:sz w:val="24"/>
              </w:rPr>
            </w:pPr>
            <w:r>
              <w:rPr>
                <w:sz w:val="24"/>
              </w:rPr>
              <w:t>-0.8252</w:t>
            </w:r>
          </w:p>
        </w:tc>
        <w:tc>
          <w:tcPr>
            <w:tcW w:w="1162" w:type="dxa"/>
            <w:tcBorders>
              <w:top w:val="single" w:sz="17" w:space="0" w:color="000000"/>
            </w:tcBorders>
          </w:tcPr>
          <w:p>
            <w:pPr>
              <w:pStyle w:val="TableParagraph"/>
              <w:spacing w:before="18"/>
              <w:ind w:left="162" w:right="219"/>
              <w:jc w:val="center"/>
              <w:rPr>
                <w:sz w:val="24"/>
              </w:rPr>
            </w:pPr>
            <w:r>
              <w:rPr>
                <w:sz w:val="24"/>
              </w:rPr>
              <w:t>-0.8743</w:t>
            </w:r>
          </w:p>
        </w:tc>
        <w:tc>
          <w:tcPr>
            <w:tcW w:w="1194" w:type="dxa"/>
            <w:tcBorders>
              <w:top w:val="single" w:sz="17" w:space="0" w:color="000000"/>
            </w:tcBorders>
          </w:tcPr>
          <w:p>
            <w:pPr>
              <w:pStyle w:val="TableParagraph"/>
              <w:spacing w:before="18"/>
              <w:ind w:left="220" w:right="193"/>
              <w:jc w:val="center"/>
              <w:rPr>
                <w:sz w:val="24"/>
              </w:rPr>
            </w:pPr>
            <w:r>
              <w:rPr>
                <w:sz w:val="24"/>
              </w:rPr>
              <w:t>-0.7583</w:t>
            </w:r>
          </w:p>
        </w:tc>
        <w:tc>
          <w:tcPr>
            <w:tcW w:w="1284" w:type="dxa"/>
            <w:tcBorders>
              <w:top w:val="single" w:sz="17" w:space="0" w:color="000000"/>
            </w:tcBorders>
          </w:tcPr>
          <w:p>
            <w:pPr>
              <w:pStyle w:val="TableParagraph"/>
              <w:spacing w:before="18"/>
              <w:ind w:left="191" w:right="191"/>
              <w:jc w:val="center"/>
              <w:rPr>
                <w:sz w:val="24"/>
              </w:rPr>
            </w:pPr>
            <w:r>
              <w:rPr>
                <w:sz w:val="24"/>
              </w:rPr>
              <w:t>1.0118</w:t>
            </w:r>
          </w:p>
        </w:tc>
        <w:tc>
          <w:tcPr>
            <w:tcW w:w="1263" w:type="dxa"/>
            <w:tcBorders>
              <w:top w:val="single" w:sz="17" w:space="0" w:color="000000"/>
            </w:tcBorders>
          </w:tcPr>
          <w:p>
            <w:pPr>
              <w:pStyle w:val="TableParagraph"/>
              <w:spacing w:before="18"/>
              <w:ind w:left="211"/>
              <w:jc w:val="left"/>
              <w:rPr>
                <w:sz w:val="24"/>
              </w:rPr>
            </w:pPr>
            <w:r>
              <w:rPr>
                <w:sz w:val="24"/>
              </w:rPr>
              <w:t>-2.7241</w:t>
            </w:r>
          </w:p>
        </w:tc>
        <w:tc>
          <w:tcPr>
            <w:tcW w:w="1435" w:type="dxa"/>
            <w:tcBorders>
              <w:top w:val="single" w:sz="17" w:space="0" w:color="000000"/>
            </w:tcBorders>
          </w:tcPr>
          <w:p>
            <w:pPr>
              <w:pStyle w:val="TableParagraph"/>
              <w:spacing w:before="18"/>
              <w:ind w:right="420"/>
              <w:rPr>
                <w:sz w:val="24"/>
              </w:rPr>
            </w:pPr>
            <w:r>
              <w:rPr>
                <w:sz w:val="24"/>
              </w:rPr>
              <w:t>2.8895</w:t>
            </w:r>
          </w:p>
        </w:tc>
      </w:tr>
      <w:tr>
        <w:trPr>
          <w:trHeight w:val="300" w:hRule="exact"/>
        </w:trPr>
        <w:tc>
          <w:tcPr>
            <w:tcW w:w="1459" w:type="dxa"/>
          </w:tcPr>
          <w:p>
            <w:pPr>
              <w:pStyle w:val="TableParagraph"/>
              <w:spacing w:line="275" w:lineRule="exact"/>
              <w:ind w:left="5"/>
              <w:jc w:val="center"/>
              <w:rPr>
                <w:sz w:val="24"/>
              </w:rPr>
            </w:pPr>
            <w:r>
              <w:rPr>
                <w:sz w:val="24"/>
              </w:rPr>
              <w:t>2</w:t>
            </w:r>
          </w:p>
        </w:tc>
        <w:tc>
          <w:tcPr>
            <w:tcW w:w="1043" w:type="dxa"/>
          </w:tcPr>
          <w:p>
            <w:pPr>
              <w:pStyle w:val="TableParagraph"/>
              <w:spacing w:line="275" w:lineRule="exact"/>
              <w:ind w:left="103" w:right="159"/>
              <w:jc w:val="center"/>
              <w:rPr>
                <w:sz w:val="24"/>
              </w:rPr>
            </w:pPr>
            <w:r>
              <w:rPr>
                <w:sz w:val="24"/>
              </w:rPr>
              <w:t>-0.3852</w:t>
            </w:r>
          </w:p>
        </w:tc>
        <w:tc>
          <w:tcPr>
            <w:tcW w:w="1162" w:type="dxa"/>
          </w:tcPr>
          <w:p>
            <w:pPr>
              <w:pStyle w:val="TableParagraph"/>
              <w:spacing w:line="275" w:lineRule="exact"/>
              <w:ind w:left="162" w:right="219"/>
              <w:jc w:val="center"/>
              <w:rPr>
                <w:sz w:val="24"/>
              </w:rPr>
            </w:pPr>
            <w:r>
              <w:rPr>
                <w:sz w:val="24"/>
              </w:rPr>
              <w:t>-0.7243</w:t>
            </w:r>
          </w:p>
        </w:tc>
        <w:tc>
          <w:tcPr>
            <w:tcW w:w="1194" w:type="dxa"/>
          </w:tcPr>
          <w:p>
            <w:pPr>
              <w:pStyle w:val="TableParagraph"/>
              <w:spacing w:line="275" w:lineRule="exact"/>
              <w:ind w:left="220" w:right="193"/>
              <w:jc w:val="center"/>
              <w:rPr>
                <w:sz w:val="24"/>
              </w:rPr>
            </w:pPr>
            <w:r>
              <w:rPr>
                <w:sz w:val="24"/>
              </w:rPr>
              <w:t>-0.4283</w:t>
            </w:r>
          </w:p>
        </w:tc>
        <w:tc>
          <w:tcPr>
            <w:tcW w:w="1284" w:type="dxa"/>
          </w:tcPr>
          <w:p>
            <w:pPr>
              <w:pStyle w:val="TableParagraph"/>
              <w:spacing w:line="275" w:lineRule="exact"/>
              <w:ind w:left="191" w:right="191"/>
              <w:jc w:val="center"/>
              <w:rPr>
                <w:sz w:val="24"/>
              </w:rPr>
            </w:pPr>
            <w:r>
              <w:rPr>
                <w:sz w:val="24"/>
              </w:rPr>
              <w:t>1.4806</w:t>
            </w:r>
          </w:p>
        </w:tc>
        <w:tc>
          <w:tcPr>
            <w:tcW w:w="1263" w:type="dxa"/>
          </w:tcPr>
          <w:p>
            <w:pPr>
              <w:pStyle w:val="TableParagraph"/>
              <w:spacing w:line="275" w:lineRule="exact"/>
              <w:ind w:left="251"/>
              <w:jc w:val="left"/>
              <w:rPr>
                <w:sz w:val="24"/>
              </w:rPr>
            </w:pPr>
            <w:r>
              <w:rPr>
                <w:sz w:val="24"/>
              </w:rPr>
              <w:t>0.5222</w:t>
            </w:r>
          </w:p>
        </w:tc>
        <w:tc>
          <w:tcPr>
            <w:tcW w:w="1435" w:type="dxa"/>
          </w:tcPr>
          <w:p>
            <w:pPr>
              <w:pStyle w:val="TableParagraph"/>
              <w:spacing w:line="275" w:lineRule="exact"/>
              <w:ind w:right="420"/>
              <w:rPr>
                <w:sz w:val="24"/>
              </w:rPr>
            </w:pPr>
            <w:r>
              <w:rPr>
                <w:sz w:val="24"/>
              </w:rPr>
              <w:t>4.5411</w:t>
            </w:r>
          </w:p>
        </w:tc>
      </w:tr>
      <w:tr>
        <w:trPr>
          <w:trHeight w:val="300" w:hRule="exact"/>
        </w:trPr>
        <w:tc>
          <w:tcPr>
            <w:tcW w:w="1459" w:type="dxa"/>
          </w:tcPr>
          <w:p>
            <w:pPr>
              <w:pStyle w:val="TableParagraph"/>
              <w:spacing w:line="275" w:lineRule="exact"/>
              <w:ind w:left="5"/>
              <w:jc w:val="center"/>
              <w:rPr>
                <w:sz w:val="24"/>
              </w:rPr>
            </w:pPr>
            <w:r>
              <w:rPr>
                <w:sz w:val="24"/>
              </w:rPr>
              <w:t>3</w:t>
            </w:r>
          </w:p>
        </w:tc>
        <w:tc>
          <w:tcPr>
            <w:tcW w:w="1043" w:type="dxa"/>
          </w:tcPr>
          <w:p>
            <w:pPr>
              <w:pStyle w:val="TableParagraph"/>
              <w:spacing w:line="275" w:lineRule="exact"/>
              <w:ind w:left="100" w:right="159"/>
              <w:jc w:val="center"/>
              <w:rPr>
                <w:sz w:val="24"/>
              </w:rPr>
            </w:pPr>
            <w:r>
              <w:rPr>
                <w:sz w:val="24"/>
              </w:rPr>
              <w:t>0.2148</w:t>
            </w:r>
          </w:p>
        </w:tc>
        <w:tc>
          <w:tcPr>
            <w:tcW w:w="1162" w:type="dxa"/>
          </w:tcPr>
          <w:p>
            <w:pPr>
              <w:pStyle w:val="TableParagraph"/>
              <w:spacing w:line="275" w:lineRule="exact"/>
              <w:ind w:left="159" w:right="219"/>
              <w:jc w:val="center"/>
              <w:rPr>
                <w:sz w:val="24"/>
              </w:rPr>
            </w:pPr>
            <w:r>
              <w:rPr>
                <w:sz w:val="24"/>
              </w:rPr>
              <w:t>0.4257</w:t>
            </w:r>
          </w:p>
        </w:tc>
        <w:tc>
          <w:tcPr>
            <w:tcW w:w="1194" w:type="dxa"/>
          </w:tcPr>
          <w:p>
            <w:pPr>
              <w:pStyle w:val="TableParagraph"/>
              <w:spacing w:line="275" w:lineRule="exact"/>
              <w:ind w:left="220" w:right="191"/>
              <w:jc w:val="center"/>
              <w:rPr>
                <w:sz w:val="24"/>
              </w:rPr>
            </w:pPr>
            <w:r>
              <w:rPr>
                <w:sz w:val="24"/>
              </w:rPr>
              <w:t>0.1417</w:t>
            </w:r>
          </w:p>
        </w:tc>
        <w:tc>
          <w:tcPr>
            <w:tcW w:w="1284" w:type="dxa"/>
          </w:tcPr>
          <w:p>
            <w:pPr>
              <w:pStyle w:val="TableParagraph"/>
              <w:spacing w:line="275" w:lineRule="exact"/>
              <w:ind w:left="193" w:right="191"/>
              <w:jc w:val="center"/>
              <w:rPr>
                <w:sz w:val="24"/>
              </w:rPr>
            </w:pPr>
            <w:r>
              <w:rPr>
                <w:sz w:val="24"/>
              </w:rPr>
              <w:t>-33.7506</w:t>
            </w:r>
          </w:p>
        </w:tc>
        <w:tc>
          <w:tcPr>
            <w:tcW w:w="1263" w:type="dxa"/>
          </w:tcPr>
          <w:p>
            <w:pPr>
              <w:pStyle w:val="TableParagraph"/>
              <w:spacing w:line="275" w:lineRule="exact"/>
              <w:ind w:left="211"/>
              <w:jc w:val="left"/>
              <w:rPr>
                <w:sz w:val="24"/>
              </w:rPr>
            </w:pPr>
            <w:r>
              <w:rPr>
                <w:sz w:val="24"/>
              </w:rPr>
              <w:t>-3.0817</w:t>
            </w:r>
          </w:p>
        </w:tc>
        <w:tc>
          <w:tcPr>
            <w:tcW w:w="1435" w:type="dxa"/>
          </w:tcPr>
          <w:p>
            <w:pPr>
              <w:pStyle w:val="TableParagraph"/>
              <w:spacing w:line="275" w:lineRule="exact"/>
              <w:ind w:right="383"/>
              <w:rPr>
                <w:sz w:val="24"/>
              </w:rPr>
            </w:pPr>
            <w:r>
              <w:rPr>
                <w:sz w:val="24"/>
              </w:rPr>
              <w:t>-1.0762</w:t>
            </w:r>
          </w:p>
        </w:tc>
      </w:tr>
      <w:tr>
        <w:trPr>
          <w:trHeight w:val="300" w:hRule="exact"/>
        </w:trPr>
        <w:tc>
          <w:tcPr>
            <w:tcW w:w="1459" w:type="dxa"/>
          </w:tcPr>
          <w:p>
            <w:pPr>
              <w:pStyle w:val="TableParagraph"/>
              <w:spacing w:line="275" w:lineRule="exact"/>
              <w:ind w:left="5"/>
              <w:jc w:val="center"/>
              <w:rPr>
                <w:sz w:val="24"/>
              </w:rPr>
            </w:pPr>
            <w:r>
              <w:rPr>
                <w:sz w:val="24"/>
              </w:rPr>
              <w:t>4</w:t>
            </w:r>
          </w:p>
        </w:tc>
        <w:tc>
          <w:tcPr>
            <w:tcW w:w="1043" w:type="dxa"/>
          </w:tcPr>
          <w:p>
            <w:pPr>
              <w:pStyle w:val="TableParagraph"/>
              <w:spacing w:line="275" w:lineRule="exact"/>
              <w:ind w:left="100" w:right="159"/>
              <w:jc w:val="center"/>
              <w:rPr>
                <w:sz w:val="24"/>
              </w:rPr>
            </w:pPr>
            <w:r>
              <w:rPr>
                <w:sz w:val="24"/>
              </w:rPr>
              <w:t>0.0348</w:t>
            </w:r>
          </w:p>
        </w:tc>
        <w:tc>
          <w:tcPr>
            <w:tcW w:w="1162" w:type="dxa"/>
          </w:tcPr>
          <w:p>
            <w:pPr>
              <w:pStyle w:val="TableParagraph"/>
              <w:spacing w:line="275" w:lineRule="exact"/>
              <w:ind w:left="159" w:right="219"/>
              <w:jc w:val="center"/>
              <w:rPr>
                <w:sz w:val="24"/>
              </w:rPr>
            </w:pPr>
            <w:r>
              <w:rPr>
                <w:sz w:val="24"/>
              </w:rPr>
              <w:t>0.4257</w:t>
            </w:r>
          </w:p>
        </w:tc>
        <w:tc>
          <w:tcPr>
            <w:tcW w:w="1194" w:type="dxa"/>
          </w:tcPr>
          <w:p>
            <w:pPr>
              <w:pStyle w:val="TableParagraph"/>
              <w:spacing w:line="275" w:lineRule="exact"/>
              <w:ind w:left="220" w:right="193"/>
              <w:jc w:val="center"/>
              <w:rPr>
                <w:sz w:val="24"/>
              </w:rPr>
            </w:pPr>
            <w:r>
              <w:rPr>
                <w:sz w:val="24"/>
              </w:rPr>
              <w:t>-0.0283</w:t>
            </w:r>
          </w:p>
        </w:tc>
        <w:tc>
          <w:tcPr>
            <w:tcW w:w="1284" w:type="dxa"/>
          </w:tcPr>
          <w:p>
            <w:pPr>
              <w:pStyle w:val="TableParagraph"/>
              <w:spacing w:line="275" w:lineRule="exact"/>
              <w:ind w:left="193" w:right="191"/>
              <w:jc w:val="center"/>
              <w:rPr>
                <w:sz w:val="24"/>
              </w:rPr>
            </w:pPr>
            <w:r>
              <w:rPr>
                <w:sz w:val="24"/>
              </w:rPr>
              <w:t>-2.1985</w:t>
            </w:r>
          </w:p>
        </w:tc>
        <w:tc>
          <w:tcPr>
            <w:tcW w:w="1263" w:type="dxa"/>
          </w:tcPr>
          <w:p>
            <w:pPr>
              <w:pStyle w:val="TableParagraph"/>
              <w:spacing w:line="275" w:lineRule="exact"/>
              <w:ind w:left="211"/>
              <w:jc w:val="left"/>
              <w:rPr>
                <w:sz w:val="24"/>
              </w:rPr>
            </w:pPr>
            <w:r>
              <w:rPr>
                <w:sz w:val="24"/>
              </w:rPr>
              <w:t>-4.4037</w:t>
            </w:r>
          </w:p>
        </w:tc>
        <w:tc>
          <w:tcPr>
            <w:tcW w:w="1435" w:type="dxa"/>
          </w:tcPr>
          <w:p>
            <w:pPr>
              <w:pStyle w:val="TableParagraph"/>
              <w:spacing w:line="275" w:lineRule="exact"/>
              <w:ind w:right="383"/>
              <w:rPr>
                <w:sz w:val="24"/>
              </w:rPr>
            </w:pPr>
            <w:r>
              <w:rPr>
                <w:sz w:val="24"/>
              </w:rPr>
              <w:t>-9.4266</w:t>
            </w:r>
          </w:p>
        </w:tc>
      </w:tr>
      <w:tr>
        <w:trPr>
          <w:trHeight w:val="300" w:hRule="exact"/>
        </w:trPr>
        <w:tc>
          <w:tcPr>
            <w:tcW w:w="1459" w:type="dxa"/>
          </w:tcPr>
          <w:p>
            <w:pPr>
              <w:pStyle w:val="TableParagraph"/>
              <w:spacing w:line="275" w:lineRule="exact"/>
              <w:ind w:left="5"/>
              <w:jc w:val="center"/>
              <w:rPr>
                <w:sz w:val="24"/>
              </w:rPr>
            </w:pPr>
            <w:r>
              <w:rPr>
                <w:sz w:val="24"/>
              </w:rPr>
              <w:t>5</w:t>
            </w:r>
          </w:p>
        </w:tc>
        <w:tc>
          <w:tcPr>
            <w:tcW w:w="1043" w:type="dxa"/>
          </w:tcPr>
          <w:p>
            <w:pPr>
              <w:pStyle w:val="TableParagraph"/>
              <w:spacing w:line="275" w:lineRule="exact"/>
              <w:ind w:left="103" w:right="159"/>
              <w:jc w:val="center"/>
              <w:rPr>
                <w:sz w:val="24"/>
              </w:rPr>
            </w:pPr>
            <w:r>
              <w:rPr>
                <w:sz w:val="24"/>
              </w:rPr>
              <w:t>-0.0452</w:t>
            </w:r>
          </w:p>
        </w:tc>
        <w:tc>
          <w:tcPr>
            <w:tcW w:w="1162" w:type="dxa"/>
          </w:tcPr>
          <w:p>
            <w:pPr>
              <w:pStyle w:val="TableParagraph"/>
              <w:spacing w:line="275" w:lineRule="exact"/>
              <w:ind w:left="162" w:right="219"/>
              <w:jc w:val="center"/>
              <w:rPr>
                <w:sz w:val="24"/>
              </w:rPr>
            </w:pPr>
            <w:r>
              <w:rPr>
                <w:sz w:val="24"/>
              </w:rPr>
              <w:t>-0.6843</w:t>
            </w:r>
          </w:p>
        </w:tc>
        <w:tc>
          <w:tcPr>
            <w:tcW w:w="1194" w:type="dxa"/>
          </w:tcPr>
          <w:p>
            <w:pPr>
              <w:pStyle w:val="TableParagraph"/>
              <w:spacing w:line="275" w:lineRule="exact"/>
              <w:ind w:left="220" w:right="193"/>
              <w:jc w:val="center"/>
              <w:rPr>
                <w:sz w:val="24"/>
              </w:rPr>
            </w:pPr>
            <w:r>
              <w:rPr>
                <w:sz w:val="24"/>
              </w:rPr>
              <w:t>-0.0083</w:t>
            </w:r>
          </w:p>
        </w:tc>
        <w:tc>
          <w:tcPr>
            <w:tcW w:w="1284" w:type="dxa"/>
          </w:tcPr>
          <w:p>
            <w:pPr>
              <w:pStyle w:val="TableParagraph"/>
              <w:spacing w:line="275" w:lineRule="exact"/>
              <w:ind w:left="191" w:right="191"/>
              <w:jc w:val="center"/>
              <w:rPr>
                <w:sz w:val="24"/>
              </w:rPr>
            </w:pPr>
            <w:r>
              <w:rPr>
                <w:sz w:val="24"/>
              </w:rPr>
              <w:t>0.1401</w:t>
            </w:r>
          </w:p>
        </w:tc>
        <w:tc>
          <w:tcPr>
            <w:tcW w:w="1263" w:type="dxa"/>
          </w:tcPr>
          <w:p>
            <w:pPr>
              <w:pStyle w:val="TableParagraph"/>
              <w:spacing w:line="275" w:lineRule="exact"/>
              <w:ind w:left="251"/>
              <w:jc w:val="left"/>
              <w:rPr>
                <w:sz w:val="24"/>
              </w:rPr>
            </w:pPr>
            <w:r>
              <w:rPr>
                <w:sz w:val="24"/>
              </w:rPr>
              <w:t>2.3460</w:t>
            </w:r>
          </w:p>
        </w:tc>
        <w:tc>
          <w:tcPr>
            <w:tcW w:w="1435" w:type="dxa"/>
          </w:tcPr>
          <w:p>
            <w:pPr>
              <w:pStyle w:val="TableParagraph"/>
              <w:spacing w:line="275" w:lineRule="exact"/>
              <w:ind w:right="383"/>
              <w:rPr>
                <w:sz w:val="24"/>
              </w:rPr>
            </w:pPr>
            <w:r>
              <w:rPr>
                <w:sz w:val="24"/>
              </w:rPr>
              <w:t>-1.7783</w:t>
            </w:r>
          </w:p>
        </w:tc>
      </w:tr>
      <w:tr>
        <w:trPr>
          <w:trHeight w:val="300" w:hRule="exact"/>
        </w:trPr>
        <w:tc>
          <w:tcPr>
            <w:tcW w:w="1459" w:type="dxa"/>
          </w:tcPr>
          <w:p>
            <w:pPr>
              <w:pStyle w:val="TableParagraph"/>
              <w:spacing w:line="275" w:lineRule="exact"/>
              <w:ind w:left="5"/>
              <w:jc w:val="center"/>
              <w:rPr>
                <w:sz w:val="24"/>
              </w:rPr>
            </w:pPr>
            <w:r>
              <w:rPr>
                <w:sz w:val="24"/>
              </w:rPr>
              <w:t>6</w:t>
            </w:r>
          </w:p>
        </w:tc>
        <w:tc>
          <w:tcPr>
            <w:tcW w:w="1043" w:type="dxa"/>
          </w:tcPr>
          <w:p>
            <w:pPr>
              <w:pStyle w:val="TableParagraph"/>
              <w:spacing w:line="275" w:lineRule="exact"/>
              <w:ind w:left="100" w:right="159"/>
              <w:jc w:val="center"/>
              <w:rPr>
                <w:sz w:val="24"/>
              </w:rPr>
            </w:pPr>
            <w:r>
              <w:rPr>
                <w:sz w:val="24"/>
              </w:rPr>
              <w:t>0.0448</w:t>
            </w:r>
          </w:p>
        </w:tc>
        <w:tc>
          <w:tcPr>
            <w:tcW w:w="1162" w:type="dxa"/>
          </w:tcPr>
          <w:p>
            <w:pPr>
              <w:pStyle w:val="TableParagraph"/>
              <w:spacing w:line="275" w:lineRule="exact"/>
              <w:ind w:left="162" w:right="219"/>
              <w:jc w:val="center"/>
              <w:rPr>
                <w:sz w:val="24"/>
              </w:rPr>
            </w:pPr>
            <w:r>
              <w:rPr>
                <w:sz w:val="24"/>
              </w:rPr>
              <w:t>-0.2943</w:t>
            </w:r>
          </w:p>
        </w:tc>
        <w:tc>
          <w:tcPr>
            <w:tcW w:w="1194" w:type="dxa"/>
          </w:tcPr>
          <w:p>
            <w:pPr>
              <w:pStyle w:val="TableParagraph"/>
              <w:spacing w:line="275" w:lineRule="exact"/>
              <w:ind w:left="220" w:right="191"/>
              <w:jc w:val="center"/>
              <w:rPr>
                <w:sz w:val="24"/>
              </w:rPr>
            </w:pPr>
            <w:r>
              <w:rPr>
                <w:sz w:val="24"/>
              </w:rPr>
              <w:t>0.1229</w:t>
            </w:r>
          </w:p>
        </w:tc>
        <w:tc>
          <w:tcPr>
            <w:tcW w:w="1284" w:type="dxa"/>
          </w:tcPr>
          <w:p>
            <w:pPr>
              <w:pStyle w:val="TableParagraph"/>
              <w:spacing w:line="275" w:lineRule="exact"/>
              <w:ind w:left="193" w:right="191"/>
              <w:jc w:val="center"/>
              <w:rPr>
                <w:sz w:val="24"/>
              </w:rPr>
            </w:pPr>
            <w:r>
              <w:rPr>
                <w:sz w:val="24"/>
              </w:rPr>
              <w:t>-9.7821</w:t>
            </w:r>
          </w:p>
        </w:tc>
        <w:tc>
          <w:tcPr>
            <w:tcW w:w="1263" w:type="dxa"/>
          </w:tcPr>
          <w:p>
            <w:pPr>
              <w:pStyle w:val="TableParagraph"/>
              <w:spacing w:line="275" w:lineRule="exact"/>
              <w:ind w:left="211"/>
              <w:jc w:val="left"/>
              <w:rPr>
                <w:sz w:val="24"/>
              </w:rPr>
            </w:pPr>
            <w:r>
              <w:rPr>
                <w:sz w:val="24"/>
              </w:rPr>
              <w:t>-2.8187</w:t>
            </w:r>
          </w:p>
        </w:tc>
        <w:tc>
          <w:tcPr>
            <w:tcW w:w="1435" w:type="dxa"/>
          </w:tcPr>
          <w:p>
            <w:pPr>
              <w:pStyle w:val="TableParagraph"/>
              <w:spacing w:line="275" w:lineRule="exact"/>
              <w:ind w:right="383"/>
              <w:rPr>
                <w:sz w:val="24"/>
              </w:rPr>
            </w:pPr>
            <w:r>
              <w:rPr>
                <w:sz w:val="24"/>
              </w:rPr>
              <w:t>-5.5985</w:t>
            </w:r>
          </w:p>
        </w:tc>
      </w:tr>
      <w:tr>
        <w:trPr>
          <w:trHeight w:val="300" w:hRule="exact"/>
        </w:trPr>
        <w:tc>
          <w:tcPr>
            <w:tcW w:w="1459" w:type="dxa"/>
          </w:tcPr>
          <w:p>
            <w:pPr>
              <w:pStyle w:val="TableParagraph"/>
              <w:spacing w:line="275" w:lineRule="exact"/>
              <w:ind w:left="5"/>
              <w:jc w:val="center"/>
              <w:rPr>
                <w:sz w:val="24"/>
              </w:rPr>
            </w:pPr>
            <w:r>
              <w:rPr>
                <w:sz w:val="24"/>
              </w:rPr>
              <w:t>7</w:t>
            </w:r>
          </w:p>
        </w:tc>
        <w:tc>
          <w:tcPr>
            <w:tcW w:w="1043" w:type="dxa"/>
          </w:tcPr>
          <w:p>
            <w:pPr>
              <w:pStyle w:val="TableParagraph"/>
              <w:spacing w:line="275" w:lineRule="exact"/>
              <w:ind w:left="103" w:right="159"/>
              <w:jc w:val="center"/>
              <w:rPr>
                <w:sz w:val="24"/>
              </w:rPr>
            </w:pPr>
            <w:r>
              <w:rPr>
                <w:sz w:val="24"/>
              </w:rPr>
              <w:t>-0.2552</w:t>
            </w:r>
          </w:p>
        </w:tc>
        <w:tc>
          <w:tcPr>
            <w:tcW w:w="1162" w:type="dxa"/>
          </w:tcPr>
          <w:p>
            <w:pPr>
              <w:pStyle w:val="TableParagraph"/>
              <w:spacing w:line="275" w:lineRule="exact"/>
              <w:ind w:left="162" w:right="219"/>
              <w:jc w:val="center"/>
              <w:rPr>
                <w:sz w:val="24"/>
              </w:rPr>
            </w:pPr>
            <w:r>
              <w:rPr>
                <w:sz w:val="24"/>
              </w:rPr>
              <w:t>-0.0543</w:t>
            </w:r>
          </w:p>
        </w:tc>
        <w:tc>
          <w:tcPr>
            <w:tcW w:w="1194" w:type="dxa"/>
          </w:tcPr>
          <w:p>
            <w:pPr>
              <w:pStyle w:val="TableParagraph"/>
              <w:spacing w:line="275" w:lineRule="exact"/>
              <w:ind w:left="220" w:right="193"/>
              <w:jc w:val="center"/>
              <w:rPr>
                <w:sz w:val="24"/>
              </w:rPr>
            </w:pPr>
            <w:r>
              <w:rPr>
                <w:sz w:val="24"/>
              </w:rPr>
              <w:t>-0.2551</w:t>
            </w:r>
          </w:p>
        </w:tc>
        <w:tc>
          <w:tcPr>
            <w:tcW w:w="1284" w:type="dxa"/>
          </w:tcPr>
          <w:p>
            <w:pPr>
              <w:pStyle w:val="TableParagraph"/>
              <w:spacing w:line="275" w:lineRule="exact"/>
              <w:ind w:left="191" w:right="191"/>
              <w:jc w:val="center"/>
              <w:rPr>
                <w:sz w:val="24"/>
              </w:rPr>
            </w:pPr>
            <w:r>
              <w:rPr>
                <w:sz w:val="24"/>
              </w:rPr>
              <w:t>13.1171</w:t>
            </w:r>
          </w:p>
        </w:tc>
        <w:tc>
          <w:tcPr>
            <w:tcW w:w="1263" w:type="dxa"/>
          </w:tcPr>
          <w:p>
            <w:pPr>
              <w:pStyle w:val="TableParagraph"/>
              <w:spacing w:line="275" w:lineRule="exact"/>
              <w:ind w:left="251"/>
              <w:jc w:val="left"/>
              <w:rPr>
                <w:sz w:val="24"/>
              </w:rPr>
            </w:pPr>
            <w:r>
              <w:rPr>
                <w:sz w:val="24"/>
              </w:rPr>
              <w:t>2.1526</w:t>
            </w:r>
          </w:p>
        </w:tc>
        <w:tc>
          <w:tcPr>
            <w:tcW w:w="1435" w:type="dxa"/>
          </w:tcPr>
          <w:p>
            <w:pPr>
              <w:pStyle w:val="TableParagraph"/>
              <w:spacing w:line="275" w:lineRule="exact"/>
              <w:ind w:right="420"/>
              <w:rPr>
                <w:sz w:val="24"/>
              </w:rPr>
            </w:pPr>
            <w:r>
              <w:rPr>
                <w:sz w:val="24"/>
              </w:rPr>
              <w:t>7.7611</w:t>
            </w:r>
          </w:p>
        </w:tc>
      </w:tr>
      <w:tr>
        <w:trPr>
          <w:trHeight w:val="300" w:hRule="exact"/>
        </w:trPr>
        <w:tc>
          <w:tcPr>
            <w:tcW w:w="1459" w:type="dxa"/>
          </w:tcPr>
          <w:p>
            <w:pPr>
              <w:pStyle w:val="TableParagraph"/>
              <w:spacing w:line="275" w:lineRule="exact"/>
              <w:ind w:left="5"/>
              <w:jc w:val="center"/>
              <w:rPr>
                <w:sz w:val="24"/>
              </w:rPr>
            </w:pPr>
            <w:r>
              <w:rPr>
                <w:sz w:val="24"/>
              </w:rPr>
              <w:t>8</w:t>
            </w:r>
          </w:p>
        </w:tc>
        <w:tc>
          <w:tcPr>
            <w:tcW w:w="1043" w:type="dxa"/>
          </w:tcPr>
          <w:p>
            <w:pPr>
              <w:pStyle w:val="TableParagraph"/>
              <w:spacing w:line="275" w:lineRule="exact"/>
              <w:ind w:left="100" w:right="159"/>
              <w:jc w:val="center"/>
              <w:rPr>
                <w:sz w:val="24"/>
              </w:rPr>
            </w:pPr>
            <w:r>
              <w:rPr>
                <w:sz w:val="24"/>
              </w:rPr>
              <w:t>0.1748</w:t>
            </w:r>
          </w:p>
        </w:tc>
        <w:tc>
          <w:tcPr>
            <w:tcW w:w="1162" w:type="dxa"/>
          </w:tcPr>
          <w:p>
            <w:pPr>
              <w:pStyle w:val="TableParagraph"/>
              <w:spacing w:line="275" w:lineRule="exact"/>
              <w:ind w:left="162" w:right="219"/>
              <w:jc w:val="center"/>
              <w:rPr>
                <w:sz w:val="24"/>
              </w:rPr>
            </w:pPr>
            <w:r>
              <w:rPr>
                <w:sz w:val="24"/>
              </w:rPr>
              <w:t>-0.0343</w:t>
            </w:r>
          </w:p>
        </w:tc>
        <w:tc>
          <w:tcPr>
            <w:tcW w:w="1194" w:type="dxa"/>
          </w:tcPr>
          <w:p>
            <w:pPr>
              <w:pStyle w:val="TableParagraph"/>
              <w:spacing w:line="275" w:lineRule="exact"/>
              <w:ind w:left="220" w:right="191"/>
              <w:jc w:val="center"/>
              <w:rPr>
                <w:sz w:val="24"/>
              </w:rPr>
            </w:pPr>
            <w:r>
              <w:rPr>
                <w:sz w:val="24"/>
              </w:rPr>
              <w:t>0.1817</w:t>
            </w:r>
          </w:p>
        </w:tc>
        <w:tc>
          <w:tcPr>
            <w:tcW w:w="1284" w:type="dxa"/>
          </w:tcPr>
          <w:p>
            <w:pPr>
              <w:pStyle w:val="TableParagraph"/>
              <w:spacing w:line="275" w:lineRule="exact"/>
              <w:ind w:left="193" w:right="191"/>
              <w:jc w:val="center"/>
              <w:rPr>
                <w:sz w:val="24"/>
              </w:rPr>
            </w:pPr>
            <w:r>
              <w:rPr>
                <w:sz w:val="24"/>
              </w:rPr>
              <w:t>-17.6579</w:t>
            </w:r>
          </w:p>
        </w:tc>
        <w:tc>
          <w:tcPr>
            <w:tcW w:w="1263" w:type="dxa"/>
          </w:tcPr>
          <w:p>
            <w:pPr>
              <w:pStyle w:val="TableParagraph"/>
              <w:spacing w:line="275" w:lineRule="exact"/>
              <w:ind w:left="251"/>
              <w:jc w:val="left"/>
              <w:rPr>
                <w:sz w:val="24"/>
              </w:rPr>
            </w:pPr>
            <w:r>
              <w:rPr>
                <w:sz w:val="24"/>
              </w:rPr>
              <w:t>1.0614</w:t>
            </w:r>
          </w:p>
        </w:tc>
        <w:tc>
          <w:tcPr>
            <w:tcW w:w="1435" w:type="dxa"/>
          </w:tcPr>
          <w:p>
            <w:pPr>
              <w:pStyle w:val="TableParagraph"/>
              <w:spacing w:line="275" w:lineRule="exact"/>
              <w:ind w:right="383"/>
              <w:rPr>
                <w:sz w:val="24"/>
              </w:rPr>
            </w:pPr>
            <w:r>
              <w:rPr>
                <w:sz w:val="24"/>
              </w:rPr>
              <w:t>-4.9432</w:t>
            </w:r>
          </w:p>
        </w:tc>
      </w:tr>
      <w:tr>
        <w:trPr>
          <w:trHeight w:val="300" w:hRule="exact"/>
        </w:trPr>
        <w:tc>
          <w:tcPr>
            <w:tcW w:w="1459" w:type="dxa"/>
          </w:tcPr>
          <w:p>
            <w:pPr>
              <w:pStyle w:val="TableParagraph"/>
              <w:spacing w:line="275" w:lineRule="exact"/>
              <w:ind w:left="5"/>
              <w:jc w:val="center"/>
              <w:rPr>
                <w:sz w:val="24"/>
              </w:rPr>
            </w:pPr>
            <w:r>
              <w:rPr>
                <w:sz w:val="24"/>
              </w:rPr>
              <w:t>9</w:t>
            </w:r>
          </w:p>
        </w:tc>
        <w:tc>
          <w:tcPr>
            <w:tcW w:w="1043" w:type="dxa"/>
          </w:tcPr>
          <w:p>
            <w:pPr>
              <w:pStyle w:val="TableParagraph"/>
              <w:spacing w:line="275" w:lineRule="exact"/>
              <w:ind w:left="103" w:right="159"/>
              <w:jc w:val="center"/>
              <w:rPr>
                <w:sz w:val="24"/>
              </w:rPr>
            </w:pPr>
            <w:r>
              <w:rPr>
                <w:sz w:val="24"/>
              </w:rPr>
              <w:t>-0.0652</w:t>
            </w:r>
          </w:p>
        </w:tc>
        <w:tc>
          <w:tcPr>
            <w:tcW w:w="1162" w:type="dxa"/>
          </w:tcPr>
          <w:p>
            <w:pPr>
              <w:pStyle w:val="TableParagraph"/>
              <w:spacing w:line="275" w:lineRule="exact"/>
              <w:ind w:left="159" w:right="219"/>
              <w:jc w:val="center"/>
              <w:rPr>
                <w:sz w:val="24"/>
              </w:rPr>
            </w:pPr>
            <w:r>
              <w:rPr>
                <w:sz w:val="24"/>
              </w:rPr>
              <w:t>0.1557</w:t>
            </w:r>
          </w:p>
        </w:tc>
        <w:tc>
          <w:tcPr>
            <w:tcW w:w="1194" w:type="dxa"/>
          </w:tcPr>
          <w:p>
            <w:pPr>
              <w:pStyle w:val="TableParagraph"/>
              <w:spacing w:line="275" w:lineRule="exact"/>
              <w:ind w:left="220" w:right="193"/>
              <w:jc w:val="center"/>
              <w:rPr>
                <w:sz w:val="24"/>
              </w:rPr>
            </w:pPr>
            <w:r>
              <w:rPr>
                <w:sz w:val="24"/>
              </w:rPr>
              <w:t>-0.0003</w:t>
            </w:r>
          </w:p>
        </w:tc>
        <w:tc>
          <w:tcPr>
            <w:tcW w:w="1284" w:type="dxa"/>
          </w:tcPr>
          <w:p>
            <w:pPr>
              <w:pStyle w:val="TableParagraph"/>
              <w:spacing w:line="275" w:lineRule="exact"/>
              <w:ind w:left="191" w:right="191"/>
              <w:jc w:val="center"/>
              <w:rPr>
                <w:sz w:val="24"/>
              </w:rPr>
            </w:pPr>
            <w:r>
              <w:rPr>
                <w:sz w:val="24"/>
              </w:rPr>
              <w:t>20.2451</w:t>
            </w:r>
          </w:p>
        </w:tc>
        <w:tc>
          <w:tcPr>
            <w:tcW w:w="1263" w:type="dxa"/>
          </w:tcPr>
          <w:p>
            <w:pPr>
              <w:pStyle w:val="TableParagraph"/>
              <w:spacing w:line="275" w:lineRule="exact"/>
              <w:ind w:left="251"/>
              <w:jc w:val="left"/>
              <w:rPr>
                <w:sz w:val="24"/>
              </w:rPr>
            </w:pPr>
            <w:r>
              <w:rPr>
                <w:sz w:val="24"/>
              </w:rPr>
              <w:t>0.4225</w:t>
            </w:r>
          </w:p>
        </w:tc>
        <w:tc>
          <w:tcPr>
            <w:tcW w:w="1435" w:type="dxa"/>
          </w:tcPr>
          <w:p>
            <w:pPr>
              <w:pStyle w:val="TableParagraph"/>
              <w:spacing w:line="275" w:lineRule="exact"/>
              <w:ind w:right="420"/>
              <w:rPr>
                <w:sz w:val="24"/>
              </w:rPr>
            </w:pPr>
            <w:r>
              <w:rPr>
                <w:sz w:val="24"/>
              </w:rPr>
              <w:t>7.9506</w:t>
            </w:r>
          </w:p>
        </w:tc>
      </w:tr>
      <w:tr>
        <w:trPr>
          <w:trHeight w:val="300" w:hRule="exact"/>
        </w:trPr>
        <w:tc>
          <w:tcPr>
            <w:tcW w:w="1459" w:type="dxa"/>
          </w:tcPr>
          <w:p>
            <w:pPr>
              <w:pStyle w:val="TableParagraph"/>
              <w:spacing w:line="275" w:lineRule="exact"/>
              <w:ind w:left="103" w:right="98"/>
              <w:jc w:val="center"/>
              <w:rPr>
                <w:sz w:val="24"/>
              </w:rPr>
            </w:pPr>
            <w:r>
              <w:rPr>
                <w:sz w:val="24"/>
              </w:rPr>
              <w:t>10</w:t>
            </w:r>
          </w:p>
        </w:tc>
        <w:tc>
          <w:tcPr>
            <w:tcW w:w="1043" w:type="dxa"/>
          </w:tcPr>
          <w:p>
            <w:pPr>
              <w:pStyle w:val="TableParagraph"/>
              <w:spacing w:line="275" w:lineRule="exact"/>
              <w:ind w:left="100" w:right="159"/>
              <w:jc w:val="center"/>
              <w:rPr>
                <w:sz w:val="24"/>
              </w:rPr>
            </w:pPr>
            <w:r>
              <w:rPr>
                <w:sz w:val="24"/>
              </w:rPr>
              <w:t>0.9148</w:t>
            </w:r>
          </w:p>
        </w:tc>
        <w:tc>
          <w:tcPr>
            <w:tcW w:w="1162" w:type="dxa"/>
          </w:tcPr>
          <w:p>
            <w:pPr>
              <w:pStyle w:val="TableParagraph"/>
              <w:spacing w:line="275" w:lineRule="exact"/>
              <w:ind w:left="159" w:right="219"/>
              <w:jc w:val="center"/>
              <w:rPr>
                <w:sz w:val="24"/>
              </w:rPr>
            </w:pPr>
            <w:r>
              <w:rPr>
                <w:sz w:val="24"/>
              </w:rPr>
              <w:t>1.2557</w:t>
            </w:r>
          </w:p>
        </w:tc>
        <w:tc>
          <w:tcPr>
            <w:tcW w:w="1194" w:type="dxa"/>
          </w:tcPr>
          <w:p>
            <w:pPr>
              <w:pStyle w:val="TableParagraph"/>
              <w:spacing w:line="275" w:lineRule="exact"/>
              <w:ind w:left="220" w:right="191"/>
              <w:jc w:val="center"/>
              <w:rPr>
                <w:sz w:val="24"/>
              </w:rPr>
            </w:pPr>
            <w:r>
              <w:rPr>
                <w:sz w:val="24"/>
              </w:rPr>
              <w:t>1.0617</w:t>
            </w:r>
          </w:p>
        </w:tc>
        <w:tc>
          <w:tcPr>
            <w:tcW w:w="1284" w:type="dxa"/>
          </w:tcPr>
          <w:p>
            <w:pPr>
              <w:pStyle w:val="TableParagraph"/>
              <w:spacing w:line="275" w:lineRule="exact"/>
              <w:ind w:left="193" w:right="191"/>
              <w:jc w:val="center"/>
              <w:rPr>
                <w:sz w:val="24"/>
              </w:rPr>
            </w:pPr>
            <w:r>
              <w:rPr>
                <w:sz w:val="24"/>
              </w:rPr>
              <w:t>-4.9101</w:t>
            </w:r>
          </w:p>
        </w:tc>
        <w:tc>
          <w:tcPr>
            <w:tcW w:w="1263" w:type="dxa"/>
          </w:tcPr>
          <w:p>
            <w:pPr>
              <w:pStyle w:val="TableParagraph"/>
              <w:spacing w:line="275" w:lineRule="exact"/>
              <w:ind w:left="211"/>
              <w:jc w:val="left"/>
              <w:rPr>
                <w:sz w:val="24"/>
              </w:rPr>
            </w:pPr>
            <w:r>
              <w:rPr>
                <w:sz w:val="24"/>
              </w:rPr>
              <w:t>-1.3396</w:t>
            </w:r>
          </w:p>
        </w:tc>
        <w:tc>
          <w:tcPr>
            <w:tcW w:w="1435" w:type="dxa"/>
          </w:tcPr>
          <w:p>
            <w:pPr>
              <w:pStyle w:val="TableParagraph"/>
              <w:spacing w:line="275" w:lineRule="exact"/>
              <w:ind w:right="383"/>
              <w:rPr>
                <w:sz w:val="24"/>
              </w:rPr>
            </w:pPr>
            <w:r>
              <w:rPr>
                <w:sz w:val="24"/>
              </w:rPr>
              <w:t>-9.2408</w:t>
            </w:r>
          </w:p>
        </w:tc>
      </w:tr>
      <w:tr>
        <w:trPr>
          <w:trHeight w:val="300" w:hRule="exact"/>
        </w:trPr>
        <w:tc>
          <w:tcPr>
            <w:tcW w:w="1459" w:type="dxa"/>
          </w:tcPr>
          <w:p>
            <w:pPr>
              <w:pStyle w:val="TableParagraph"/>
              <w:spacing w:line="275" w:lineRule="exact"/>
              <w:ind w:left="103" w:right="98"/>
              <w:jc w:val="center"/>
              <w:rPr>
                <w:sz w:val="24"/>
              </w:rPr>
            </w:pPr>
            <w:r>
              <w:rPr>
                <w:sz w:val="24"/>
              </w:rPr>
              <w:t>11</w:t>
            </w:r>
          </w:p>
        </w:tc>
        <w:tc>
          <w:tcPr>
            <w:tcW w:w="1043" w:type="dxa"/>
          </w:tcPr>
          <w:p>
            <w:pPr>
              <w:pStyle w:val="TableParagraph"/>
              <w:spacing w:line="275" w:lineRule="exact"/>
              <w:ind w:left="100" w:right="159"/>
              <w:jc w:val="center"/>
              <w:rPr>
                <w:sz w:val="24"/>
              </w:rPr>
            </w:pPr>
            <w:r>
              <w:rPr>
                <w:sz w:val="24"/>
              </w:rPr>
              <w:t>0.3848</w:t>
            </w:r>
          </w:p>
        </w:tc>
        <w:tc>
          <w:tcPr>
            <w:tcW w:w="1162" w:type="dxa"/>
          </w:tcPr>
          <w:p>
            <w:pPr>
              <w:pStyle w:val="TableParagraph"/>
              <w:spacing w:line="275" w:lineRule="exact"/>
              <w:ind w:left="159" w:right="219"/>
              <w:jc w:val="center"/>
              <w:rPr>
                <w:sz w:val="24"/>
              </w:rPr>
            </w:pPr>
            <w:r>
              <w:rPr>
                <w:sz w:val="24"/>
              </w:rPr>
              <w:t>1.0057</w:t>
            </w:r>
          </w:p>
        </w:tc>
        <w:tc>
          <w:tcPr>
            <w:tcW w:w="1194" w:type="dxa"/>
          </w:tcPr>
          <w:p>
            <w:pPr>
              <w:pStyle w:val="TableParagraph"/>
              <w:spacing w:line="275" w:lineRule="exact"/>
              <w:ind w:left="220" w:right="191"/>
              <w:jc w:val="center"/>
              <w:rPr>
                <w:sz w:val="24"/>
              </w:rPr>
            </w:pPr>
            <w:r>
              <w:rPr>
                <w:sz w:val="24"/>
              </w:rPr>
              <w:t>0.2117</w:t>
            </w:r>
          </w:p>
        </w:tc>
        <w:tc>
          <w:tcPr>
            <w:tcW w:w="1284" w:type="dxa"/>
          </w:tcPr>
          <w:p>
            <w:pPr>
              <w:pStyle w:val="TableParagraph"/>
              <w:spacing w:line="275" w:lineRule="exact"/>
              <w:ind w:left="191" w:right="191"/>
              <w:jc w:val="center"/>
              <w:rPr>
                <w:sz w:val="24"/>
              </w:rPr>
            </w:pPr>
            <w:r>
              <w:rPr>
                <w:sz w:val="24"/>
              </w:rPr>
              <w:t>8.6884</w:t>
            </w:r>
          </w:p>
        </w:tc>
        <w:tc>
          <w:tcPr>
            <w:tcW w:w="1263" w:type="dxa"/>
          </w:tcPr>
          <w:p>
            <w:pPr>
              <w:pStyle w:val="TableParagraph"/>
              <w:spacing w:line="275" w:lineRule="exact"/>
              <w:ind w:left="211"/>
              <w:jc w:val="left"/>
              <w:rPr>
                <w:sz w:val="24"/>
              </w:rPr>
            </w:pPr>
            <w:r>
              <w:rPr>
                <w:sz w:val="24"/>
              </w:rPr>
              <w:t>-0.8380</w:t>
            </w:r>
          </w:p>
        </w:tc>
        <w:tc>
          <w:tcPr>
            <w:tcW w:w="1435" w:type="dxa"/>
          </w:tcPr>
          <w:p>
            <w:pPr>
              <w:pStyle w:val="TableParagraph"/>
              <w:spacing w:line="275" w:lineRule="exact"/>
              <w:ind w:right="420"/>
              <w:rPr>
                <w:sz w:val="24"/>
              </w:rPr>
            </w:pPr>
            <w:r>
              <w:rPr>
                <w:sz w:val="24"/>
              </w:rPr>
              <w:t>2.6163</w:t>
            </w:r>
          </w:p>
        </w:tc>
      </w:tr>
      <w:tr>
        <w:trPr>
          <w:trHeight w:val="300" w:hRule="exact"/>
        </w:trPr>
        <w:tc>
          <w:tcPr>
            <w:tcW w:w="1459" w:type="dxa"/>
          </w:tcPr>
          <w:p>
            <w:pPr>
              <w:pStyle w:val="TableParagraph"/>
              <w:spacing w:line="275" w:lineRule="exact"/>
              <w:ind w:left="103" w:right="98"/>
              <w:jc w:val="center"/>
              <w:rPr>
                <w:sz w:val="24"/>
              </w:rPr>
            </w:pPr>
            <w:r>
              <w:rPr>
                <w:sz w:val="24"/>
              </w:rPr>
              <w:t>12</w:t>
            </w:r>
          </w:p>
        </w:tc>
        <w:tc>
          <w:tcPr>
            <w:tcW w:w="1043" w:type="dxa"/>
          </w:tcPr>
          <w:p>
            <w:pPr>
              <w:pStyle w:val="TableParagraph"/>
              <w:spacing w:line="275" w:lineRule="exact"/>
              <w:ind w:left="100" w:right="159"/>
              <w:jc w:val="center"/>
              <w:rPr>
                <w:sz w:val="24"/>
              </w:rPr>
            </w:pPr>
            <w:r>
              <w:rPr>
                <w:sz w:val="24"/>
              </w:rPr>
              <w:t>0.1248</w:t>
            </w:r>
          </w:p>
        </w:tc>
        <w:tc>
          <w:tcPr>
            <w:tcW w:w="1162" w:type="dxa"/>
          </w:tcPr>
          <w:p>
            <w:pPr>
              <w:pStyle w:val="TableParagraph"/>
              <w:spacing w:line="275" w:lineRule="exact"/>
              <w:ind w:left="159" w:right="219"/>
              <w:jc w:val="center"/>
              <w:rPr>
                <w:sz w:val="24"/>
              </w:rPr>
            </w:pPr>
            <w:r>
              <w:rPr>
                <w:sz w:val="24"/>
              </w:rPr>
              <w:t>0.0857</w:t>
            </w:r>
          </w:p>
        </w:tc>
        <w:tc>
          <w:tcPr>
            <w:tcW w:w="1194" w:type="dxa"/>
          </w:tcPr>
          <w:p>
            <w:pPr>
              <w:pStyle w:val="TableParagraph"/>
              <w:spacing w:line="275" w:lineRule="exact"/>
              <w:ind w:left="220" w:right="191"/>
              <w:jc w:val="center"/>
              <w:rPr>
                <w:sz w:val="24"/>
              </w:rPr>
            </w:pPr>
            <w:r>
              <w:rPr>
                <w:sz w:val="24"/>
              </w:rPr>
              <w:t>0.0717</w:t>
            </w:r>
          </w:p>
        </w:tc>
        <w:tc>
          <w:tcPr>
            <w:tcW w:w="1284" w:type="dxa"/>
          </w:tcPr>
          <w:p>
            <w:pPr>
              <w:pStyle w:val="TableParagraph"/>
              <w:spacing w:line="275" w:lineRule="exact"/>
              <w:ind w:left="191" w:right="191"/>
              <w:jc w:val="center"/>
              <w:rPr>
                <w:sz w:val="24"/>
              </w:rPr>
            </w:pPr>
            <w:r>
              <w:rPr>
                <w:sz w:val="24"/>
              </w:rPr>
              <w:t>8.6794</w:t>
            </w:r>
          </w:p>
        </w:tc>
        <w:tc>
          <w:tcPr>
            <w:tcW w:w="1263" w:type="dxa"/>
          </w:tcPr>
          <w:p>
            <w:pPr>
              <w:pStyle w:val="TableParagraph"/>
              <w:spacing w:line="275" w:lineRule="exact"/>
              <w:ind w:left="251"/>
              <w:jc w:val="left"/>
              <w:rPr>
                <w:sz w:val="24"/>
              </w:rPr>
            </w:pPr>
            <w:r>
              <w:rPr>
                <w:sz w:val="24"/>
              </w:rPr>
              <w:t>2.5880</w:t>
            </w:r>
          </w:p>
        </w:tc>
        <w:tc>
          <w:tcPr>
            <w:tcW w:w="1435" w:type="dxa"/>
          </w:tcPr>
          <w:p>
            <w:pPr>
              <w:pStyle w:val="TableParagraph"/>
              <w:spacing w:line="275" w:lineRule="exact"/>
              <w:ind w:right="420"/>
              <w:rPr>
                <w:sz w:val="24"/>
              </w:rPr>
            </w:pPr>
            <w:r>
              <w:rPr>
                <w:sz w:val="24"/>
              </w:rPr>
              <w:t>4.6911</w:t>
            </w:r>
          </w:p>
        </w:tc>
      </w:tr>
      <w:tr>
        <w:trPr>
          <w:trHeight w:val="307" w:hRule="exact"/>
        </w:trPr>
        <w:tc>
          <w:tcPr>
            <w:tcW w:w="1459" w:type="dxa"/>
            <w:tcBorders>
              <w:bottom w:val="single" w:sz="17" w:space="0" w:color="000000"/>
            </w:tcBorders>
          </w:tcPr>
          <w:p>
            <w:pPr>
              <w:pStyle w:val="TableParagraph"/>
              <w:spacing w:line="275" w:lineRule="exact"/>
              <w:ind w:left="103" w:right="98"/>
              <w:jc w:val="center"/>
              <w:rPr>
                <w:sz w:val="24"/>
              </w:rPr>
            </w:pPr>
            <w:r>
              <w:rPr>
                <w:sz w:val="24"/>
              </w:rPr>
              <w:t>13</w:t>
            </w:r>
          </w:p>
        </w:tc>
        <w:tc>
          <w:tcPr>
            <w:tcW w:w="1043" w:type="dxa"/>
            <w:tcBorders>
              <w:bottom w:val="single" w:sz="17" w:space="0" w:color="000000"/>
            </w:tcBorders>
          </w:tcPr>
          <w:p>
            <w:pPr>
              <w:pStyle w:val="TableParagraph"/>
              <w:spacing w:line="275" w:lineRule="exact"/>
              <w:ind w:left="103" w:right="159"/>
              <w:jc w:val="center"/>
              <w:rPr>
                <w:sz w:val="24"/>
              </w:rPr>
            </w:pPr>
            <w:r>
              <w:rPr>
                <w:sz w:val="24"/>
              </w:rPr>
              <w:t>-0.3181</w:t>
            </w:r>
          </w:p>
        </w:tc>
        <w:tc>
          <w:tcPr>
            <w:tcW w:w="1162" w:type="dxa"/>
            <w:tcBorders>
              <w:bottom w:val="single" w:sz="17" w:space="0" w:color="000000"/>
            </w:tcBorders>
          </w:tcPr>
          <w:p>
            <w:pPr>
              <w:pStyle w:val="TableParagraph"/>
              <w:spacing w:line="275" w:lineRule="exact"/>
              <w:ind w:left="162" w:right="219"/>
              <w:jc w:val="center"/>
              <w:rPr>
                <w:sz w:val="24"/>
              </w:rPr>
            </w:pPr>
            <w:r>
              <w:rPr>
                <w:sz w:val="24"/>
              </w:rPr>
              <w:t>-0.6888</w:t>
            </w:r>
          </w:p>
        </w:tc>
        <w:tc>
          <w:tcPr>
            <w:tcW w:w="1194" w:type="dxa"/>
            <w:tcBorders>
              <w:bottom w:val="single" w:sz="17" w:space="0" w:color="000000"/>
            </w:tcBorders>
          </w:tcPr>
          <w:p>
            <w:pPr>
              <w:pStyle w:val="TableParagraph"/>
              <w:spacing w:line="275" w:lineRule="exact"/>
              <w:ind w:left="220" w:right="193"/>
              <w:jc w:val="center"/>
              <w:rPr>
                <w:sz w:val="24"/>
              </w:rPr>
            </w:pPr>
            <w:r>
              <w:rPr>
                <w:sz w:val="24"/>
              </w:rPr>
              <w:t>-0.3129</w:t>
            </w:r>
          </w:p>
        </w:tc>
        <w:tc>
          <w:tcPr>
            <w:tcW w:w="1284" w:type="dxa"/>
            <w:tcBorders>
              <w:bottom w:val="single" w:sz="17" w:space="0" w:color="000000"/>
            </w:tcBorders>
          </w:tcPr>
          <w:p>
            <w:pPr>
              <w:pStyle w:val="TableParagraph"/>
              <w:spacing w:line="275" w:lineRule="exact"/>
              <w:ind w:left="191" w:right="191"/>
              <w:jc w:val="center"/>
              <w:rPr>
                <w:sz w:val="24"/>
              </w:rPr>
            </w:pPr>
            <w:r>
              <w:rPr>
                <w:sz w:val="24"/>
              </w:rPr>
              <w:t>14.9368</w:t>
            </w:r>
          </w:p>
        </w:tc>
        <w:tc>
          <w:tcPr>
            <w:tcW w:w="1263" w:type="dxa"/>
            <w:tcBorders>
              <w:bottom w:val="single" w:sz="17" w:space="0" w:color="000000"/>
            </w:tcBorders>
          </w:tcPr>
          <w:p>
            <w:pPr>
              <w:pStyle w:val="TableParagraph"/>
              <w:spacing w:line="275" w:lineRule="exact"/>
              <w:ind w:left="251"/>
              <w:jc w:val="left"/>
              <w:rPr>
                <w:sz w:val="24"/>
              </w:rPr>
            </w:pPr>
            <w:r>
              <w:rPr>
                <w:sz w:val="24"/>
              </w:rPr>
              <w:t>6.1132</w:t>
            </w:r>
          </w:p>
        </w:tc>
        <w:tc>
          <w:tcPr>
            <w:tcW w:w="1435" w:type="dxa"/>
            <w:tcBorders>
              <w:bottom w:val="single" w:sz="17" w:space="0" w:color="000000"/>
            </w:tcBorders>
          </w:tcPr>
          <w:p>
            <w:pPr>
              <w:pStyle w:val="TableParagraph"/>
              <w:spacing w:line="275" w:lineRule="exact"/>
              <w:ind w:right="420"/>
              <w:rPr>
                <w:sz w:val="24"/>
              </w:rPr>
            </w:pPr>
            <w:r>
              <w:rPr>
                <w:sz w:val="24"/>
              </w:rPr>
              <w:t>1.6138</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276" w:lineRule="exact" w:before="218" w:after="26"/>
        <w:ind w:left="191" w:right="8"/>
        <w:rPr>
          <w:sz w:val="16"/>
        </w:rPr>
      </w:pPr>
      <w:r>
        <w:rPr>
          <w:b/>
        </w:rPr>
        <w:t>Anexo Tabla 2</w:t>
      </w:r>
      <w:r>
        <w:rPr/>
        <w:t>. Continuación Paso 4. Calcular matriz de correlación de residuales usando Simetar</w:t>
      </w:r>
      <w:r>
        <w:rPr>
          <w:position w:val="9"/>
          <w:sz w:val="16"/>
        </w:rPr>
        <w:t>©</w:t>
      </w: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671"/>
        <w:gridCol w:w="825"/>
        <w:gridCol w:w="1130"/>
        <w:gridCol w:w="1264"/>
        <w:gridCol w:w="1304"/>
        <w:gridCol w:w="1252"/>
        <w:gridCol w:w="1232"/>
        <w:gridCol w:w="1164"/>
      </w:tblGrid>
      <w:tr>
        <w:trPr>
          <w:trHeight w:val="1145" w:hRule="exact"/>
        </w:trPr>
        <w:tc>
          <w:tcPr>
            <w:tcW w:w="671" w:type="dxa"/>
            <w:tcBorders>
              <w:left w:val="nil"/>
              <w:bottom w:val="nil"/>
              <w:right w:val="nil"/>
            </w:tcBorders>
          </w:tcPr>
          <w:p>
            <w:pPr>
              <w:pStyle w:val="TableParagraph"/>
              <w:jc w:val="left"/>
              <w:rPr>
                <w:sz w:val="24"/>
              </w:rPr>
            </w:pPr>
          </w:p>
          <w:p>
            <w:pPr>
              <w:pStyle w:val="TableParagraph"/>
              <w:spacing w:before="5"/>
              <w:jc w:val="left"/>
              <w:rPr>
                <w:sz w:val="23"/>
              </w:rPr>
            </w:pPr>
          </w:p>
          <w:p>
            <w:pPr>
              <w:pStyle w:val="TableParagraph"/>
              <w:spacing w:before="1"/>
              <w:ind w:left="69" w:right="88"/>
              <w:jc w:val="left"/>
              <w:rPr>
                <w:sz w:val="24"/>
              </w:rPr>
            </w:pPr>
            <w:r>
              <w:rPr>
                <w:sz w:val="24"/>
              </w:rPr>
              <w:t>Maíz Res</w:t>
            </w:r>
          </w:p>
        </w:tc>
        <w:tc>
          <w:tcPr>
            <w:tcW w:w="825" w:type="dxa"/>
            <w:tcBorders>
              <w:left w:val="nil"/>
              <w:bottom w:val="nil"/>
              <w:right w:val="nil"/>
            </w:tcBorders>
          </w:tcPr>
          <w:p>
            <w:pPr>
              <w:pStyle w:val="TableParagraph"/>
              <w:jc w:val="left"/>
              <w:rPr>
                <w:sz w:val="24"/>
              </w:rPr>
            </w:pPr>
          </w:p>
          <w:p>
            <w:pPr>
              <w:pStyle w:val="TableParagraph"/>
              <w:spacing w:before="5"/>
              <w:jc w:val="left"/>
              <w:rPr>
                <w:sz w:val="23"/>
              </w:rPr>
            </w:pPr>
          </w:p>
          <w:p>
            <w:pPr>
              <w:pStyle w:val="TableParagraph"/>
              <w:spacing w:before="1"/>
              <w:ind w:left="133"/>
              <w:jc w:val="left"/>
              <w:rPr>
                <w:sz w:val="24"/>
              </w:rPr>
            </w:pPr>
            <w:r>
              <w:rPr>
                <w:w w:val="99"/>
                <w:sz w:val="24"/>
              </w:rPr>
              <w:t>P</w:t>
            </w:r>
          </w:p>
        </w:tc>
        <w:tc>
          <w:tcPr>
            <w:tcW w:w="1130" w:type="dxa"/>
            <w:tcBorders>
              <w:left w:val="nil"/>
              <w:bottom w:val="nil"/>
              <w:right w:val="nil"/>
            </w:tcBorders>
          </w:tcPr>
          <w:p>
            <w:pPr>
              <w:pStyle w:val="TableParagraph"/>
              <w:ind w:left="337" w:right="251" w:hanging="166"/>
              <w:jc w:val="left"/>
              <w:rPr>
                <w:sz w:val="24"/>
              </w:rPr>
            </w:pPr>
            <w:r>
              <w:rPr>
                <w:sz w:val="24"/>
              </w:rPr>
              <w:t>Maíz P Res</w:t>
            </w:r>
          </w:p>
          <w:p>
            <w:pPr>
              <w:pStyle w:val="TableParagraph"/>
              <w:jc w:val="left"/>
              <w:rPr>
                <w:sz w:val="24"/>
              </w:rPr>
            </w:pPr>
          </w:p>
          <w:p>
            <w:pPr>
              <w:pStyle w:val="TableParagraph"/>
              <w:ind w:right="92"/>
              <w:jc w:val="center"/>
              <w:rPr>
                <w:sz w:val="24"/>
              </w:rPr>
            </w:pPr>
            <w:r>
              <w:rPr>
                <w:sz w:val="24"/>
              </w:rPr>
              <w:t>1</w:t>
            </w:r>
          </w:p>
        </w:tc>
        <w:tc>
          <w:tcPr>
            <w:tcW w:w="1264" w:type="dxa"/>
            <w:tcBorders>
              <w:left w:val="nil"/>
              <w:bottom w:val="nil"/>
              <w:right w:val="nil"/>
            </w:tcBorders>
          </w:tcPr>
          <w:p>
            <w:pPr>
              <w:pStyle w:val="TableParagraph"/>
              <w:ind w:left="248" w:right="247"/>
              <w:jc w:val="center"/>
              <w:rPr>
                <w:sz w:val="24"/>
              </w:rPr>
            </w:pPr>
            <w:r>
              <w:rPr>
                <w:sz w:val="24"/>
              </w:rPr>
              <w:t>Trigo P</w:t>
            </w:r>
            <w:r>
              <w:rPr>
                <w:w w:val="99"/>
                <w:sz w:val="24"/>
              </w:rPr>
              <w:t> </w:t>
            </w:r>
            <w:r>
              <w:rPr>
                <w:sz w:val="24"/>
              </w:rPr>
              <w:t>Res</w:t>
            </w:r>
          </w:p>
          <w:p>
            <w:pPr>
              <w:pStyle w:val="TableParagraph"/>
              <w:jc w:val="left"/>
              <w:rPr>
                <w:sz w:val="24"/>
              </w:rPr>
            </w:pPr>
          </w:p>
          <w:p>
            <w:pPr>
              <w:pStyle w:val="TableParagraph"/>
              <w:ind w:left="247" w:right="247"/>
              <w:jc w:val="center"/>
              <w:rPr>
                <w:sz w:val="24"/>
              </w:rPr>
            </w:pPr>
            <w:r>
              <w:rPr>
                <w:sz w:val="24"/>
              </w:rPr>
              <w:t>0.95</w:t>
            </w:r>
          </w:p>
        </w:tc>
        <w:tc>
          <w:tcPr>
            <w:tcW w:w="1304" w:type="dxa"/>
            <w:tcBorders>
              <w:left w:val="nil"/>
              <w:bottom w:val="nil"/>
              <w:right w:val="nil"/>
            </w:tcBorders>
          </w:tcPr>
          <w:p>
            <w:pPr>
              <w:pStyle w:val="TableParagraph"/>
              <w:ind w:left="270" w:right="266"/>
              <w:jc w:val="center"/>
              <w:rPr>
                <w:sz w:val="24"/>
              </w:rPr>
            </w:pPr>
            <w:r>
              <w:rPr>
                <w:sz w:val="24"/>
              </w:rPr>
              <w:t>Sorgo P</w:t>
            </w:r>
            <w:r>
              <w:rPr>
                <w:w w:val="99"/>
                <w:sz w:val="24"/>
              </w:rPr>
              <w:t> </w:t>
            </w:r>
            <w:r>
              <w:rPr>
                <w:sz w:val="24"/>
              </w:rPr>
              <w:t>Res</w:t>
            </w:r>
          </w:p>
          <w:p>
            <w:pPr>
              <w:pStyle w:val="TableParagraph"/>
              <w:jc w:val="left"/>
              <w:rPr>
                <w:sz w:val="24"/>
              </w:rPr>
            </w:pPr>
          </w:p>
          <w:p>
            <w:pPr>
              <w:pStyle w:val="TableParagraph"/>
              <w:ind w:left="268" w:right="266"/>
              <w:jc w:val="center"/>
              <w:rPr>
                <w:sz w:val="24"/>
              </w:rPr>
            </w:pPr>
            <w:r>
              <w:rPr>
                <w:sz w:val="24"/>
              </w:rPr>
              <w:t>0.98</w:t>
            </w:r>
          </w:p>
        </w:tc>
        <w:tc>
          <w:tcPr>
            <w:tcW w:w="1252" w:type="dxa"/>
            <w:tcBorders>
              <w:left w:val="nil"/>
              <w:bottom w:val="nil"/>
              <w:right w:val="nil"/>
            </w:tcBorders>
          </w:tcPr>
          <w:p>
            <w:pPr>
              <w:pStyle w:val="TableParagraph"/>
              <w:ind w:left="268" w:right="267"/>
              <w:jc w:val="center"/>
              <w:rPr>
                <w:sz w:val="24"/>
              </w:rPr>
            </w:pPr>
            <w:r>
              <w:rPr>
                <w:sz w:val="24"/>
              </w:rPr>
              <w:t>Maíz R Res</w:t>
            </w:r>
          </w:p>
          <w:p>
            <w:pPr>
              <w:pStyle w:val="TableParagraph"/>
              <w:jc w:val="left"/>
              <w:rPr>
                <w:sz w:val="24"/>
              </w:rPr>
            </w:pPr>
          </w:p>
          <w:p>
            <w:pPr>
              <w:pStyle w:val="TableParagraph"/>
              <w:ind w:left="268" w:right="266"/>
              <w:jc w:val="center"/>
              <w:rPr>
                <w:sz w:val="24"/>
              </w:rPr>
            </w:pPr>
            <w:r>
              <w:rPr>
                <w:sz w:val="24"/>
              </w:rPr>
              <w:t>0.91</w:t>
            </w:r>
          </w:p>
        </w:tc>
        <w:tc>
          <w:tcPr>
            <w:tcW w:w="1232" w:type="dxa"/>
            <w:tcBorders>
              <w:left w:val="nil"/>
              <w:bottom w:val="nil"/>
              <w:right w:val="nil"/>
            </w:tcBorders>
          </w:tcPr>
          <w:p>
            <w:pPr>
              <w:pStyle w:val="TableParagraph"/>
              <w:ind w:left="269" w:right="209"/>
              <w:jc w:val="center"/>
              <w:rPr>
                <w:sz w:val="24"/>
              </w:rPr>
            </w:pPr>
            <w:r>
              <w:rPr>
                <w:sz w:val="24"/>
              </w:rPr>
              <w:t>Trigo R Res</w:t>
            </w:r>
          </w:p>
          <w:p>
            <w:pPr>
              <w:pStyle w:val="TableParagraph"/>
              <w:jc w:val="left"/>
              <w:rPr>
                <w:sz w:val="24"/>
              </w:rPr>
            </w:pPr>
          </w:p>
          <w:p>
            <w:pPr>
              <w:pStyle w:val="TableParagraph"/>
              <w:ind w:left="266" w:right="209"/>
              <w:jc w:val="center"/>
              <w:rPr>
                <w:sz w:val="24"/>
              </w:rPr>
            </w:pPr>
            <w:r>
              <w:rPr>
                <w:sz w:val="24"/>
              </w:rPr>
              <w:t>0.98</w:t>
            </w:r>
          </w:p>
        </w:tc>
        <w:tc>
          <w:tcPr>
            <w:tcW w:w="1164" w:type="dxa"/>
            <w:tcBorders>
              <w:left w:val="nil"/>
              <w:bottom w:val="nil"/>
              <w:right w:val="nil"/>
            </w:tcBorders>
          </w:tcPr>
          <w:p>
            <w:pPr>
              <w:pStyle w:val="TableParagraph"/>
              <w:spacing w:line="270" w:lineRule="exact"/>
              <w:ind w:left="190" w:right="140"/>
              <w:jc w:val="center"/>
              <w:rPr>
                <w:sz w:val="24"/>
              </w:rPr>
            </w:pPr>
            <w:r>
              <w:rPr>
                <w:sz w:val="24"/>
              </w:rPr>
              <w:t>Sorgo R</w:t>
            </w:r>
          </w:p>
          <w:p>
            <w:pPr>
              <w:pStyle w:val="TableParagraph"/>
              <w:jc w:val="left"/>
              <w:rPr>
                <w:sz w:val="24"/>
              </w:rPr>
            </w:pPr>
          </w:p>
          <w:p>
            <w:pPr>
              <w:pStyle w:val="TableParagraph"/>
              <w:jc w:val="left"/>
              <w:rPr>
                <w:sz w:val="24"/>
              </w:rPr>
            </w:pPr>
          </w:p>
          <w:p>
            <w:pPr>
              <w:pStyle w:val="TableParagraph"/>
              <w:ind w:left="190" w:right="137"/>
              <w:jc w:val="center"/>
              <w:rPr>
                <w:sz w:val="24"/>
              </w:rPr>
            </w:pPr>
            <w:r>
              <w:rPr>
                <w:sz w:val="24"/>
              </w:rPr>
              <w:t>0.86</w:t>
            </w:r>
          </w:p>
        </w:tc>
      </w:tr>
      <w:tr>
        <w:trPr>
          <w:trHeight w:val="300" w:hRule="exact"/>
        </w:trPr>
        <w:tc>
          <w:tcPr>
            <w:tcW w:w="671" w:type="dxa"/>
            <w:tcBorders>
              <w:top w:val="nil"/>
              <w:left w:val="nil"/>
              <w:bottom w:val="nil"/>
              <w:right w:val="nil"/>
            </w:tcBorders>
          </w:tcPr>
          <w:p>
            <w:pPr>
              <w:pStyle w:val="TableParagraph"/>
              <w:spacing w:line="275" w:lineRule="exact"/>
              <w:ind w:left="8" w:right="9"/>
              <w:jc w:val="center"/>
              <w:rPr>
                <w:sz w:val="24"/>
              </w:rPr>
            </w:pPr>
            <w:r>
              <w:rPr>
                <w:sz w:val="24"/>
              </w:rPr>
              <w:t>Trigo</w:t>
            </w:r>
          </w:p>
        </w:tc>
        <w:tc>
          <w:tcPr>
            <w:tcW w:w="825" w:type="dxa"/>
            <w:tcBorders>
              <w:top w:val="nil"/>
              <w:left w:val="nil"/>
              <w:bottom w:val="nil"/>
              <w:right w:val="nil"/>
            </w:tcBorders>
          </w:tcPr>
          <w:p>
            <w:pPr>
              <w:pStyle w:val="TableParagraph"/>
              <w:spacing w:line="275" w:lineRule="exact"/>
              <w:ind w:left="109"/>
              <w:jc w:val="left"/>
              <w:rPr>
                <w:sz w:val="24"/>
              </w:rPr>
            </w:pPr>
            <w:r>
              <w:rPr>
                <w:w w:val="99"/>
                <w:sz w:val="24"/>
              </w:rPr>
              <w:t>P</w:t>
            </w:r>
          </w:p>
        </w:tc>
        <w:tc>
          <w:tcPr>
            <w:tcW w:w="1130" w:type="dxa"/>
            <w:tcBorders>
              <w:top w:val="nil"/>
              <w:left w:val="nil"/>
              <w:bottom w:val="nil"/>
              <w:right w:val="nil"/>
            </w:tcBorders>
          </w:tcPr>
          <w:p>
            <w:pPr/>
          </w:p>
        </w:tc>
        <w:tc>
          <w:tcPr>
            <w:tcW w:w="1264" w:type="dxa"/>
            <w:tcBorders>
              <w:top w:val="nil"/>
              <w:left w:val="nil"/>
              <w:bottom w:val="nil"/>
              <w:right w:val="nil"/>
            </w:tcBorders>
          </w:tcPr>
          <w:p>
            <w:pPr>
              <w:pStyle w:val="TableParagraph"/>
              <w:spacing w:line="275" w:lineRule="exact"/>
              <w:jc w:val="center"/>
              <w:rPr>
                <w:sz w:val="24"/>
              </w:rPr>
            </w:pPr>
            <w:r>
              <w:rPr>
                <w:sz w:val="24"/>
              </w:rPr>
              <w:t>1</w:t>
            </w:r>
          </w:p>
        </w:tc>
        <w:tc>
          <w:tcPr>
            <w:tcW w:w="1304" w:type="dxa"/>
            <w:tcBorders>
              <w:top w:val="nil"/>
              <w:left w:val="nil"/>
              <w:bottom w:val="nil"/>
              <w:right w:val="nil"/>
            </w:tcBorders>
          </w:tcPr>
          <w:p>
            <w:pPr>
              <w:pStyle w:val="TableParagraph"/>
              <w:spacing w:line="275" w:lineRule="exact"/>
              <w:ind w:left="268" w:right="266"/>
              <w:jc w:val="center"/>
              <w:rPr>
                <w:sz w:val="24"/>
              </w:rPr>
            </w:pPr>
            <w:r>
              <w:rPr>
                <w:sz w:val="24"/>
              </w:rPr>
              <w:t>0.88</w:t>
            </w:r>
          </w:p>
        </w:tc>
        <w:tc>
          <w:tcPr>
            <w:tcW w:w="1252" w:type="dxa"/>
            <w:tcBorders>
              <w:top w:val="nil"/>
              <w:left w:val="nil"/>
              <w:bottom w:val="nil"/>
              <w:right w:val="nil"/>
            </w:tcBorders>
          </w:tcPr>
          <w:p>
            <w:pPr>
              <w:pStyle w:val="TableParagraph"/>
              <w:spacing w:line="275" w:lineRule="exact"/>
              <w:ind w:left="268" w:right="266"/>
              <w:jc w:val="center"/>
              <w:rPr>
                <w:sz w:val="24"/>
              </w:rPr>
            </w:pPr>
            <w:r>
              <w:rPr>
                <w:sz w:val="24"/>
              </w:rPr>
              <w:t>0.95</w:t>
            </w:r>
          </w:p>
        </w:tc>
        <w:tc>
          <w:tcPr>
            <w:tcW w:w="1232" w:type="dxa"/>
            <w:tcBorders>
              <w:top w:val="nil"/>
              <w:left w:val="nil"/>
              <w:bottom w:val="nil"/>
              <w:right w:val="nil"/>
            </w:tcBorders>
          </w:tcPr>
          <w:p>
            <w:pPr>
              <w:pStyle w:val="TableParagraph"/>
              <w:spacing w:line="275" w:lineRule="exact"/>
              <w:ind w:left="266" w:right="209"/>
              <w:jc w:val="center"/>
              <w:rPr>
                <w:sz w:val="24"/>
              </w:rPr>
            </w:pPr>
            <w:r>
              <w:rPr>
                <w:sz w:val="24"/>
              </w:rPr>
              <w:t>0.94</w:t>
            </w:r>
          </w:p>
        </w:tc>
        <w:tc>
          <w:tcPr>
            <w:tcW w:w="1164" w:type="dxa"/>
            <w:tcBorders>
              <w:top w:val="nil"/>
              <w:left w:val="nil"/>
              <w:bottom w:val="nil"/>
              <w:right w:val="nil"/>
            </w:tcBorders>
          </w:tcPr>
          <w:p>
            <w:pPr>
              <w:pStyle w:val="TableParagraph"/>
              <w:spacing w:line="275" w:lineRule="exact"/>
              <w:ind w:left="190" w:right="137"/>
              <w:jc w:val="center"/>
              <w:rPr>
                <w:sz w:val="24"/>
              </w:rPr>
            </w:pPr>
            <w:r>
              <w:rPr>
                <w:sz w:val="24"/>
              </w:rPr>
              <w:t>0.95</w:t>
            </w:r>
          </w:p>
        </w:tc>
      </w:tr>
      <w:tr>
        <w:trPr>
          <w:trHeight w:val="300" w:hRule="exact"/>
        </w:trPr>
        <w:tc>
          <w:tcPr>
            <w:tcW w:w="671" w:type="dxa"/>
            <w:tcBorders>
              <w:top w:val="nil"/>
              <w:left w:val="nil"/>
              <w:bottom w:val="nil"/>
              <w:right w:val="nil"/>
            </w:tcBorders>
          </w:tcPr>
          <w:p>
            <w:pPr>
              <w:pStyle w:val="TableParagraph"/>
              <w:spacing w:line="275" w:lineRule="exact"/>
              <w:ind w:left="48" w:right="9"/>
              <w:jc w:val="center"/>
              <w:rPr>
                <w:sz w:val="24"/>
              </w:rPr>
            </w:pPr>
            <w:r>
              <w:rPr>
                <w:sz w:val="24"/>
              </w:rPr>
              <w:t>Sorgo</w:t>
            </w:r>
          </w:p>
        </w:tc>
        <w:tc>
          <w:tcPr>
            <w:tcW w:w="825" w:type="dxa"/>
            <w:tcBorders>
              <w:top w:val="nil"/>
              <w:left w:val="nil"/>
              <w:bottom w:val="nil"/>
              <w:right w:val="nil"/>
            </w:tcBorders>
          </w:tcPr>
          <w:p>
            <w:pPr>
              <w:pStyle w:val="TableParagraph"/>
              <w:spacing w:line="275" w:lineRule="exact"/>
              <w:ind w:right="179"/>
              <w:rPr>
                <w:sz w:val="24"/>
              </w:rPr>
            </w:pPr>
            <w:r>
              <w:rPr>
                <w:sz w:val="24"/>
              </w:rPr>
              <w:t>P Res</w:t>
            </w:r>
          </w:p>
        </w:tc>
        <w:tc>
          <w:tcPr>
            <w:tcW w:w="1130" w:type="dxa"/>
            <w:tcBorders>
              <w:top w:val="nil"/>
              <w:left w:val="nil"/>
              <w:bottom w:val="nil"/>
              <w:right w:val="nil"/>
            </w:tcBorders>
          </w:tcPr>
          <w:p>
            <w:pPr/>
          </w:p>
        </w:tc>
        <w:tc>
          <w:tcPr>
            <w:tcW w:w="1264" w:type="dxa"/>
            <w:tcBorders>
              <w:top w:val="nil"/>
              <w:left w:val="nil"/>
              <w:bottom w:val="nil"/>
              <w:right w:val="nil"/>
            </w:tcBorders>
          </w:tcPr>
          <w:p>
            <w:pPr/>
          </w:p>
        </w:tc>
        <w:tc>
          <w:tcPr>
            <w:tcW w:w="1304" w:type="dxa"/>
            <w:tcBorders>
              <w:top w:val="nil"/>
              <w:left w:val="nil"/>
              <w:bottom w:val="nil"/>
              <w:right w:val="nil"/>
            </w:tcBorders>
          </w:tcPr>
          <w:p>
            <w:pPr>
              <w:pStyle w:val="TableParagraph"/>
              <w:spacing w:line="275" w:lineRule="exact"/>
              <w:jc w:val="center"/>
              <w:rPr>
                <w:sz w:val="24"/>
              </w:rPr>
            </w:pPr>
            <w:r>
              <w:rPr>
                <w:sz w:val="24"/>
              </w:rPr>
              <w:t>1</w:t>
            </w:r>
          </w:p>
        </w:tc>
        <w:tc>
          <w:tcPr>
            <w:tcW w:w="1252" w:type="dxa"/>
            <w:tcBorders>
              <w:top w:val="nil"/>
              <w:left w:val="nil"/>
              <w:bottom w:val="nil"/>
              <w:right w:val="nil"/>
            </w:tcBorders>
          </w:tcPr>
          <w:p>
            <w:pPr>
              <w:pStyle w:val="TableParagraph"/>
              <w:spacing w:line="275" w:lineRule="exact"/>
              <w:ind w:left="268" w:right="266"/>
              <w:jc w:val="center"/>
              <w:rPr>
                <w:sz w:val="24"/>
              </w:rPr>
            </w:pPr>
            <w:r>
              <w:rPr>
                <w:sz w:val="24"/>
              </w:rPr>
              <w:t>0.85</w:t>
            </w:r>
          </w:p>
        </w:tc>
        <w:tc>
          <w:tcPr>
            <w:tcW w:w="1232" w:type="dxa"/>
            <w:tcBorders>
              <w:top w:val="nil"/>
              <w:left w:val="nil"/>
              <w:bottom w:val="nil"/>
              <w:right w:val="nil"/>
            </w:tcBorders>
          </w:tcPr>
          <w:p>
            <w:pPr>
              <w:pStyle w:val="TableParagraph"/>
              <w:spacing w:line="275" w:lineRule="exact"/>
              <w:ind w:left="266" w:right="209"/>
              <w:jc w:val="center"/>
              <w:rPr>
                <w:sz w:val="24"/>
              </w:rPr>
            </w:pPr>
            <w:r>
              <w:rPr>
                <w:sz w:val="24"/>
              </w:rPr>
              <w:t>0.95</w:t>
            </w:r>
          </w:p>
        </w:tc>
        <w:tc>
          <w:tcPr>
            <w:tcW w:w="1164" w:type="dxa"/>
            <w:tcBorders>
              <w:top w:val="nil"/>
              <w:left w:val="nil"/>
              <w:bottom w:val="nil"/>
              <w:right w:val="nil"/>
            </w:tcBorders>
          </w:tcPr>
          <w:p>
            <w:pPr>
              <w:pStyle w:val="TableParagraph"/>
              <w:spacing w:line="275" w:lineRule="exact"/>
              <w:ind w:left="190" w:right="137"/>
              <w:jc w:val="center"/>
              <w:rPr>
                <w:sz w:val="24"/>
              </w:rPr>
            </w:pPr>
            <w:r>
              <w:rPr>
                <w:sz w:val="24"/>
              </w:rPr>
              <w:t>0.76</w:t>
            </w:r>
          </w:p>
        </w:tc>
      </w:tr>
      <w:tr>
        <w:trPr>
          <w:trHeight w:val="300" w:hRule="exact"/>
        </w:trPr>
        <w:tc>
          <w:tcPr>
            <w:tcW w:w="671" w:type="dxa"/>
            <w:tcBorders>
              <w:top w:val="nil"/>
              <w:left w:val="nil"/>
              <w:bottom w:val="nil"/>
              <w:right w:val="nil"/>
            </w:tcBorders>
          </w:tcPr>
          <w:p>
            <w:pPr>
              <w:pStyle w:val="TableParagraph"/>
              <w:spacing w:line="275" w:lineRule="exact"/>
              <w:ind w:left="48" w:right="85"/>
              <w:jc w:val="center"/>
              <w:rPr>
                <w:sz w:val="24"/>
              </w:rPr>
            </w:pPr>
            <w:r>
              <w:rPr>
                <w:sz w:val="24"/>
              </w:rPr>
              <w:t>Maíz</w:t>
            </w:r>
          </w:p>
        </w:tc>
        <w:tc>
          <w:tcPr>
            <w:tcW w:w="825" w:type="dxa"/>
            <w:tcBorders>
              <w:top w:val="nil"/>
              <w:left w:val="nil"/>
              <w:bottom w:val="nil"/>
              <w:right w:val="nil"/>
            </w:tcBorders>
          </w:tcPr>
          <w:p>
            <w:pPr>
              <w:pStyle w:val="TableParagraph"/>
              <w:spacing w:line="275" w:lineRule="exact"/>
              <w:ind w:right="169"/>
              <w:rPr>
                <w:sz w:val="24"/>
              </w:rPr>
            </w:pPr>
            <w:r>
              <w:rPr>
                <w:sz w:val="24"/>
              </w:rPr>
              <w:t>R Res</w:t>
            </w:r>
          </w:p>
        </w:tc>
        <w:tc>
          <w:tcPr>
            <w:tcW w:w="1130" w:type="dxa"/>
            <w:tcBorders>
              <w:top w:val="nil"/>
              <w:left w:val="nil"/>
              <w:bottom w:val="nil"/>
              <w:right w:val="nil"/>
            </w:tcBorders>
          </w:tcPr>
          <w:p>
            <w:pPr/>
          </w:p>
        </w:tc>
        <w:tc>
          <w:tcPr>
            <w:tcW w:w="1264" w:type="dxa"/>
            <w:tcBorders>
              <w:top w:val="nil"/>
              <w:left w:val="nil"/>
              <w:bottom w:val="nil"/>
              <w:right w:val="nil"/>
            </w:tcBorders>
          </w:tcPr>
          <w:p>
            <w:pPr/>
          </w:p>
        </w:tc>
        <w:tc>
          <w:tcPr>
            <w:tcW w:w="1304" w:type="dxa"/>
            <w:tcBorders>
              <w:top w:val="nil"/>
              <w:left w:val="nil"/>
              <w:bottom w:val="nil"/>
              <w:right w:val="nil"/>
            </w:tcBorders>
          </w:tcPr>
          <w:p>
            <w:pPr/>
          </w:p>
        </w:tc>
        <w:tc>
          <w:tcPr>
            <w:tcW w:w="1252" w:type="dxa"/>
            <w:tcBorders>
              <w:top w:val="nil"/>
              <w:left w:val="nil"/>
              <w:bottom w:val="nil"/>
              <w:right w:val="nil"/>
            </w:tcBorders>
          </w:tcPr>
          <w:p>
            <w:pPr>
              <w:pStyle w:val="TableParagraph"/>
              <w:spacing w:line="275" w:lineRule="exact"/>
              <w:jc w:val="center"/>
              <w:rPr>
                <w:sz w:val="24"/>
              </w:rPr>
            </w:pPr>
            <w:r>
              <w:rPr>
                <w:sz w:val="24"/>
              </w:rPr>
              <w:t>1</w:t>
            </w:r>
          </w:p>
        </w:tc>
        <w:tc>
          <w:tcPr>
            <w:tcW w:w="1232" w:type="dxa"/>
            <w:tcBorders>
              <w:top w:val="nil"/>
              <w:left w:val="nil"/>
              <w:bottom w:val="nil"/>
              <w:right w:val="nil"/>
            </w:tcBorders>
          </w:tcPr>
          <w:p>
            <w:pPr>
              <w:pStyle w:val="TableParagraph"/>
              <w:spacing w:line="275" w:lineRule="exact"/>
              <w:ind w:left="266" w:right="209"/>
              <w:jc w:val="center"/>
              <w:rPr>
                <w:sz w:val="24"/>
              </w:rPr>
            </w:pPr>
            <w:r>
              <w:rPr>
                <w:sz w:val="24"/>
              </w:rPr>
              <w:t>0.94</w:t>
            </w:r>
          </w:p>
        </w:tc>
        <w:tc>
          <w:tcPr>
            <w:tcW w:w="1164" w:type="dxa"/>
            <w:tcBorders>
              <w:top w:val="nil"/>
              <w:left w:val="nil"/>
              <w:bottom w:val="nil"/>
              <w:right w:val="nil"/>
            </w:tcBorders>
          </w:tcPr>
          <w:p>
            <w:pPr>
              <w:pStyle w:val="TableParagraph"/>
              <w:spacing w:line="275" w:lineRule="exact"/>
              <w:ind w:left="190" w:right="137"/>
              <w:jc w:val="center"/>
              <w:rPr>
                <w:sz w:val="24"/>
              </w:rPr>
            </w:pPr>
            <w:r>
              <w:rPr>
                <w:sz w:val="24"/>
              </w:rPr>
              <w:t>0.93</w:t>
            </w:r>
          </w:p>
        </w:tc>
      </w:tr>
      <w:tr>
        <w:trPr>
          <w:trHeight w:val="300" w:hRule="exact"/>
        </w:trPr>
        <w:tc>
          <w:tcPr>
            <w:tcW w:w="671" w:type="dxa"/>
            <w:tcBorders>
              <w:top w:val="nil"/>
              <w:left w:val="nil"/>
              <w:bottom w:val="nil"/>
              <w:right w:val="nil"/>
            </w:tcBorders>
          </w:tcPr>
          <w:p>
            <w:pPr>
              <w:pStyle w:val="TableParagraph"/>
              <w:spacing w:line="275" w:lineRule="exact"/>
              <w:ind w:left="8" w:right="9"/>
              <w:jc w:val="center"/>
              <w:rPr>
                <w:sz w:val="24"/>
              </w:rPr>
            </w:pPr>
            <w:r>
              <w:rPr>
                <w:sz w:val="24"/>
              </w:rPr>
              <w:t>Trigo</w:t>
            </w:r>
          </w:p>
        </w:tc>
        <w:tc>
          <w:tcPr>
            <w:tcW w:w="825" w:type="dxa"/>
            <w:tcBorders>
              <w:top w:val="nil"/>
              <w:left w:val="nil"/>
              <w:bottom w:val="nil"/>
              <w:right w:val="nil"/>
            </w:tcBorders>
          </w:tcPr>
          <w:p>
            <w:pPr>
              <w:pStyle w:val="TableParagraph"/>
              <w:spacing w:line="275" w:lineRule="exact"/>
              <w:ind w:left="49"/>
              <w:jc w:val="left"/>
              <w:rPr>
                <w:sz w:val="24"/>
              </w:rPr>
            </w:pPr>
            <w:r>
              <w:rPr>
                <w:sz w:val="24"/>
              </w:rPr>
              <w:t>R Res</w:t>
            </w:r>
          </w:p>
        </w:tc>
        <w:tc>
          <w:tcPr>
            <w:tcW w:w="1130" w:type="dxa"/>
            <w:tcBorders>
              <w:top w:val="nil"/>
              <w:left w:val="nil"/>
              <w:bottom w:val="nil"/>
              <w:right w:val="nil"/>
            </w:tcBorders>
          </w:tcPr>
          <w:p>
            <w:pPr/>
          </w:p>
        </w:tc>
        <w:tc>
          <w:tcPr>
            <w:tcW w:w="1264" w:type="dxa"/>
            <w:tcBorders>
              <w:top w:val="nil"/>
              <w:left w:val="nil"/>
              <w:bottom w:val="nil"/>
              <w:right w:val="nil"/>
            </w:tcBorders>
          </w:tcPr>
          <w:p>
            <w:pPr/>
          </w:p>
        </w:tc>
        <w:tc>
          <w:tcPr>
            <w:tcW w:w="1304" w:type="dxa"/>
            <w:tcBorders>
              <w:top w:val="nil"/>
              <w:left w:val="nil"/>
              <w:bottom w:val="nil"/>
              <w:right w:val="nil"/>
            </w:tcBorders>
          </w:tcPr>
          <w:p>
            <w:pPr/>
          </w:p>
        </w:tc>
        <w:tc>
          <w:tcPr>
            <w:tcW w:w="1252" w:type="dxa"/>
            <w:tcBorders>
              <w:top w:val="nil"/>
              <w:left w:val="nil"/>
              <w:bottom w:val="nil"/>
              <w:right w:val="nil"/>
            </w:tcBorders>
          </w:tcPr>
          <w:p>
            <w:pPr/>
          </w:p>
        </w:tc>
        <w:tc>
          <w:tcPr>
            <w:tcW w:w="1232" w:type="dxa"/>
            <w:tcBorders>
              <w:top w:val="nil"/>
              <w:left w:val="nil"/>
              <w:bottom w:val="nil"/>
              <w:right w:val="nil"/>
            </w:tcBorders>
          </w:tcPr>
          <w:p>
            <w:pPr>
              <w:pStyle w:val="TableParagraph"/>
              <w:spacing w:line="275" w:lineRule="exact"/>
              <w:ind w:left="55"/>
              <w:jc w:val="center"/>
              <w:rPr>
                <w:sz w:val="24"/>
              </w:rPr>
            </w:pPr>
            <w:r>
              <w:rPr>
                <w:sz w:val="24"/>
              </w:rPr>
              <w:t>1</w:t>
            </w:r>
          </w:p>
        </w:tc>
        <w:tc>
          <w:tcPr>
            <w:tcW w:w="1164" w:type="dxa"/>
            <w:tcBorders>
              <w:top w:val="nil"/>
              <w:left w:val="nil"/>
              <w:bottom w:val="nil"/>
              <w:right w:val="nil"/>
            </w:tcBorders>
          </w:tcPr>
          <w:p>
            <w:pPr>
              <w:pStyle w:val="TableParagraph"/>
              <w:spacing w:line="275" w:lineRule="exact"/>
              <w:ind w:left="190" w:right="137"/>
              <w:jc w:val="center"/>
              <w:rPr>
                <w:sz w:val="24"/>
              </w:rPr>
            </w:pPr>
            <w:r>
              <w:rPr>
                <w:sz w:val="24"/>
              </w:rPr>
              <w:t>0.90</w:t>
            </w:r>
          </w:p>
        </w:tc>
      </w:tr>
      <w:tr>
        <w:trPr>
          <w:trHeight w:val="307" w:hRule="exact"/>
        </w:trPr>
        <w:tc>
          <w:tcPr>
            <w:tcW w:w="671" w:type="dxa"/>
            <w:tcBorders>
              <w:top w:val="nil"/>
              <w:left w:val="nil"/>
              <w:right w:val="nil"/>
            </w:tcBorders>
          </w:tcPr>
          <w:p>
            <w:pPr>
              <w:pStyle w:val="TableParagraph"/>
              <w:spacing w:line="275" w:lineRule="exact"/>
              <w:ind w:left="48" w:right="9"/>
              <w:jc w:val="center"/>
              <w:rPr>
                <w:sz w:val="24"/>
              </w:rPr>
            </w:pPr>
            <w:r>
              <w:rPr>
                <w:sz w:val="24"/>
              </w:rPr>
              <w:t>Sorgo</w:t>
            </w:r>
          </w:p>
        </w:tc>
        <w:tc>
          <w:tcPr>
            <w:tcW w:w="825" w:type="dxa"/>
            <w:tcBorders>
              <w:top w:val="nil"/>
              <w:left w:val="nil"/>
              <w:right w:val="nil"/>
            </w:tcBorders>
          </w:tcPr>
          <w:p>
            <w:pPr>
              <w:pStyle w:val="TableParagraph"/>
              <w:spacing w:line="275" w:lineRule="exact"/>
              <w:ind w:left="29"/>
              <w:jc w:val="left"/>
              <w:rPr>
                <w:sz w:val="24"/>
              </w:rPr>
            </w:pPr>
            <w:r>
              <w:rPr>
                <w:sz w:val="24"/>
              </w:rPr>
              <w:t>R</w:t>
            </w:r>
          </w:p>
        </w:tc>
        <w:tc>
          <w:tcPr>
            <w:tcW w:w="1130" w:type="dxa"/>
            <w:tcBorders>
              <w:top w:val="nil"/>
              <w:left w:val="nil"/>
              <w:right w:val="nil"/>
            </w:tcBorders>
          </w:tcPr>
          <w:p>
            <w:pPr/>
          </w:p>
        </w:tc>
        <w:tc>
          <w:tcPr>
            <w:tcW w:w="1264" w:type="dxa"/>
            <w:tcBorders>
              <w:top w:val="nil"/>
              <w:left w:val="nil"/>
              <w:right w:val="nil"/>
            </w:tcBorders>
          </w:tcPr>
          <w:p>
            <w:pPr/>
          </w:p>
        </w:tc>
        <w:tc>
          <w:tcPr>
            <w:tcW w:w="1304" w:type="dxa"/>
            <w:tcBorders>
              <w:top w:val="nil"/>
              <w:left w:val="nil"/>
              <w:right w:val="nil"/>
            </w:tcBorders>
          </w:tcPr>
          <w:p>
            <w:pPr/>
          </w:p>
        </w:tc>
        <w:tc>
          <w:tcPr>
            <w:tcW w:w="1252" w:type="dxa"/>
            <w:tcBorders>
              <w:top w:val="nil"/>
              <w:left w:val="nil"/>
              <w:right w:val="nil"/>
            </w:tcBorders>
          </w:tcPr>
          <w:p>
            <w:pPr/>
          </w:p>
        </w:tc>
        <w:tc>
          <w:tcPr>
            <w:tcW w:w="1232" w:type="dxa"/>
            <w:tcBorders>
              <w:top w:val="nil"/>
              <w:left w:val="nil"/>
              <w:right w:val="nil"/>
            </w:tcBorders>
          </w:tcPr>
          <w:p>
            <w:pPr/>
          </w:p>
        </w:tc>
        <w:tc>
          <w:tcPr>
            <w:tcW w:w="1164" w:type="dxa"/>
            <w:tcBorders>
              <w:top w:val="nil"/>
              <w:left w:val="nil"/>
              <w:right w:val="nil"/>
            </w:tcBorders>
          </w:tcPr>
          <w:p>
            <w:pPr>
              <w:pStyle w:val="TableParagraph"/>
              <w:spacing w:line="275" w:lineRule="exact"/>
              <w:ind w:left="55"/>
              <w:jc w:val="center"/>
              <w:rPr>
                <w:sz w:val="24"/>
              </w:rPr>
            </w:pPr>
            <w:r>
              <w:rPr>
                <w:sz w:val="24"/>
              </w:rPr>
              <w:t>1</w:t>
            </w:r>
          </w:p>
        </w:tc>
      </w:tr>
    </w:tbl>
    <w:p>
      <w:pPr>
        <w:spacing w:after="0" w:line="275" w:lineRule="exact"/>
        <w:jc w:val="center"/>
        <w:rPr>
          <w:sz w:val="24"/>
        </w:rPr>
        <w:sectPr>
          <w:pgSz w:w="12240" w:h="15840"/>
          <w:pgMar w:header="0" w:footer="657" w:top="1360" w:bottom="840" w:left="1580" w:right="1560"/>
        </w:sectPr>
      </w:pPr>
    </w:p>
    <w:p>
      <w:pPr>
        <w:pStyle w:val="BodyText"/>
        <w:spacing w:line="276" w:lineRule="exact" w:before="51" w:after="26"/>
        <w:ind w:left="171"/>
        <w:rPr>
          <w:sz w:val="16"/>
        </w:rPr>
      </w:pPr>
      <w:r>
        <w:rPr>
          <w:b/>
        </w:rPr>
        <w:t>Anexo Tabla 2. </w:t>
      </w:r>
      <w:r>
        <w:rPr/>
        <w:t>Continuación Paso 5. Estimar los parámetros de distribución empírica usando Simetar</w:t>
      </w:r>
      <w:r>
        <w:rPr>
          <w:position w:val="9"/>
          <w:sz w:val="16"/>
        </w:rPr>
        <w:t>©</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003"/>
        <w:gridCol w:w="1281"/>
        <w:gridCol w:w="1340"/>
        <w:gridCol w:w="1258"/>
        <w:gridCol w:w="1379"/>
        <w:gridCol w:w="1259"/>
        <w:gridCol w:w="1321"/>
      </w:tblGrid>
      <w:tr>
        <w:trPr>
          <w:trHeight w:val="346" w:hRule="exact"/>
        </w:trPr>
        <w:tc>
          <w:tcPr>
            <w:tcW w:w="1003" w:type="dxa"/>
            <w:tcBorders>
              <w:left w:val="nil"/>
              <w:right w:val="nil"/>
            </w:tcBorders>
          </w:tcPr>
          <w:p>
            <w:pPr>
              <w:pStyle w:val="TableParagraph"/>
              <w:spacing w:before="6"/>
              <w:ind w:right="67"/>
              <w:rPr>
                <w:sz w:val="24"/>
              </w:rPr>
            </w:pPr>
            <w:r>
              <w:rPr>
                <w:w w:val="95"/>
                <w:sz w:val="24"/>
              </w:rPr>
              <w:t>Obs.</w:t>
            </w:r>
          </w:p>
        </w:tc>
        <w:tc>
          <w:tcPr>
            <w:tcW w:w="1281" w:type="dxa"/>
            <w:tcBorders>
              <w:left w:val="nil"/>
              <w:right w:val="nil"/>
            </w:tcBorders>
          </w:tcPr>
          <w:p>
            <w:pPr>
              <w:pStyle w:val="TableParagraph"/>
              <w:spacing w:before="6"/>
              <w:ind w:right="68"/>
              <w:rPr>
                <w:sz w:val="24"/>
              </w:rPr>
            </w:pPr>
            <w:r>
              <w:rPr>
                <w:sz w:val="24"/>
              </w:rPr>
              <w:t>Maíz P</w:t>
            </w:r>
          </w:p>
        </w:tc>
        <w:tc>
          <w:tcPr>
            <w:tcW w:w="1340" w:type="dxa"/>
            <w:tcBorders>
              <w:left w:val="nil"/>
              <w:right w:val="nil"/>
            </w:tcBorders>
          </w:tcPr>
          <w:p>
            <w:pPr>
              <w:pStyle w:val="TableParagraph"/>
              <w:spacing w:before="6"/>
              <w:ind w:right="130"/>
              <w:rPr>
                <w:sz w:val="24"/>
              </w:rPr>
            </w:pPr>
            <w:r>
              <w:rPr>
                <w:sz w:val="24"/>
              </w:rPr>
              <w:t>Trigo P</w:t>
            </w:r>
          </w:p>
        </w:tc>
        <w:tc>
          <w:tcPr>
            <w:tcW w:w="1258" w:type="dxa"/>
            <w:tcBorders>
              <w:left w:val="nil"/>
              <w:right w:val="nil"/>
            </w:tcBorders>
          </w:tcPr>
          <w:p>
            <w:pPr>
              <w:pStyle w:val="TableParagraph"/>
              <w:spacing w:before="6"/>
              <w:ind w:right="109"/>
              <w:rPr>
                <w:sz w:val="24"/>
              </w:rPr>
            </w:pPr>
            <w:r>
              <w:rPr>
                <w:sz w:val="24"/>
              </w:rPr>
              <w:t>Sorgo P</w:t>
            </w:r>
          </w:p>
        </w:tc>
        <w:tc>
          <w:tcPr>
            <w:tcW w:w="1379" w:type="dxa"/>
            <w:tcBorders>
              <w:left w:val="nil"/>
              <w:right w:val="nil"/>
            </w:tcBorders>
          </w:tcPr>
          <w:p>
            <w:pPr>
              <w:pStyle w:val="TableParagraph"/>
              <w:spacing w:before="6"/>
              <w:ind w:right="126"/>
              <w:rPr>
                <w:sz w:val="24"/>
              </w:rPr>
            </w:pPr>
            <w:r>
              <w:rPr>
                <w:sz w:val="24"/>
              </w:rPr>
              <w:t>Maíz R</w:t>
            </w:r>
          </w:p>
        </w:tc>
        <w:tc>
          <w:tcPr>
            <w:tcW w:w="1259" w:type="dxa"/>
            <w:tcBorders>
              <w:left w:val="nil"/>
              <w:right w:val="nil"/>
            </w:tcBorders>
          </w:tcPr>
          <w:p>
            <w:pPr>
              <w:pStyle w:val="TableParagraph"/>
              <w:spacing w:before="6"/>
              <w:ind w:right="110"/>
              <w:rPr>
                <w:sz w:val="24"/>
              </w:rPr>
            </w:pPr>
            <w:r>
              <w:rPr>
                <w:sz w:val="24"/>
              </w:rPr>
              <w:t>Trigo R</w:t>
            </w:r>
          </w:p>
        </w:tc>
        <w:tc>
          <w:tcPr>
            <w:tcW w:w="1321" w:type="dxa"/>
            <w:tcBorders>
              <w:left w:val="nil"/>
              <w:right w:val="nil"/>
            </w:tcBorders>
          </w:tcPr>
          <w:p>
            <w:pPr>
              <w:pStyle w:val="TableParagraph"/>
              <w:spacing w:before="6"/>
              <w:ind w:right="73"/>
              <w:rPr>
                <w:sz w:val="24"/>
              </w:rPr>
            </w:pPr>
            <w:r>
              <w:rPr>
                <w:sz w:val="24"/>
              </w:rPr>
              <w:t>Sorgo R</w:t>
            </w:r>
          </w:p>
        </w:tc>
      </w:tr>
      <w:tr>
        <w:trPr>
          <w:trHeight w:val="341" w:hRule="exact"/>
        </w:trPr>
        <w:tc>
          <w:tcPr>
            <w:tcW w:w="1003" w:type="dxa"/>
            <w:tcBorders>
              <w:left w:val="nil"/>
              <w:bottom w:val="nil"/>
              <w:right w:val="nil"/>
            </w:tcBorders>
          </w:tcPr>
          <w:p>
            <w:pPr>
              <w:pStyle w:val="TableParagraph"/>
              <w:spacing w:before="18"/>
              <w:ind w:right="67"/>
              <w:rPr>
                <w:sz w:val="24"/>
              </w:rPr>
            </w:pPr>
            <w:r>
              <w:rPr>
                <w:sz w:val="24"/>
              </w:rPr>
              <w:t>1</w:t>
            </w:r>
          </w:p>
        </w:tc>
        <w:tc>
          <w:tcPr>
            <w:tcW w:w="1281" w:type="dxa"/>
            <w:tcBorders>
              <w:left w:val="nil"/>
              <w:bottom w:val="nil"/>
              <w:right w:val="nil"/>
            </w:tcBorders>
          </w:tcPr>
          <w:p>
            <w:pPr>
              <w:pStyle w:val="TableParagraph"/>
              <w:spacing w:before="18"/>
              <w:ind w:right="69"/>
              <w:rPr>
                <w:sz w:val="24"/>
              </w:rPr>
            </w:pPr>
            <w:r>
              <w:rPr>
                <w:sz w:val="24"/>
              </w:rPr>
              <w:t>-0.83</w:t>
            </w:r>
          </w:p>
        </w:tc>
        <w:tc>
          <w:tcPr>
            <w:tcW w:w="1340" w:type="dxa"/>
            <w:tcBorders>
              <w:left w:val="nil"/>
              <w:bottom w:val="nil"/>
              <w:right w:val="nil"/>
            </w:tcBorders>
          </w:tcPr>
          <w:p>
            <w:pPr>
              <w:pStyle w:val="TableParagraph"/>
              <w:spacing w:before="18"/>
              <w:ind w:right="127"/>
              <w:rPr>
                <w:sz w:val="24"/>
              </w:rPr>
            </w:pPr>
            <w:r>
              <w:rPr>
                <w:sz w:val="24"/>
              </w:rPr>
              <w:t>-0.87</w:t>
            </w:r>
          </w:p>
        </w:tc>
        <w:tc>
          <w:tcPr>
            <w:tcW w:w="1258" w:type="dxa"/>
            <w:tcBorders>
              <w:left w:val="nil"/>
              <w:bottom w:val="nil"/>
              <w:right w:val="nil"/>
            </w:tcBorders>
          </w:tcPr>
          <w:p>
            <w:pPr>
              <w:pStyle w:val="TableParagraph"/>
              <w:spacing w:before="18"/>
              <w:ind w:right="106"/>
              <w:rPr>
                <w:sz w:val="24"/>
              </w:rPr>
            </w:pPr>
            <w:r>
              <w:rPr>
                <w:sz w:val="24"/>
              </w:rPr>
              <w:t>-0.76</w:t>
            </w:r>
          </w:p>
        </w:tc>
        <w:tc>
          <w:tcPr>
            <w:tcW w:w="1379" w:type="dxa"/>
            <w:tcBorders>
              <w:left w:val="nil"/>
              <w:bottom w:val="nil"/>
              <w:right w:val="nil"/>
            </w:tcBorders>
          </w:tcPr>
          <w:p>
            <w:pPr>
              <w:pStyle w:val="TableParagraph"/>
              <w:spacing w:before="18"/>
              <w:ind w:right="128"/>
              <w:rPr>
                <w:sz w:val="24"/>
              </w:rPr>
            </w:pPr>
            <w:r>
              <w:rPr>
                <w:sz w:val="24"/>
              </w:rPr>
              <w:t>1.01</w:t>
            </w:r>
          </w:p>
        </w:tc>
        <w:tc>
          <w:tcPr>
            <w:tcW w:w="1259" w:type="dxa"/>
            <w:tcBorders>
              <w:left w:val="nil"/>
              <w:bottom w:val="nil"/>
              <w:right w:val="nil"/>
            </w:tcBorders>
          </w:tcPr>
          <w:p>
            <w:pPr>
              <w:pStyle w:val="TableParagraph"/>
              <w:spacing w:before="18"/>
              <w:ind w:right="107"/>
              <w:rPr>
                <w:sz w:val="24"/>
              </w:rPr>
            </w:pPr>
            <w:r>
              <w:rPr>
                <w:sz w:val="24"/>
              </w:rPr>
              <w:t>-2.72</w:t>
            </w:r>
          </w:p>
        </w:tc>
        <w:tc>
          <w:tcPr>
            <w:tcW w:w="1321" w:type="dxa"/>
            <w:tcBorders>
              <w:left w:val="nil"/>
              <w:bottom w:val="nil"/>
              <w:right w:val="nil"/>
            </w:tcBorders>
          </w:tcPr>
          <w:p>
            <w:pPr>
              <w:pStyle w:val="TableParagraph"/>
              <w:spacing w:before="18"/>
              <w:ind w:right="71"/>
              <w:rPr>
                <w:sz w:val="24"/>
              </w:rPr>
            </w:pPr>
            <w:r>
              <w:rPr>
                <w:sz w:val="24"/>
              </w:rPr>
              <w:t>2.89</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2</w:t>
            </w:r>
          </w:p>
        </w:tc>
        <w:tc>
          <w:tcPr>
            <w:tcW w:w="1281" w:type="dxa"/>
            <w:tcBorders>
              <w:top w:val="nil"/>
              <w:left w:val="nil"/>
              <w:bottom w:val="nil"/>
              <w:right w:val="nil"/>
            </w:tcBorders>
          </w:tcPr>
          <w:p>
            <w:pPr>
              <w:pStyle w:val="TableParagraph"/>
              <w:spacing w:line="275" w:lineRule="exact"/>
              <w:ind w:right="69"/>
              <w:rPr>
                <w:sz w:val="24"/>
              </w:rPr>
            </w:pPr>
            <w:r>
              <w:rPr>
                <w:sz w:val="24"/>
              </w:rPr>
              <w:t>-0.39</w:t>
            </w:r>
          </w:p>
        </w:tc>
        <w:tc>
          <w:tcPr>
            <w:tcW w:w="1340" w:type="dxa"/>
            <w:tcBorders>
              <w:top w:val="nil"/>
              <w:left w:val="nil"/>
              <w:bottom w:val="nil"/>
              <w:right w:val="nil"/>
            </w:tcBorders>
          </w:tcPr>
          <w:p>
            <w:pPr>
              <w:pStyle w:val="TableParagraph"/>
              <w:spacing w:line="275" w:lineRule="exact"/>
              <w:ind w:right="127"/>
              <w:rPr>
                <w:sz w:val="24"/>
              </w:rPr>
            </w:pPr>
            <w:r>
              <w:rPr>
                <w:sz w:val="24"/>
              </w:rPr>
              <w:t>-0.72</w:t>
            </w:r>
          </w:p>
        </w:tc>
        <w:tc>
          <w:tcPr>
            <w:tcW w:w="1258" w:type="dxa"/>
            <w:tcBorders>
              <w:top w:val="nil"/>
              <w:left w:val="nil"/>
              <w:bottom w:val="nil"/>
              <w:right w:val="nil"/>
            </w:tcBorders>
          </w:tcPr>
          <w:p>
            <w:pPr>
              <w:pStyle w:val="TableParagraph"/>
              <w:spacing w:line="275" w:lineRule="exact"/>
              <w:ind w:right="106"/>
              <w:rPr>
                <w:sz w:val="24"/>
              </w:rPr>
            </w:pPr>
            <w:r>
              <w:rPr>
                <w:sz w:val="24"/>
              </w:rPr>
              <w:t>-0.43</w:t>
            </w:r>
          </w:p>
        </w:tc>
        <w:tc>
          <w:tcPr>
            <w:tcW w:w="1379" w:type="dxa"/>
            <w:tcBorders>
              <w:top w:val="nil"/>
              <w:left w:val="nil"/>
              <w:bottom w:val="nil"/>
              <w:right w:val="nil"/>
            </w:tcBorders>
          </w:tcPr>
          <w:p>
            <w:pPr>
              <w:pStyle w:val="TableParagraph"/>
              <w:spacing w:line="275" w:lineRule="exact"/>
              <w:ind w:right="128"/>
              <w:rPr>
                <w:sz w:val="24"/>
              </w:rPr>
            </w:pPr>
            <w:r>
              <w:rPr>
                <w:sz w:val="24"/>
              </w:rPr>
              <w:t>1.48</w:t>
            </w:r>
          </w:p>
        </w:tc>
        <w:tc>
          <w:tcPr>
            <w:tcW w:w="1259" w:type="dxa"/>
            <w:tcBorders>
              <w:top w:val="nil"/>
              <w:left w:val="nil"/>
              <w:bottom w:val="nil"/>
              <w:right w:val="nil"/>
            </w:tcBorders>
          </w:tcPr>
          <w:p>
            <w:pPr>
              <w:pStyle w:val="TableParagraph"/>
              <w:spacing w:line="275" w:lineRule="exact"/>
              <w:ind w:right="107"/>
              <w:rPr>
                <w:sz w:val="24"/>
              </w:rPr>
            </w:pPr>
            <w:r>
              <w:rPr>
                <w:sz w:val="24"/>
              </w:rPr>
              <w:t>0.52</w:t>
            </w:r>
          </w:p>
        </w:tc>
        <w:tc>
          <w:tcPr>
            <w:tcW w:w="1321" w:type="dxa"/>
            <w:tcBorders>
              <w:top w:val="nil"/>
              <w:left w:val="nil"/>
              <w:bottom w:val="nil"/>
              <w:right w:val="nil"/>
            </w:tcBorders>
          </w:tcPr>
          <w:p>
            <w:pPr>
              <w:pStyle w:val="TableParagraph"/>
              <w:spacing w:line="275" w:lineRule="exact"/>
              <w:ind w:right="71"/>
              <w:rPr>
                <w:sz w:val="24"/>
              </w:rPr>
            </w:pPr>
            <w:r>
              <w:rPr>
                <w:sz w:val="24"/>
              </w:rPr>
              <w:t>4.54</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3</w:t>
            </w:r>
          </w:p>
        </w:tc>
        <w:tc>
          <w:tcPr>
            <w:tcW w:w="1281" w:type="dxa"/>
            <w:tcBorders>
              <w:top w:val="nil"/>
              <w:left w:val="nil"/>
              <w:bottom w:val="nil"/>
              <w:right w:val="nil"/>
            </w:tcBorders>
          </w:tcPr>
          <w:p>
            <w:pPr>
              <w:pStyle w:val="TableParagraph"/>
              <w:spacing w:line="275" w:lineRule="exact"/>
              <w:ind w:right="69"/>
              <w:rPr>
                <w:sz w:val="24"/>
              </w:rPr>
            </w:pPr>
            <w:r>
              <w:rPr>
                <w:sz w:val="24"/>
              </w:rPr>
              <w:t>0.21</w:t>
            </w:r>
          </w:p>
        </w:tc>
        <w:tc>
          <w:tcPr>
            <w:tcW w:w="1340" w:type="dxa"/>
            <w:tcBorders>
              <w:top w:val="nil"/>
              <w:left w:val="nil"/>
              <w:bottom w:val="nil"/>
              <w:right w:val="nil"/>
            </w:tcBorders>
          </w:tcPr>
          <w:p>
            <w:pPr>
              <w:pStyle w:val="TableParagraph"/>
              <w:spacing w:line="275" w:lineRule="exact"/>
              <w:ind w:right="127"/>
              <w:rPr>
                <w:sz w:val="24"/>
              </w:rPr>
            </w:pPr>
            <w:r>
              <w:rPr>
                <w:sz w:val="24"/>
              </w:rPr>
              <w:t>0.43</w:t>
            </w:r>
          </w:p>
        </w:tc>
        <w:tc>
          <w:tcPr>
            <w:tcW w:w="1258" w:type="dxa"/>
            <w:tcBorders>
              <w:top w:val="nil"/>
              <w:left w:val="nil"/>
              <w:bottom w:val="nil"/>
              <w:right w:val="nil"/>
            </w:tcBorders>
          </w:tcPr>
          <w:p>
            <w:pPr>
              <w:pStyle w:val="TableParagraph"/>
              <w:spacing w:line="275" w:lineRule="exact"/>
              <w:ind w:right="106"/>
              <w:rPr>
                <w:sz w:val="24"/>
              </w:rPr>
            </w:pPr>
            <w:r>
              <w:rPr>
                <w:sz w:val="24"/>
              </w:rPr>
              <w:t>0.14</w:t>
            </w:r>
          </w:p>
        </w:tc>
        <w:tc>
          <w:tcPr>
            <w:tcW w:w="1379" w:type="dxa"/>
            <w:tcBorders>
              <w:top w:val="nil"/>
              <w:left w:val="nil"/>
              <w:bottom w:val="nil"/>
              <w:right w:val="nil"/>
            </w:tcBorders>
          </w:tcPr>
          <w:p>
            <w:pPr>
              <w:pStyle w:val="TableParagraph"/>
              <w:spacing w:line="275" w:lineRule="exact"/>
              <w:ind w:right="128"/>
              <w:rPr>
                <w:sz w:val="24"/>
              </w:rPr>
            </w:pPr>
            <w:r>
              <w:rPr>
                <w:sz w:val="24"/>
              </w:rPr>
              <w:t>-33.75</w:t>
            </w:r>
          </w:p>
        </w:tc>
        <w:tc>
          <w:tcPr>
            <w:tcW w:w="1259" w:type="dxa"/>
            <w:tcBorders>
              <w:top w:val="nil"/>
              <w:left w:val="nil"/>
              <w:bottom w:val="nil"/>
              <w:right w:val="nil"/>
            </w:tcBorders>
          </w:tcPr>
          <w:p>
            <w:pPr>
              <w:pStyle w:val="TableParagraph"/>
              <w:spacing w:line="275" w:lineRule="exact"/>
              <w:ind w:right="107"/>
              <w:rPr>
                <w:sz w:val="24"/>
              </w:rPr>
            </w:pPr>
            <w:r>
              <w:rPr>
                <w:sz w:val="24"/>
              </w:rPr>
              <w:t>-3.08</w:t>
            </w:r>
          </w:p>
        </w:tc>
        <w:tc>
          <w:tcPr>
            <w:tcW w:w="1321" w:type="dxa"/>
            <w:tcBorders>
              <w:top w:val="nil"/>
              <w:left w:val="nil"/>
              <w:bottom w:val="nil"/>
              <w:right w:val="nil"/>
            </w:tcBorders>
          </w:tcPr>
          <w:p>
            <w:pPr>
              <w:pStyle w:val="TableParagraph"/>
              <w:spacing w:line="275" w:lineRule="exact"/>
              <w:ind w:right="71"/>
              <w:rPr>
                <w:sz w:val="24"/>
              </w:rPr>
            </w:pPr>
            <w:r>
              <w:rPr>
                <w:sz w:val="24"/>
              </w:rPr>
              <w:t>-1.08</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4</w:t>
            </w:r>
          </w:p>
        </w:tc>
        <w:tc>
          <w:tcPr>
            <w:tcW w:w="1281" w:type="dxa"/>
            <w:tcBorders>
              <w:top w:val="nil"/>
              <w:left w:val="nil"/>
              <w:bottom w:val="nil"/>
              <w:right w:val="nil"/>
            </w:tcBorders>
          </w:tcPr>
          <w:p>
            <w:pPr>
              <w:pStyle w:val="TableParagraph"/>
              <w:spacing w:line="275" w:lineRule="exact"/>
              <w:ind w:right="69"/>
              <w:rPr>
                <w:sz w:val="24"/>
              </w:rPr>
            </w:pPr>
            <w:r>
              <w:rPr>
                <w:sz w:val="24"/>
              </w:rPr>
              <w:t>0.03</w:t>
            </w:r>
          </w:p>
        </w:tc>
        <w:tc>
          <w:tcPr>
            <w:tcW w:w="1340" w:type="dxa"/>
            <w:tcBorders>
              <w:top w:val="nil"/>
              <w:left w:val="nil"/>
              <w:bottom w:val="nil"/>
              <w:right w:val="nil"/>
            </w:tcBorders>
          </w:tcPr>
          <w:p>
            <w:pPr>
              <w:pStyle w:val="TableParagraph"/>
              <w:spacing w:line="275" w:lineRule="exact"/>
              <w:ind w:right="127"/>
              <w:rPr>
                <w:sz w:val="24"/>
              </w:rPr>
            </w:pPr>
            <w:r>
              <w:rPr>
                <w:sz w:val="24"/>
              </w:rPr>
              <w:t>0.43</w:t>
            </w:r>
          </w:p>
        </w:tc>
        <w:tc>
          <w:tcPr>
            <w:tcW w:w="1258" w:type="dxa"/>
            <w:tcBorders>
              <w:top w:val="nil"/>
              <w:left w:val="nil"/>
              <w:bottom w:val="nil"/>
              <w:right w:val="nil"/>
            </w:tcBorders>
          </w:tcPr>
          <w:p>
            <w:pPr>
              <w:pStyle w:val="TableParagraph"/>
              <w:spacing w:line="275" w:lineRule="exact"/>
              <w:ind w:right="106"/>
              <w:rPr>
                <w:sz w:val="24"/>
              </w:rPr>
            </w:pPr>
            <w:r>
              <w:rPr>
                <w:sz w:val="24"/>
              </w:rPr>
              <w:t>-0.03</w:t>
            </w:r>
          </w:p>
        </w:tc>
        <w:tc>
          <w:tcPr>
            <w:tcW w:w="1379" w:type="dxa"/>
            <w:tcBorders>
              <w:top w:val="nil"/>
              <w:left w:val="nil"/>
              <w:bottom w:val="nil"/>
              <w:right w:val="nil"/>
            </w:tcBorders>
          </w:tcPr>
          <w:p>
            <w:pPr>
              <w:pStyle w:val="TableParagraph"/>
              <w:spacing w:line="275" w:lineRule="exact"/>
              <w:ind w:right="128"/>
              <w:rPr>
                <w:sz w:val="24"/>
              </w:rPr>
            </w:pPr>
            <w:r>
              <w:rPr>
                <w:sz w:val="24"/>
              </w:rPr>
              <w:t>-2.20</w:t>
            </w:r>
          </w:p>
        </w:tc>
        <w:tc>
          <w:tcPr>
            <w:tcW w:w="1259" w:type="dxa"/>
            <w:tcBorders>
              <w:top w:val="nil"/>
              <w:left w:val="nil"/>
              <w:bottom w:val="nil"/>
              <w:right w:val="nil"/>
            </w:tcBorders>
          </w:tcPr>
          <w:p>
            <w:pPr>
              <w:pStyle w:val="TableParagraph"/>
              <w:spacing w:line="275" w:lineRule="exact"/>
              <w:ind w:right="107"/>
              <w:rPr>
                <w:sz w:val="24"/>
              </w:rPr>
            </w:pPr>
            <w:r>
              <w:rPr>
                <w:sz w:val="24"/>
              </w:rPr>
              <w:t>-4.40</w:t>
            </w:r>
          </w:p>
        </w:tc>
        <w:tc>
          <w:tcPr>
            <w:tcW w:w="1321" w:type="dxa"/>
            <w:tcBorders>
              <w:top w:val="nil"/>
              <w:left w:val="nil"/>
              <w:bottom w:val="nil"/>
              <w:right w:val="nil"/>
            </w:tcBorders>
          </w:tcPr>
          <w:p>
            <w:pPr>
              <w:pStyle w:val="TableParagraph"/>
              <w:spacing w:line="275" w:lineRule="exact"/>
              <w:ind w:right="71"/>
              <w:rPr>
                <w:sz w:val="24"/>
              </w:rPr>
            </w:pPr>
            <w:r>
              <w:rPr>
                <w:sz w:val="24"/>
              </w:rPr>
              <w:t>-9.43</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5</w:t>
            </w:r>
          </w:p>
        </w:tc>
        <w:tc>
          <w:tcPr>
            <w:tcW w:w="1281" w:type="dxa"/>
            <w:tcBorders>
              <w:top w:val="nil"/>
              <w:left w:val="nil"/>
              <w:bottom w:val="nil"/>
              <w:right w:val="nil"/>
            </w:tcBorders>
          </w:tcPr>
          <w:p>
            <w:pPr>
              <w:pStyle w:val="TableParagraph"/>
              <w:spacing w:line="275" w:lineRule="exact"/>
              <w:ind w:right="69"/>
              <w:rPr>
                <w:sz w:val="24"/>
              </w:rPr>
            </w:pPr>
            <w:r>
              <w:rPr>
                <w:sz w:val="24"/>
              </w:rPr>
              <w:t>-0.05</w:t>
            </w:r>
          </w:p>
        </w:tc>
        <w:tc>
          <w:tcPr>
            <w:tcW w:w="1340" w:type="dxa"/>
            <w:tcBorders>
              <w:top w:val="nil"/>
              <w:left w:val="nil"/>
              <w:bottom w:val="nil"/>
              <w:right w:val="nil"/>
            </w:tcBorders>
          </w:tcPr>
          <w:p>
            <w:pPr>
              <w:pStyle w:val="TableParagraph"/>
              <w:spacing w:line="275" w:lineRule="exact"/>
              <w:ind w:right="127"/>
              <w:rPr>
                <w:sz w:val="24"/>
              </w:rPr>
            </w:pPr>
            <w:r>
              <w:rPr>
                <w:sz w:val="24"/>
              </w:rPr>
              <w:t>-0.68</w:t>
            </w:r>
          </w:p>
        </w:tc>
        <w:tc>
          <w:tcPr>
            <w:tcW w:w="1258" w:type="dxa"/>
            <w:tcBorders>
              <w:top w:val="nil"/>
              <w:left w:val="nil"/>
              <w:bottom w:val="nil"/>
              <w:right w:val="nil"/>
            </w:tcBorders>
          </w:tcPr>
          <w:p>
            <w:pPr>
              <w:pStyle w:val="TableParagraph"/>
              <w:spacing w:line="275" w:lineRule="exact"/>
              <w:ind w:right="106"/>
              <w:rPr>
                <w:sz w:val="24"/>
              </w:rPr>
            </w:pPr>
            <w:r>
              <w:rPr>
                <w:sz w:val="24"/>
              </w:rPr>
              <w:t>-0.01</w:t>
            </w:r>
          </w:p>
        </w:tc>
        <w:tc>
          <w:tcPr>
            <w:tcW w:w="1379" w:type="dxa"/>
            <w:tcBorders>
              <w:top w:val="nil"/>
              <w:left w:val="nil"/>
              <w:bottom w:val="nil"/>
              <w:right w:val="nil"/>
            </w:tcBorders>
          </w:tcPr>
          <w:p>
            <w:pPr>
              <w:pStyle w:val="TableParagraph"/>
              <w:spacing w:line="275" w:lineRule="exact"/>
              <w:ind w:right="128"/>
              <w:rPr>
                <w:sz w:val="24"/>
              </w:rPr>
            </w:pPr>
            <w:r>
              <w:rPr>
                <w:sz w:val="24"/>
              </w:rPr>
              <w:t>0.14</w:t>
            </w:r>
          </w:p>
        </w:tc>
        <w:tc>
          <w:tcPr>
            <w:tcW w:w="1259" w:type="dxa"/>
            <w:tcBorders>
              <w:top w:val="nil"/>
              <w:left w:val="nil"/>
              <w:bottom w:val="nil"/>
              <w:right w:val="nil"/>
            </w:tcBorders>
          </w:tcPr>
          <w:p>
            <w:pPr>
              <w:pStyle w:val="TableParagraph"/>
              <w:spacing w:line="275" w:lineRule="exact"/>
              <w:ind w:right="107"/>
              <w:rPr>
                <w:sz w:val="24"/>
              </w:rPr>
            </w:pPr>
            <w:r>
              <w:rPr>
                <w:sz w:val="24"/>
              </w:rPr>
              <w:t>2.35</w:t>
            </w:r>
          </w:p>
        </w:tc>
        <w:tc>
          <w:tcPr>
            <w:tcW w:w="1321" w:type="dxa"/>
            <w:tcBorders>
              <w:top w:val="nil"/>
              <w:left w:val="nil"/>
              <w:bottom w:val="nil"/>
              <w:right w:val="nil"/>
            </w:tcBorders>
          </w:tcPr>
          <w:p>
            <w:pPr>
              <w:pStyle w:val="TableParagraph"/>
              <w:spacing w:line="275" w:lineRule="exact"/>
              <w:ind w:right="71"/>
              <w:rPr>
                <w:sz w:val="24"/>
              </w:rPr>
            </w:pPr>
            <w:r>
              <w:rPr>
                <w:sz w:val="24"/>
              </w:rPr>
              <w:t>-1.78</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6</w:t>
            </w:r>
          </w:p>
        </w:tc>
        <w:tc>
          <w:tcPr>
            <w:tcW w:w="1281" w:type="dxa"/>
            <w:tcBorders>
              <w:top w:val="nil"/>
              <w:left w:val="nil"/>
              <w:bottom w:val="nil"/>
              <w:right w:val="nil"/>
            </w:tcBorders>
          </w:tcPr>
          <w:p>
            <w:pPr>
              <w:pStyle w:val="TableParagraph"/>
              <w:spacing w:line="275" w:lineRule="exact"/>
              <w:ind w:right="69"/>
              <w:rPr>
                <w:sz w:val="24"/>
              </w:rPr>
            </w:pPr>
            <w:r>
              <w:rPr>
                <w:sz w:val="24"/>
              </w:rPr>
              <w:t>0.04</w:t>
            </w:r>
          </w:p>
        </w:tc>
        <w:tc>
          <w:tcPr>
            <w:tcW w:w="1340" w:type="dxa"/>
            <w:tcBorders>
              <w:top w:val="nil"/>
              <w:left w:val="nil"/>
              <w:bottom w:val="nil"/>
              <w:right w:val="nil"/>
            </w:tcBorders>
          </w:tcPr>
          <w:p>
            <w:pPr>
              <w:pStyle w:val="TableParagraph"/>
              <w:spacing w:line="275" w:lineRule="exact"/>
              <w:ind w:right="127"/>
              <w:rPr>
                <w:sz w:val="24"/>
              </w:rPr>
            </w:pPr>
            <w:r>
              <w:rPr>
                <w:sz w:val="24"/>
              </w:rPr>
              <w:t>-0.29</w:t>
            </w:r>
          </w:p>
        </w:tc>
        <w:tc>
          <w:tcPr>
            <w:tcW w:w="1258" w:type="dxa"/>
            <w:tcBorders>
              <w:top w:val="nil"/>
              <w:left w:val="nil"/>
              <w:bottom w:val="nil"/>
              <w:right w:val="nil"/>
            </w:tcBorders>
          </w:tcPr>
          <w:p>
            <w:pPr>
              <w:pStyle w:val="TableParagraph"/>
              <w:spacing w:line="275" w:lineRule="exact"/>
              <w:ind w:right="106"/>
              <w:rPr>
                <w:sz w:val="24"/>
              </w:rPr>
            </w:pPr>
            <w:r>
              <w:rPr>
                <w:sz w:val="24"/>
              </w:rPr>
              <w:t>0.12</w:t>
            </w:r>
          </w:p>
        </w:tc>
        <w:tc>
          <w:tcPr>
            <w:tcW w:w="1379" w:type="dxa"/>
            <w:tcBorders>
              <w:top w:val="nil"/>
              <w:left w:val="nil"/>
              <w:bottom w:val="nil"/>
              <w:right w:val="nil"/>
            </w:tcBorders>
          </w:tcPr>
          <w:p>
            <w:pPr>
              <w:pStyle w:val="TableParagraph"/>
              <w:spacing w:line="275" w:lineRule="exact"/>
              <w:ind w:right="128"/>
              <w:rPr>
                <w:sz w:val="24"/>
              </w:rPr>
            </w:pPr>
            <w:r>
              <w:rPr>
                <w:sz w:val="24"/>
              </w:rPr>
              <w:t>-9.78</w:t>
            </w:r>
          </w:p>
        </w:tc>
        <w:tc>
          <w:tcPr>
            <w:tcW w:w="1259" w:type="dxa"/>
            <w:tcBorders>
              <w:top w:val="nil"/>
              <w:left w:val="nil"/>
              <w:bottom w:val="nil"/>
              <w:right w:val="nil"/>
            </w:tcBorders>
          </w:tcPr>
          <w:p>
            <w:pPr>
              <w:pStyle w:val="TableParagraph"/>
              <w:spacing w:line="275" w:lineRule="exact"/>
              <w:ind w:right="107"/>
              <w:rPr>
                <w:sz w:val="24"/>
              </w:rPr>
            </w:pPr>
            <w:r>
              <w:rPr>
                <w:sz w:val="24"/>
              </w:rPr>
              <w:t>-2.82</w:t>
            </w:r>
          </w:p>
        </w:tc>
        <w:tc>
          <w:tcPr>
            <w:tcW w:w="1321" w:type="dxa"/>
            <w:tcBorders>
              <w:top w:val="nil"/>
              <w:left w:val="nil"/>
              <w:bottom w:val="nil"/>
              <w:right w:val="nil"/>
            </w:tcBorders>
          </w:tcPr>
          <w:p>
            <w:pPr>
              <w:pStyle w:val="TableParagraph"/>
              <w:spacing w:line="275" w:lineRule="exact"/>
              <w:ind w:right="71"/>
              <w:rPr>
                <w:sz w:val="24"/>
              </w:rPr>
            </w:pPr>
            <w:r>
              <w:rPr>
                <w:sz w:val="24"/>
              </w:rPr>
              <w:t>-5.60</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7</w:t>
            </w:r>
          </w:p>
        </w:tc>
        <w:tc>
          <w:tcPr>
            <w:tcW w:w="1281" w:type="dxa"/>
            <w:tcBorders>
              <w:top w:val="nil"/>
              <w:left w:val="nil"/>
              <w:bottom w:val="nil"/>
              <w:right w:val="nil"/>
            </w:tcBorders>
          </w:tcPr>
          <w:p>
            <w:pPr>
              <w:pStyle w:val="TableParagraph"/>
              <w:spacing w:line="275" w:lineRule="exact"/>
              <w:ind w:right="69"/>
              <w:rPr>
                <w:sz w:val="24"/>
              </w:rPr>
            </w:pPr>
            <w:r>
              <w:rPr>
                <w:sz w:val="24"/>
              </w:rPr>
              <w:t>-0.26</w:t>
            </w:r>
          </w:p>
        </w:tc>
        <w:tc>
          <w:tcPr>
            <w:tcW w:w="1340" w:type="dxa"/>
            <w:tcBorders>
              <w:top w:val="nil"/>
              <w:left w:val="nil"/>
              <w:bottom w:val="nil"/>
              <w:right w:val="nil"/>
            </w:tcBorders>
          </w:tcPr>
          <w:p>
            <w:pPr>
              <w:pStyle w:val="TableParagraph"/>
              <w:spacing w:line="275" w:lineRule="exact"/>
              <w:ind w:right="127"/>
              <w:rPr>
                <w:sz w:val="24"/>
              </w:rPr>
            </w:pPr>
            <w:r>
              <w:rPr>
                <w:sz w:val="24"/>
              </w:rPr>
              <w:t>-0.05</w:t>
            </w:r>
          </w:p>
        </w:tc>
        <w:tc>
          <w:tcPr>
            <w:tcW w:w="1258" w:type="dxa"/>
            <w:tcBorders>
              <w:top w:val="nil"/>
              <w:left w:val="nil"/>
              <w:bottom w:val="nil"/>
              <w:right w:val="nil"/>
            </w:tcBorders>
          </w:tcPr>
          <w:p>
            <w:pPr>
              <w:pStyle w:val="TableParagraph"/>
              <w:spacing w:line="275" w:lineRule="exact"/>
              <w:ind w:right="106"/>
              <w:rPr>
                <w:sz w:val="24"/>
              </w:rPr>
            </w:pPr>
            <w:r>
              <w:rPr>
                <w:sz w:val="24"/>
              </w:rPr>
              <w:t>-0.26</w:t>
            </w:r>
          </w:p>
        </w:tc>
        <w:tc>
          <w:tcPr>
            <w:tcW w:w="1379" w:type="dxa"/>
            <w:tcBorders>
              <w:top w:val="nil"/>
              <w:left w:val="nil"/>
              <w:bottom w:val="nil"/>
              <w:right w:val="nil"/>
            </w:tcBorders>
          </w:tcPr>
          <w:p>
            <w:pPr>
              <w:pStyle w:val="TableParagraph"/>
              <w:spacing w:line="275" w:lineRule="exact"/>
              <w:ind w:right="128"/>
              <w:rPr>
                <w:sz w:val="24"/>
              </w:rPr>
            </w:pPr>
            <w:r>
              <w:rPr>
                <w:sz w:val="24"/>
              </w:rPr>
              <w:t>13.12</w:t>
            </w:r>
          </w:p>
        </w:tc>
        <w:tc>
          <w:tcPr>
            <w:tcW w:w="1259" w:type="dxa"/>
            <w:tcBorders>
              <w:top w:val="nil"/>
              <w:left w:val="nil"/>
              <w:bottom w:val="nil"/>
              <w:right w:val="nil"/>
            </w:tcBorders>
          </w:tcPr>
          <w:p>
            <w:pPr>
              <w:pStyle w:val="TableParagraph"/>
              <w:spacing w:line="275" w:lineRule="exact"/>
              <w:ind w:right="107"/>
              <w:rPr>
                <w:sz w:val="24"/>
              </w:rPr>
            </w:pPr>
            <w:r>
              <w:rPr>
                <w:sz w:val="24"/>
              </w:rPr>
              <w:t>2.15</w:t>
            </w:r>
          </w:p>
        </w:tc>
        <w:tc>
          <w:tcPr>
            <w:tcW w:w="1321" w:type="dxa"/>
            <w:tcBorders>
              <w:top w:val="nil"/>
              <w:left w:val="nil"/>
              <w:bottom w:val="nil"/>
              <w:right w:val="nil"/>
            </w:tcBorders>
          </w:tcPr>
          <w:p>
            <w:pPr>
              <w:pStyle w:val="TableParagraph"/>
              <w:spacing w:line="275" w:lineRule="exact"/>
              <w:ind w:right="71"/>
              <w:rPr>
                <w:sz w:val="24"/>
              </w:rPr>
            </w:pPr>
            <w:r>
              <w:rPr>
                <w:sz w:val="24"/>
              </w:rPr>
              <w:t>7.76</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8</w:t>
            </w:r>
          </w:p>
        </w:tc>
        <w:tc>
          <w:tcPr>
            <w:tcW w:w="1281" w:type="dxa"/>
            <w:tcBorders>
              <w:top w:val="nil"/>
              <w:left w:val="nil"/>
              <w:bottom w:val="nil"/>
              <w:right w:val="nil"/>
            </w:tcBorders>
          </w:tcPr>
          <w:p>
            <w:pPr>
              <w:pStyle w:val="TableParagraph"/>
              <w:spacing w:line="275" w:lineRule="exact"/>
              <w:ind w:right="69"/>
              <w:rPr>
                <w:sz w:val="24"/>
              </w:rPr>
            </w:pPr>
            <w:r>
              <w:rPr>
                <w:sz w:val="24"/>
              </w:rPr>
              <w:t>0.17</w:t>
            </w:r>
          </w:p>
        </w:tc>
        <w:tc>
          <w:tcPr>
            <w:tcW w:w="1340" w:type="dxa"/>
            <w:tcBorders>
              <w:top w:val="nil"/>
              <w:left w:val="nil"/>
              <w:bottom w:val="nil"/>
              <w:right w:val="nil"/>
            </w:tcBorders>
          </w:tcPr>
          <w:p>
            <w:pPr>
              <w:pStyle w:val="TableParagraph"/>
              <w:spacing w:line="275" w:lineRule="exact"/>
              <w:ind w:right="127"/>
              <w:rPr>
                <w:sz w:val="24"/>
              </w:rPr>
            </w:pPr>
            <w:r>
              <w:rPr>
                <w:sz w:val="24"/>
              </w:rPr>
              <w:t>-0.03</w:t>
            </w:r>
          </w:p>
        </w:tc>
        <w:tc>
          <w:tcPr>
            <w:tcW w:w="1258" w:type="dxa"/>
            <w:tcBorders>
              <w:top w:val="nil"/>
              <w:left w:val="nil"/>
              <w:bottom w:val="nil"/>
              <w:right w:val="nil"/>
            </w:tcBorders>
          </w:tcPr>
          <w:p>
            <w:pPr>
              <w:pStyle w:val="TableParagraph"/>
              <w:spacing w:line="275" w:lineRule="exact"/>
              <w:ind w:right="106"/>
              <w:rPr>
                <w:sz w:val="24"/>
              </w:rPr>
            </w:pPr>
            <w:r>
              <w:rPr>
                <w:sz w:val="24"/>
              </w:rPr>
              <w:t>0.18</w:t>
            </w:r>
          </w:p>
        </w:tc>
        <w:tc>
          <w:tcPr>
            <w:tcW w:w="1379" w:type="dxa"/>
            <w:tcBorders>
              <w:top w:val="nil"/>
              <w:left w:val="nil"/>
              <w:bottom w:val="nil"/>
              <w:right w:val="nil"/>
            </w:tcBorders>
          </w:tcPr>
          <w:p>
            <w:pPr>
              <w:pStyle w:val="TableParagraph"/>
              <w:spacing w:line="275" w:lineRule="exact"/>
              <w:ind w:right="128"/>
              <w:rPr>
                <w:sz w:val="24"/>
              </w:rPr>
            </w:pPr>
            <w:r>
              <w:rPr>
                <w:sz w:val="24"/>
              </w:rPr>
              <w:t>-17.66</w:t>
            </w:r>
          </w:p>
        </w:tc>
        <w:tc>
          <w:tcPr>
            <w:tcW w:w="1259" w:type="dxa"/>
            <w:tcBorders>
              <w:top w:val="nil"/>
              <w:left w:val="nil"/>
              <w:bottom w:val="nil"/>
              <w:right w:val="nil"/>
            </w:tcBorders>
          </w:tcPr>
          <w:p>
            <w:pPr>
              <w:pStyle w:val="TableParagraph"/>
              <w:spacing w:line="275" w:lineRule="exact"/>
              <w:ind w:right="107"/>
              <w:rPr>
                <w:sz w:val="24"/>
              </w:rPr>
            </w:pPr>
            <w:r>
              <w:rPr>
                <w:sz w:val="24"/>
              </w:rPr>
              <w:t>1.06</w:t>
            </w:r>
          </w:p>
        </w:tc>
        <w:tc>
          <w:tcPr>
            <w:tcW w:w="1321" w:type="dxa"/>
            <w:tcBorders>
              <w:top w:val="nil"/>
              <w:left w:val="nil"/>
              <w:bottom w:val="nil"/>
              <w:right w:val="nil"/>
            </w:tcBorders>
          </w:tcPr>
          <w:p>
            <w:pPr>
              <w:pStyle w:val="TableParagraph"/>
              <w:spacing w:line="275" w:lineRule="exact"/>
              <w:ind w:right="71"/>
              <w:rPr>
                <w:sz w:val="24"/>
              </w:rPr>
            </w:pPr>
            <w:r>
              <w:rPr>
                <w:sz w:val="24"/>
              </w:rPr>
              <w:t>-4.94</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9</w:t>
            </w:r>
          </w:p>
        </w:tc>
        <w:tc>
          <w:tcPr>
            <w:tcW w:w="1281" w:type="dxa"/>
            <w:tcBorders>
              <w:top w:val="nil"/>
              <w:left w:val="nil"/>
              <w:bottom w:val="nil"/>
              <w:right w:val="nil"/>
            </w:tcBorders>
          </w:tcPr>
          <w:p>
            <w:pPr>
              <w:pStyle w:val="TableParagraph"/>
              <w:spacing w:line="275" w:lineRule="exact"/>
              <w:ind w:right="69"/>
              <w:rPr>
                <w:sz w:val="24"/>
              </w:rPr>
            </w:pPr>
            <w:r>
              <w:rPr>
                <w:sz w:val="24"/>
              </w:rPr>
              <w:t>-0.07</w:t>
            </w:r>
          </w:p>
        </w:tc>
        <w:tc>
          <w:tcPr>
            <w:tcW w:w="1340" w:type="dxa"/>
            <w:tcBorders>
              <w:top w:val="nil"/>
              <w:left w:val="nil"/>
              <w:bottom w:val="nil"/>
              <w:right w:val="nil"/>
            </w:tcBorders>
          </w:tcPr>
          <w:p>
            <w:pPr>
              <w:pStyle w:val="TableParagraph"/>
              <w:spacing w:line="275" w:lineRule="exact"/>
              <w:ind w:right="127"/>
              <w:rPr>
                <w:sz w:val="24"/>
              </w:rPr>
            </w:pPr>
            <w:r>
              <w:rPr>
                <w:sz w:val="24"/>
              </w:rPr>
              <w:t>0.16</w:t>
            </w:r>
          </w:p>
        </w:tc>
        <w:tc>
          <w:tcPr>
            <w:tcW w:w="1258" w:type="dxa"/>
            <w:tcBorders>
              <w:top w:val="nil"/>
              <w:left w:val="nil"/>
              <w:bottom w:val="nil"/>
              <w:right w:val="nil"/>
            </w:tcBorders>
          </w:tcPr>
          <w:p>
            <w:pPr>
              <w:pStyle w:val="TableParagraph"/>
              <w:spacing w:line="275" w:lineRule="exact"/>
              <w:ind w:right="106"/>
              <w:rPr>
                <w:sz w:val="24"/>
              </w:rPr>
            </w:pPr>
            <w:r>
              <w:rPr>
                <w:sz w:val="24"/>
              </w:rPr>
              <w:t>0.00</w:t>
            </w:r>
          </w:p>
        </w:tc>
        <w:tc>
          <w:tcPr>
            <w:tcW w:w="1379" w:type="dxa"/>
            <w:tcBorders>
              <w:top w:val="nil"/>
              <w:left w:val="nil"/>
              <w:bottom w:val="nil"/>
              <w:right w:val="nil"/>
            </w:tcBorders>
          </w:tcPr>
          <w:p>
            <w:pPr>
              <w:pStyle w:val="TableParagraph"/>
              <w:spacing w:line="275" w:lineRule="exact"/>
              <w:ind w:right="128"/>
              <w:rPr>
                <w:sz w:val="24"/>
              </w:rPr>
            </w:pPr>
            <w:r>
              <w:rPr>
                <w:sz w:val="24"/>
              </w:rPr>
              <w:t>20.25</w:t>
            </w:r>
          </w:p>
        </w:tc>
        <w:tc>
          <w:tcPr>
            <w:tcW w:w="1259" w:type="dxa"/>
            <w:tcBorders>
              <w:top w:val="nil"/>
              <w:left w:val="nil"/>
              <w:bottom w:val="nil"/>
              <w:right w:val="nil"/>
            </w:tcBorders>
          </w:tcPr>
          <w:p>
            <w:pPr>
              <w:pStyle w:val="TableParagraph"/>
              <w:spacing w:line="275" w:lineRule="exact"/>
              <w:ind w:right="107"/>
              <w:rPr>
                <w:sz w:val="24"/>
              </w:rPr>
            </w:pPr>
            <w:r>
              <w:rPr>
                <w:sz w:val="24"/>
              </w:rPr>
              <w:t>0.42</w:t>
            </w:r>
          </w:p>
        </w:tc>
        <w:tc>
          <w:tcPr>
            <w:tcW w:w="1321" w:type="dxa"/>
            <w:tcBorders>
              <w:top w:val="nil"/>
              <w:left w:val="nil"/>
              <w:bottom w:val="nil"/>
              <w:right w:val="nil"/>
            </w:tcBorders>
          </w:tcPr>
          <w:p>
            <w:pPr>
              <w:pStyle w:val="TableParagraph"/>
              <w:spacing w:line="275" w:lineRule="exact"/>
              <w:ind w:right="71"/>
              <w:rPr>
                <w:sz w:val="24"/>
              </w:rPr>
            </w:pPr>
            <w:r>
              <w:rPr>
                <w:sz w:val="24"/>
              </w:rPr>
              <w:t>7.95</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10</w:t>
            </w:r>
          </w:p>
        </w:tc>
        <w:tc>
          <w:tcPr>
            <w:tcW w:w="1281" w:type="dxa"/>
            <w:tcBorders>
              <w:top w:val="nil"/>
              <w:left w:val="nil"/>
              <w:bottom w:val="nil"/>
              <w:right w:val="nil"/>
            </w:tcBorders>
          </w:tcPr>
          <w:p>
            <w:pPr>
              <w:pStyle w:val="TableParagraph"/>
              <w:spacing w:line="275" w:lineRule="exact"/>
              <w:ind w:right="69"/>
              <w:rPr>
                <w:sz w:val="24"/>
              </w:rPr>
            </w:pPr>
            <w:r>
              <w:rPr>
                <w:sz w:val="24"/>
              </w:rPr>
              <w:t>0.91</w:t>
            </w:r>
          </w:p>
        </w:tc>
        <w:tc>
          <w:tcPr>
            <w:tcW w:w="1340" w:type="dxa"/>
            <w:tcBorders>
              <w:top w:val="nil"/>
              <w:left w:val="nil"/>
              <w:bottom w:val="nil"/>
              <w:right w:val="nil"/>
            </w:tcBorders>
          </w:tcPr>
          <w:p>
            <w:pPr>
              <w:pStyle w:val="TableParagraph"/>
              <w:spacing w:line="275" w:lineRule="exact"/>
              <w:ind w:right="127"/>
              <w:rPr>
                <w:sz w:val="24"/>
              </w:rPr>
            </w:pPr>
            <w:r>
              <w:rPr>
                <w:sz w:val="24"/>
              </w:rPr>
              <w:t>1.26</w:t>
            </w:r>
          </w:p>
        </w:tc>
        <w:tc>
          <w:tcPr>
            <w:tcW w:w="1258" w:type="dxa"/>
            <w:tcBorders>
              <w:top w:val="nil"/>
              <w:left w:val="nil"/>
              <w:bottom w:val="nil"/>
              <w:right w:val="nil"/>
            </w:tcBorders>
          </w:tcPr>
          <w:p>
            <w:pPr>
              <w:pStyle w:val="TableParagraph"/>
              <w:spacing w:line="275" w:lineRule="exact"/>
              <w:ind w:right="106"/>
              <w:rPr>
                <w:sz w:val="24"/>
              </w:rPr>
            </w:pPr>
            <w:r>
              <w:rPr>
                <w:sz w:val="24"/>
              </w:rPr>
              <w:t>1.06</w:t>
            </w:r>
          </w:p>
        </w:tc>
        <w:tc>
          <w:tcPr>
            <w:tcW w:w="1379" w:type="dxa"/>
            <w:tcBorders>
              <w:top w:val="nil"/>
              <w:left w:val="nil"/>
              <w:bottom w:val="nil"/>
              <w:right w:val="nil"/>
            </w:tcBorders>
          </w:tcPr>
          <w:p>
            <w:pPr>
              <w:pStyle w:val="TableParagraph"/>
              <w:spacing w:line="275" w:lineRule="exact"/>
              <w:ind w:right="128"/>
              <w:rPr>
                <w:sz w:val="24"/>
              </w:rPr>
            </w:pPr>
            <w:r>
              <w:rPr>
                <w:sz w:val="24"/>
              </w:rPr>
              <w:t>-4.91</w:t>
            </w:r>
          </w:p>
        </w:tc>
        <w:tc>
          <w:tcPr>
            <w:tcW w:w="1259" w:type="dxa"/>
            <w:tcBorders>
              <w:top w:val="nil"/>
              <w:left w:val="nil"/>
              <w:bottom w:val="nil"/>
              <w:right w:val="nil"/>
            </w:tcBorders>
          </w:tcPr>
          <w:p>
            <w:pPr>
              <w:pStyle w:val="TableParagraph"/>
              <w:spacing w:line="275" w:lineRule="exact"/>
              <w:ind w:right="107"/>
              <w:rPr>
                <w:sz w:val="24"/>
              </w:rPr>
            </w:pPr>
            <w:r>
              <w:rPr>
                <w:sz w:val="24"/>
              </w:rPr>
              <w:t>-1.34</w:t>
            </w:r>
          </w:p>
        </w:tc>
        <w:tc>
          <w:tcPr>
            <w:tcW w:w="1321" w:type="dxa"/>
            <w:tcBorders>
              <w:top w:val="nil"/>
              <w:left w:val="nil"/>
              <w:bottom w:val="nil"/>
              <w:right w:val="nil"/>
            </w:tcBorders>
          </w:tcPr>
          <w:p>
            <w:pPr>
              <w:pStyle w:val="TableParagraph"/>
              <w:spacing w:line="275" w:lineRule="exact"/>
              <w:ind w:right="71"/>
              <w:rPr>
                <w:sz w:val="24"/>
              </w:rPr>
            </w:pPr>
            <w:r>
              <w:rPr>
                <w:sz w:val="24"/>
              </w:rPr>
              <w:t>-9.24</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11</w:t>
            </w:r>
          </w:p>
        </w:tc>
        <w:tc>
          <w:tcPr>
            <w:tcW w:w="1281" w:type="dxa"/>
            <w:tcBorders>
              <w:top w:val="nil"/>
              <w:left w:val="nil"/>
              <w:bottom w:val="nil"/>
              <w:right w:val="nil"/>
            </w:tcBorders>
          </w:tcPr>
          <w:p>
            <w:pPr>
              <w:pStyle w:val="TableParagraph"/>
              <w:spacing w:line="275" w:lineRule="exact"/>
              <w:ind w:right="69"/>
              <w:rPr>
                <w:sz w:val="24"/>
              </w:rPr>
            </w:pPr>
            <w:r>
              <w:rPr>
                <w:sz w:val="24"/>
              </w:rPr>
              <w:t>0.38</w:t>
            </w:r>
          </w:p>
        </w:tc>
        <w:tc>
          <w:tcPr>
            <w:tcW w:w="1340" w:type="dxa"/>
            <w:tcBorders>
              <w:top w:val="nil"/>
              <w:left w:val="nil"/>
              <w:bottom w:val="nil"/>
              <w:right w:val="nil"/>
            </w:tcBorders>
          </w:tcPr>
          <w:p>
            <w:pPr>
              <w:pStyle w:val="TableParagraph"/>
              <w:spacing w:line="275" w:lineRule="exact"/>
              <w:ind w:right="127"/>
              <w:rPr>
                <w:sz w:val="24"/>
              </w:rPr>
            </w:pPr>
            <w:r>
              <w:rPr>
                <w:sz w:val="24"/>
              </w:rPr>
              <w:t>1.01</w:t>
            </w:r>
          </w:p>
        </w:tc>
        <w:tc>
          <w:tcPr>
            <w:tcW w:w="1258" w:type="dxa"/>
            <w:tcBorders>
              <w:top w:val="nil"/>
              <w:left w:val="nil"/>
              <w:bottom w:val="nil"/>
              <w:right w:val="nil"/>
            </w:tcBorders>
          </w:tcPr>
          <w:p>
            <w:pPr>
              <w:pStyle w:val="TableParagraph"/>
              <w:spacing w:line="275" w:lineRule="exact"/>
              <w:ind w:right="106"/>
              <w:rPr>
                <w:sz w:val="24"/>
              </w:rPr>
            </w:pPr>
            <w:r>
              <w:rPr>
                <w:sz w:val="24"/>
              </w:rPr>
              <w:t>0.21</w:t>
            </w:r>
          </w:p>
        </w:tc>
        <w:tc>
          <w:tcPr>
            <w:tcW w:w="1379" w:type="dxa"/>
            <w:tcBorders>
              <w:top w:val="nil"/>
              <w:left w:val="nil"/>
              <w:bottom w:val="nil"/>
              <w:right w:val="nil"/>
            </w:tcBorders>
          </w:tcPr>
          <w:p>
            <w:pPr>
              <w:pStyle w:val="TableParagraph"/>
              <w:spacing w:line="275" w:lineRule="exact"/>
              <w:ind w:right="128"/>
              <w:rPr>
                <w:sz w:val="24"/>
              </w:rPr>
            </w:pPr>
            <w:r>
              <w:rPr>
                <w:sz w:val="24"/>
              </w:rPr>
              <w:t>8.69</w:t>
            </w:r>
          </w:p>
        </w:tc>
        <w:tc>
          <w:tcPr>
            <w:tcW w:w="1259" w:type="dxa"/>
            <w:tcBorders>
              <w:top w:val="nil"/>
              <w:left w:val="nil"/>
              <w:bottom w:val="nil"/>
              <w:right w:val="nil"/>
            </w:tcBorders>
          </w:tcPr>
          <w:p>
            <w:pPr>
              <w:pStyle w:val="TableParagraph"/>
              <w:spacing w:line="275" w:lineRule="exact"/>
              <w:ind w:right="107"/>
              <w:rPr>
                <w:sz w:val="24"/>
              </w:rPr>
            </w:pPr>
            <w:r>
              <w:rPr>
                <w:sz w:val="24"/>
              </w:rPr>
              <w:t>-0.84</w:t>
            </w:r>
          </w:p>
        </w:tc>
        <w:tc>
          <w:tcPr>
            <w:tcW w:w="1321" w:type="dxa"/>
            <w:tcBorders>
              <w:top w:val="nil"/>
              <w:left w:val="nil"/>
              <w:bottom w:val="nil"/>
              <w:right w:val="nil"/>
            </w:tcBorders>
          </w:tcPr>
          <w:p>
            <w:pPr>
              <w:pStyle w:val="TableParagraph"/>
              <w:spacing w:line="275" w:lineRule="exact"/>
              <w:ind w:right="71"/>
              <w:rPr>
                <w:sz w:val="24"/>
              </w:rPr>
            </w:pPr>
            <w:r>
              <w:rPr>
                <w:sz w:val="24"/>
              </w:rPr>
              <w:t>2.62</w:t>
            </w:r>
          </w:p>
        </w:tc>
      </w:tr>
      <w:tr>
        <w:trPr>
          <w:trHeight w:val="300" w:hRule="exact"/>
        </w:trPr>
        <w:tc>
          <w:tcPr>
            <w:tcW w:w="1003" w:type="dxa"/>
            <w:tcBorders>
              <w:top w:val="nil"/>
              <w:left w:val="nil"/>
              <w:bottom w:val="nil"/>
              <w:right w:val="nil"/>
            </w:tcBorders>
          </w:tcPr>
          <w:p>
            <w:pPr>
              <w:pStyle w:val="TableParagraph"/>
              <w:spacing w:line="275" w:lineRule="exact"/>
              <w:ind w:right="67"/>
              <w:rPr>
                <w:sz w:val="24"/>
              </w:rPr>
            </w:pPr>
            <w:r>
              <w:rPr>
                <w:sz w:val="24"/>
              </w:rPr>
              <w:t>12</w:t>
            </w:r>
          </w:p>
        </w:tc>
        <w:tc>
          <w:tcPr>
            <w:tcW w:w="1281" w:type="dxa"/>
            <w:tcBorders>
              <w:top w:val="nil"/>
              <w:left w:val="nil"/>
              <w:bottom w:val="nil"/>
              <w:right w:val="nil"/>
            </w:tcBorders>
          </w:tcPr>
          <w:p>
            <w:pPr>
              <w:pStyle w:val="TableParagraph"/>
              <w:spacing w:line="275" w:lineRule="exact"/>
              <w:ind w:right="69"/>
              <w:rPr>
                <w:sz w:val="24"/>
              </w:rPr>
            </w:pPr>
            <w:r>
              <w:rPr>
                <w:sz w:val="24"/>
              </w:rPr>
              <w:t>0.12</w:t>
            </w:r>
          </w:p>
        </w:tc>
        <w:tc>
          <w:tcPr>
            <w:tcW w:w="1340" w:type="dxa"/>
            <w:tcBorders>
              <w:top w:val="nil"/>
              <w:left w:val="nil"/>
              <w:bottom w:val="nil"/>
              <w:right w:val="nil"/>
            </w:tcBorders>
          </w:tcPr>
          <w:p>
            <w:pPr>
              <w:pStyle w:val="TableParagraph"/>
              <w:spacing w:line="275" w:lineRule="exact"/>
              <w:ind w:right="127"/>
              <w:rPr>
                <w:sz w:val="24"/>
              </w:rPr>
            </w:pPr>
            <w:r>
              <w:rPr>
                <w:sz w:val="24"/>
              </w:rPr>
              <w:t>0.09</w:t>
            </w:r>
          </w:p>
        </w:tc>
        <w:tc>
          <w:tcPr>
            <w:tcW w:w="1258" w:type="dxa"/>
            <w:tcBorders>
              <w:top w:val="nil"/>
              <w:left w:val="nil"/>
              <w:bottom w:val="nil"/>
              <w:right w:val="nil"/>
            </w:tcBorders>
          </w:tcPr>
          <w:p>
            <w:pPr>
              <w:pStyle w:val="TableParagraph"/>
              <w:spacing w:line="275" w:lineRule="exact"/>
              <w:ind w:right="106"/>
              <w:rPr>
                <w:sz w:val="24"/>
              </w:rPr>
            </w:pPr>
            <w:r>
              <w:rPr>
                <w:sz w:val="24"/>
              </w:rPr>
              <w:t>0.07</w:t>
            </w:r>
          </w:p>
        </w:tc>
        <w:tc>
          <w:tcPr>
            <w:tcW w:w="1379" w:type="dxa"/>
            <w:tcBorders>
              <w:top w:val="nil"/>
              <w:left w:val="nil"/>
              <w:bottom w:val="nil"/>
              <w:right w:val="nil"/>
            </w:tcBorders>
          </w:tcPr>
          <w:p>
            <w:pPr>
              <w:pStyle w:val="TableParagraph"/>
              <w:spacing w:line="275" w:lineRule="exact"/>
              <w:ind w:right="128"/>
              <w:rPr>
                <w:sz w:val="24"/>
              </w:rPr>
            </w:pPr>
            <w:r>
              <w:rPr>
                <w:sz w:val="24"/>
              </w:rPr>
              <w:t>8.68</w:t>
            </w:r>
          </w:p>
        </w:tc>
        <w:tc>
          <w:tcPr>
            <w:tcW w:w="1259" w:type="dxa"/>
            <w:tcBorders>
              <w:top w:val="nil"/>
              <w:left w:val="nil"/>
              <w:bottom w:val="nil"/>
              <w:right w:val="nil"/>
            </w:tcBorders>
          </w:tcPr>
          <w:p>
            <w:pPr>
              <w:pStyle w:val="TableParagraph"/>
              <w:spacing w:line="275" w:lineRule="exact"/>
              <w:ind w:right="107"/>
              <w:rPr>
                <w:sz w:val="24"/>
              </w:rPr>
            </w:pPr>
            <w:r>
              <w:rPr>
                <w:sz w:val="24"/>
              </w:rPr>
              <w:t>2.59</w:t>
            </w:r>
          </w:p>
        </w:tc>
        <w:tc>
          <w:tcPr>
            <w:tcW w:w="1321" w:type="dxa"/>
            <w:tcBorders>
              <w:top w:val="nil"/>
              <w:left w:val="nil"/>
              <w:bottom w:val="nil"/>
              <w:right w:val="nil"/>
            </w:tcBorders>
          </w:tcPr>
          <w:p>
            <w:pPr>
              <w:pStyle w:val="TableParagraph"/>
              <w:spacing w:line="275" w:lineRule="exact"/>
              <w:ind w:right="71"/>
              <w:rPr>
                <w:sz w:val="24"/>
              </w:rPr>
            </w:pPr>
            <w:r>
              <w:rPr>
                <w:sz w:val="24"/>
              </w:rPr>
              <w:t>4.69</w:t>
            </w:r>
          </w:p>
        </w:tc>
      </w:tr>
      <w:tr>
        <w:trPr>
          <w:trHeight w:val="305" w:hRule="exact"/>
        </w:trPr>
        <w:tc>
          <w:tcPr>
            <w:tcW w:w="1003" w:type="dxa"/>
            <w:tcBorders>
              <w:top w:val="nil"/>
              <w:left w:val="nil"/>
              <w:right w:val="nil"/>
            </w:tcBorders>
          </w:tcPr>
          <w:p>
            <w:pPr>
              <w:pStyle w:val="TableParagraph"/>
              <w:spacing w:line="275" w:lineRule="exact"/>
              <w:ind w:right="67"/>
              <w:rPr>
                <w:sz w:val="24"/>
              </w:rPr>
            </w:pPr>
            <w:r>
              <w:rPr>
                <w:sz w:val="24"/>
              </w:rPr>
              <w:t>13</w:t>
            </w:r>
          </w:p>
        </w:tc>
        <w:tc>
          <w:tcPr>
            <w:tcW w:w="1281" w:type="dxa"/>
            <w:tcBorders>
              <w:top w:val="nil"/>
              <w:left w:val="nil"/>
              <w:right w:val="nil"/>
            </w:tcBorders>
          </w:tcPr>
          <w:p>
            <w:pPr>
              <w:pStyle w:val="TableParagraph"/>
              <w:spacing w:line="275" w:lineRule="exact"/>
              <w:ind w:right="69"/>
              <w:rPr>
                <w:sz w:val="24"/>
              </w:rPr>
            </w:pPr>
            <w:r>
              <w:rPr>
                <w:sz w:val="24"/>
              </w:rPr>
              <w:t>-0.32</w:t>
            </w:r>
          </w:p>
        </w:tc>
        <w:tc>
          <w:tcPr>
            <w:tcW w:w="1340" w:type="dxa"/>
            <w:tcBorders>
              <w:top w:val="nil"/>
              <w:left w:val="nil"/>
              <w:right w:val="nil"/>
            </w:tcBorders>
          </w:tcPr>
          <w:p>
            <w:pPr>
              <w:pStyle w:val="TableParagraph"/>
              <w:spacing w:line="275" w:lineRule="exact"/>
              <w:ind w:right="127"/>
              <w:rPr>
                <w:sz w:val="24"/>
              </w:rPr>
            </w:pPr>
            <w:r>
              <w:rPr>
                <w:sz w:val="24"/>
              </w:rPr>
              <w:t>-0.69</w:t>
            </w:r>
          </w:p>
        </w:tc>
        <w:tc>
          <w:tcPr>
            <w:tcW w:w="1258" w:type="dxa"/>
            <w:tcBorders>
              <w:top w:val="nil"/>
              <w:left w:val="nil"/>
              <w:right w:val="nil"/>
            </w:tcBorders>
          </w:tcPr>
          <w:p>
            <w:pPr>
              <w:pStyle w:val="TableParagraph"/>
              <w:spacing w:line="275" w:lineRule="exact"/>
              <w:ind w:right="106"/>
              <w:rPr>
                <w:sz w:val="24"/>
              </w:rPr>
            </w:pPr>
            <w:r>
              <w:rPr>
                <w:sz w:val="24"/>
              </w:rPr>
              <w:t>-0.31</w:t>
            </w:r>
          </w:p>
        </w:tc>
        <w:tc>
          <w:tcPr>
            <w:tcW w:w="1379" w:type="dxa"/>
            <w:tcBorders>
              <w:top w:val="nil"/>
              <w:left w:val="nil"/>
              <w:right w:val="nil"/>
            </w:tcBorders>
          </w:tcPr>
          <w:p>
            <w:pPr>
              <w:pStyle w:val="TableParagraph"/>
              <w:spacing w:line="275" w:lineRule="exact"/>
              <w:ind w:right="128"/>
              <w:rPr>
                <w:sz w:val="24"/>
              </w:rPr>
            </w:pPr>
            <w:r>
              <w:rPr>
                <w:sz w:val="24"/>
              </w:rPr>
              <w:t>14.94</w:t>
            </w:r>
          </w:p>
        </w:tc>
        <w:tc>
          <w:tcPr>
            <w:tcW w:w="1259" w:type="dxa"/>
            <w:tcBorders>
              <w:top w:val="nil"/>
              <w:left w:val="nil"/>
              <w:right w:val="nil"/>
            </w:tcBorders>
          </w:tcPr>
          <w:p>
            <w:pPr>
              <w:pStyle w:val="TableParagraph"/>
              <w:spacing w:line="275" w:lineRule="exact"/>
              <w:ind w:right="107"/>
              <w:rPr>
                <w:sz w:val="24"/>
              </w:rPr>
            </w:pPr>
            <w:r>
              <w:rPr>
                <w:sz w:val="24"/>
              </w:rPr>
              <w:t>6.11</w:t>
            </w:r>
          </w:p>
        </w:tc>
        <w:tc>
          <w:tcPr>
            <w:tcW w:w="1321" w:type="dxa"/>
            <w:tcBorders>
              <w:top w:val="nil"/>
              <w:left w:val="nil"/>
              <w:right w:val="nil"/>
            </w:tcBorders>
          </w:tcPr>
          <w:p>
            <w:pPr>
              <w:pStyle w:val="TableParagraph"/>
              <w:spacing w:line="275" w:lineRule="exact"/>
              <w:ind w:right="71"/>
              <w:rPr>
                <w:sz w:val="24"/>
              </w:rPr>
            </w:pPr>
            <w:r>
              <w:rPr>
                <w:sz w:val="24"/>
              </w:rPr>
              <w:t>1.61</w:t>
            </w:r>
          </w:p>
        </w:tc>
      </w:tr>
      <w:tr>
        <w:trPr>
          <w:trHeight w:val="327" w:hRule="exact"/>
        </w:trPr>
        <w:tc>
          <w:tcPr>
            <w:tcW w:w="1003" w:type="dxa"/>
            <w:tcBorders>
              <w:left w:val="nil"/>
              <w:bottom w:val="nil"/>
              <w:right w:val="nil"/>
            </w:tcBorders>
          </w:tcPr>
          <w:p>
            <w:pPr>
              <w:pStyle w:val="TableParagraph"/>
              <w:spacing w:before="18"/>
              <w:ind w:left="69"/>
              <w:jc w:val="left"/>
              <w:rPr>
                <w:sz w:val="24"/>
              </w:rPr>
            </w:pPr>
            <w:r>
              <w:rPr>
                <w:sz w:val="24"/>
              </w:rPr>
              <w:t>Media</w:t>
            </w:r>
          </w:p>
        </w:tc>
        <w:tc>
          <w:tcPr>
            <w:tcW w:w="1281" w:type="dxa"/>
            <w:tcBorders>
              <w:left w:val="nil"/>
              <w:bottom w:val="nil"/>
              <w:right w:val="nil"/>
            </w:tcBorders>
          </w:tcPr>
          <w:p>
            <w:pPr>
              <w:pStyle w:val="TableParagraph"/>
              <w:spacing w:before="18"/>
              <w:ind w:right="69"/>
              <w:rPr>
                <w:sz w:val="24"/>
              </w:rPr>
            </w:pPr>
            <w:r>
              <w:rPr>
                <w:sz w:val="24"/>
              </w:rPr>
              <w:t>2.33</w:t>
            </w:r>
          </w:p>
        </w:tc>
        <w:tc>
          <w:tcPr>
            <w:tcW w:w="1340" w:type="dxa"/>
            <w:tcBorders>
              <w:left w:val="nil"/>
              <w:bottom w:val="nil"/>
              <w:right w:val="nil"/>
            </w:tcBorders>
          </w:tcPr>
          <w:p>
            <w:pPr>
              <w:pStyle w:val="TableParagraph"/>
              <w:spacing w:before="18"/>
              <w:ind w:right="127"/>
              <w:rPr>
                <w:sz w:val="24"/>
              </w:rPr>
            </w:pPr>
            <w:r>
              <w:rPr>
                <w:sz w:val="24"/>
              </w:rPr>
              <w:t>3.29</w:t>
            </w:r>
          </w:p>
        </w:tc>
        <w:tc>
          <w:tcPr>
            <w:tcW w:w="1258" w:type="dxa"/>
            <w:tcBorders>
              <w:left w:val="nil"/>
              <w:bottom w:val="nil"/>
              <w:right w:val="nil"/>
            </w:tcBorders>
          </w:tcPr>
          <w:p>
            <w:pPr>
              <w:pStyle w:val="TableParagraph"/>
              <w:spacing w:before="18"/>
              <w:ind w:right="106"/>
              <w:rPr>
                <w:sz w:val="24"/>
              </w:rPr>
            </w:pPr>
            <w:r>
              <w:rPr>
                <w:sz w:val="24"/>
              </w:rPr>
              <w:t>2.13</w:t>
            </w:r>
          </w:p>
        </w:tc>
        <w:tc>
          <w:tcPr>
            <w:tcW w:w="1379" w:type="dxa"/>
            <w:tcBorders>
              <w:left w:val="nil"/>
              <w:bottom w:val="nil"/>
              <w:right w:val="nil"/>
            </w:tcBorders>
          </w:tcPr>
          <w:p>
            <w:pPr>
              <w:pStyle w:val="TableParagraph"/>
              <w:spacing w:before="18"/>
              <w:ind w:right="128"/>
              <w:rPr>
                <w:sz w:val="24"/>
              </w:rPr>
            </w:pPr>
            <w:r>
              <w:rPr>
                <w:sz w:val="24"/>
              </w:rPr>
              <w:t>118.36</w:t>
            </w:r>
          </w:p>
        </w:tc>
        <w:tc>
          <w:tcPr>
            <w:tcW w:w="1259" w:type="dxa"/>
            <w:tcBorders>
              <w:left w:val="nil"/>
              <w:bottom w:val="nil"/>
              <w:right w:val="nil"/>
            </w:tcBorders>
          </w:tcPr>
          <w:p>
            <w:pPr>
              <w:pStyle w:val="TableParagraph"/>
              <w:spacing w:before="18"/>
              <w:ind w:right="107"/>
              <w:rPr>
                <w:sz w:val="24"/>
              </w:rPr>
            </w:pPr>
            <w:r>
              <w:rPr>
                <w:sz w:val="24"/>
              </w:rPr>
              <w:t>37.15</w:t>
            </w:r>
          </w:p>
        </w:tc>
        <w:tc>
          <w:tcPr>
            <w:tcW w:w="1321" w:type="dxa"/>
            <w:tcBorders>
              <w:left w:val="nil"/>
              <w:bottom w:val="nil"/>
              <w:right w:val="nil"/>
            </w:tcBorders>
          </w:tcPr>
          <w:p>
            <w:pPr>
              <w:pStyle w:val="TableParagraph"/>
              <w:spacing w:before="18"/>
              <w:ind w:right="71"/>
              <w:rPr>
                <w:sz w:val="24"/>
              </w:rPr>
            </w:pPr>
            <w:r>
              <w:rPr>
                <w:sz w:val="24"/>
              </w:rPr>
              <w:t>64.85</w:t>
            </w:r>
          </w:p>
        </w:tc>
      </w:tr>
      <w:tr>
        <w:trPr>
          <w:trHeight w:val="300" w:hRule="exact"/>
        </w:trPr>
        <w:tc>
          <w:tcPr>
            <w:tcW w:w="1003" w:type="dxa"/>
            <w:tcBorders>
              <w:top w:val="nil"/>
              <w:left w:val="nil"/>
              <w:bottom w:val="nil"/>
              <w:right w:val="nil"/>
            </w:tcBorders>
          </w:tcPr>
          <w:p>
            <w:pPr>
              <w:pStyle w:val="TableParagraph"/>
              <w:spacing w:line="289" w:lineRule="exact"/>
              <w:ind w:left="69"/>
              <w:jc w:val="left"/>
              <w:rPr>
                <w:sz w:val="16"/>
              </w:rPr>
            </w:pPr>
            <w:r>
              <w:rPr>
                <w:sz w:val="24"/>
              </w:rPr>
              <w:t>DE</w:t>
            </w:r>
            <w:r>
              <w:rPr>
                <w:position w:val="9"/>
                <w:sz w:val="16"/>
              </w:rPr>
              <w:t>£</w:t>
            </w:r>
          </w:p>
        </w:tc>
        <w:tc>
          <w:tcPr>
            <w:tcW w:w="1281" w:type="dxa"/>
            <w:tcBorders>
              <w:top w:val="nil"/>
              <w:left w:val="nil"/>
              <w:bottom w:val="nil"/>
              <w:right w:val="nil"/>
            </w:tcBorders>
          </w:tcPr>
          <w:p>
            <w:pPr>
              <w:pStyle w:val="TableParagraph"/>
              <w:spacing w:before="12"/>
              <w:ind w:right="69"/>
              <w:rPr>
                <w:sz w:val="24"/>
              </w:rPr>
            </w:pPr>
            <w:r>
              <w:rPr>
                <w:sz w:val="24"/>
              </w:rPr>
              <w:t>0.40023053</w:t>
            </w:r>
          </w:p>
        </w:tc>
        <w:tc>
          <w:tcPr>
            <w:tcW w:w="1340" w:type="dxa"/>
            <w:tcBorders>
              <w:top w:val="nil"/>
              <w:left w:val="nil"/>
              <w:bottom w:val="nil"/>
              <w:right w:val="nil"/>
            </w:tcBorders>
          </w:tcPr>
          <w:p>
            <w:pPr>
              <w:pStyle w:val="TableParagraph"/>
              <w:spacing w:before="12"/>
              <w:ind w:right="127"/>
              <w:rPr>
                <w:sz w:val="24"/>
              </w:rPr>
            </w:pPr>
            <w:r>
              <w:rPr>
                <w:sz w:val="24"/>
              </w:rPr>
              <w:t>0.63879182</w:t>
            </w:r>
          </w:p>
        </w:tc>
        <w:tc>
          <w:tcPr>
            <w:tcW w:w="1258" w:type="dxa"/>
            <w:tcBorders>
              <w:top w:val="nil"/>
              <w:left w:val="nil"/>
              <w:bottom w:val="nil"/>
              <w:right w:val="nil"/>
            </w:tcBorders>
          </w:tcPr>
          <w:p>
            <w:pPr>
              <w:pStyle w:val="TableParagraph"/>
              <w:spacing w:before="12"/>
              <w:ind w:right="106"/>
              <w:rPr>
                <w:sz w:val="24"/>
              </w:rPr>
            </w:pPr>
            <w:r>
              <w:rPr>
                <w:sz w:val="24"/>
              </w:rPr>
              <w:t>0.4083495</w:t>
            </w:r>
          </w:p>
        </w:tc>
        <w:tc>
          <w:tcPr>
            <w:tcW w:w="1379" w:type="dxa"/>
            <w:tcBorders>
              <w:top w:val="nil"/>
              <w:left w:val="nil"/>
              <w:bottom w:val="nil"/>
              <w:right w:val="nil"/>
            </w:tcBorders>
          </w:tcPr>
          <w:p>
            <w:pPr>
              <w:pStyle w:val="TableParagraph"/>
              <w:spacing w:before="12"/>
              <w:ind w:right="128"/>
              <w:rPr>
                <w:sz w:val="24"/>
              </w:rPr>
            </w:pPr>
            <w:r>
              <w:rPr>
                <w:sz w:val="24"/>
              </w:rPr>
              <w:t>13.9631927</w:t>
            </w:r>
          </w:p>
        </w:tc>
        <w:tc>
          <w:tcPr>
            <w:tcW w:w="1259" w:type="dxa"/>
            <w:tcBorders>
              <w:top w:val="nil"/>
              <w:left w:val="nil"/>
              <w:bottom w:val="nil"/>
              <w:right w:val="nil"/>
            </w:tcBorders>
          </w:tcPr>
          <w:p>
            <w:pPr>
              <w:pStyle w:val="TableParagraph"/>
              <w:spacing w:before="12"/>
              <w:ind w:right="107"/>
              <w:rPr>
                <w:sz w:val="24"/>
              </w:rPr>
            </w:pPr>
            <w:r>
              <w:rPr>
                <w:sz w:val="24"/>
              </w:rPr>
              <w:t>2.8084528</w:t>
            </w:r>
          </w:p>
        </w:tc>
        <w:tc>
          <w:tcPr>
            <w:tcW w:w="1321" w:type="dxa"/>
            <w:tcBorders>
              <w:top w:val="nil"/>
              <w:left w:val="nil"/>
              <w:bottom w:val="nil"/>
              <w:right w:val="nil"/>
            </w:tcBorders>
          </w:tcPr>
          <w:p>
            <w:pPr>
              <w:pStyle w:val="TableParagraph"/>
              <w:spacing w:before="12"/>
              <w:ind w:right="71"/>
              <w:rPr>
                <w:sz w:val="24"/>
              </w:rPr>
            </w:pPr>
            <w:r>
              <w:rPr>
                <w:sz w:val="24"/>
              </w:rPr>
              <w:t>5.67196502</w:t>
            </w:r>
          </w:p>
        </w:tc>
      </w:tr>
      <w:tr>
        <w:trPr>
          <w:trHeight w:val="300" w:hRule="exact"/>
        </w:trPr>
        <w:tc>
          <w:tcPr>
            <w:tcW w:w="1003" w:type="dxa"/>
            <w:tcBorders>
              <w:top w:val="nil"/>
              <w:left w:val="nil"/>
              <w:bottom w:val="nil"/>
              <w:right w:val="nil"/>
            </w:tcBorders>
          </w:tcPr>
          <w:p>
            <w:pPr>
              <w:pStyle w:val="TableParagraph"/>
              <w:spacing w:line="289" w:lineRule="exact"/>
              <w:ind w:left="69"/>
              <w:jc w:val="left"/>
              <w:rPr>
                <w:sz w:val="16"/>
              </w:rPr>
            </w:pPr>
            <w:r>
              <w:rPr>
                <w:sz w:val="24"/>
              </w:rPr>
              <w:t>CV</w:t>
            </w:r>
            <w:r>
              <w:rPr>
                <w:position w:val="9"/>
                <w:sz w:val="16"/>
              </w:rPr>
              <w:t>Į</w:t>
            </w:r>
          </w:p>
        </w:tc>
        <w:tc>
          <w:tcPr>
            <w:tcW w:w="1281" w:type="dxa"/>
            <w:tcBorders>
              <w:top w:val="nil"/>
              <w:left w:val="nil"/>
              <w:bottom w:val="nil"/>
              <w:right w:val="nil"/>
            </w:tcBorders>
          </w:tcPr>
          <w:p>
            <w:pPr>
              <w:pStyle w:val="TableParagraph"/>
              <w:spacing w:before="12"/>
              <w:ind w:right="69"/>
              <w:rPr>
                <w:sz w:val="24"/>
              </w:rPr>
            </w:pPr>
            <w:r>
              <w:rPr>
                <w:sz w:val="24"/>
              </w:rPr>
              <w:t>17.2130544</w:t>
            </w:r>
          </w:p>
        </w:tc>
        <w:tc>
          <w:tcPr>
            <w:tcW w:w="1340" w:type="dxa"/>
            <w:tcBorders>
              <w:top w:val="nil"/>
              <w:left w:val="nil"/>
              <w:bottom w:val="nil"/>
              <w:right w:val="nil"/>
            </w:tcBorders>
          </w:tcPr>
          <w:p>
            <w:pPr>
              <w:pStyle w:val="TableParagraph"/>
              <w:spacing w:before="12"/>
              <w:ind w:right="127"/>
              <w:rPr>
                <w:sz w:val="24"/>
              </w:rPr>
            </w:pPr>
            <w:r>
              <w:rPr>
                <w:sz w:val="24"/>
              </w:rPr>
              <w:t>19.391006</w:t>
            </w:r>
          </w:p>
        </w:tc>
        <w:tc>
          <w:tcPr>
            <w:tcW w:w="1258" w:type="dxa"/>
            <w:tcBorders>
              <w:top w:val="nil"/>
              <w:left w:val="nil"/>
              <w:bottom w:val="nil"/>
              <w:right w:val="nil"/>
            </w:tcBorders>
          </w:tcPr>
          <w:p>
            <w:pPr>
              <w:pStyle w:val="TableParagraph"/>
              <w:spacing w:before="12"/>
              <w:ind w:right="106"/>
              <w:rPr>
                <w:sz w:val="24"/>
              </w:rPr>
            </w:pPr>
            <w:r>
              <w:rPr>
                <w:sz w:val="24"/>
              </w:rPr>
              <w:t>19.186679</w:t>
            </w:r>
          </w:p>
        </w:tc>
        <w:tc>
          <w:tcPr>
            <w:tcW w:w="1379" w:type="dxa"/>
            <w:tcBorders>
              <w:top w:val="nil"/>
              <w:left w:val="nil"/>
              <w:bottom w:val="nil"/>
              <w:right w:val="nil"/>
            </w:tcBorders>
          </w:tcPr>
          <w:p>
            <w:pPr>
              <w:pStyle w:val="TableParagraph"/>
              <w:spacing w:before="12"/>
              <w:ind w:right="128"/>
              <w:rPr>
                <w:sz w:val="24"/>
              </w:rPr>
            </w:pPr>
            <w:r>
              <w:rPr>
                <w:sz w:val="24"/>
              </w:rPr>
              <w:t>11.7969122</w:t>
            </w:r>
          </w:p>
        </w:tc>
        <w:tc>
          <w:tcPr>
            <w:tcW w:w="1259" w:type="dxa"/>
            <w:tcBorders>
              <w:top w:val="nil"/>
              <w:left w:val="nil"/>
              <w:bottom w:val="nil"/>
              <w:right w:val="nil"/>
            </w:tcBorders>
          </w:tcPr>
          <w:p>
            <w:pPr>
              <w:pStyle w:val="TableParagraph"/>
              <w:spacing w:before="12"/>
              <w:ind w:right="107"/>
              <w:rPr>
                <w:sz w:val="24"/>
              </w:rPr>
            </w:pPr>
            <w:r>
              <w:rPr>
                <w:sz w:val="24"/>
              </w:rPr>
              <w:t>7.5593502</w:t>
            </w:r>
          </w:p>
        </w:tc>
        <w:tc>
          <w:tcPr>
            <w:tcW w:w="1321" w:type="dxa"/>
            <w:tcBorders>
              <w:top w:val="nil"/>
              <w:left w:val="nil"/>
              <w:bottom w:val="nil"/>
              <w:right w:val="nil"/>
            </w:tcBorders>
          </w:tcPr>
          <w:p>
            <w:pPr>
              <w:pStyle w:val="TableParagraph"/>
              <w:spacing w:before="12"/>
              <w:ind w:right="71"/>
              <w:rPr>
                <w:sz w:val="24"/>
              </w:rPr>
            </w:pPr>
            <w:r>
              <w:rPr>
                <w:sz w:val="24"/>
              </w:rPr>
              <w:t>8.74563224</w:t>
            </w:r>
          </w:p>
        </w:tc>
      </w:tr>
      <w:tr>
        <w:trPr>
          <w:trHeight w:val="318" w:hRule="exact"/>
        </w:trPr>
        <w:tc>
          <w:tcPr>
            <w:tcW w:w="1003" w:type="dxa"/>
            <w:tcBorders>
              <w:top w:val="nil"/>
              <w:left w:val="nil"/>
              <w:right w:val="nil"/>
            </w:tcBorders>
          </w:tcPr>
          <w:p>
            <w:pPr>
              <w:pStyle w:val="TableParagraph"/>
              <w:spacing w:line="289" w:lineRule="exact"/>
              <w:ind w:left="69"/>
              <w:jc w:val="left"/>
              <w:rPr>
                <w:sz w:val="16"/>
              </w:rPr>
            </w:pPr>
            <w:r>
              <w:rPr>
                <w:sz w:val="24"/>
              </w:rPr>
              <w:t>CA</w:t>
            </w:r>
            <w:r>
              <w:rPr>
                <w:position w:val="9"/>
                <w:sz w:val="16"/>
              </w:rPr>
              <w:t>Ŋ</w:t>
            </w:r>
          </w:p>
        </w:tc>
        <w:tc>
          <w:tcPr>
            <w:tcW w:w="1281" w:type="dxa"/>
            <w:tcBorders>
              <w:top w:val="nil"/>
              <w:left w:val="nil"/>
              <w:right w:val="nil"/>
            </w:tcBorders>
          </w:tcPr>
          <w:p>
            <w:pPr>
              <w:pStyle w:val="TableParagraph"/>
              <w:spacing w:before="12"/>
              <w:ind w:right="69"/>
              <w:rPr>
                <w:sz w:val="24"/>
              </w:rPr>
            </w:pPr>
            <w:r>
              <w:rPr>
                <w:sz w:val="24"/>
              </w:rPr>
              <w:t>0.27654167</w:t>
            </w:r>
          </w:p>
        </w:tc>
        <w:tc>
          <w:tcPr>
            <w:tcW w:w="1340" w:type="dxa"/>
            <w:tcBorders>
              <w:top w:val="nil"/>
              <w:left w:val="nil"/>
              <w:right w:val="nil"/>
            </w:tcBorders>
          </w:tcPr>
          <w:p>
            <w:pPr>
              <w:pStyle w:val="TableParagraph"/>
              <w:spacing w:before="12"/>
              <w:ind w:right="127"/>
              <w:rPr>
                <w:sz w:val="24"/>
              </w:rPr>
            </w:pPr>
            <w:r>
              <w:rPr>
                <w:sz w:val="24"/>
              </w:rPr>
              <w:t>0.4025262</w:t>
            </w:r>
          </w:p>
        </w:tc>
        <w:tc>
          <w:tcPr>
            <w:tcW w:w="1258" w:type="dxa"/>
            <w:tcBorders>
              <w:top w:val="nil"/>
              <w:left w:val="nil"/>
              <w:right w:val="nil"/>
            </w:tcBorders>
          </w:tcPr>
          <w:p>
            <w:pPr>
              <w:pStyle w:val="TableParagraph"/>
              <w:spacing w:before="12"/>
              <w:ind w:right="106"/>
              <w:rPr>
                <w:sz w:val="24"/>
              </w:rPr>
            </w:pPr>
            <w:r>
              <w:rPr>
                <w:sz w:val="24"/>
              </w:rPr>
              <w:t>0.2125317</w:t>
            </w:r>
          </w:p>
        </w:tc>
        <w:tc>
          <w:tcPr>
            <w:tcW w:w="1379" w:type="dxa"/>
            <w:tcBorders>
              <w:top w:val="nil"/>
              <w:left w:val="nil"/>
              <w:right w:val="nil"/>
            </w:tcBorders>
          </w:tcPr>
          <w:p>
            <w:pPr>
              <w:pStyle w:val="TableParagraph"/>
              <w:spacing w:before="12"/>
              <w:ind w:right="128"/>
              <w:rPr>
                <w:sz w:val="24"/>
              </w:rPr>
            </w:pPr>
            <w:r>
              <w:rPr>
                <w:sz w:val="24"/>
              </w:rPr>
              <w:t>-0.2620698</w:t>
            </w:r>
          </w:p>
        </w:tc>
        <w:tc>
          <w:tcPr>
            <w:tcW w:w="1259" w:type="dxa"/>
            <w:tcBorders>
              <w:top w:val="nil"/>
              <w:left w:val="nil"/>
              <w:right w:val="nil"/>
            </w:tcBorders>
          </w:tcPr>
          <w:p>
            <w:pPr>
              <w:pStyle w:val="TableParagraph"/>
              <w:spacing w:before="12"/>
              <w:ind w:right="107"/>
              <w:rPr>
                <w:sz w:val="24"/>
              </w:rPr>
            </w:pPr>
            <w:r>
              <w:rPr>
                <w:sz w:val="24"/>
              </w:rPr>
              <w:t>0.0764947</w:t>
            </w:r>
          </w:p>
        </w:tc>
        <w:tc>
          <w:tcPr>
            <w:tcW w:w="1321" w:type="dxa"/>
            <w:tcBorders>
              <w:top w:val="nil"/>
              <w:left w:val="nil"/>
              <w:right w:val="nil"/>
            </w:tcBorders>
          </w:tcPr>
          <w:p>
            <w:pPr>
              <w:pStyle w:val="TableParagraph"/>
              <w:spacing w:before="12"/>
              <w:ind w:right="71"/>
              <w:rPr>
                <w:sz w:val="24"/>
              </w:rPr>
            </w:pPr>
            <w:r>
              <w:rPr>
                <w:sz w:val="24"/>
              </w:rPr>
              <w:t>-0.3740411</w:t>
            </w:r>
          </w:p>
        </w:tc>
      </w:tr>
    </w:tbl>
    <w:p>
      <w:pPr>
        <w:spacing w:before="39"/>
        <w:ind w:left="171" w:right="0" w:firstLine="0"/>
        <w:jc w:val="left"/>
        <w:rPr>
          <w:sz w:val="20"/>
        </w:rPr>
      </w:pPr>
      <w:r>
        <w:rPr>
          <w:position w:val="7"/>
          <w:sz w:val="13"/>
        </w:rPr>
        <w:t>£</w:t>
      </w:r>
      <w:r>
        <w:rPr>
          <w:sz w:val="20"/>
        </w:rPr>
        <w:t>Desviación estándar; </w:t>
      </w:r>
      <w:r>
        <w:rPr>
          <w:position w:val="7"/>
          <w:sz w:val="13"/>
        </w:rPr>
        <w:t>Į</w:t>
      </w:r>
      <w:r>
        <w:rPr>
          <w:sz w:val="20"/>
        </w:rPr>
        <w:t>Coeficiente de variación; </w:t>
      </w:r>
      <w:r>
        <w:rPr>
          <w:position w:val="7"/>
          <w:sz w:val="13"/>
        </w:rPr>
        <w:t>Ŋ</w:t>
      </w:r>
      <w:r>
        <w:rPr>
          <w:sz w:val="20"/>
        </w:rPr>
        <w:t>Coeficiente de autocorrelación.</w:t>
      </w:r>
    </w:p>
    <w:p>
      <w:pPr>
        <w:pStyle w:val="BodyText"/>
        <w:rPr>
          <w:sz w:val="20"/>
        </w:rPr>
      </w:pPr>
    </w:p>
    <w:p>
      <w:pPr>
        <w:pStyle w:val="BodyText"/>
        <w:spacing w:before="2"/>
        <w:rPr>
          <w:sz w:val="29"/>
        </w:rPr>
      </w:pPr>
    </w:p>
    <w:p>
      <w:pPr>
        <w:pStyle w:val="BodyText"/>
        <w:spacing w:before="70" w:after="30"/>
        <w:ind w:left="171"/>
      </w:pPr>
      <w:r>
        <w:rPr>
          <w:b/>
        </w:rPr>
        <w:t>Anexo Tabla 2. </w:t>
      </w:r>
      <w:r>
        <w:rPr/>
        <w:t>Continuación Paso 5.1. Desviaciones no clasificadas de la media</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726"/>
        <w:gridCol w:w="1308"/>
        <w:gridCol w:w="1424"/>
        <w:gridCol w:w="1327"/>
        <w:gridCol w:w="1375"/>
        <w:gridCol w:w="1373"/>
        <w:gridCol w:w="1307"/>
      </w:tblGrid>
      <w:tr>
        <w:trPr>
          <w:trHeight w:val="346" w:hRule="exact"/>
        </w:trPr>
        <w:tc>
          <w:tcPr>
            <w:tcW w:w="726" w:type="dxa"/>
            <w:tcBorders>
              <w:left w:val="nil"/>
              <w:right w:val="nil"/>
            </w:tcBorders>
          </w:tcPr>
          <w:p>
            <w:pPr>
              <w:pStyle w:val="TableParagraph"/>
              <w:spacing w:before="18"/>
              <w:ind w:left="53" w:right="186"/>
              <w:jc w:val="center"/>
              <w:rPr>
                <w:sz w:val="24"/>
              </w:rPr>
            </w:pPr>
            <w:r>
              <w:rPr>
                <w:sz w:val="24"/>
              </w:rPr>
              <w:t>Obs.</w:t>
            </w:r>
          </w:p>
        </w:tc>
        <w:tc>
          <w:tcPr>
            <w:tcW w:w="1308" w:type="dxa"/>
            <w:tcBorders>
              <w:left w:val="nil"/>
              <w:right w:val="nil"/>
            </w:tcBorders>
          </w:tcPr>
          <w:p>
            <w:pPr>
              <w:pStyle w:val="TableParagraph"/>
              <w:spacing w:before="18"/>
              <w:ind w:left="207"/>
              <w:jc w:val="left"/>
              <w:rPr>
                <w:sz w:val="24"/>
              </w:rPr>
            </w:pPr>
            <w:r>
              <w:rPr>
                <w:sz w:val="24"/>
              </w:rPr>
              <w:t>Maíz P</w:t>
            </w:r>
          </w:p>
        </w:tc>
        <w:tc>
          <w:tcPr>
            <w:tcW w:w="1424" w:type="dxa"/>
            <w:tcBorders>
              <w:left w:val="nil"/>
              <w:right w:val="nil"/>
            </w:tcBorders>
          </w:tcPr>
          <w:p>
            <w:pPr>
              <w:pStyle w:val="TableParagraph"/>
              <w:spacing w:before="18"/>
              <w:ind w:left="255"/>
              <w:jc w:val="left"/>
              <w:rPr>
                <w:sz w:val="24"/>
              </w:rPr>
            </w:pPr>
            <w:r>
              <w:rPr>
                <w:sz w:val="24"/>
              </w:rPr>
              <w:t>Trigo P</w:t>
            </w:r>
          </w:p>
        </w:tc>
        <w:tc>
          <w:tcPr>
            <w:tcW w:w="1327" w:type="dxa"/>
            <w:tcBorders>
              <w:left w:val="nil"/>
              <w:right w:val="nil"/>
            </w:tcBorders>
          </w:tcPr>
          <w:p>
            <w:pPr>
              <w:pStyle w:val="TableParagraph"/>
              <w:spacing w:before="18"/>
              <w:ind w:left="185"/>
              <w:jc w:val="left"/>
              <w:rPr>
                <w:sz w:val="24"/>
              </w:rPr>
            </w:pPr>
            <w:r>
              <w:rPr>
                <w:sz w:val="24"/>
              </w:rPr>
              <w:t>Sorgo P</w:t>
            </w:r>
          </w:p>
        </w:tc>
        <w:tc>
          <w:tcPr>
            <w:tcW w:w="1375" w:type="dxa"/>
            <w:tcBorders>
              <w:left w:val="nil"/>
              <w:right w:val="nil"/>
            </w:tcBorders>
          </w:tcPr>
          <w:p>
            <w:pPr>
              <w:pStyle w:val="TableParagraph"/>
              <w:spacing w:before="18"/>
              <w:ind w:left="262"/>
              <w:jc w:val="left"/>
              <w:rPr>
                <w:sz w:val="24"/>
              </w:rPr>
            </w:pPr>
            <w:r>
              <w:rPr>
                <w:sz w:val="24"/>
              </w:rPr>
              <w:t>Maíz R</w:t>
            </w:r>
          </w:p>
        </w:tc>
        <w:tc>
          <w:tcPr>
            <w:tcW w:w="1373" w:type="dxa"/>
            <w:tcBorders>
              <w:left w:val="nil"/>
              <w:right w:val="nil"/>
            </w:tcBorders>
          </w:tcPr>
          <w:p>
            <w:pPr>
              <w:pStyle w:val="TableParagraph"/>
              <w:spacing w:before="18"/>
              <w:ind w:left="241"/>
              <w:jc w:val="left"/>
              <w:rPr>
                <w:sz w:val="24"/>
              </w:rPr>
            </w:pPr>
            <w:r>
              <w:rPr>
                <w:sz w:val="24"/>
              </w:rPr>
              <w:t>Trigo R</w:t>
            </w:r>
          </w:p>
        </w:tc>
        <w:tc>
          <w:tcPr>
            <w:tcW w:w="1307" w:type="dxa"/>
            <w:tcBorders>
              <w:left w:val="nil"/>
              <w:right w:val="nil"/>
            </w:tcBorders>
          </w:tcPr>
          <w:p>
            <w:pPr>
              <w:pStyle w:val="TableParagraph"/>
              <w:spacing w:before="18"/>
              <w:ind w:left="222"/>
              <w:jc w:val="left"/>
              <w:rPr>
                <w:sz w:val="24"/>
              </w:rPr>
            </w:pPr>
            <w:r>
              <w:rPr>
                <w:sz w:val="24"/>
              </w:rPr>
              <w:t>Sorgo R</w:t>
            </w:r>
          </w:p>
        </w:tc>
      </w:tr>
      <w:tr>
        <w:trPr>
          <w:trHeight w:val="341" w:hRule="exact"/>
        </w:trPr>
        <w:tc>
          <w:tcPr>
            <w:tcW w:w="726" w:type="dxa"/>
            <w:tcBorders>
              <w:left w:val="nil"/>
              <w:bottom w:val="nil"/>
              <w:right w:val="nil"/>
            </w:tcBorders>
          </w:tcPr>
          <w:p>
            <w:pPr>
              <w:pStyle w:val="TableParagraph"/>
              <w:spacing w:before="18"/>
              <w:ind w:right="133"/>
              <w:jc w:val="center"/>
              <w:rPr>
                <w:sz w:val="24"/>
              </w:rPr>
            </w:pPr>
            <w:r>
              <w:rPr>
                <w:sz w:val="24"/>
              </w:rPr>
              <w:t>1</w:t>
            </w:r>
          </w:p>
        </w:tc>
        <w:tc>
          <w:tcPr>
            <w:tcW w:w="1308" w:type="dxa"/>
            <w:tcBorders>
              <w:left w:val="nil"/>
              <w:bottom w:val="nil"/>
              <w:right w:val="nil"/>
            </w:tcBorders>
          </w:tcPr>
          <w:p>
            <w:pPr>
              <w:pStyle w:val="TableParagraph"/>
              <w:spacing w:before="18"/>
              <w:ind w:right="136"/>
              <w:rPr>
                <w:sz w:val="24"/>
              </w:rPr>
            </w:pPr>
            <w:r>
              <w:rPr>
                <w:sz w:val="24"/>
              </w:rPr>
              <w:t>-0.35488</w:t>
            </w:r>
          </w:p>
        </w:tc>
        <w:tc>
          <w:tcPr>
            <w:tcW w:w="1424" w:type="dxa"/>
            <w:tcBorders>
              <w:left w:val="nil"/>
              <w:bottom w:val="nil"/>
              <w:right w:val="nil"/>
            </w:tcBorders>
          </w:tcPr>
          <w:p>
            <w:pPr>
              <w:pStyle w:val="TableParagraph"/>
              <w:spacing w:before="18"/>
              <w:ind w:right="185"/>
              <w:rPr>
                <w:sz w:val="24"/>
              </w:rPr>
            </w:pPr>
            <w:r>
              <w:rPr>
                <w:sz w:val="24"/>
              </w:rPr>
              <w:t>-0.2653908</w:t>
            </w:r>
          </w:p>
        </w:tc>
        <w:tc>
          <w:tcPr>
            <w:tcW w:w="1327" w:type="dxa"/>
            <w:tcBorders>
              <w:left w:val="nil"/>
              <w:bottom w:val="nil"/>
              <w:right w:val="nil"/>
            </w:tcBorders>
          </w:tcPr>
          <w:p>
            <w:pPr>
              <w:pStyle w:val="TableParagraph"/>
              <w:spacing w:before="18"/>
              <w:ind w:right="136"/>
              <w:rPr>
                <w:sz w:val="24"/>
              </w:rPr>
            </w:pPr>
            <w:r>
              <w:rPr>
                <w:sz w:val="24"/>
              </w:rPr>
              <w:t>-0.3562</w:t>
            </w:r>
          </w:p>
        </w:tc>
        <w:tc>
          <w:tcPr>
            <w:tcW w:w="1375" w:type="dxa"/>
            <w:tcBorders>
              <w:left w:val="nil"/>
              <w:bottom w:val="nil"/>
              <w:right w:val="nil"/>
            </w:tcBorders>
          </w:tcPr>
          <w:p>
            <w:pPr>
              <w:pStyle w:val="TableParagraph"/>
              <w:spacing w:before="18"/>
              <w:ind w:right="137"/>
              <w:rPr>
                <w:sz w:val="24"/>
              </w:rPr>
            </w:pPr>
            <w:r>
              <w:rPr>
                <w:sz w:val="24"/>
              </w:rPr>
              <w:t>0.0085478</w:t>
            </w:r>
          </w:p>
        </w:tc>
        <w:tc>
          <w:tcPr>
            <w:tcW w:w="1373" w:type="dxa"/>
            <w:tcBorders>
              <w:left w:val="nil"/>
              <w:bottom w:val="nil"/>
              <w:right w:val="nil"/>
            </w:tcBorders>
          </w:tcPr>
          <w:p>
            <w:pPr>
              <w:pStyle w:val="TableParagraph"/>
              <w:spacing w:before="18"/>
              <w:ind w:right="133"/>
              <w:rPr>
                <w:sz w:val="24"/>
              </w:rPr>
            </w:pPr>
            <w:r>
              <w:rPr>
                <w:sz w:val="24"/>
              </w:rPr>
              <w:t>-0.0733225</w:t>
            </w:r>
          </w:p>
        </w:tc>
        <w:tc>
          <w:tcPr>
            <w:tcW w:w="1307" w:type="dxa"/>
            <w:tcBorders>
              <w:left w:val="nil"/>
              <w:bottom w:val="nil"/>
              <w:right w:val="nil"/>
            </w:tcBorders>
          </w:tcPr>
          <w:p>
            <w:pPr>
              <w:pStyle w:val="TableParagraph"/>
              <w:spacing w:before="18"/>
              <w:ind w:right="71"/>
              <w:rPr>
                <w:sz w:val="24"/>
              </w:rPr>
            </w:pPr>
            <w:r>
              <w:rPr>
                <w:sz w:val="24"/>
              </w:rPr>
              <w:t>0.0445537</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2</w:t>
            </w:r>
          </w:p>
        </w:tc>
        <w:tc>
          <w:tcPr>
            <w:tcW w:w="1308" w:type="dxa"/>
            <w:tcBorders>
              <w:top w:val="nil"/>
              <w:left w:val="nil"/>
              <w:bottom w:val="nil"/>
              <w:right w:val="nil"/>
            </w:tcBorders>
          </w:tcPr>
          <w:p>
            <w:pPr>
              <w:pStyle w:val="TableParagraph"/>
              <w:spacing w:line="275" w:lineRule="exact"/>
              <w:ind w:right="136"/>
              <w:rPr>
                <w:sz w:val="24"/>
              </w:rPr>
            </w:pPr>
            <w:r>
              <w:rPr>
                <w:sz w:val="24"/>
              </w:rPr>
              <w:t>-0.16564</w:t>
            </w:r>
          </w:p>
        </w:tc>
        <w:tc>
          <w:tcPr>
            <w:tcW w:w="1424" w:type="dxa"/>
            <w:tcBorders>
              <w:top w:val="nil"/>
              <w:left w:val="nil"/>
              <w:bottom w:val="nil"/>
              <w:right w:val="nil"/>
            </w:tcBorders>
          </w:tcPr>
          <w:p>
            <w:pPr>
              <w:pStyle w:val="TableParagraph"/>
              <w:spacing w:line="275" w:lineRule="exact"/>
              <w:ind w:right="185"/>
              <w:rPr>
                <w:sz w:val="24"/>
              </w:rPr>
            </w:pPr>
            <w:r>
              <w:rPr>
                <w:sz w:val="24"/>
              </w:rPr>
              <w:t>-0.2198571</w:t>
            </w:r>
          </w:p>
        </w:tc>
        <w:tc>
          <w:tcPr>
            <w:tcW w:w="1327" w:type="dxa"/>
            <w:tcBorders>
              <w:top w:val="nil"/>
              <w:left w:val="nil"/>
              <w:bottom w:val="nil"/>
              <w:right w:val="nil"/>
            </w:tcBorders>
          </w:tcPr>
          <w:p>
            <w:pPr>
              <w:pStyle w:val="TableParagraph"/>
              <w:spacing w:line="275" w:lineRule="exact"/>
              <w:ind w:right="136"/>
              <w:rPr>
                <w:sz w:val="24"/>
              </w:rPr>
            </w:pPr>
            <w:r>
              <w:rPr>
                <w:sz w:val="24"/>
              </w:rPr>
              <w:t>-0.20123</w:t>
            </w:r>
          </w:p>
        </w:tc>
        <w:tc>
          <w:tcPr>
            <w:tcW w:w="1375" w:type="dxa"/>
            <w:tcBorders>
              <w:top w:val="nil"/>
              <w:left w:val="nil"/>
              <w:bottom w:val="nil"/>
              <w:right w:val="nil"/>
            </w:tcBorders>
          </w:tcPr>
          <w:p>
            <w:pPr>
              <w:pStyle w:val="TableParagraph"/>
              <w:spacing w:line="275" w:lineRule="exact"/>
              <w:ind w:right="136"/>
              <w:rPr>
                <w:sz w:val="24"/>
              </w:rPr>
            </w:pPr>
            <w:r>
              <w:rPr>
                <w:sz w:val="24"/>
              </w:rPr>
              <w:t>0.0125089</w:t>
            </w:r>
          </w:p>
        </w:tc>
        <w:tc>
          <w:tcPr>
            <w:tcW w:w="1373" w:type="dxa"/>
            <w:tcBorders>
              <w:top w:val="nil"/>
              <w:left w:val="nil"/>
              <w:bottom w:val="nil"/>
              <w:right w:val="nil"/>
            </w:tcBorders>
          </w:tcPr>
          <w:p>
            <w:pPr>
              <w:pStyle w:val="TableParagraph"/>
              <w:spacing w:line="275" w:lineRule="exact"/>
              <w:ind w:right="133"/>
              <w:rPr>
                <w:sz w:val="24"/>
              </w:rPr>
            </w:pPr>
            <w:r>
              <w:rPr>
                <w:sz w:val="24"/>
              </w:rPr>
              <w:t>0.0140550</w:t>
            </w:r>
          </w:p>
        </w:tc>
        <w:tc>
          <w:tcPr>
            <w:tcW w:w="1307" w:type="dxa"/>
            <w:tcBorders>
              <w:top w:val="nil"/>
              <w:left w:val="nil"/>
              <w:bottom w:val="nil"/>
              <w:right w:val="nil"/>
            </w:tcBorders>
          </w:tcPr>
          <w:p>
            <w:pPr>
              <w:pStyle w:val="TableParagraph"/>
              <w:spacing w:line="275" w:lineRule="exact"/>
              <w:ind w:right="71"/>
              <w:rPr>
                <w:sz w:val="24"/>
              </w:rPr>
            </w:pPr>
            <w:r>
              <w:rPr>
                <w:sz w:val="24"/>
              </w:rPr>
              <w:t>0.0700201</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3</w:t>
            </w:r>
          </w:p>
        </w:tc>
        <w:tc>
          <w:tcPr>
            <w:tcW w:w="1308" w:type="dxa"/>
            <w:tcBorders>
              <w:top w:val="nil"/>
              <w:left w:val="nil"/>
              <w:bottom w:val="nil"/>
              <w:right w:val="nil"/>
            </w:tcBorders>
          </w:tcPr>
          <w:p>
            <w:pPr>
              <w:pStyle w:val="TableParagraph"/>
              <w:spacing w:line="275" w:lineRule="exact"/>
              <w:ind w:right="136"/>
              <w:rPr>
                <w:sz w:val="24"/>
              </w:rPr>
            </w:pPr>
            <w:r>
              <w:rPr>
                <w:sz w:val="24"/>
              </w:rPr>
              <w:t>0.09239</w:t>
            </w:r>
          </w:p>
        </w:tc>
        <w:tc>
          <w:tcPr>
            <w:tcW w:w="1424" w:type="dxa"/>
            <w:tcBorders>
              <w:top w:val="nil"/>
              <w:left w:val="nil"/>
              <w:bottom w:val="nil"/>
              <w:right w:val="nil"/>
            </w:tcBorders>
          </w:tcPr>
          <w:p>
            <w:pPr>
              <w:pStyle w:val="TableParagraph"/>
              <w:spacing w:line="275" w:lineRule="exact"/>
              <w:ind w:right="185"/>
              <w:rPr>
                <w:sz w:val="24"/>
              </w:rPr>
            </w:pPr>
            <w:r>
              <w:rPr>
                <w:sz w:val="24"/>
              </w:rPr>
              <w:t>0.1292339</w:t>
            </w:r>
          </w:p>
        </w:tc>
        <w:tc>
          <w:tcPr>
            <w:tcW w:w="1327" w:type="dxa"/>
            <w:tcBorders>
              <w:top w:val="nil"/>
              <w:left w:val="nil"/>
              <w:bottom w:val="nil"/>
              <w:right w:val="nil"/>
            </w:tcBorders>
          </w:tcPr>
          <w:p>
            <w:pPr>
              <w:pStyle w:val="TableParagraph"/>
              <w:spacing w:line="275" w:lineRule="exact"/>
              <w:ind w:right="136"/>
              <w:rPr>
                <w:sz w:val="24"/>
              </w:rPr>
            </w:pPr>
            <w:r>
              <w:rPr>
                <w:sz w:val="24"/>
              </w:rPr>
              <w:t>0.0665</w:t>
            </w:r>
          </w:p>
        </w:tc>
        <w:tc>
          <w:tcPr>
            <w:tcW w:w="1375" w:type="dxa"/>
            <w:tcBorders>
              <w:top w:val="nil"/>
              <w:left w:val="nil"/>
              <w:bottom w:val="nil"/>
              <w:right w:val="nil"/>
            </w:tcBorders>
          </w:tcPr>
          <w:p>
            <w:pPr>
              <w:pStyle w:val="TableParagraph"/>
              <w:spacing w:line="275" w:lineRule="exact"/>
              <w:ind w:right="137"/>
              <w:rPr>
                <w:sz w:val="24"/>
              </w:rPr>
            </w:pPr>
            <w:r>
              <w:rPr>
                <w:sz w:val="24"/>
              </w:rPr>
              <w:t>-0.2851442</w:t>
            </w:r>
          </w:p>
        </w:tc>
        <w:tc>
          <w:tcPr>
            <w:tcW w:w="1373" w:type="dxa"/>
            <w:tcBorders>
              <w:top w:val="nil"/>
              <w:left w:val="nil"/>
              <w:bottom w:val="nil"/>
              <w:right w:val="nil"/>
            </w:tcBorders>
          </w:tcPr>
          <w:p>
            <w:pPr>
              <w:pStyle w:val="TableParagraph"/>
              <w:spacing w:line="275" w:lineRule="exact"/>
              <w:ind w:right="133"/>
              <w:rPr>
                <w:sz w:val="24"/>
              </w:rPr>
            </w:pPr>
            <w:r>
              <w:rPr>
                <w:sz w:val="24"/>
              </w:rPr>
              <w:t>-0.0829489</w:t>
            </w:r>
          </w:p>
        </w:tc>
        <w:tc>
          <w:tcPr>
            <w:tcW w:w="1307" w:type="dxa"/>
            <w:tcBorders>
              <w:top w:val="nil"/>
              <w:left w:val="nil"/>
              <w:bottom w:val="nil"/>
              <w:right w:val="nil"/>
            </w:tcBorders>
          </w:tcPr>
          <w:p>
            <w:pPr>
              <w:pStyle w:val="TableParagraph"/>
              <w:spacing w:line="275" w:lineRule="exact"/>
              <w:ind w:right="71"/>
              <w:rPr>
                <w:sz w:val="24"/>
              </w:rPr>
            </w:pPr>
            <w:r>
              <w:rPr>
                <w:sz w:val="24"/>
              </w:rPr>
              <w:t>-0.0165946</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4</w:t>
            </w:r>
          </w:p>
        </w:tc>
        <w:tc>
          <w:tcPr>
            <w:tcW w:w="1308" w:type="dxa"/>
            <w:tcBorders>
              <w:top w:val="nil"/>
              <w:left w:val="nil"/>
              <w:bottom w:val="nil"/>
              <w:right w:val="nil"/>
            </w:tcBorders>
          </w:tcPr>
          <w:p>
            <w:pPr>
              <w:pStyle w:val="TableParagraph"/>
              <w:spacing w:line="275" w:lineRule="exact"/>
              <w:ind w:right="136"/>
              <w:rPr>
                <w:sz w:val="24"/>
              </w:rPr>
            </w:pPr>
            <w:r>
              <w:rPr>
                <w:sz w:val="24"/>
              </w:rPr>
              <w:t>0.01498</w:t>
            </w:r>
          </w:p>
        </w:tc>
        <w:tc>
          <w:tcPr>
            <w:tcW w:w="1424" w:type="dxa"/>
            <w:tcBorders>
              <w:top w:val="nil"/>
              <w:left w:val="nil"/>
              <w:bottom w:val="nil"/>
              <w:right w:val="nil"/>
            </w:tcBorders>
          </w:tcPr>
          <w:p>
            <w:pPr>
              <w:pStyle w:val="TableParagraph"/>
              <w:spacing w:line="275" w:lineRule="exact"/>
              <w:ind w:right="185"/>
              <w:rPr>
                <w:sz w:val="24"/>
              </w:rPr>
            </w:pPr>
            <w:r>
              <w:rPr>
                <w:sz w:val="24"/>
              </w:rPr>
              <w:t>0.1292339</w:t>
            </w:r>
          </w:p>
        </w:tc>
        <w:tc>
          <w:tcPr>
            <w:tcW w:w="1327" w:type="dxa"/>
            <w:tcBorders>
              <w:top w:val="nil"/>
              <w:left w:val="nil"/>
              <w:bottom w:val="nil"/>
              <w:right w:val="nil"/>
            </w:tcBorders>
          </w:tcPr>
          <w:p>
            <w:pPr>
              <w:pStyle w:val="TableParagraph"/>
              <w:spacing w:line="275" w:lineRule="exact"/>
              <w:ind w:right="136"/>
              <w:rPr>
                <w:sz w:val="24"/>
              </w:rPr>
            </w:pPr>
            <w:r>
              <w:rPr>
                <w:sz w:val="24"/>
              </w:rPr>
              <w:t>-0.01329</w:t>
            </w:r>
          </w:p>
        </w:tc>
        <w:tc>
          <w:tcPr>
            <w:tcW w:w="1375" w:type="dxa"/>
            <w:tcBorders>
              <w:top w:val="nil"/>
              <w:left w:val="nil"/>
              <w:bottom w:val="nil"/>
              <w:right w:val="nil"/>
            </w:tcBorders>
          </w:tcPr>
          <w:p>
            <w:pPr>
              <w:pStyle w:val="TableParagraph"/>
              <w:spacing w:line="275" w:lineRule="exact"/>
              <w:ind w:right="137"/>
              <w:rPr>
                <w:sz w:val="24"/>
              </w:rPr>
            </w:pPr>
            <w:r>
              <w:rPr>
                <w:sz w:val="24"/>
              </w:rPr>
              <w:t>-0.0185741</w:t>
            </w:r>
          </w:p>
        </w:tc>
        <w:tc>
          <w:tcPr>
            <w:tcW w:w="1373" w:type="dxa"/>
            <w:tcBorders>
              <w:top w:val="nil"/>
              <w:left w:val="nil"/>
              <w:bottom w:val="nil"/>
              <w:right w:val="nil"/>
            </w:tcBorders>
          </w:tcPr>
          <w:p>
            <w:pPr>
              <w:pStyle w:val="TableParagraph"/>
              <w:spacing w:line="275" w:lineRule="exact"/>
              <w:ind w:right="133"/>
              <w:rPr>
                <w:sz w:val="24"/>
              </w:rPr>
            </w:pPr>
            <w:r>
              <w:rPr>
                <w:sz w:val="24"/>
              </w:rPr>
              <w:t>-0.1185328</w:t>
            </w:r>
          </w:p>
        </w:tc>
        <w:tc>
          <w:tcPr>
            <w:tcW w:w="1307" w:type="dxa"/>
            <w:tcBorders>
              <w:top w:val="nil"/>
              <w:left w:val="nil"/>
              <w:bottom w:val="nil"/>
              <w:right w:val="nil"/>
            </w:tcBorders>
          </w:tcPr>
          <w:p>
            <w:pPr>
              <w:pStyle w:val="TableParagraph"/>
              <w:spacing w:line="275" w:lineRule="exact"/>
              <w:ind w:right="71"/>
              <w:rPr>
                <w:sz w:val="24"/>
              </w:rPr>
            </w:pPr>
            <w:r>
              <w:rPr>
                <w:sz w:val="24"/>
              </w:rPr>
              <w:t>-0.1453487</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5</w:t>
            </w:r>
          </w:p>
        </w:tc>
        <w:tc>
          <w:tcPr>
            <w:tcW w:w="1308" w:type="dxa"/>
            <w:tcBorders>
              <w:top w:val="nil"/>
              <w:left w:val="nil"/>
              <w:bottom w:val="nil"/>
              <w:right w:val="nil"/>
            </w:tcBorders>
          </w:tcPr>
          <w:p>
            <w:pPr>
              <w:pStyle w:val="TableParagraph"/>
              <w:spacing w:line="275" w:lineRule="exact"/>
              <w:ind w:right="136"/>
              <w:rPr>
                <w:sz w:val="24"/>
              </w:rPr>
            </w:pPr>
            <w:r>
              <w:rPr>
                <w:sz w:val="24"/>
              </w:rPr>
              <w:t>-0.01942</w:t>
            </w:r>
          </w:p>
        </w:tc>
        <w:tc>
          <w:tcPr>
            <w:tcW w:w="1424" w:type="dxa"/>
            <w:tcBorders>
              <w:top w:val="nil"/>
              <w:left w:val="nil"/>
              <w:bottom w:val="nil"/>
              <w:right w:val="nil"/>
            </w:tcBorders>
          </w:tcPr>
          <w:p>
            <w:pPr>
              <w:pStyle w:val="TableParagraph"/>
              <w:spacing w:line="275" w:lineRule="exact"/>
              <w:ind w:right="185"/>
              <w:rPr>
                <w:sz w:val="24"/>
              </w:rPr>
            </w:pPr>
            <w:r>
              <w:rPr>
                <w:sz w:val="24"/>
              </w:rPr>
              <w:t>-0.2077148</w:t>
            </w:r>
          </w:p>
        </w:tc>
        <w:tc>
          <w:tcPr>
            <w:tcW w:w="1327" w:type="dxa"/>
            <w:tcBorders>
              <w:top w:val="nil"/>
              <w:left w:val="nil"/>
              <w:bottom w:val="nil"/>
              <w:right w:val="nil"/>
            </w:tcBorders>
          </w:tcPr>
          <w:p>
            <w:pPr>
              <w:pStyle w:val="TableParagraph"/>
              <w:spacing w:line="275" w:lineRule="exact"/>
              <w:ind w:right="136"/>
              <w:rPr>
                <w:sz w:val="24"/>
              </w:rPr>
            </w:pPr>
            <w:r>
              <w:rPr>
                <w:sz w:val="24"/>
              </w:rPr>
              <w:t>-0.0038</w:t>
            </w:r>
          </w:p>
        </w:tc>
        <w:tc>
          <w:tcPr>
            <w:tcW w:w="1375" w:type="dxa"/>
            <w:tcBorders>
              <w:top w:val="nil"/>
              <w:left w:val="nil"/>
              <w:bottom w:val="nil"/>
              <w:right w:val="nil"/>
            </w:tcBorders>
          </w:tcPr>
          <w:p>
            <w:pPr>
              <w:pStyle w:val="TableParagraph"/>
              <w:spacing w:line="275" w:lineRule="exact"/>
              <w:ind w:right="137"/>
              <w:rPr>
                <w:sz w:val="24"/>
              </w:rPr>
            </w:pPr>
            <w:r>
              <w:rPr>
                <w:sz w:val="24"/>
              </w:rPr>
              <w:t>0.0011837</w:t>
            </w:r>
          </w:p>
        </w:tc>
        <w:tc>
          <w:tcPr>
            <w:tcW w:w="1373" w:type="dxa"/>
            <w:tcBorders>
              <w:top w:val="nil"/>
              <w:left w:val="nil"/>
              <w:bottom w:val="nil"/>
              <w:right w:val="nil"/>
            </w:tcBorders>
          </w:tcPr>
          <w:p>
            <w:pPr>
              <w:pStyle w:val="TableParagraph"/>
              <w:spacing w:line="275" w:lineRule="exact"/>
              <w:ind w:right="133"/>
              <w:rPr>
                <w:sz w:val="24"/>
              </w:rPr>
            </w:pPr>
            <w:r>
              <w:rPr>
                <w:sz w:val="24"/>
              </w:rPr>
              <w:t>0.0631468</w:t>
            </w:r>
          </w:p>
        </w:tc>
        <w:tc>
          <w:tcPr>
            <w:tcW w:w="1307" w:type="dxa"/>
            <w:tcBorders>
              <w:top w:val="nil"/>
              <w:left w:val="nil"/>
              <w:bottom w:val="nil"/>
              <w:right w:val="nil"/>
            </w:tcBorders>
          </w:tcPr>
          <w:p>
            <w:pPr>
              <w:pStyle w:val="TableParagraph"/>
              <w:spacing w:line="275" w:lineRule="exact"/>
              <w:ind w:right="71"/>
              <w:rPr>
                <w:sz w:val="24"/>
              </w:rPr>
            </w:pPr>
            <w:r>
              <w:rPr>
                <w:sz w:val="24"/>
              </w:rPr>
              <w:t>-0.0274190</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6</w:t>
            </w:r>
          </w:p>
        </w:tc>
        <w:tc>
          <w:tcPr>
            <w:tcW w:w="1308" w:type="dxa"/>
            <w:tcBorders>
              <w:top w:val="nil"/>
              <w:left w:val="nil"/>
              <w:bottom w:val="nil"/>
              <w:right w:val="nil"/>
            </w:tcBorders>
          </w:tcPr>
          <w:p>
            <w:pPr>
              <w:pStyle w:val="TableParagraph"/>
              <w:spacing w:line="275" w:lineRule="exact"/>
              <w:ind w:right="136"/>
              <w:rPr>
                <w:sz w:val="24"/>
              </w:rPr>
            </w:pPr>
            <w:r>
              <w:rPr>
                <w:sz w:val="24"/>
              </w:rPr>
              <w:t>0.01928</w:t>
            </w:r>
          </w:p>
        </w:tc>
        <w:tc>
          <w:tcPr>
            <w:tcW w:w="1424" w:type="dxa"/>
            <w:tcBorders>
              <w:top w:val="nil"/>
              <w:left w:val="nil"/>
              <w:bottom w:val="nil"/>
              <w:right w:val="nil"/>
            </w:tcBorders>
          </w:tcPr>
          <w:p>
            <w:pPr>
              <w:pStyle w:val="TableParagraph"/>
              <w:spacing w:line="275" w:lineRule="exact"/>
              <w:ind w:right="185"/>
              <w:rPr>
                <w:sz w:val="24"/>
              </w:rPr>
            </w:pPr>
            <w:r>
              <w:rPr>
                <w:sz w:val="24"/>
              </w:rPr>
              <w:t>-0.0893274</w:t>
            </w:r>
          </w:p>
        </w:tc>
        <w:tc>
          <w:tcPr>
            <w:tcW w:w="1327" w:type="dxa"/>
            <w:tcBorders>
              <w:top w:val="nil"/>
              <w:left w:val="nil"/>
              <w:bottom w:val="nil"/>
              <w:right w:val="nil"/>
            </w:tcBorders>
          </w:tcPr>
          <w:p>
            <w:pPr>
              <w:pStyle w:val="TableParagraph"/>
              <w:spacing w:line="275" w:lineRule="exact"/>
              <w:ind w:right="136"/>
              <w:rPr>
                <w:sz w:val="24"/>
              </w:rPr>
            </w:pPr>
            <w:r>
              <w:rPr>
                <w:sz w:val="24"/>
              </w:rPr>
              <w:t>0.05774</w:t>
            </w:r>
          </w:p>
        </w:tc>
        <w:tc>
          <w:tcPr>
            <w:tcW w:w="1375" w:type="dxa"/>
            <w:tcBorders>
              <w:top w:val="nil"/>
              <w:left w:val="nil"/>
              <w:bottom w:val="nil"/>
              <w:right w:val="nil"/>
            </w:tcBorders>
          </w:tcPr>
          <w:p>
            <w:pPr>
              <w:pStyle w:val="TableParagraph"/>
              <w:spacing w:line="275" w:lineRule="exact"/>
              <w:ind w:right="137"/>
              <w:rPr>
                <w:sz w:val="24"/>
              </w:rPr>
            </w:pPr>
            <w:r>
              <w:rPr>
                <w:sz w:val="24"/>
              </w:rPr>
              <w:t>-0.0826444</w:t>
            </w:r>
          </w:p>
        </w:tc>
        <w:tc>
          <w:tcPr>
            <w:tcW w:w="1373" w:type="dxa"/>
            <w:tcBorders>
              <w:top w:val="nil"/>
              <w:left w:val="nil"/>
              <w:bottom w:val="nil"/>
              <w:right w:val="nil"/>
            </w:tcBorders>
          </w:tcPr>
          <w:p>
            <w:pPr>
              <w:pStyle w:val="TableParagraph"/>
              <w:spacing w:line="275" w:lineRule="exact"/>
              <w:ind w:right="133"/>
              <w:rPr>
                <w:sz w:val="24"/>
              </w:rPr>
            </w:pPr>
            <w:r>
              <w:rPr>
                <w:sz w:val="24"/>
              </w:rPr>
              <w:t>-0.0758687</w:t>
            </w:r>
          </w:p>
        </w:tc>
        <w:tc>
          <w:tcPr>
            <w:tcW w:w="1307" w:type="dxa"/>
            <w:tcBorders>
              <w:top w:val="nil"/>
              <w:left w:val="nil"/>
              <w:bottom w:val="nil"/>
              <w:right w:val="nil"/>
            </w:tcBorders>
          </w:tcPr>
          <w:p>
            <w:pPr>
              <w:pStyle w:val="TableParagraph"/>
              <w:spacing w:line="275" w:lineRule="exact"/>
              <w:ind w:right="71"/>
              <w:rPr>
                <w:sz w:val="24"/>
              </w:rPr>
            </w:pPr>
            <w:r>
              <w:rPr>
                <w:sz w:val="24"/>
              </w:rPr>
              <w:t>-0.0863235</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7</w:t>
            </w:r>
          </w:p>
        </w:tc>
        <w:tc>
          <w:tcPr>
            <w:tcW w:w="1308" w:type="dxa"/>
            <w:tcBorders>
              <w:top w:val="nil"/>
              <w:left w:val="nil"/>
              <w:bottom w:val="nil"/>
              <w:right w:val="nil"/>
            </w:tcBorders>
          </w:tcPr>
          <w:p>
            <w:pPr>
              <w:pStyle w:val="TableParagraph"/>
              <w:spacing w:line="275" w:lineRule="exact"/>
              <w:ind w:right="136"/>
              <w:rPr>
                <w:sz w:val="24"/>
              </w:rPr>
            </w:pPr>
            <w:r>
              <w:rPr>
                <w:sz w:val="24"/>
              </w:rPr>
              <w:t>-0.10973</w:t>
            </w:r>
          </w:p>
        </w:tc>
        <w:tc>
          <w:tcPr>
            <w:tcW w:w="1424" w:type="dxa"/>
            <w:tcBorders>
              <w:top w:val="nil"/>
              <w:left w:val="nil"/>
              <w:bottom w:val="nil"/>
              <w:right w:val="nil"/>
            </w:tcBorders>
          </w:tcPr>
          <w:p>
            <w:pPr>
              <w:pStyle w:val="TableParagraph"/>
              <w:spacing w:line="275" w:lineRule="exact"/>
              <w:ind w:right="185"/>
              <w:rPr>
                <w:sz w:val="24"/>
              </w:rPr>
            </w:pPr>
            <w:r>
              <w:rPr>
                <w:sz w:val="24"/>
              </w:rPr>
              <w:t>-0.0164736</w:t>
            </w:r>
          </w:p>
        </w:tc>
        <w:tc>
          <w:tcPr>
            <w:tcW w:w="1327" w:type="dxa"/>
            <w:tcBorders>
              <w:top w:val="nil"/>
              <w:left w:val="nil"/>
              <w:bottom w:val="nil"/>
              <w:right w:val="nil"/>
            </w:tcBorders>
          </w:tcPr>
          <w:p>
            <w:pPr>
              <w:pStyle w:val="TableParagraph"/>
              <w:spacing w:line="275" w:lineRule="exact"/>
              <w:ind w:right="136"/>
              <w:rPr>
                <w:sz w:val="24"/>
              </w:rPr>
            </w:pPr>
            <w:r>
              <w:rPr>
                <w:sz w:val="24"/>
              </w:rPr>
              <w:t>-0.11985</w:t>
            </w:r>
          </w:p>
        </w:tc>
        <w:tc>
          <w:tcPr>
            <w:tcW w:w="1375" w:type="dxa"/>
            <w:tcBorders>
              <w:top w:val="nil"/>
              <w:left w:val="nil"/>
              <w:bottom w:val="nil"/>
              <w:right w:val="nil"/>
            </w:tcBorders>
          </w:tcPr>
          <w:p>
            <w:pPr>
              <w:pStyle w:val="TableParagraph"/>
              <w:spacing w:line="275" w:lineRule="exact"/>
              <w:ind w:right="137"/>
              <w:rPr>
                <w:sz w:val="24"/>
              </w:rPr>
            </w:pPr>
            <w:r>
              <w:rPr>
                <w:sz w:val="24"/>
              </w:rPr>
              <w:t>0.1108206</w:t>
            </w:r>
          </w:p>
        </w:tc>
        <w:tc>
          <w:tcPr>
            <w:tcW w:w="1373" w:type="dxa"/>
            <w:tcBorders>
              <w:top w:val="nil"/>
              <w:left w:val="nil"/>
              <w:bottom w:val="nil"/>
              <w:right w:val="nil"/>
            </w:tcBorders>
          </w:tcPr>
          <w:p>
            <w:pPr>
              <w:pStyle w:val="TableParagraph"/>
              <w:spacing w:line="275" w:lineRule="exact"/>
              <w:ind w:right="133"/>
              <w:rPr>
                <w:sz w:val="24"/>
              </w:rPr>
            </w:pPr>
            <w:r>
              <w:rPr>
                <w:sz w:val="24"/>
              </w:rPr>
              <w:t>0.0579395</w:t>
            </w:r>
          </w:p>
        </w:tc>
        <w:tc>
          <w:tcPr>
            <w:tcW w:w="1307" w:type="dxa"/>
            <w:tcBorders>
              <w:top w:val="nil"/>
              <w:left w:val="nil"/>
              <w:bottom w:val="nil"/>
              <w:right w:val="nil"/>
            </w:tcBorders>
          </w:tcPr>
          <w:p>
            <w:pPr>
              <w:pStyle w:val="TableParagraph"/>
              <w:spacing w:line="275" w:lineRule="exact"/>
              <w:ind w:right="71"/>
              <w:rPr>
                <w:sz w:val="24"/>
              </w:rPr>
            </w:pPr>
            <w:r>
              <w:rPr>
                <w:sz w:val="24"/>
              </w:rPr>
              <w:t>0.1196688</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8</w:t>
            </w:r>
          </w:p>
        </w:tc>
        <w:tc>
          <w:tcPr>
            <w:tcW w:w="1308" w:type="dxa"/>
            <w:tcBorders>
              <w:top w:val="nil"/>
              <w:left w:val="nil"/>
              <w:bottom w:val="nil"/>
              <w:right w:val="nil"/>
            </w:tcBorders>
          </w:tcPr>
          <w:p>
            <w:pPr>
              <w:pStyle w:val="TableParagraph"/>
              <w:spacing w:line="275" w:lineRule="exact"/>
              <w:ind w:right="136"/>
              <w:rPr>
                <w:sz w:val="24"/>
              </w:rPr>
            </w:pPr>
            <w:r>
              <w:rPr>
                <w:sz w:val="24"/>
              </w:rPr>
              <w:t>0.07519</w:t>
            </w:r>
          </w:p>
        </w:tc>
        <w:tc>
          <w:tcPr>
            <w:tcW w:w="1424" w:type="dxa"/>
            <w:tcBorders>
              <w:top w:val="nil"/>
              <w:left w:val="nil"/>
              <w:bottom w:val="nil"/>
              <w:right w:val="nil"/>
            </w:tcBorders>
          </w:tcPr>
          <w:p>
            <w:pPr>
              <w:pStyle w:val="TableParagraph"/>
              <w:spacing w:line="275" w:lineRule="exact"/>
              <w:ind w:right="185"/>
              <w:rPr>
                <w:sz w:val="24"/>
              </w:rPr>
            </w:pPr>
            <w:r>
              <w:rPr>
                <w:sz w:val="24"/>
              </w:rPr>
              <w:t>-0.0104021</w:t>
            </w:r>
          </w:p>
        </w:tc>
        <w:tc>
          <w:tcPr>
            <w:tcW w:w="1327" w:type="dxa"/>
            <w:tcBorders>
              <w:top w:val="nil"/>
              <w:left w:val="nil"/>
              <w:bottom w:val="nil"/>
              <w:right w:val="nil"/>
            </w:tcBorders>
          </w:tcPr>
          <w:p>
            <w:pPr>
              <w:pStyle w:val="TableParagraph"/>
              <w:spacing w:line="275" w:lineRule="exact"/>
              <w:ind w:right="136"/>
              <w:rPr>
                <w:sz w:val="24"/>
              </w:rPr>
            </w:pPr>
            <w:r>
              <w:rPr>
                <w:sz w:val="24"/>
              </w:rPr>
              <w:t>0.08537</w:t>
            </w:r>
          </w:p>
        </w:tc>
        <w:tc>
          <w:tcPr>
            <w:tcW w:w="1375" w:type="dxa"/>
            <w:tcBorders>
              <w:top w:val="nil"/>
              <w:left w:val="nil"/>
              <w:bottom w:val="nil"/>
              <w:right w:val="nil"/>
            </w:tcBorders>
          </w:tcPr>
          <w:p>
            <w:pPr>
              <w:pStyle w:val="TableParagraph"/>
              <w:spacing w:line="275" w:lineRule="exact"/>
              <w:ind w:right="137"/>
              <w:rPr>
                <w:sz w:val="24"/>
              </w:rPr>
            </w:pPr>
            <w:r>
              <w:rPr>
                <w:sz w:val="24"/>
              </w:rPr>
              <w:t>-0.1491845</w:t>
            </w:r>
          </w:p>
        </w:tc>
        <w:tc>
          <w:tcPr>
            <w:tcW w:w="1373" w:type="dxa"/>
            <w:tcBorders>
              <w:top w:val="nil"/>
              <w:left w:val="nil"/>
              <w:bottom w:val="nil"/>
              <w:right w:val="nil"/>
            </w:tcBorders>
          </w:tcPr>
          <w:p>
            <w:pPr>
              <w:pStyle w:val="TableParagraph"/>
              <w:spacing w:line="275" w:lineRule="exact"/>
              <w:ind w:right="133"/>
              <w:rPr>
                <w:sz w:val="24"/>
              </w:rPr>
            </w:pPr>
            <w:r>
              <w:rPr>
                <w:sz w:val="24"/>
              </w:rPr>
              <w:t>0.0285680</w:t>
            </w:r>
          </w:p>
        </w:tc>
        <w:tc>
          <w:tcPr>
            <w:tcW w:w="1307" w:type="dxa"/>
            <w:tcBorders>
              <w:top w:val="nil"/>
              <w:left w:val="nil"/>
              <w:bottom w:val="nil"/>
              <w:right w:val="nil"/>
            </w:tcBorders>
          </w:tcPr>
          <w:p>
            <w:pPr>
              <w:pStyle w:val="TableParagraph"/>
              <w:spacing w:line="275" w:lineRule="exact"/>
              <w:ind w:right="71"/>
              <w:rPr>
                <w:sz w:val="24"/>
              </w:rPr>
            </w:pPr>
            <w:r>
              <w:rPr>
                <w:sz w:val="24"/>
              </w:rPr>
              <w:t>-0.0762196</w:t>
            </w:r>
          </w:p>
        </w:tc>
      </w:tr>
      <w:tr>
        <w:trPr>
          <w:trHeight w:val="300" w:hRule="exact"/>
        </w:trPr>
        <w:tc>
          <w:tcPr>
            <w:tcW w:w="726" w:type="dxa"/>
            <w:tcBorders>
              <w:top w:val="nil"/>
              <w:left w:val="nil"/>
              <w:bottom w:val="nil"/>
              <w:right w:val="nil"/>
            </w:tcBorders>
          </w:tcPr>
          <w:p>
            <w:pPr>
              <w:pStyle w:val="TableParagraph"/>
              <w:spacing w:line="275" w:lineRule="exact"/>
              <w:ind w:right="133"/>
              <w:jc w:val="center"/>
              <w:rPr>
                <w:sz w:val="24"/>
              </w:rPr>
            </w:pPr>
            <w:r>
              <w:rPr>
                <w:sz w:val="24"/>
              </w:rPr>
              <w:t>9</w:t>
            </w:r>
          </w:p>
        </w:tc>
        <w:tc>
          <w:tcPr>
            <w:tcW w:w="1308" w:type="dxa"/>
            <w:tcBorders>
              <w:top w:val="nil"/>
              <w:left w:val="nil"/>
              <w:bottom w:val="nil"/>
              <w:right w:val="nil"/>
            </w:tcBorders>
          </w:tcPr>
          <w:p>
            <w:pPr>
              <w:pStyle w:val="TableParagraph"/>
              <w:spacing w:line="275" w:lineRule="exact"/>
              <w:ind w:right="136"/>
              <w:rPr>
                <w:sz w:val="24"/>
              </w:rPr>
            </w:pPr>
            <w:r>
              <w:rPr>
                <w:sz w:val="24"/>
              </w:rPr>
              <w:t>-0.02802</w:t>
            </w:r>
          </w:p>
        </w:tc>
        <w:tc>
          <w:tcPr>
            <w:tcW w:w="1424" w:type="dxa"/>
            <w:tcBorders>
              <w:top w:val="nil"/>
              <w:left w:val="nil"/>
              <w:bottom w:val="nil"/>
              <w:right w:val="nil"/>
            </w:tcBorders>
          </w:tcPr>
          <w:p>
            <w:pPr>
              <w:pStyle w:val="TableParagraph"/>
              <w:spacing w:line="275" w:lineRule="exact"/>
              <w:ind w:right="185"/>
              <w:rPr>
                <w:sz w:val="24"/>
              </w:rPr>
            </w:pPr>
            <w:r>
              <w:rPr>
                <w:sz w:val="24"/>
              </w:rPr>
              <w:t>0.0472734</w:t>
            </w:r>
          </w:p>
        </w:tc>
        <w:tc>
          <w:tcPr>
            <w:tcW w:w="1327" w:type="dxa"/>
            <w:tcBorders>
              <w:top w:val="nil"/>
              <w:left w:val="nil"/>
              <w:bottom w:val="nil"/>
              <w:right w:val="nil"/>
            </w:tcBorders>
          </w:tcPr>
          <w:p>
            <w:pPr>
              <w:pStyle w:val="TableParagraph"/>
              <w:spacing w:line="275" w:lineRule="exact"/>
              <w:ind w:right="136"/>
              <w:rPr>
                <w:sz w:val="24"/>
              </w:rPr>
            </w:pPr>
            <w:r>
              <w:rPr>
                <w:sz w:val="24"/>
              </w:rPr>
              <w:t>-0.00013</w:t>
            </w:r>
          </w:p>
        </w:tc>
        <w:tc>
          <w:tcPr>
            <w:tcW w:w="1375" w:type="dxa"/>
            <w:tcBorders>
              <w:top w:val="nil"/>
              <w:left w:val="nil"/>
              <w:bottom w:val="nil"/>
              <w:right w:val="nil"/>
            </w:tcBorders>
          </w:tcPr>
          <w:p>
            <w:pPr>
              <w:pStyle w:val="TableParagraph"/>
              <w:spacing w:line="275" w:lineRule="exact"/>
              <w:ind w:right="137"/>
              <w:rPr>
                <w:sz w:val="24"/>
              </w:rPr>
            </w:pPr>
            <w:r>
              <w:rPr>
                <w:sz w:val="24"/>
              </w:rPr>
              <w:t>0.1710420</w:t>
            </w:r>
          </w:p>
        </w:tc>
        <w:tc>
          <w:tcPr>
            <w:tcW w:w="1373" w:type="dxa"/>
            <w:tcBorders>
              <w:top w:val="nil"/>
              <w:left w:val="nil"/>
              <w:bottom w:val="nil"/>
              <w:right w:val="nil"/>
            </w:tcBorders>
          </w:tcPr>
          <w:p>
            <w:pPr>
              <w:pStyle w:val="TableParagraph"/>
              <w:spacing w:line="275" w:lineRule="exact"/>
              <w:ind w:right="133"/>
              <w:rPr>
                <w:sz w:val="24"/>
              </w:rPr>
            </w:pPr>
            <w:r>
              <w:rPr>
                <w:sz w:val="24"/>
              </w:rPr>
              <w:t>0.0113724</w:t>
            </w:r>
          </w:p>
        </w:tc>
        <w:tc>
          <w:tcPr>
            <w:tcW w:w="1307" w:type="dxa"/>
            <w:tcBorders>
              <w:top w:val="nil"/>
              <w:left w:val="nil"/>
              <w:bottom w:val="nil"/>
              <w:right w:val="nil"/>
            </w:tcBorders>
          </w:tcPr>
          <w:p>
            <w:pPr>
              <w:pStyle w:val="TableParagraph"/>
              <w:spacing w:line="275" w:lineRule="exact"/>
              <w:ind w:right="71"/>
              <w:rPr>
                <w:sz w:val="24"/>
              </w:rPr>
            </w:pPr>
            <w:r>
              <w:rPr>
                <w:sz w:val="24"/>
              </w:rPr>
              <w:t>0.1225906</w:t>
            </w:r>
          </w:p>
        </w:tc>
      </w:tr>
      <w:tr>
        <w:trPr>
          <w:trHeight w:val="300" w:hRule="exact"/>
        </w:trPr>
        <w:tc>
          <w:tcPr>
            <w:tcW w:w="726" w:type="dxa"/>
            <w:tcBorders>
              <w:top w:val="nil"/>
              <w:left w:val="nil"/>
              <w:bottom w:val="nil"/>
              <w:right w:val="nil"/>
            </w:tcBorders>
          </w:tcPr>
          <w:p>
            <w:pPr>
              <w:pStyle w:val="TableParagraph"/>
              <w:spacing w:line="275" w:lineRule="exact"/>
              <w:ind w:left="53" w:right="186"/>
              <w:jc w:val="center"/>
              <w:rPr>
                <w:sz w:val="24"/>
              </w:rPr>
            </w:pPr>
            <w:r>
              <w:rPr>
                <w:sz w:val="24"/>
              </w:rPr>
              <w:t>10</w:t>
            </w:r>
          </w:p>
        </w:tc>
        <w:tc>
          <w:tcPr>
            <w:tcW w:w="1308" w:type="dxa"/>
            <w:tcBorders>
              <w:top w:val="nil"/>
              <w:left w:val="nil"/>
              <w:bottom w:val="nil"/>
              <w:right w:val="nil"/>
            </w:tcBorders>
          </w:tcPr>
          <w:p>
            <w:pPr>
              <w:pStyle w:val="TableParagraph"/>
              <w:spacing w:line="275" w:lineRule="exact"/>
              <w:ind w:right="136"/>
              <w:rPr>
                <w:sz w:val="24"/>
              </w:rPr>
            </w:pPr>
            <w:r>
              <w:rPr>
                <w:sz w:val="24"/>
              </w:rPr>
              <w:t>0.39343</w:t>
            </w:r>
          </w:p>
        </w:tc>
        <w:tc>
          <w:tcPr>
            <w:tcW w:w="1424" w:type="dxa"/>
            <w:tcBorders>
              <w:top w:val="nil"/>
              <w:left w:val="nil"/>
              <w:bottom w:val="nil"/>
              <w:right w:val="nil"/>
            </w:tcBorders>
          </w:tcPr>
          <w:p>
            <w:pPr>
              <w:pStyle w:val="TableParagraph"/>
              <w:spacing w:line="275" w:lineRule="exact"/>
              <w:ind w:right="185"/>
              <w:rPr>
                <w:sz w:val="24"/>
              </w:rPr>
            </w:pPr>
            <w:r>
              <w:rPr>
                <w:sz w:val="24"/>
              </w:rPr>
              <w:t>0.3811867</w:t>
            </w:r>
          </w:p>
        </w:tc>
        <w:tc>
          <w:tcPr>
            <w:tcW w:w="1327" w:type="dxa"/>
            <w:tcBorders>
              <w:top w:val="nil"/>
              <w:left w:val="nil"/>
              <w:bottom w:val="nil"/>
              <w:right w:val="nil"/>
            </w:tcBorders>
          </w:tcPr>
          <w:p>
            <w:pPr>
              <w:pStyle w:val="TableParagraph"/>
              <w:spacing w:line="275" w:lineRule="exact"/>
              <w:ind w:right="136"/>
              <w:rPr>
                <w:sz w:val="24"/>
              </w:rPr>
            </w:pPr>
            <w:r>
              <w:rPr>
                <w:sz w:val="24"/>
              </w:rPr>
              <w:t>0.49882</w:t>
            </w:r>
          </w:p>
        </w:tc>
        <w:tc>
          <w:tcPr>
            <w:tcW w:w="1375" w:type="dxa"/>
            <w:tcBorders>
              <w:top w:val="nil"/>
              <w:left w:val="nil"/>
              <w:bottom w:val="nil"/>
              <w:right w:val="nil"/>
            </w:tcBorders>
          </w:tcPr>
          <w:p>
            <w:pPr>
              <w:pStyle w:val="TableParagraph"/>
              <w:spacing w:line="275" w:lineRule="exact"/>
              <w:ind w:right="137"/>
              <w:rPr>
                <w:sz w:val="24"/>
              </w:rPr>
            </w:pPr>
            <w:r>
              <w:rPr>
                <w:sz w:val="24"/>
              </w:rPr>
              <w:t>-0.0414837</w:t>
            </w:r>
          </w:p>
        </w:tc>
        <w:tc>
          <w:tcPr>
            <w:tcW w:w="1373" w:type="dxa"/>
            <w:tcBorders>
              <w:top w:val="nil"/>
              <w:left w:val="nil"/>
              <w:bottom w:val="nil"/>
              <w:right w:val="nil"/>
            </w:tcBorders>
          </w:tcPr>
          <w:p>
            <w:pPr>
              <w:pStyle w:val="TableParagraph"/>
              <w:spacing w:line="275" w:lineRule="exact"/>
              <w:ind w:right="133"/>
              <w:rPr>
                <w:sz w:val="24"/>
              </w:rPr>
            </w:pPr>
            <w:r>
              <w:rPr>
                <w:sz w:val="24"/>
              </w:rPr>
              <w:t>-0.0360569</w:t>
            </w:r>
          </w:p>
        </w:tc>
        <w:tc>
          <w:tcPr>
            <w:tcW w:w="1307" w:type="dxa"/>
            <w:tcBorders>
              <w:top w:val="nil"/>
              <w:left w:val="nil"/>
              <w:bottom w:val="nil"/>
              <w:right w:val="nil"/>
            </w:tcBorders>
          </w:tcPr>
          <w:p>
            <w:pPr>
              <w:pStyle w:val="TableParagraph"/>
              <w:spacing w:line="275" w:lineRule="exact"/>
              <w:ind w:right="71"/>
              <w:rPr>
                <w:sz w:val="24"/>
              </w:rPr>
            </w:pPr>
            <w:r>
              <w:rPr>
                <w:sz w:val="24"/>
              </w:rPr>
              <w:t>-0.1424842</w:t>
            </w:r>
          </w:p>
        </w:tc>
      </w:tr>
      <w:tr>
        <w:trPr>
          <w:trHeight w:val="300" w:hRule="exact"/>
        </w:trPr>
        <w:tc>
          <w:tcPr>
            <w:tcW w:w="726" w:type="dxa"/>
            <w:tcBorders>
              <w:top w:val="nil"/>
              <w:left w:val="nil"/>
              <w:bottom w:val="nil"/>
              <w:right w:val="nil"/>
            </w:tcBorders>
          </w:tcPr>
          <w:p>
            <w:pPr>
              <w:pStyle w:val="TableParagraph"/>
              <w:spacing w:line="275" w:lineRule="exact"/>
              <w:ind w:left="53" w:right="186"/>
              <w:jc w:val="center"/>
              <w:rPr>
                <w:sz w:val="24"/>
              </w:rPr>
            </w:pPr>
            <w:r>
              <w:rPr>
                <w:sz w:val="24"/>
              </w:rPr>
              <w:t>11</w:t>
            </w:r>
          </w:p>
        </w:tc>
        <w:tc>
          <w:tcPr>
            <w:tcW w:w="1308" w:type="dxa"/>
            <w:tcBorders>
              <w:top w:val="nil"/>
              <w:left w:val="nil"/>
              <w:bottom w:val="nil"/>
              <w:right w:val="nil"/>
            </w:tcBorders>
          </w:tcPr>
          <w:p>
            <w:pPr>
              <w:pStyle w:val="TableParagraph"/>
              <w:spacing w:line="275" w:lineRule="exact"/>
              <w:ind w:right="136"/>
              <w:rPr>
                <w:sz w:val="24"/>
              </w:rPr>
            </w:pPr>
            <w:r>
              <w:rPr>
                <w:sz w:val="24"/>
              </w:rPr>
              <w:t>0.16551</w:t>
            </w:r>
          </w:p>
        </w:tc>
        <w:tc>
          <w:tcPr>
            <w:tcW w:w="1424" w:type="dxa"/>
            <w:tcBorders>
              <w:top w:val="nil"/>
              <w:left w:val="nil"/>
              <w:bottom w:val="nil"/>
              <w:right w:val="nil"/>
            </w:tcBorders>
          </w:tcPr>
          <w:p>
            <w:pPr>
              <w:pStyle w:val="TableParagraph"/>
              <w:spacing w:line="275" w:lineRule="exact"/>
              <w:ind w:right="185"/>
              <w:rPr>
                <w:sz w:val="24"/>
              </w:rPr>
            </w:pPr>
            <w:r>
              <w:rPr>
                <w:sz w:val="24"/>
              </w:rPr>
              <w:t>0.3052973</w:t>
            </w:r>
          </w:p>
        </w:tc>
        <w:tc>
          <w:tcPr>
            <w:tcW w:w="1327" w:type="dxa"/>
            <w:tcBorders>
              <w:top w:val="nil"/>
              <w:left w:val="nil"/>
              <w:bottom w:val="nil"/>
              <w:right w:val="nil"/>
            </w:tcBorders>
          </w:tcPr>
          <w:p>
            <w:pPr>
              <w:pStyle w:val="TableParagraph"/>
              <w:spacing w:line="275" w:lineRule="exact"/>
              <w:ind w:right="136"/>
              <w:rPr>
                <w:sz w:val="24"/>
              </w:rPr>
            </w:pPr>
            <w:r>
              <w:rPr>
                <w:sz w:val="24"/>
              </w:rPr>
              <w:t>0.09947</w:t>
            </w:r>
          </w:p>
        </w:tc>
        <w:tc>
          <w:tcPr>
            <w:tcW w:w="1375" w:type="dxa"/>
            <w:tcBorders>
              <w:top w:val="nil"/>
              <w:left w:val="nil"/>
              <w:bottom w:val="nil"/>
              <w:right w:val="nil"/>
            </w:tcBorders>
          </w:tcPr>
          <w:p>
            <w:pPr>
              <w:pStyle w:val="TableParagraph"/>
              <w:spacing w:line="275" w:lineRule="exact"/>
              <w:ind w:right="137"/>
              <w:rPr>
                <w:sz w:val="24"/>
              </w:rPr>
            </w:pPr>
            <w:r>
              <w:rPr>
                <w:sz w:val="24"/>
              </w:rPr>
              <w:t>0.0734043</w:t>
            </w:r>
          </w:p>
        </w:tc>
        <w:tc>
          <w:tcPr>
            <w:tcW w:w="1373" w:type="dxa"/>
            <w:tcBorders>
              <w:top w:val="nil"/>
              <w:left w:val="nil"/>
              <w:bottom w:val="nil"/>
              <w:right w:val="nil"/>
            </w:tcBorders>
          </w:tcPr>
          <w:p>
            <w:pPr>
              <w:pStyle w:val="TableParagraph"/>
              <w:spacing w:line="275" w:lineRule="exact"/>
              <w:ind w:right="133"/>
              <w:rPr>
                <w:sz w:val="24"/>
              </w:rPr>
            </w:pPr>
            <w:r>
              <w:rPr>
                <w:sz w:val="24"/>
              </w:rPr>
              <w:t>-0.022556</w:t>
            </w:r>
          </w:p>
        </w:tc>
        <w:tc>
          <w:tcPr>
            <w:tcW w:w="1307" w:type="dxa"/>
            <w:tcBorders>
              <w:top w:val="nil"/>
              <w:left w:val="nil"/>
              <w:bottom w:val="nil"/>
              <w:right w:val="nil"/>
            </w:tcBorders>
          </w:tcPr>
          <w:p>
            <w:pPr>
              <w:pStyle w:val="TableParagraph"/>
              <w:spacing w:line="275" w:lineRule="exact"/>
              <w:ind w:right="71"/>
              <w:rPr>
                <w:sz w:val="24"/>
              </w:rPr>
            </w:pPr>
            <w:r>
              <w:rPr>
                <w:sz w:val="24"/>
              </w:rPr>
              <w:t>0.0403409</w:t>
            </w:r>
          </w:p>
        </w:tc>
      </w:tr>
      <w:tr>
        <w:trPr>
          <w:trHeight w:val="300" w:hRule="exact"/>
        </w:trPr>
        <w:tc>
          <w:tcPr>
            <w:tcW w:w="726" w:type="dxa"/>
            <w:tcBorders>
              <w:top w:val="nil"/>
              <w:left w:val="nil"/>
              <w:bottom w:val="nil"/>
              <w:right w:val="nil"/>
            </w:tcBorders>
          </w:tcPr>
          <w:p>
            <w:pPr>
              <w:pStyle w:val="TableParagraph"/>
              <w:spacing w:line="275" w:lineRule="exact"/>
              <w:ind w:left="53" w:right="186"/>
              <w:jc w:val="center"/>
              <w:rPr>
                <w:sz w:val="24"/>
              </w:rPr>
            </w:pPr>
            <w:r>
              <w:rPr>
                <w:sz w:val="24"/>
              </w:rPr>
              <w:t>12</w:t>
            </w:r>
          </w:p>
        </w:tc>
        <w:tc>
          <w:tcPr>
            <w:tcW w:w="1308" w:type="dxa"/>
            <w:tcBorders>
              <w:top w:val="nil"/>
              <w:left w:val="nil"/>
              <w:bottom w:val="nil"/>
              <w:right w:val="nil"/>
            </w:tcBorders>
          </w:tcPr>
          <w:p>
            <w:pPr>
              <w:pStyle w:val="TableParagraph"/>
              <w:spacing w:line="275" w:lineRule="exact"/>
              <w:ind w:right="136"/>
              <w:rPr>
                <w:sz w:val="24"/>
              </w:rPr>
            </w:pPr>
            <w:r>
              <w:rPr>
                <w:sz w:val="24"/>
              </w:rPr>
              <w:t>0.05363</w:t>
            </w:r>
          </w:p>
        </w:tc>
        <w:tc>
          <w:tcPr>
            <w:tcW w:w="1424" w:type="dxa"/>
            <w:tcBorders>
              <w:top w:val="nil"/>
              <w:left w:val="nil"/>
              <w:bottom w:val="nil"/>
              <w:right w:val="nil"/>
            </w:tcBorders>
          </w:tcPr>
          <w:p>
            <w:pPr>
              <w:pStyle w:val="TableParagraph"/>
              <w:spacing w:line="275" w:lineRule="exact"/>
              <w:ind w:right="185"/>
              <w:rPr>
                <w:sz w:val="24"/>
              </w:rPr>
            </w:pPr>
            <w:r>
              <w:rPr>
                <w:sz w:val="24"/>
              </w:rPr>
              <w:t>0.0260244</w:t>
            </w:r>
          </w:p>
        </w:tc>
        <w:tc>
          <w:tcPr>
            <w:tcW w:w="1327" w:type="dxa"/>
            <w:tcBorders>
              <w:top w:val="nil"/>
              <w:left w:val="nil"/>
              <w:bottom w:val="nil"/>
              <w:right w:val="nil"/>
            </w:tcBorders>
          </w:tcPr>
          <w:p>
            <w:pPr>
              <w:pStyle w:val="TableParagraph"/>
              <w:spacing w:line="275" w:lineRule="exact"/>
              <w:ind w:right="136"/>
              <w:rPr>
                <w:sz w:val="24"/>
              </w:rPr>
            </w:pPr>
            <w:r>
              <w:rPr>
                <w:sz w:val="24"/>
              </w:rPr>
              <w:t>0.03369</w:t>
            </w:r>
          </w:p>
        </w:tc>
        <w:tc>
          <w:tcPr>
            <w:tcW w:w="1375" w:type="dxa"/>
            <w:tcBorders>
              <w:top w:val="nil"/>
              <w:left w:val="nil"/>
              <w:bottom w:val="nil"/>
              <w:right w:val="nil"/>
            </w:tcBorders>
          </w:tcPr>
          <w:p>
            <w:pPr>
              <w:pStyle w:val="TableParagraph"/>
              <w:spacing w:line="275" w:lineRule="exact"/>
              <w:ind w:right="137"/>
              <w:rPr>
                <w:sz w:val="24"/>
              </w:rPr>
            </w:pPr>
            <w:r>
              <w:rPr>
                <w:sz w:val="24"/>
              </w:rPr>
              <w:t>0.0733285</w:t>
            </w:r>
          </w:p>
        </w:tc>
        <w:tc>
          <w:tcPr>
            <w:tcW w:w="1373" w:type="dxa"/>
            <w:tcBorders>
              <w:top w:val="nil"/>
              <w:left w:val="nil"/>
              <w:bottom w:val="nil"/>
              <w:right w:val="nil"/>
            </w:tcBorders>
          </w:tcPr>
          <w:p>
            <w:pPr>
              <w:pStyle w:val="TableParagraph"/>
              <w:spacing w:line="275" w:lineRule="exact"/>
              <w:ind w:right="133"/>
              <w:rPr>
                <w:sz w:val="24"/>
              </w:rPr>
            </w:pPr>
            <w:r>
              <w:rPr>
                <w:sz w:val="24"/>
              </w:rPr>
              <w:t>0.0696589</w:t>
            </w:r>
          </w:p>
        </w:tc>
        <w:tc>
          <w:tcPr>
            <w:tcW w:w="1307" w:type="dxa"/>
            <w:tcBorders>
              <w:top w:val="nil"/>
              <w:left w:val="nil"/>
              <w:bottom w:val="nil"/>
              <w:right w:val="nil"/>
            </w:tcBorders>
          </w:tcPr>
          <w:p>
            <w:pPr>
              <w:pStyle w:val="TableParagraph"/>
              <w:spacing w:line="275" w:lineRule="exact"/>
              <w:ind w:right="71"/>
              <w:rPr>
                <w:sz w:val="24"/>
              </w:rPr>
            </w:pPr>
            <w:r>
              <w:rPr>
                <w:sz w:val="24"/>
              </w:rPr>
              <w:t>0.0723325</w:t>
            </w:r>
          </w:p>
        </w:tc>
      </w:tr>
      <w:tr>
        <w:trPr>
          <w:trHeight w:val="305" w:hRule="exact"/>
        </w:trPr>
        <w:tc>
          <w:tcPr>
            <w:tcW w:w="726" w:type="dxa"/>
            <w:tcBorders>
              <w:top w:val="nil"/>
              <w:left w:val="nil"/>
              <w:right w:val="nil"/>
            </w:tcBorders>
          </w:tcPr>
          <w:p>
            <w:pPr>
              <w:pStyle w:val="TableParagraph"/>
              <w:spacing w:line="275" w:lineRule="exact"/>
              <w:ind w:left="53" w:right="186"/>
              <w:jc w:val="center"/>
              <w:rPr>
                <w:sz w:val="24"/>
              </w:rPr>
            </w:pPr>
            <w:r>
              <w:rPr>
                <w:sz w:val="24"/>
              </w:rPr>
              <w:t>13</w:t>
            </w:r>
          </w:p>
        </w:tc>
        <w:tc>
          <w:tcPr>
            <w:tcW w:w="1308" w:type="dxa"/>
            <w:tcBorders>
              <w:top w:val="nil"/>
              <w:left w:val="nil"/>
              <w:right w:val="nil"/>
            </w:tcBorders>
          </w:tcPr>
          <w:p>
            <w:pPr>
              <w:pStyle w:val="TableParagraph"/>
              <w:spacing w:line="275" w:lineRule="exact"/>
              <w:ind w:right="136"/>
              <w:rPr>
                <w:sz w:val="24"/>
              </w:rPr>
            </w:pPr>
            <w:r>
              <w:rPr>
                <w:sz w:val="24"/>
              </w:rPr>
              <w:t>-0.1368</w:t>
            </w:r>
          </w:p>
        </w:tc>
        <w:tc>
          <w:tcPr>
            <w:tcW w:w="1424" w:type="dxa"/>
            <w:tcBorders>
              <w:top w:val="nil"/>
              <w:left w:val="nil"/>
              <w:right w:val="nil"/>
            </w:tcBorders>
          </w:tcPr>
          <w:p>
            <w:pPr>
              <w:pStyle w:val="TableParagraph"/>
              <w:spacing w:line="275" w:lineRule="exact"/>
              <w:ind w:right="185"/>
              <w:rPr>
                <w:sz w:val="24"/>
              </w:rPr>
            </w:pPr>
            <w:r>
              <w:rPr>
                <w:sz w:val="24"/>
              </w:rPr>
              <w:t>-0.2090834</w:t>
            </w:r>
          </w:p>
        </w:tc>
        <w:tc>
          <w:tcPr>
            <w:tcW w:w="1327" w:type="dxa"/>
            <w:tcBorders>
              <w:top w:val="nil"/>
              <w:left w:val="nil"/>
              <w:right w:val="nil"/>
            </w:tcBorders>
          </w:tcPr>
          <w:p>
            <w:pPr>
              <w:pStyle w:val="TableParagraph"/>
              <w:spacing w:line="275" w:lineRule="exact"/>
              <w:ind w:right="136"/>
              <w:rPr>
                <w:sz w:val="24"/>
              </w:rPr>
            </w:pPr>
            <w:r>
              <w:rPr>
                <w:sz w:val="24"/>
              </w:rPr>
              <w:t>-0.14702</w:t>
            </w:r>
          </w:p>
        </w:tc>
        <w:tc>
          <w:tcPr>
            <w:tcW w:w="1375" w:type="dxa"/>
            <w:tcBorders>
              <w:top w:val="nil"/>
              <w:left w:val="nil"/>
              <w:right w:val="nil"/>
            </w:tcBorders>
          </w:tcPr>
          <w:p>
            <w:pPr>
              <w:pStyle w:val="TableParagraph"/>
              <w:spacing w:line="275" w:lineRule="exact"/>
              <w:ind w:right="137"/>
              <w:rPr>
                <w:sz w:val="24"/>
              </w:rPr>
            </w:pPr>
            <w:r>
              <w:rPr>
                <w:sz w:val="24"/>
              </w:rPr>
              <w:t>0.1261948</w:t>
            </w:r>
          </w:p>
        </w:tc>
        <w:tc>
          <w:tcPr>
            <w:tcW w:w="1373" w:type="dxa"/>
            <w:tcBorders>
              <w:top w:val="nil"/>
              <w:left w:val="nil"/>
              <w:right w:val="nil"/>
            </w:tcBorders>
          </w:tcPr>
          <w:p>
            <w:pPr>
              <w:pStyle w:val="TableParagraph"/>
              <w:spacing w:line="275" w:lineRule="exact"/>
              <w:ind w:right="133"/>
              <w:rPr>
                <w:sz w:val="24"/>
              </w:rPr>
            </w:pPr>
            <w:r>
              <w:rPr>
                <w:sz w:val="24"/>
              </w:rPr>
              <w:t>0.1645458</w:t>
            </w:r>
          </w:p>
        </w:tc>
        <w:tc>
          <w:tcPr>
            <w:tcW w:w="1307" w:type="dxa"/>
            <w:tcBorders>
              <w:top w:val="nil"/>
              <w:left w:val="nil"/>
              <w:right w:val="nil"/>
            </w:tcBorders>
          </w:tcPr>
          <w:p>
            <w:pPr>
              <w:pStyle w:val="TableParagraph"/>
              <w:spacing w:line="275" w:lineRule="exact"/>
              <w:ind w:right="71"/>
              <w:rPr>
                <w:sz w:val="24"/>
              </w:rPr>
            </w:pPr>
            <w:r>
              <w:rPr>
                <w:sz w:val="24"/>
              </w:rPr>
              <w:t>0.0248830</w:t>
            </w:r>
          </w:p>
        </w:tc>
      </w:tr>
    </w:tbl>
    <w:p>
      <w:pPr>
        <w:spacing w:after="0" w:line="275" w:lineRule="exact"/>
        <w:rPr>
          <w:sz w:val="24"/>
        </w:rPr>
        <w:sectPr>
          <w:pgSz w:w="12240" w:h="15840"/>
          <w:pgMar w:header="0" w:footer="657" w:top="1360" w:bottom="840" w:left="1600" w:right="1580"/>
        </w:sectPr>
      </w:pPr>
    </w:p>
    <w:p>
      <w:pPr>
        <w:pStyle w:val="BodyText"/>
        <w:spacing w:before="48" w:after="8"/>
        <w:ind w:left="191" w:right="364"/>
      </w:pPr>
      <w:r>
        <w:rPr>
          <w:b/>
        </w:rPr>
        <w:t>Anexo Tabla 2. </w:t>
      </w:r>
      <w:r>
        <w:rPr/>
        <w:t>Continuación Paso 5.2. Calcular correlación de matrices de las medias no clasificadas</w:t>
      </w:r>
    </w:p>
    <w:p>
      <w:pPr>
        <w:pStyle w:val="BodyText"/>
        <w:spacing w:line="44" w:lineRule="exact"/>
        <w:ind w:left="100"/>
        <w:rPr>
          <w:sz w:val="4"/>
        </w:rPr>
      </w:pPr>
      <w:r>
        <w:rPr>
          <w:position w:val="0"/>
          <w:sz w:val="4"/>
        </w:rPr>
        <w:pict>
          <v:group style="width:444.25pt;height:2.2pt;mso-position-horizontal-relative:char;mso-position-vertical-relative:line" coordorigin="0,0" coordsize="8885,44">
            <v:line style="position:absolute" from="22,22" to="1424,22" stroked="true" strokeweight="2.16pt" strokecolor="#000000"/>
            <v:line style="position:absolute" from="1424,22" to="1467,22" stroked="true" strokeweight="2.16pt" strokecolor="#000000"/>
            <v:line style="position:absolute" from="1467,22" to="2274,22" stroked="true" strokeweight="2.16pt" strokecolor="#000000"/>
            <v:line style="position:absolute" from="2274,22" to="2317,22" stroked="true" strokeweight="2.16pt" strokecolor="#000000"/>
            <v:line style="position:absolute" from="2317,22" to="3330,22" stroked="true" strokeweight="2.16pt" strokecolor="#000000"/>
            <v:line style="position:absolute" from="3330,22" to="3373,22" stroked="true" strokeweight="2.16pt" strokecolor="#000000"/>
            <v:line style="position:absolute" from="3373,22" to="4667,22" stroked="true" strokeweight="2.16pt" strokecolor="#000000"/>
            <v:line style="position:absolute" from="4667,22" to="4710,22" stroked="true" strokeweight="2.16pt" strokecolor="#000000"/>
            <v:line style="position:absolute" from="4710,22" to="6066,22" stroked="true" strokeweight="2.16pt" strokecolor="#000000"/>
            <v:line style="position:absolute" from="6066,22" to="6109,22" stroked="true" strokeweight="2.16pt" strokecolor="#000000"/>
            <v:line style="position:absolute" from="6109,22" to="7463,22" stroked="true" strokeweight="2.16pt" strokecolor="#000000"/>
            <v:line style="position:absolute" from="7464,22" to="7507,22" stroked="true" strokeweight="2.16pt" strokecolor="#000000"/>
            <v:line style="position:absolute" from="7507,22" to="8863,22" stroked="true" strokeweight="2.16pt" strokecolor="#000000"/>
          </v:group>
        </w:pict>
      </w:r>
      <w:r>
        <w:rPr>
          <w:position w:val="0"/>
          <w:sz w:val="4"/>
        </w:rPr>
      </w:r>
    </w:p>
    <w:p>
      <w:pPr>
        <w:pStyle w:val="BodyText"/>
        <w:tabs>
          <w:tab w:pos="2536" w:val="left" w:leader="none"/>
          <w:tab w:pos="3712" w:val="left" w:leader="none"/>
          <w:tab w:pos="5107" w:val="left" w:leader="none"/>
          <w:tab w:pos="6485" w:val="left" w:leader="none"/>
          <w:tab w:pos="7865" w:val="left" w:leader="none"/>
        </w:tabs>
        <w:spacing w:before="18" w:after="35"/>
        <w:ind w:left="1605" w:right="364"/>
      </w:pPr>
      <w:r>
        <w:rPr/>
        <w:t>Maíz P</w:t>
        <w:tab/>
        <w:t>Trigo</w:t>
      </w:r>
      <w:r>
        <w:rPr>
          <w:spacing w:val="-1"/>
        </w:rPr>
        <w:t> </w:t>
      </w:r>
      <w:r>
        <w:rPr/>
        <w:t>P</w:t>
        <w:tab/>
        <w:t>Sorgo</w:t>
      </w:r>
      <w:r>
        <w:rPr>
          <w:spacing w:val="-2"/>
        </w:rPr>
        <w:t> </w:t>
      </w:r>
      <w:r>
        <w:rPr/>
        <w:t>P</w:t>
        <w:tab/>
        <w:t>Maíz R</w:t>
        <w:tab/>
        <w:t>Trigo</w:t>
      </w:r>
      <w:r>
        <w:rPr>
          <w:spacing w:val="-1"/>
        </w:rPr>
        <w:t> </w:t>
      </w:r>
      <w:r>
        <w:rPr/>
        <w:t>R</w:t>
        <w:tab/>
        <w:t>Sorgo</w:t>
      </w:r>
      <w:r>
        <w:rPr>
          <w:spacing w:val="-5"/>
        </w:rPr>
        <w:t> </w:t>
      </w:r>
      <w:r>
        <w:rPr/>
        <w:t>R</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5"/>
        <w:gridCol w:w="829"/>
        <w:gridCol w:w="820"/>
        <w:gridCol w:w="1017"/>
        <w:gridCol w:w="1327"/>
        <w:gridCol w:w="1397"/>
        <w:gridCol w:w="1400"/>
        <w:gridCol w:w="1380"/>
      </w:tblGrid>
      <w:tr>
        <w:trPr>
          <w:trHeight w:val="290" w:hRule="exact"/>
        </w:trPr>
        <w:tc>
          <w:tcPr>
            <w:tcW w:w="685" w:type="dxa"/>
          </w:tcPr>
          <w:p>
            <w:pPr>
              <w:pStyle w:val="TableParagraph"/>
              <w:spacing w:line="265" w:lineRule="exact"/>
              <w:ind w:left="27" w:right="49"/>
              <w:jc w:val="center"/>
              <w:rPr>
                <w:sz w:val="24"/>
              </w:rPr>
            </w:pPr>
            <w:r>
              <w:rPr>
                <w:sz w:val="24"/>
              </w:rPr>
              <w:t>Maíz</w:t>
            </w:r>
          </w:p>
        </w:tc>
        <w:tc>
          <w:tcPr>
            <w:tcW w:w="829" w:type="dxa"/>
          </w:tcPr>
          <w:p>
            <w:pPr>
              <w:pStyle w:val="TableParagraph"/>
              <w:spacing w:line="265" w:lineRule="exact"/>
              <w:ind w:left="133"/>
              <w:jc w:val="left"/>
              <w:rPr>
                <w:sz w:val="24"/>
              </w:rPr>
            </w:pPr>
            <w:r>
              <w:rPr>
                <w:w w:val="99"/>
                <w:sz w:val="24"/>
              </w:rPr>
              <w:t>P</w:t>
            </w:r>
          </w:p>
        </w:tc>
        <w:tc>
          <w:tcPr>
            <w:tcW w:w="820" w:type="dxa"/>
          </w:tcPr>
          <w:p>
            <w:pPr>
              <w:pStyle w:val="TableParagraph"/>
              <w:spacing w:line="265" w:lineRule="exact"/>
              <w:ind w:right="136"/>
              <w:rPr>
                <w:sz w:val="24"/>
              </w:rPr>
            </w:pPr>
            <w:r>
              <w:rPr>
                <w:sz w:val="24"/>
              </w:rPr>
              <w:t>1</w:t>
            </w:r>
          </w:p>
        </w:tc>
        <w:tc>
          <w:tcPr>
            <w:tcW w:w="1017" w:type="dxa"/>
          </w:tcPr>
          <w:p>
            <w:pPr>
              <w:pStyle w:val="TableParagraph"/>
              <w:spacing w:line="265" w:lineRule="exact"/>
              <w:ind w:right="96"/>
              <w:rPr>
                <w:sz w:val="24"/>
              </w:rPr>
            </w:pPr>
            <w:r>
              <w:rPr>
                <w:sz w:val="24"/>
              </w:rPr>
              <w:t>0.86885</w:t>
            </w:r>
          </w:p>
        </w:tc>
        <w:tc>
          <w:tcPr>
            <w:tcW w:w="1327" w:type="dxa"/>
          </w:tcPr>
          <w:p>
            <w:pPr>
              <w:pStyle w:val="TableParagraph"/>
              <w:spacing w:line="265" w:lineRule="exact"/>
              <w:ind w:right="88"/>
              <w:rPr>
                <w:sz w:val="24"/>
              </w:rPr>
            </w:pPr>
            <w:r>
              <w:rPr>
                <w:sz w:val="24"/>
              </w:rPr>
              <w:t>0.98095796</w:t>
            </w:r>
          </w:p>
        </w:tc>
        <w:tc>
          <w:tcPr>
            <w:tcW w:w="1397" w:type="dxa"/>
          </w:tcPr>
          <w:p>
            <w:pPr>
              <w:pStyle w:val="TableParagraph"/>
              <w:spacing w:line="265" w:lineRule="exact"/>
              <w:ind w:right="86"/>
              <w:rPr>
                <w:sz w:val="24"/>
              </w:rPr>
            </w:pPr>
            <w:r>
              <w:rPr>
                <w:sz w:val="24"/>
              </w:rPr>
              <w:t>-0.29934584</w:t>
            </w:r>
          </w:p>
        </w:tc>
        <w:tc>
          <w:tcPr>
            <w:tcW w:w="1400" w:type="dxa"/>
          </w:tcPr>
          <w:p>
            <w:pPr>
              <w:pStyle w:val="TableParagraph"/>
              <w:spacing w:line="265" w:lineRule="exact"/>
              <w:ind w:right="89"/>
              <w:rPr>
                <w:sz w:val="24"/>
              </w:rPr>
            </w:pPr>
            <w:r>
              <w:rPr>
                <w:sz w:val="24"/>
              </w:rPr>
              <w:t>-0.17533347</w:t>
            </w:r>
          </w:p>
        </w:tc>
        <w:tc>
          <w:tcPr>
            <w:tcW w:w="1380" w:type="dxa"/>
          </w:tcPr>
          <w:p>
            <w:pPr>
              <w:pStyle w:val="TableParagraph"/>
              <w:spacing w:line="265" w:lineRule="exact"/>
              <w:ind w:right="67"/>
              <w:rPr>
                <w:sz w:val="24"/>
              </w:rPr>
            </w:pPr>
            <w:r>
              <w:rPr>
                <w:sz w:val="24"/>
              </w:rPr>
              <w:t>-0.52865116</w:t>
            </w:r>
          </w:p>
        </w:tc>
      </w:tr>
      <w:tr>
        <w:trPr>
          <w:trHeight w:val="300" w:hRule="exact"/>
        </w:trPr>
        <w:tc>
          <w:tcPr>
            <w:tcW w:w="685" w:type="dxa"/>
          </w:tcPr>
          <w:p>
            <w:pPr>
              <w:pStyle w:val="TableParagraph"/>
              <w:spacing w:line="275" w:lineRule="exact"/>
              <w:ind w:left="62" w:right="49"/>
              <w:jc w:val="center"/>
              <w:rPr>
                <w:sz w:val="24"/>
              </w:rPr>
            </w:pPr>
            <w:r>
              <w:rPr>
                <w:sz w:val="24"/>
              </w:rPr>
              <w:t>Trigo</w:t>
            </w:r>
          </w:p>
        </w:tc>
        <w:tc>
          <w:tcPr>
            <w:tcW w:w="829" w:type="dxa"/>
          </w:tcPr>
          <w:p>
            <w:pPr>
              <w:pStyle w:val="TableParagraph"/>
              <w:spacing w:line="275" w:lineRule="exact"/>
              <w:ind w:left="109"/>
              <w:jc w:val="left"/>
              <w:rPr>
                <w:sz w:val="24"/>
              </w:rPr>
            </w:pPr>
            <w:r>
              <w:rPr>
                <w:w w:val="99"/>
                <w:sz w:val="24"/>
              </w:rPr>
              <w:t>P</w:t>
            </w:r>
          </w:p>
        </w:tc>
        <w:tc>
          <w:tcPr>
            <w:tcW w:w="820" w:type="dxa"/>
          </w:tcPr>
          <w:p>
            <w:pPr/>
          </w:p>
        </w:tc>
        <w:tc>
          <w:tcPr>
            <w:tcW w:w="1017" w:type="dxa"/>
          </w:tcPr>
          <w:p>
            <w:pPr>
              <w:pStyle w:val="TableParagraph"/>
              <w:spacing w:line="275" w:lineRule="exact"/>
              <w:ind w:right="96"/>
              <w:rPr>
                <w:sz w:val="24"/>
              </w:rPr>
            </w:pPr>
            <w:r>
              <w:rPr>
                <w:sz w:val="24"/>
              </w:rPr>
              <w:t>1</w:t>
            </w:r>
          </w:p>
        </w:tc>
        <w:tc>
          <w:tcPr>
            <w:tcW w:w="1327" w:type="dxa"/>
          </w:tcPr>
          <w:p>
            <w:pPr>
              <w:pStyle w:val="TableParagraph"/>
              <w:spacing w:line="275" w:lineRule="exact"/>
              <w:ind w:right="88"/>
              <w:rPr>
                <w:sz w:val="24"/>
              </w:rPr>
            </w:pPr>
            <w:r>
              <w:rPr>
                <w:sz w:val="24"/>
              </w:rPr>
              <w:t>0.81578133</w:t>
            </w:r>
          </w:p>
        </w:tc>
        <w:tc>
          <w:tcPr>
            <w:tcW w:w="1397" w:type="dxa"/>
          </w:tcPr>
          <w:p>
            <w:pPr>
              <w:pStyle w:val="TableParagraph"/>
              <w:spacing w:line="275" w:lineRule="exact"/>
              <w:ind w:right="86"/>
              <w:rPr>
                <w:sz w:val="24"/>
              </w:rPr>
            </w:pPr>
            <w:r>
              <w:rPr>
                <w:sz w:val="24"/>
              </w:rPr>
              <w:t>-0.1587217</w:t>
            </w:r>
          </w:p>
        </w:tc>
        <w:tc>
          <w:tcPr>
            <w:tcW w:w="1400" w:type="dxa"/>
          </w:tcPr>
          <w:p>
            <w:pPr>
              <w:pStyle w:val="TableParagraph"/>
              <w:spacing w:line="275" w:lineRule="exact"/>
              <w:ind w:right="89"/>
              <w:rPr>
                <w:sz w:val="24"/>
              </w:rPr>
            </w:pPr>
            <w:r>
              <w:rPr>
                <w:sz w:val="24"/>
              </w:rPr>
              <w:t>-0.36705057</w:t>
            </w:r>
          </w:p>
        </w:tc>
        <w:tc>
          <w:tcPr>
            <w:tcW w:w="1380" w:type="dxa"/>
          </w:tcPr>
          <w:p>
            <w:pPr>
              <w:pStyle w:val="TableParagraph"/>
              <w:spacing w:line="275" w:lineRule="exact"/>
              <w:ind w:right="67"/>
              <w:rPr>
                <w:sz w:val="24"/>
              </w:rPr>
            </w:pPr>
            <w:r>
              <w:rPr>
                <w:sz w:val="24"/>
              </w:rPr>
              <w:t>-0.34219557</w:t>
            </w:r>
          </w:p>
        </w:tc>
      </w:tr>
      <w:tr>
        <w:trPr>
          <w:trHeight w:val="300" w:hRule="exact"/>
        </w:trPr>
        <w:tc>
          <w:tcPr>
            <w:tcW w:w="685" w:type="dxa"/>
          </w:tcPr>
          <w:p>
            <w:pPr>
              <w:pStyle w:val="TableParagraph"/>
              <w:spacing w:line="275" w:lineRule="exact"/>
              <w:ind w:left="62" w:right="9"/>
              <w:jc w:val="center"/>
              <w:rPr>
                <w:sz w:val="24"/>
              </w:rPr>
            </w:pPr>
            <w:r>
              <w:rPr>
                <w:sz w:val="24"/>
              </w:rPr>
              <w:t>Sorgo</w:t>
            </w:r>
          </w:p>
        </w:tc>
        <w:tc>
          <w:tcPr>
            <w:tcW w:w="829" w:type="dxa"/>
          </w:tcPr>
          <w:p>
            <w:pPr>
              <w:pStyle w:val="TableParagraph"/>
              <w:spacing w:line="275" w:lineRule="exact"/>
              <w:ind w:left="90"/>
              <w:jc w:val="left"/>
              <w:rPr>
                <w:sz w:val="24"/>
              </w:rPr>
            </w:pPr>
            <w:r>
              <w:rPr>
                <w:w w:val="99"/>
                <w:sz w:val="24"/>
              </w:rPr>
              <w:t>P</w:t>
            </w:r>
          </w:p>
        </w:tc>
        <w:tc>
          <w:tcPr>
            <w:tcW w:w="820" w:type="dxa"/>
          </w:tcPr>
          <w:p>
            <w:pPr/>
          </w:p>
        </w:tc>
        <w:tc>
          <w:tcPr>
            <w:tcW w:w="1017" w:type="dxa"/>
          </w:tcPr>
          <w:p>
            <w:pPr/>
          </w:p>
        </w:tc>
        <w:tc>
          <w:tcPr>
            <w:tcW w:w="1327" w:type="dxa"/>
          </w:tcPr>
          <w:p>
            <w:pPr>
              <w:pStyle w:val="TableParagraph"/>
              <w:spacing w:line="275" w:lineRule="exact"/>
              <w:ind w:right="87"/>
              <w:rPr>
                <w:sz w:val="24"/>
              </w:rPr>
            </w:pPr>
            <w:r>
              <w:rPr>
                <w:sz w:val="24"/>
              </w:rPr>
              <w:t>1</w:t>
            </w:r>
          </w:p>
        </w:tc>
        <w:tc>
          <w:tcPr>
            <w:tcW w:w="1397" w:type="dxa"/>
          </w:tcPr>
          <w:p>
            <w:pPr>
              <w:pStyle w:val="TableParagraph"/>
              <w:spacing w:line="275" w:lineRule="exact"/>
              <w:ind w:right="86"/>
              <w:rPr>
                <w:sz w:val="24"/>
              </w:rPr>
            </w:pPr>
            <w:r>
              <w:rPr>
                <w:sz w:val="24"/>
              </w:rPr>
              <w:t>-0.28750802</w:t>
            </w:r>
          </w:p>
        </w:tc>
        <w:tc>
          <w:tcPr>
            <w:tcW w:w="1400" w:type="dxa"/>
          </w:tcPr>
          <w:p>
            <w:pPr>
              <w:pStyle w:val="TableParagraph"/>
              <w:spacing w:line="275" w:lineRule="exact"/>
              <w:ind w:right="89"/>
              <w:rPr>
                <w:sz w:val="24"/>
              </w:rPr>
            </w:pPr>
            <w:r>
              <w:rPr>
                <w:sz w:val="24"/>
              </w:rPr>
              <w:t>-0.16898345</w:t>
            </w:r>
          </w:p>
        </w:tc>
        <w:tc>
          <w:tcPr>
            <w:tcW w:w="1380" w:type="dxa"/>
          </w:tcPr>
          <w:p>
            <w:pPr>
              <w:pStyle w:val="TableParagraph"/>
              <w:spacing w:line="275" w:lineRule="exact"/>
              <w:ind w:right="67"/>
              <w:rPr>
                <w:sz w:val="24"/>
              </w:rPr>
            </w:pPr>
            <w:r>
              <w:rPr>
                <w:sz w:val="24"/>
              </w:rPr>
              <w:t>-0.5646479</w:t>
            </w:r>
          </w:p>
        </w:tc>
      </w:tr>
      <w:tr>
        <w:trPr>
          <w:trHeight w:val="300" w:hRule="exact"/>
        </w:trPr>
        <w:tc>
          <w:tcPr>
            <w:tcW w:w="685" w:type="dxa"/>
          </w:tcPr>
          <w:p>
            <w:pPr>
              <w:pStyle w:val="TableParagraph"/>
              <w:spacing w:line="275" w:lineRule="exact"/>
              <w:ind w:left="27" w:right="49"/>
              <w:jc w:val="center"/>
              <w:rPr>
                <w:sz w:val="24"/>
              </w:rPr>
            </w:pPr>
            <w:r>
              <w:rPr>
                <w:sz w:val="24"/>
              </w:rPr>
              <w:t>Maíz</w:t>
            </w:r>
          </w:p>
        </w:tc>
        <w:tc>
          <w:tcPr>
            <w:tcW w:w="829" w:type="dxa"/>
          </w:tcPr>
          <w:p>
            <w:pPr>
              <w:pStyle w:val="TableParagraph"/>
              <w:spacing w:line="275" w:lineRule="exact"/>
              <w:ind w:left="73"/>
              <w:jc w:val="left"/>
              <w:rPr>
                <w:sz w:val="24"/>
              </w:rPr>
            </w:pPr>
            <w:r>
              <w:rPr>
                <w:sz w:val="24"/>
              </w:rPr>
              <w:t>R</w:t>
            </w:r>
          </w:p>
        </w:tc>
        <w:tc>
          <w:tcPr>
            <w:tcW w:w="820" w:type="dxa"/>
          </w:tcPr>
          <w:p>
            <w:pPr/>
          </w:p>
        </w:tc>
        <w:tc>
          <w:tcPr>
            <w:tcW w:w="1017" w:type="dxa"/>
          </w:tcPr>
          <w:p>
            <w:pPr/>
          </w:p>
        </w:tc>
        <w:tc>
          <w:tcPr>
            <w:tcW w:w="1327" w:type="dxa"/>
          </w:tcPr>
          <w:p>
            <w:pPr/>
          </w:p>
        </w:tc>
        <w:tc>
          <w:tcPr>
            <w:tcW w:w="1397" w:type="dxa"/>
          </w:tcPr>
          <w:p>
            <w:pPr>
              <w:pStyle w:val="TableParagraph"/>
              <w:spacing w:line="275" w:lineRule="exact"/>
              <w:ind w:right="86"/>
              <w:rPr>
                <w:sz w:val="24"/>
              </w:rPr>
            </w:pPr>
            <w:r>
              <w:rPr>
                <w:sz w:val="24"/>
              </w:rPr>
              <w:t>1</w:t>
            </w:r>
          </w:p>
        </w:tc>
        <w:tc>
          <w:tcPr>
            <w:tcW w:w="1400" w:type="dxa"/>
          </w:tcPr>
          <w:p>
            <w:pPr>
              <w:pStyle w:val="TableParagraph"/>
              <w:spacing w:line="275" w:lineRule="exact"/>
              <w:ind w:right="89"/>
              <w:rPr>
                <w:sz w:val="24"/>
              </w:rPr>
            </w:pPr>
            <w:r>
              <w:rPr>
                <w:sz w:val="24"/>
              </w:rPr>
              <w:t>0.53105277</w:t>
            </w:r>
          </w:p>
        </w:tc>
        <w:tc>
          <w:tcPr>
            <w:tcW w:w="1380" w:type="dxa"/>
          </w:tcPr>
          <w:p>
            <w:pPr>
              <w:pStyle w:val="TableParagraph"/>
              <w:spacing w:line="275" w:lineRule="exact"/>
              <w:ind w:right="67"/>
              <w:rPr>
                <w:sz w:val="24"/>
              </w:rPr>
            </w:pPr>
            <w:r>
              <w:rPr>
                <w:sz w:val="24"/>
              </w:rPr>
              <w:t>0.58682657</w:t>
            </w:r>
          </w:p>
        </w:tc>
      </w:tr>
      <w:tr>
        <w:trPr>
          <w:trHeight w:val="300" w:hRule="exact"/>
        </w:trPr>
        <w:tc>
          <w:tcPr>
            <w:tcW w:w="685" w:type="dxa"/>
          </w:tcPr>
          <w:p>
            <w:pPr>
              <w:pStyle w:val="TableParagraph"/>
              <w:spacing w:line="275" w:lineRule="exact"/>
              <w:ind w:left="62" w:right="49"/>
              <w:jc w:val="center"/>
              <w:rPr>
                <w:sz w:val="24"/>
              </w:rPr>
            </w:pPr>
            <w:r>
              <w:rPr>
                <w:sz w:val="24"/>
              </w:rPr>
              <w:t>Trigo</w:t>
            </w:r>
          </w:p>
        </w:tc>
        <w:tc>
          <w:tcPr>
            <w:tcW w:w="829" w:type="dxa"/>
          </w:tcPr>
          <w:p>
            <w:pPr>
              <w:pStyle w:val="TableParagraph"/>
              <w:spacing w:line="275" w:lineRule="exact"/>
              <w:ind w:left="49"/>
              <w:jc w:val="left"/>
              <w:rPr>
                <w:sz w:val="24"/>
              </w:rPr>
            </w:pPr>
            <w:r>
              <w:rPr>
                <w:sz w:val="24"/>
              </w:rPr>
              <w:t>R</w:t>
            </w:r>
          </w:p>
        </w:tc>
        <w:tc>
          <w:tcPr>
            <w:tcW w:w="820" w:type="dxa"/>
          </w:tcPr>
          <w:p>
            <w:pPr/>
          </w:p>
        </w:tc>
        <w:tc>
          <w:tcPr>
            <w:tcW w:w="1017" w:type="dxa"/>
          </w:tcPr>
          <w:p>
            <w:pPr/>
          </w:p>
        </w:tc>
        <w:tc>
          <w:tcPr>
            <w:tcW w:w="1327" w:type="dxa"/>
          </w:tcPr>
          <w:p>
            <w:pPr/>
          </w:p>
        </w:tc>
        <w:tc>
          <w:tcPr>
            <w:tcW w:w="1397" w:type="dxa"/>
          </w:tcPr>
          <w:p>
            <w:pPr/>
          </w:p>
        </w:tc>
        <w:tc>
          <w:tcPr>
            <w:tcW w:w="1400" w:type="dxa"/>
          </w:tcPr>
          <w:p>
            <w:pPr>
              <w:pStyle w:val="TableParagraph"/>
              <w:spacing w:line="275" w:lineRule="exact"/>
              <w:ind w:right="89"/>
              <w:rPr>
                <w:sz w:val="24"/>
              </w:rPr>
            </w:pPr>
            <w:r>
              <w:rPr>
                <w:sz w:val="24"/>
              </w:rPr>
              <w:t>1</w:t>
            </w:r>
          </w:p>
        </w:tc>
        <w:tc>
          <w:tcPr>
            <w:tcW w:w="1380" w:type="dxa"/>
          </w:tcPr>
          <w:p>
            <w:pPr>
              <w:pStyle w:val="TableParagraph"/>
              <w:spacing w:line="275" w:lineRule="exact"/>
              <w:ind w:right="67"/>
              <w:rPr>
                <w:sz w:val="24"/>
              </w:rPr>
            </w:pPr>
            <w:r>
              <w:rPr>
                <w:sz w:val="24"/>
              </w:rPr>
              <w:t>0.47299175</w:t>
            </w:r>
          </w:p>
        </w:tc>
      </w:tr>
      <w:tr>
        <w:trPr>
          <w:trHeight w:val="307" w:hRule="exact"/>
        </w:trPr>
        <w:tc>
          <w:tcPr>
            <w:tcW w:w="685" w:type="dxa"/>
            <w:tcBorders>
              <w:bottom w:val="single" w:sz="17" w:space="0" w:color="000000"/>
            </w:tcBorders>
          </w:tcPr>
          <w:p>
            <w:pPr>
              <w:pStyle w:val="TableParagraph"/>
              <w:spacing w:line="275" w:lineRule="exact"/>
              <w:ind w:left="62" w:right="9"/>
              <w:jc w:val="center"/>
              <w:rPr>
                <w:sz w:val="24"/>
              </w:rPr>
            </w:pPr>
            <w:r>
              <w:rPr>
                <w:sz w:val="24"/>
              </w:rPr>
              <w:t>Sorgo</w:t>
            </w:r>
          </w:p>
        </w:tc>
        <w:tc>
          <w:tcPr>
            <w:tcW w:w="829" w:type="dxa"/>
            <w:tcBorders>
              <w:bottom w:val="single" w:sz="17" w:space="0" w:color="000000"/>
            </w:tcBorders>
          </w:tcPr>
          <w:p>
            <w:pPr>
              <w:pStyle w:val="TableParagraph"/>
              <w:spacing w:line="275" w:lineRule="exact"/>
              <w:ind w:left="30"/>
              <w:jc w:val="left"/>
              <w:rPr>
                <w:sz w:val="24"/>
              </w:rPr>
            </w:pPr>
            <w:r>
              <w:rPr>
                <w:sz w:val="24"/>
              </w:rPr>
              <w:t>R</w:t>
            </w:r>
          </w:p>
        </w:tc>
        <w:tc>
          <w:tcPr>
            <w:tcW w:w="820" w:type="dxa"/>
            <w:tcBorders>
              <w:bottom w:val="single" w:sz="17" w:space="0" w:color="000000"/>
            </w:tcBorders>
          </w:tcPr>
          <w:p>
            <w:pPr/>
          </w:p>
        </w:tc>
        <w:tc>
          <w:tcPr>
            <w:tcW w:w="1017" w:type="dxa"/>
            <w:tcBorders>
              <w:bottom w:val="single" w:sz="17" w:space="0" w:color="000000"/>
            </w:tcBorders>
          </w:tcPr>
          <w:p>
            <w:pPr/>
          </w:p>
        </w:tc>
        <w:tc>
          <w:tcPr>
            <w:tcW w:w="1327" w:type="dxa"/>
            <w:tcBorders>
              <w:bottom w:val="single" w:sz="17" w:space="0" w:color="000000"/>
            </w:tcBorders>
          </w:tcPr>
          <w:p>
            <w:pPr/>
          </w:p>
        </w:tc>
        <w:tc>
          <w:tcPr>
            <w:tcW w:w="1397" w:type="dxa"/>
            <w:tcBorders>
              <w:bottom w:val="single" w:sz="17" w:space="0" w:color="000000"/>
            </w:tcBorders>
          </w:tcPr>
          <w:p>
            <w:pPr/>
          </w:p>
        </w:tc>
        <w:tc>
          <w:tcPr>
            <w:tcW w:w="1400" w:type="dxa"/>
            <w:tcBorders>
              <w:bottom w:val="single" w:sz="17" w:space="0" w:color="000000"/>
            </w:tcBorders>
          </w:tcPr>
          <w:p>
            <w:pPr/>
          </w:p>
        </w:tc>
        <w:tc>
          <w:tcPr>
            <w:tcW w:w="1380" w:type="dxa"/>
            <w:tcBorders>
              <w:bottom w:val="single" w:sz="17" w:space="0" w:color="000000"/>
            </w:tcBorders>
          </w:tcPr>
          <w:p>
            <w:pPr>
              <w:pStyle w:val="TableParagraph"/>
              <w:spacing w:line="275" w:lineRule="exact"/>
              <w:ind w:right="67"/>
              <w:rPr>
                <w:sz w:val="24"/>
              </w:rPr>
            </w:pPr>
            <w:r>
              <w:rPr>
                <w:sz w:val="24"/>
              </w:rPr>
              <w:t>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70" w:after="30"/>
        <w:ind w:left="261" w:right="364" w:firstLine="0"/>
        <w:jc w:val="left"/>
        <w:rPr>
          <w:sz w:val="24"/>
        </w:rPr>
      </w:pPr>
      <w:r>
        <w:rPr>
          <w:b/>
          <w:sz w:val="24"/>
        </w:rPr>
        <w:t>Anexo Tabla 2. </w:t>
      </w:r>
      <w:r>
        <w:rPr>
          <w:sz w:val="24"/>
        </w:rPr>
        <w:t>Continuación Paso 5.3. Desviaciones ordenadas de la media</w:t>
      </w:r>
    </w:p>
    <w:tbl>
      <w:tblPr>
        <w:tblW w:w="0" w:type="auto"/>
        <w:jc w:val="left"/>
        <w:tblInd w:w="19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52"/>
        <w:gridCol w:w="1276"/>
        <w:gridCol w:w="1277"/>
        <w:gridCol w:w="1216"/>
        <w:gridCol w:w="1276"/>
        <w:gridCol w:w="1337"/>
        <w:gridCol w:w="1198"/>
      </w:tblGrid>
      <w:tr>
        <w:trPr>
          <w:trHeight w:val="343" w:hRule="exact"/>
        </w:trPr>
        <w:tc>
          <w:tcPr>
            <w:tcW w:w="1352" w:type="dxa"/>
            <w:tcBorders>
              <w:left w:val="nil"/>
              <w:right w:val="nil"/>
            </w:tcBorders>
          </w:tcPr>
          <w:p>
            <w:pPr>
              <w:pStyle w:val="TableParagraph"/>
              <w:spacing w:before="16"/>
              <w:ind w:left="429"/>
              <w:jc w:val="left"/>
              <w:rPr>
                <w:sz w:val="24"/>
              </w:rPr>
            </w:pPr>
            <w:r>
              <w:rPr>
                <w:sz w:val="24"/>
              </w:rPr>
              <w:t>F(x)</w:t>
            </w:r>
          </w:p>
        </w:tc>
        <w:tc>
          <w:tcPr>
            <w:tcW w:w="1276" w:type="dxa"/>
            <w:tcBorders>
              <w:left w:val="nil"/>
              <w:right w:val="nil"/>
            </w:tcBorders>
          </w:tcPr>
          <w:p>
            <w:pPr>
              <w:pStyle w:val="TableParagraph"/>
              <w:spacing w:before="16"/>
              <w:ind w:left="214"/>
              <w:jc w:val="left"/>
              <w:rPr>
                <w:sz w:val="24"/>
              </w:rPr>
            </w:pPr>
            <w:r>
              <w:rPr>
                <w:sz w:val="24"/>
              </w:rPr>
              <w:t>Maíz P</w:t>
            </w:r>
          </w:p>
        </w:tc>
        <w:tc>
          <w:tcPr>
            <w:tcW w:w="1277" w:type="dxa"/>
            <w:tcBorders>
              <w:left w:val="nil"/>
              <w:right w:val="nil"/>
            </w:tcBorders>
          </w:tcPr>
          <w:p>
            <w:pPr>
              <w:pStyle w:val="TableParagraph"/>
              <w:spacing w:before="16"/>
              <w:ind w:left="197"/>
              <w:jc w:val="left"/>
              <w:rPr>
                <w:sz w:val="24"/>
              </w:rPr>
            </w:pPr>
            <w:r>
              <w:rPr>
                <w:sz w:val="24"/>
              </w:rPr>
              <w:t>Trigo P</w:t>
            </w:r>
          </w:p>
        </w:tc>
        <w:tc>
          <w:tcPr>
            <w:tcW w:w="1216" w:type="dxa"/>
            <w:tcBorders>
              <w:left w:val="nil"/>
              <w:right w:val="nil"/>
            </w:tcBorders>
          </w:tcPr>
          <w:p>
            <w:pPr>
              <w:pStyle w:val="TableParagraph"/>
              <w:spacing w:before="16"/>
              <w:ind w:left="175"/>
              <w:jc w:val="left"/>
              <w:rPr>
                <w:sz w:val="24"/>
              </w:rPr>
            </w:pPr>
            <w:r>
              <w:rPr>
                <w:sz w:val="24"/>
              </w:rPr>
              <w:t>Sorgo P</w:t>
            </w:r>
          </w:p>
        </w:tc>
        <w:tc>
          <w:tcPr>
            <w:tcW w:w="1276" w:type="dxa"/>
            <w:tcBorders>
              <w:left w:val="nil"/>
              <w:right w:val="nil"/>
            </w:tcBorders>
          </w:tcPr>
          <w:p>
            <w:pPr>
              <w:pStyle w:val="TableParagraph"/>
              <w:spacing w:before="16"/>
              <w:ind w:left="262"/>
              <w:jc w:val="left"/>
              <w:rPr>
                <w:sz w:val="24"/>
              </w:rPr>
            </w:pPr>
            <w:r>
              <w:rPr>
                <w:sz w:val="24"/>
              </w:rPr>
              <w:t>Maíz R</w:t>
            </w:r>
          </w:p>
        </w:tc>
        <w:tc>
          <w:tcPr>
            <w:tcW w:w="1337" w:type="dxa"/>
            <w:tcBorders>
              <w:left w:val="nil"/>
              <w:right w:val="nil"/>
            </w:tcBorders>
          </w:tcPr>
          <w:p>
            <w:pPr>
              <w:pStyle w:val="TableParagraph"/>
              <w:spacing w:before="16"/>
              <w:ind w:left="242"/>
              <w:jc w:val="left"/>
              <w:rPr>
                <w:sz w:val="24"/>
              </w:rPr>
            </w:pPr>
            <w:r>
              <w:rPr>
                <w:sz w:val="24"/>
              </w:rPr>
              <w:t>Trigo R</w:t>
            </w:r>
          </w:p>
        </w:tc>
        <w:tc>
          <w:tcPr>
            <w:tcW w:w="1198" w:type="dxa"/>
            <w:tcBorders>
              <w:left w:val="nil"/>
              <w:right w:val="nil"/>
            </w:tcBorders>
          </w:tcPr>
          <w:p>
            <w:pPr>
              <w:pStyle w:val="TableParagraph"/>
              <w:spacing w:before="16"/>
              <w:ind w:left="163"/>
              <w:jc w:val="left"/>
              <w:rPr>
                <w:sz w:val="24"/>
              </w:rPr>
            </w:pPr>
            <w:r>
              <w:rPr>
                <w:sz w:val="24"/>
              </w:rPr>
              <w:t>Sorgo R</w:t>
            </w:r>
          </w:p>
        </w:tc>
      </w:tr>
      <w:tr>
        <w:trPr>
          <w:trHeight w:val="341" w:hRule="exact"/>
        </w:trPr>
        <w:tc>
          <w:tcPr>
            <w:tcW w:w="1352" w:type="dxa"/>
            <w:tcBorders>
              <w:left w:val="nil"/>
              <w:bottom w:val="nil"/>
              <w:right w:val="nil"/>
            </w:tcBorders>
          </w:tcPr>
          <w:p>
            <w:pPr>
              <w:pStyle w:val="TableParagraph"/>
              <w:spacing w:before="18"/>
              <w:ind w:right="145"/>
              <w:rPr>
                <w:sz w:val="24"/>
              </w:rPr>
            </w:pPr>
            <w:r>
              <w:rPr>
                <w:sz w:val="24"/>
              </w:rPr>
              <w:t>0.0</w:t>
            </w:r>
          </w:p>
        </w:tc>
        <w:tc>
          <w:tcPr>
            <w:tcW w:w="1276" w:type="dxa"/>
            <w:tcBorders>
              <w:left w:val="nil"/>
              <w:bottom w:val="nil"/>
              <w:right w:val="nil"/>
            </w:tcBorders>
          </w:tcPr>
          <w:p>
            <w:pPr>
              <w:pStyle w:val="TableParagraph"/>
              <w:spacing w:before="18"/>
              <w:ind w:right="147"/>
              <w:rPr>
                <w:sz w:val="24"/>
              </w:rPr>
            </w:pPr>
            <w:r>
              <w:rPr>
                <w:sz w:val="24"/>
              </w:rPr>
              <w:t>-0.354917</w:t>
            </w:r>
          </w:p>
        </w:tc>
        <w:tc>
          <w:tcPr>
            <w:tcW w:w="1277" w:type="dxa"/>
            <w:tcBorders>
              <w:left w:val="nil"/>
              <w:bottom w:val="nil"/>
              <w:right w:val="nil"/>
            </w:tcBorders>
          </w:tcPr>
          <w:p>
            <w:pPr>
              <w:pStyle w:val="TableParagraph"/>
              <w:spacing w:before="18"/>
              <w:ind w:left="149"/>
              <w:jc w:val="left"/>
              <w:rPr>
                <w:sz w:val="24"/>
              </w:rPr>
            </w:pPr>
            <w:r>
              <w:rPr>
                <w:sz w:val="24"/>
              </w:rPr>
              <w:t>-0.265417</w:t>
            </w:r>
          </w:p>
        </w:tc>
        <w:tc>
          <w:tcPr>
            <w:tcW w:w="1216" w:type="dxa"/>
            <w:tcBorders>
              <w:left w:val="nil"/>
              <w:bottom w:val="nil"/>
              <w:right w:val="nil"/>
            </w:tcBorders>
          </w:tcPr>
          <w:p>
            <w:pPr>
              <w:pStyle w:val="TableParagraph"/>
              <w:spacing w:before="18"/>
              <w:ind w:left="148"/>
              <w:jc w:val="left"/>
              <w:rPr>
                <w:sz w:val="24"/>
              </w:rPr>
            </w:pPr>
            <w:r>
              <w:rPr>
                <w:sz w:val="24"/>
              </w:rPr>
              <w:t>-0.356326</w:t>
            </w:r>
          </w:p>
        </w:tc>
        <w:tc>
          <w:tcPr>
            <w:tcW w:w="1276" w:type="dxa"/>
            <w:tcBorders>
              <w:left w:val="nil"/>
              <w:bottom w:val="nil"/>
              <w:right w:val="nil"/>
            </w:tcBorders>
          </w:tcPr>
          <w:p>
            <w:pPr>
              <w:pStyle w:val="TableParagraph"/>
              <w:spacing w:before="18"/>
              <w:ind w:right="86"/>
              <w:rPr>
                <w:sz w:val="24"/>
              </w:rPr>
            </w:pPr>
            <w:r>
              <w:rPr>
                <w:sz w:val="24"/>
              </w:rPr>
              <w:t>-0.2851728</w:t>
            </w:r>
          </w:p>
        </w:tc>
        <w:tc>
          <w:tcPr>
            <w:tcW w:w="1337" w:type="dxa"/>
            <w:tcBorders>
              <w:left w:val="nil"/>
              <w:bottom w:val="nil"/>
              <w:right w:val="nil"/>
            </w:tcBorders>
          </w:tcPr>
          <w:p>
            <w:pPr>
              <w:pStyle w:val="TableParagraph"/>
              <w:spacing w:before="18"/>
              <w:ind w:right="147"/>
              <w:rPr>
                <w:sz w:val="24"/>
              </w:rPr>
            </w:pPr>
            <w:r>
              <w:rPr>
                <w:sz w:val="24"/>
              </w:rPr>
              <w:t>-0.1185447</w:t>
            </w:r>
          </w:p>
        </w:tc>
        <w:tc>
          <w:tcPr>
            <w:tcW w:w="1198" w:type="dxa"/>
            <w:tcBorders>
              <w:left w:val="nil"/>
              <w:bottom w:val="nil"/>
              <w:right w:val="nil"/>
            </w:tcBorders>
          </w:tcPr>
          <w:p>
            <w:pPr>
              <w:pStyle w:val="TableParagraph"/>
              <w:spacing w:before="18"/>
              <w:ind w:right="67"/>
              <w:rPr>
                <w:sz w:val="24"/>
              </w:rPr>
            </w:pPr>
            <w:r>
              <w:rPr>
                <w:sz w:val="24"/>
              </w:rPr>
              <w:t>-0.145363</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0.038461</w:t>
            </w:r>
          </w:p>
        </w:tc>
        <w:tc>
          <w:tcPr>
            <w:tcW w:w="1276" w:type="dxa"/>
            <w:tcBorders>
              <w:top w:val="nil"/>
              <w:left w:val="nil"/>
              <w:bottom w:val="nil"/>
              <w:right w:val="nil"/>
            </w:tcBorders>
          </w:tcPr>
          <w:p>
            <w:pPr>
              <w:pStyle w:val="TableParagraph"/>
              <w:spacing w:line="275" w:lineRule="exact"/>
              <w:ind w:right="147"/>
              <w:rPr>
                <w:sz w:val="24"/>
              </w:rPr>
            </w:pPr>
            <w:r>
              <w:rPr>
                <w:sz w:val="24"/>
              </w:rPr>
              <w:t>-0.354882</w:t>
            </w:r>
          </w:p>
        </w:tc>
        <w:tc>
          <w:tcPr>
            <w:tcW w:w="1277" w:type="dxa"/>
            <w:tcBorders>
              <w:top w:val="nil"/>
              <w:left w:val="nil"/>
              <w:bottom w:val="nil"/>
              <w:right w:val="nil"/>
            </w:tcBorders>
          </w:tcPr>
          <w:p>
            <w:pPr>
              <w:pStyle w:val="TableParagraph"/>
              <w:spacing w:line="275" w:lineRule="exact"/>
              <w:ind w:right="146"/>
              <w:rPr>
                <w:sz w:val="24"/>
              </w:rPr>
            </w:pPr>
            <w:r>
              <w:rPr>
                <w:sz w:val="24"/>
              </w:rPr>
              <w:t>-0.26539</w:t>
            </w:r>
          </w:p>
        </w:tc>
        <w:tc>
          <w:tcPr>
            <w:tcW w:w="1216" w:type="dxa"/>
            <w:tcBorders>
              <w:top w:val="nil"/>
              <w:left w:val="nil"/>
              <w:bottom w:val="nil"/>
              <w:right w:val="nil"/>
            </w:tcBorders>
          </w:tcPr>
          <w:p>
            <w:pPr>
              <w:pStyle w:val="TableParagraph"/>
              <w:spacing w:line="275" w:lineRule="exact"/>
              <w:ind w:left="148"/>
              <w:jc w:val="left"/>
              <w:rPr>
                <w:sz w:val="24"/>
              </w:rPr>
            </w:pPr>
            <w:r>
              <w:rPr>
                <w:sz w:val="24"/>
              </w:rPr>
              <w:t>-0.356291</w:t>
            </w:r>
          </w:p>
        </w:tc>
        <w:tc>
          <w:tcPr>
            <w:tcW w:w="1276" w:type="dxa"/>
            <w:tcBorders>
              <w:top w:val="nil"/>
              <w:left w:val="nil"/>
              <w:bottom w:val="nil"/>
              <w:right w:val="nil"/>
            </w:tcBorders>
          </w:tcPr>
          <w:p>
            <w:pPr>
              <w:pStyle w:val="TableParagraph"/>
              <w:spacing w:line="275" w:lineRule="exact"/>
              <w:ind w:right="86"/>
              <w:rPr>
                <w:sz w:val="24"/>
              </w:rPr>
            </w:pPr>
            <w:r>
              <w:rPr>
                <w:sz w:val="24"/>
              </w:rPr>
              <w:t>-0.285144</w:t>
            </w:r>
          </w:p>
        </w:tc>
        <w:tc>
          <w:tcPr>
            <w:tcW w:w="1337" w:type="dxa"/>
            <w:tcBorders>
              <w:top w:val="nil"/>
              <w:left w:val="nil"/>
              <w:bottom w:val="nil"/>
              <w:right w:val="nil"/>
            </w:tcBorders>
          </w:tcPr>
          <w:p>
            <w:pPr>
              <w:pStyle w:val="TableParagraph"/>
              <w:spacing w:line="275" w:lineRule="exact"/>
              <w:ind w:right="147"/>
              <w:rPr>
                <w:sz w:val="24"/>
              </w:rPr>
            </w:pPr>
            <w:r>
              <w:rPr>
                <w:sz w:val="24"/>
              </w:rPr>
              <w:t>-0.118532</w:t>
            </w:r>
          </w:p>
        </w:tc>
        <w:tc>
          <w:tcPr>
            <w:tcW w:w="1198" w:type="dxa"/>
            <w:tcBorders>
              <w:top w:val="nil"/>
              <w:left w:val="nil"/>
              <w:bottom w:val="nil"/>
              <w:right w:val="nil"/>
            </w:tcBorders>
          </w:tcPr>
          <w:p>
            <w:pPr>
              <w:pStyle w:val="TableParagraph"/>
              <w:spacing w:line="275" w:lineRule="exact"/>
              <w:ind w:right="67"/>
              <w:rPr>
                <w:sz w:val="24"/>
              </w:rPr>
            </w:pPr>
            <w:r>
              <w:rPr>
                <w:sz w:val="24"/>
              </w:rPr>
              <w:t>-0.145348</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0.1153846</w:t>
            </w:r>
          </w:p>
        </w:tc>
        <w:tc>
          <w:tcPr>
            <w:tcW w:w="1276" w:type="dxa"/>
            <w:tcBorders>
              <w:top w:val="nil"/>
              <w:left w:val="nil"/>
              <w:bottom w:val="nil"/>
              <w:right w:val="nil"/>
            </w:tcBorders>
          </w:tcPr>
          <w:p>
            <w:pPr>
              <w:pStyle w:val="TableParagraph"/>
              <w:spacing w:line="275" w:lineRule="exact"/>
              <w:ind w:right="147"/>
              <w:rPr>
                <w:sz w:val="24"/>
              </w:rPr>
            </w:pPr>
            <w:r>
              <w:rPr>
                <w:sz w:val="24"/>
              </w:rPr>
              <w:t>-0.165647</w:t>
            </w:r>
          </w:p>
        </w:tc>
        <w:tc>
          <w:tcPr>
            <w:tcW w:w="1277" w:type="dxa"/>
            <w:tcBorders>
              <w:top w:val="nil"/>
              <w:left w:val="nil"/>
              <w:bottom w:val="nil"/>
              <w:right w:val="nil"/>
            </w:tcBorders>
          </w:tcPr>
          <w:p>
            <w:pPr>
              <w:pStyle w:val="TableParagraph"/>
              <w:spacing w:line="275" w:lineRule="exact"/>
              <w:ind w:left="149"/>
              <w:jc w:val="left"/>
              <w:rPr>
                <w:sz w:val="24"/>
              </w:rPr>
            </w:pPr>
            <w:r>
              <w:rPr>
                <w:sz w:val="24"/>
              </w:rPr>
              <w:t>-0.219857</w:t>
            </w:r>
          </w:p>
        </w:tc>
        <w:tc>
          <w:tcPr>
            <w:tcW w:w="1216" w:type="dxa"/>
            <w:tcBorders>
              <w:top w:val="nil"/>
              <w:left w:val="nil"/>
              <w:bottom w:val="nil"/>
              <w:right w:val="nil"/>
            </w:tcBorders>
          </w:tcPr>
          <w:p>
            <w:pPr>
              <w:pStyle w:val="TableParagraph"/>
              <w:spacing w:line="275" w:lineRule="exact"/>
              <w:ind w:left="148"/>
              <w:jc w:val="left"/>
              <w:rPr>
                <w:sz w:val="24"/>
              </w:rPr>
            </w:pPr>
            <w:r>
              <w:rPr>
                <w:sz w:val="24"/>
              </w:rPr>
              <w:t>-0.201237</w:t>
            </w:r>
          </w:p>
        </w:tc>
        <w:tc>
          <w:tcPr>
            <w:tcW w:w="1276" w:type="dxa"/>
            <w:tcBorders>
              <w:top w:val="nil"/>
              <w:left w:val="nil"/>
              <w:bottom w:val="nil"/>
              <w:right w:val="nil"/>
            </w:tcBorders>
          </w:tcPr>
          <w:p>
            <w:pPr>
              <w:pStyle w:val="TableParagraph"/>
              <w:spacing w:line="275" w:lineRule="exact"/>
              <w:ind w:right="86"/>
              <w:rPr>
                <w:sz w:val="24"/>
              </w:rPr>
            </w:pPr>
            <w:r>
              <w:rPr>
                <w:sz w:val="24"/>
              </w:rPr>
              <w:t>-0.149184</w:t>
            </w:r>
          </w:p>
        </w:tc>
        <w:tc>
          <w:tcPr>
            <w:tcW w:w="1337" w:type="dxa"/>
            <w:tcBorders>
              <w:top w:val="nil"/>
              <w:left w:val="nil"/>
              <w:bottom w:val="nil"/>
              <w:right w:val="nil"/>
            </w:tcBorders>
          </w:tcPr>
          <w:p>
            <w:pPr>
              <w:pStyle w:val="TableParagraph"/>
              <w:spacing w:line="275" w:lineRule="exact"/>
              <w:ind w:right="147"/>
              <w:rPr>
                <w:sz w:val="24"/>
              </w:rPr>
            </w:pPr>
            <w:r>
              <w:rPr>
                <w:sz w:val="24"/>
              </w:rPr>
              <w:t>-0.082949</w:t>
            </w:r>
          </w:p>
        </w:tc>
        <w:tc>
          <w:tcPr>
            <w:tcW w:w="1198" w:type="dxa"/>
            <w:tcBorders>
              <w:top w:val="nil"/>
              <w:left w:val="nil"/>
              <w:bottom w:val="nil"/>
              <w:right w:val="nil"/>
            </w:tcBorders>
          </w:tcPr>
          <w:p>
            <w:pPr>
              <w:pStyle w:val="TableParagraph"/>
              <w:spacing w:line="275" w:lineRule="exact"/>
              <w:ind w:right="67"/>
              <w:rPr>
                <w:sz w:val="24"/>
              </w:rPr>
            </w:pPr>
            <w:r>
              <w:rPr>
                <w:sz w:val="24"/>
              </w:rPr>
              <w:t>-0.142484</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0.1923076</w:t>
            </w:r>
          </w:p>
        </w:tc>
        <w:tc>
          <w:tcPr>
            <w:tcW w:w="1276" w:type="dxa"/>
            <w:tcBorders>
              <w:top w:val="nil"/>
              <w:left w:val="nil"/>
              <w:bottom w:val="nil"/>
              <w:right w:val="nil"/>
            </w:tcBorders>
          </w:tcPr>
          <w:p>
            <w:pPr>
              <w:pStyle w:val="TableParagraph"/>
              <w:spacing w:line="275" w:lineRule="exact"/>
              <w:ind w:right="147"/>
              <w:rPr>
                <w:sz w:val="24"/>
              </w:rPr>
            </w:pPr>
            <w:r>
              <w:rPr>
                <w:sz w:val="24"/>
              </w:rPr>
              <w:t>-0.136815</w:t>
            </w:r>
          </w:p>
        </w:tc>
        <w:tc>
          <w:tcPr>
            <w:tcW w:w="1277" w:type="dxa"/>
            <w:tcBorders>
              <w:top w:val="nil"/>
              <w:left w:val="nil"/>
              <w:bottom w:val="nil"/>
              <w:right w:val="nil"/>
            </w:tcBorders>
          </w:tcPr>
          <w:p>
            <w:pPr>
              <w:pStyle w:val="TableParagraph"/>
              <w:spacing w:line="275" w:lineRule="exact"/>
              <w:ind w:left="149"/>
              <w:jc w:val="left"/>
              <w:rPr>
                <w:sz w:val="24"/>
              </w:rPr>
            </w:pPr>
            <w:r>
              <w:rPr>
                <w:sz w:val="24"/>
              </w:rPr>
              <w:t>-0.209083</w:t>
            </w:r>
          </w:p>
        </w:tc>
        <w:tc>
          <w:tcPr>
            <w:tcW w:w="1216" w:type="dxa"/>
            <w:tcBorders>
              <w:top w:val="nil"/>
              <w:left w:val="nil"/>
              <w:bottom w:val="nil"/>
              <w:right w:val="nil"/>
            </w:tcBorders>
          </w:tcPr>
          <w:p>
            <w:pPr>
              <w:pStyle w:val="TableParagraph"/>
              <w:spacing w:line="275" w:lineRule="exact"/>
              <w:ind w:left="148"/>
              <w:jc w:val="left"/>
              <w:rPr>
                <w:sz w:val="24"/>
              </w:rPr>
            </w:pPr>
            <w:r>
              <w:rPr>
                <w:sz w:val="24"/>
              </w:rPr>
              <w:t>-0.147020</w:t>
            </w:r>
          </w:p>
        </w:tc>
        <w:tc>
          <w:tcPr>
            <w:tcW w:w="1276" w:type="dxa"/>
            <w:tcBorders>
              <w:top w:val="nil"/>
              <w:left w:val="nil"/>
              <w:bottom w:val="nil"/>
              <w:right w:val="nil"/>
            </w:tcBorders>
          </w:tcPr>
          <w:p>
            <w:pPr>
              <w:pStyle w:val="TableParagraph"/>
              <w:spacing w:line="275" w:lineRule="exact"/>
              <w:ind w:right="86"/>
              <w:rPr>
                <w:sz w:val="24"/>
              </w:rPr>
            </w:pPr>
            <w:r>
              <w:rPr>
                <w:sz w:val="24"/>
              </w:rPr>
              <w:t>-0.082644</w:t>
            </w:r>
          </w:p>
        </w:tc>
        <w:tc>
          <w:tcPr>
            <w:tcW w:w="1337" w:type="dxa"/>
            <w:tcBorders>
              <w:top w:val="nil"/>
              <w:left w:val="nil"/>
              <w:bottom w:val="nil"/>
              <w:right w:val="nil"/>
            </w:tcBorders>
          </w:tcPr>
          <w:p>
            <w:pPr>
              <w:pStyle w:val="TableParagraph"/>
              <w:spacing w:line="275" w:lineRule="exact"/>
              <w:ind w:right="147"/>
              <w:rPr>
                <w:sz w:val="24"/>
              </w:rPr>
            </w:pPr>
            <w:r>
              <w:rPr>
                <w:sz w:val="24"/>
              </w:rPr>
              <w:t>-0.075868</w:t>
            </w:r>
          </w:p>
        </w:tc>
        <w:tc>
          <w:tcPr>
            <w:tcW w:w="1198" w:type="dxa"/>
            <w:tcBorders>
              <w:top w:val="nil"/>
              <w:left w:val="nil"/>
              <w:bottom w:val="nil"/>
              <w:right w:val="nil"/>
            </w:tcBorders>
          </w:tcPr>
          <w:p>
            <w:pPr>
              <w:pStyle w:val="TableParagraph"/>
              <w:spacing w:line="275" w:lineRule="exact"/>
              <w:ind w:right="67"/>
              <w:rPr>
                <w:sz w:val="24"/>
              </w:rPr>
            </w:pPr>
            <w:r>
              <w:rPr>
                <w:sz w:val="24"/>
              </w:rPr>
              <w:t>-0.086323</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0.2692307</w:t>
            </w:r>
          </w:p>
        </w:tc>
        <w:tc>
          <w:tcPr>
            <w:tcW w:w="1276" w:type="dxa"/>
            <w:tcBorders>
              <w:top w:val="nil"/>
              <w:left w:val="nil"/>
              <w:bottom w:val="nil"/>
              <w:right w:val="nil"/>
            </w:tcBorders>
          </w:tcPr>
          <w:p>
            <w:pPr>
              <w:pStyle w:val="TableParagraph"/>
              <w:spacing w:line="275" w:lineRule="exact"/>
              <w:ind w:right="147"/>
              <w:rPr>
                <w:sz w:val="24"/>
              </w:rPr>
            </w:pPr>
            <w:r>
              <w:rPr>
                <w:sz w:val="24"/>
              </w:rPr>
              <w:t>-0.109737</w:t>
            </w:r>
          </w:p>
        </w:tc>
        <w:tc>
          <w:tcPr>
            <w:tcW w:w="1277" w:type="dxa"/>
            <w:tcBorders>
              <w:top w:val="nil"/>
              <w:left w:val="nil"/>
              <w:bottom w:val="nil"/>
              <w:right w:val="nil"/>
            </w:tcBorders>
          </w:tcPr>
          <w:p>
            <w:pPr>
              <w:pStyle w:val="TableParagraph"/>
              <w:spacing w:line="275" w:lineRule="exact"/>
              <w:ind w:left="149"/>
              <w:jc w:val="left"/>
              <w:rPr>
                <w:sz w:val="24"/>
              </w:rPr>
            </w:pPr>
            <w:r>
              <w:rPr>
                <w:sz w:val="24"/>
              </w:rPr>
              <w:t>-0.207714</w:t>
            </w:r>
          </w:p>
        </w:tc>
        <w:tc>
          <w:tcPr>
            <w:tcW w:w="1216" w:type="dxa"/>
            <w:tcBorders>
              <w:top w:val="nil"/>
              <w:left w:val="nil"/>
              <w:bottom w:val="nil"/>
              <w:right w:val="nil"/>
            </w:tcBorders>
          </w:tcPr>
          <w:p>
            <w:pPr>
              <w:pStyle w:val="TableParagraph"/>
              <w:spacing w:line="275" w:lineRule="exact"/>
              <w:ind w:left="148"/>
              <w:jc w:val="left"/>
              <w:rPr>
                <w:sz w:val="24"/>
              </w:rPr>
            </w:pPr>
            <w:r>
              <w:rPr>
                <w:sz w:val="24"/>
              </w:rPr>
              <w:t>-0.119857</w:t>
            </w:r>
          </w:p>
        </w:tc>
        <w:tc>
          <w:tcPr>
            <w:tcW w:w="1276" w:type="dxa"/>
            <w:tcBorders>
              <w:top w:val="nil"/>
              <w:left w:val="nil"/>
              <w:bottom w:val="nil"/>
              <w:right w:val="nil"/>
            </w:tcBorders>
          </w:tcPr>
          <w:p>
            <w:pPr>
              <w:pStyle w:val="TableParagraph"/>
              <w:spacing w:line="275" w:lineRule="exact"/>
              <w:ind w:right="86"/>
              <w:rPr>
                <w:sz w:val="24"/>
              </w:rPr>
            </w:pPr>
            <w:r>
              <w:rPr>
                <w:sz w:val="24"/>
              </w:rPr>
              <w:t>-0.041483</w:t>
            </w:r>
          </w:p>
        </w:tc>
        <w:tc>
          <w:tcPr>
            <w:tcW w:w="1337" w:type="dxa"/>
            <w:tcBorders>
              <w:top w:val="nil"/>
              <w:left w:val="nil"/>
              <w:bottom w:val="nil"/>
              <w:right w:val="nil"/>
            </w:tcBorders>
          </w:tcPr>
          <w:p>
            <w:pPr>
              <w:pStyle w:val="TableParagraph"/>
              <w:spacing w:line="275" w:lineRule="exact"/>
              <w:ind w:right="147"/>
              <w:rPr>
                <w:sz w:val="24"/>
              </w:rPr>
            </w:pPr>
            <w:r>
              <w:rPr>
                <w:sz w:val="24"/>
              </w:rPr>
              <w:t>-0.073322</w:t>
            </w:r>
          </w:p>
        </w:tc>
        <w:tc>
          <w:tcPr>
            <w:tcW w:w="1198" w:type="dxa"/>
            <w:tcBorders>
              <w:top w:val="nil"/>
              <w:left w:val="nil"/>
              <w:bottom w:val="nil"/>
              <w:right w:val="nil"/>
            </w:tcBorders>
          </w:tcPr>
          <w:p>
            <w:pPr>
              <w:pStyle w:val="TableParagraph"/>
              <w:spacing w:line="275" w:lineRule="exact"/>
              <w:ind w:right="67"/>
              <w:rPr>
                <w:sz w:val="24"/>
              </w:rPr>
            </w:pPr>
            <w:r>
              <w:rPr>
                <w:sz w:val="24"/>
              </w:rPr>
              <w:t>-0.076219</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0.3461538</w:t>
            </w:r>
          </w:p>
        </w:tc>
        <w:tc>
          <w:tcPr>
            <w:tcW w:w="1276" w:type="dxa"/>
            <w:tcBorders>
              <w:top w:val="nil"/>
              <w:left w:val="nil"/>
              <w:bottom w:val="nil"/>
              <w:right w:val="nil"/>
            </w:tcBorders>
          </w:tcPr>
          <w:p>
            <w:pPr>
              <w:pStyle w:val="TableParagraph"/>
              <w:spacing w:line="275" w:lineRule="exact"/>
              <w:ind w:right="147"/>
              <w:rPr>
                <w:sz w:val="24"/>
              </w:rPr>
            </w:pPr>
            <w:r>
              <w:rPr>
                <w:sz w:val="24"/>
              </w:rPr>
              <w:t>-0.028022</w:t>
            </w:r>
          </w:p>
        </w:tc>
        <w:tc>
          <w:tcPr>
            <w:tcW w:w="1277" w:type="dxa"/>
            <w:tcBorders>
              <w:top w:val="nil"/>
              <w:left w:val="nil"/>
              <w:bottom w:val="nil"/>
              <w:right w:val="nil"/>
            </w:tcBorders>
          </w:tcPr>
          <w:p>
            <w:pPr>
              <w:pStyle w:val="TableParagraph"/>
              <w:spacing w:line="275" w:lineRule="exact"/>
              <w:ind w:left="149"/>
              <w:jc w:val="left"/>
              <w:rPr>
                <w:sz w:val="24"/>
              </w:rPr>
            </w:pPr>
            <w:r>
              <w:rPr>
                <w:sz w:val="24"/>
              </w:rPr>
              <w:t>-0.089327</w:t>
            </w:r>
          </w:p>
        </w:tc>
        <w:tc>
          <w:tcPr>
            <w:tcW w:w="1216" w:type="dxa"/>
            <w:tcBorders>
              <w:top w:val="nil"/>
              <w:left w:val="nil"/>
              <w:bottom w:val="nil"/>
              <w:right w:val="nil"/>
            </w:tcBorders>
          </w:tcPr>
          <w:p>
            <w:pPr>
              <w:pStyle w:val="TableParagraph"/>
              <w:spacing w:line="275" w:lineRule="exact"/>
              <w:ind w:left="148"/>
              <w:jc w:val="left"/>
              <w:rPr>
                <w:sz w:val="24"/>
              </w:rPr>
            </w:pPr>
            <w:r>
              <w:rPr>
                <w:sz w:val="24"/>
              </w:rPr>
              <w:t>-0.013293</w:t>
            </w:r>
          </w:p>
        </w:tc>
        <w:tc>
          <w:tcPr>
            <w:tcW w:w="1276" w:type="dxa"/>
            <w:tcBorders>
              <w:top w:val="nil"/>
              <w:left w:val="nil"/>
              <w:bottom w:val="nil"/>
              <w:right w:val="nil"/>
            </w:tcBorders>
          </w:tcPr>
          <w:p>
            <w:pPr>
              <w:pStyle w:val="TableParagraph"/>
              <w:spacing w:line="275" w:lineRule="exact"/>
              <w:ind w:right="86"/>
              <w:rPr>
                <w:sz w:val="24"/>
              </w:rPr>
            </w:pPr>
            <w:r>
              <w:rPr>
                <w:sz w:val="24"/>
              </w:rPr>
              <w:t>-0.018574</w:t>
            </w:r>
          </w:p>
        </w:tc>
        <w:tc>
          <w:tcPr>
            <w:tcW w:w="1337" w:type="dxa"/>
            <w:tcBorders>
              <w:top w:val="nil"/>
              <w:left w:val="nil"/>
              <w:bottom w:val="nil"/>
              <w:right w:val="nil"/>
            </w:tcBorders>
          </w:tcPr>
          <w:p>
            <w:pPr>
              <w:pStyle w:val="TableParagraph"/>
              <w:spacing w:line="275" w:lineRule="exact"/>
              <w:ind w:right="147"/>
              <w:rPr>
                <w:sz w:val="24"/>
              </w:rPr>
            </w:pPr>
            <w:r>
              <w:rPr>
                <w:sz w:val="24"/>
              </w:rPr>
              <w:t>-0.036056</w:t>
            </w:r>
          </w:p>
        </w:tc>
        <w:tc>
          <w:tcPr>
            <w:tcW w:w="1198" w:type="dxa"/>
            <w:tcBorders>
              <w:top w:val="nil"/>
              <w:left w:val="nil"/>
              <w:bottom w:val="nil"/>
              <w:right w:val="nil"/>
            </w:tcBorders>
          </w:tcPr>
          <w:p>
            <w:pPr>
              <w:pStyle w:val="TableParagraph"/>
              <w:spacing w:line="275" w:lineRule="exact"/>
              <w:ind w:right="67"/>
              <w:rPr>
                <w:sz w:val="24"/>
              </w:rPr>
            </w:pPr>
            <w:r>
              <w:rPr>
                <w:sz w:val="24"/>
              </w:rPr>
              <w:t>-0.027419</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0.4230769</w:t>
            </w:r>
          </w:p>
        </w:tc>
        <w:tc>
          <w:tcPr>
            <w:tcW w:w="1276" w:type="dxa"/>
            <w:tcBorders>
              <w:top w:val="nil"/>
              <w:left w:val="nil"/>
              <w:bottom w:val="nil"/>
              <w:right w:val="nil"/>
            </w:tcBorders>
          </w:tcPr>
          <w:p>
            <w:pPr>
              <w:pStyle w:val="TableParagraph"/>
              <w:spacing w:line="275" w:lineRule="exact"/>
              <w:ind w:right="147"/>
              <w:rPr>
                <w:sz w:val="24"/>
              </w:rPr>
            </w:pPr>
            <w:r>
              <w:rPr>
                <w:sz w:val="24"/>
              </w:rPr>
              <w:t>-0.019421</w:t>
            </w:r>
          </w:p>
        </w:tc>
        <w:tc>
          <w:tcPr>
            <w:tcW w:w="1277" w:type="dxa"/>
            <w:tcBorders>
              <w:top w:val="nil"/>
              <w:left w:val="nil"/>
              <w:bottom w:val="nil"/>
              <w:right w:val="nil"/>
            </w:tcBorders>
          </w:tcPr>
          <w:p>
            <w:pPr>
              <w:pStyle w:val="TableParagraph"/>
              <w:spacing w:line="275" w:lineRule="exact"/>
              <w:ind w:left="149"/>
              <w:jc w:val="left"/>
              <w:rPr>
                <w:sz w:val="24"/>
              </w:rPr>
            </w:pPr>
            <w:r>
              <w:rPr>
                <w:sz w:val="24"/>
              </w:rPr>
              <w:t>-0.016473</w:t>
            </w:r>
          </w:p>
        </w:tc>
        <w:tc>
          <w:tcPr>
            <w:tcW w:w="1216" w:type="dxa"/>
            <w:tcBorders>
              <w:top w:val="nil"/>
              <w:left w:val="nil"/>
              <w:bottom w:val="nil"/>
              <w:right w:val="nil"/>
            </w:tcBorders>
          </w:tcPr>
          <w:p>
            <w:pPr>
              <w:pStyle w:val="TableParagraph"/>
              <w:spacing w:line="275" w:lineRule="exact"/>
              <w:ind w:left="148"/>
              <w:jc w:val="left"/>
              <w:rPr>
                <w:sz w:val="24"/>
              </w:rPr>
            </w:pPr>
            <w:r>
              <w:rPr>
                <w:sz w:val="24"/>
              </w:rPr>
              <w:t>-0.003895</w:t>
            </w:r>
          </w:p>
        </w:tc>
        <w:tc>
          <w:tcPr>
            <w:tcW w:w="1276" w:type="dxa"/>
            <w:tcBorders>
              <w:top w:val="nil"/>
              <w:left w:val="nil"/>
              <w:bottom w:val="nil"/>
              <w:right w:val="nil"/>
            </w:tcBorders>
          </w:tcPr>
          <w:p>
            <w:pPr>
              <w:pStyle w:val="TableParagraph"/>
              <w:spacing w:line="275" w:lineRule="exact"/>
              <w:ind w:right="86"/>
              <w:rPr>
                <w:sz w:val="24"/>
              </w:rPr>
            </w:pPr>
            <w:r>
              <w:rPr>
                <w:sz w:val="24"/>
              </w:rPr>
              <w:t>0.001183</w:t>
            </w:r>
          </w:p>
        </w:tc>
        <w:tc>
          <w:tcPr>
            <w:tcW w:w="1337" w:type="dxa"/>
            <w:tcBorders>
              <w:top w:val="nil"/>
              <w:left w:val="nil"/>
              <w:bottom w:val="nil"/>
              <w:right w:val="nil"/>
            </w:tcBorders>
          </w:tcPr>
          <w:p>
            <w:pPr>
              <w:pStyle w:val="TableParagraph"/>
              <w:spacing w:line="275" w:lineRule="exact"/>
              <w:ind w:right="147"/>
              <w:rPr>
                <w:sz w:val="24"/>
              </w:rPr>
            </w:pPr>
            <w:r>
              <w:rPr>
                <w:sz w:val="24"/>
              </w:rPr>
              <w:t>-0.022556</w:t>
            </w:r>
          </w:p>
        </w:tc>
        <w:tc>
          <w:tcPr>
            <w:tcW w:w="1198" w:type="dxa"/>
            <w:tcBorders>
              <w:top w:val="nil"/>
              <w:left w:val="nil"/>
              <w:bottom w:val="nil"/>
              <w:right w:val="nil"/>
            </w:tcBorders>
          </w:tcPr>
          <w:p>
            <w:pPr>
              <w:pStyle w:val="TableParagraph"/>
              <w:spacing w:line="275" w:lineRule="exact"/>
              <w:ind w:right="67"/>
              <w:rPr>
                <w:sz w:val="24"/>
              </w:rPr>
            </w:pPr>
            <w:r>
              <w:rPr>
                <w:sz w:val="24"/>
              </w:rPr>
              <w:t>-0.016594</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0.5</w:t>
            </w:r>
          </w:p>
        </w:tc>
        <w:tc>
          <w:tcPr>
            <w:tcW w:w="1276" w:type="dxa"/>
            <w:tcBorders>
              <w:top w:val="nil"/>
              <w:left w:val="nil"/>
              <w:bottom w:val="nil"/>
              <w:right w:val="nil"/>
            </w:tcBorders>
          </w:tcPr>
          <w:p>
            <w:pPr>
              <w:pStyle w:val="TableParagraph"/>
              <w:spacing w:line="275" w:lineRule="exact"/>
              <w:ind w:right="147"/>
              <w:rPr>
                <w:sz w:val="24"/>
              </w:rPr>
            </w:pPr>
            <w:r>
              <w:rPr>
                <w:sz w:val="24"/>
              </w:rPr>
              <w:t>0.014985</w:t>
            </w:r>
          </w:p>
        </w:tc>
        <w:tc>
          <w:tcPr>
            <w:tcW w:w="1277" w:type="dxa"/>
            <w:tcBorders>
              <w:top w:val="nil"/>
              <w:left w:val="nil"/>
              <w:bottom w:val="nil"/>
              <w:right w:val="nil"/>
            </w:tcBorders>
          </w:tcPr>
          <w:p>
            <w:pPr>
              <w:pStyle w:val="TableParagraph"/>
              <w:spacing w:line="275" w:lineRule="exact"/>
              <w:ind w:left="149"/>
              <w:jc w:val="left"/>
              <w:rPr>
                <w:sz w:val="24"/>
              </w:rPr>
            </w:pPr>
            <w:r>
              <w:rPr>
                <w:sz w:val="24"/>
              </w:rPr>
              <w:t>-0.010402</w:t>
            </w:r>
          </w:p>
        </w:tc>
        <w:tc>
          <w:tcPr>
            <w:tcW w:w="1216" w:type="dxa"/>
            <w:tcBorders>
              <w:top w:val="nil"/>
              <w:left w:val="nil"/>
              <w:bottom w:val="nil"/>
              <w:right w:val="nil"/>
            </w:tcBorders>
          </w:tcPr>
          <w:p>
            <w:pPr>
              <w:pStyle w:val="TableParagraph"/>
              <w:spacing w:line="275" w:lineRule="exact"/>
              <w:ind w:left="148"/>
              <w:jc w:val="left"/>
              <w:rPr>
                <w:sz w:val="24"/>
              </w:rPr>
            </w:pPr>
            <w:r>
              <w:rPr>
                <w:sz w:val="24"/>
              </w:rPr>
              <w:t>-0.000136</w:t>
            </w:r>
          </w:p>
        </w:tc>
        <w:tc>
          <w:tcPr>
            <w:tcW w:w="1276" w:type="dxa"/>
            <w:tcBorders>
              <w:top w:val="nil"/>
              <w:left w:val="nil"/>
              <w:bottom w:val="nil"/>
              <w:right w:val="nil"/>
            </w:tcBorders>
          </w:tcPr>
          <w:p>
            <w:pPr>
              <w:pStyle w:val="TableParagraph"/>
              <w:spacing w:line="275" w:lineRule="exact"/>
              <w:ind w:right="86"/>
              <w:rPr>
                <w:sz w:val="24"/>
              </w:rPr>
            </w:pPr>
            <w:r>
              <w:rPr>
                <w:sz w:val="24"/>
              </w:rPr>
              <w:t>0.008547</w:t>
            </w:r>
          </w:p>
        </w:tc>
        <w:tc>
          <w:tcPr>
            <w:tcW w:w="1337" w:type="dxa"/>
            <w:tcBorders>
              <w:top w:val="nil"/>
              <w:left w:val="nil"/>
              <w:bottom w:val="nil"/>
              <w:right w:val="nil"/>
            </w:tcBorders>
          </w:tcPr>
          <w:p>
            <w:pPr>
              <w:pStyle w:val="TableParagraph"/>
              <w:spacing w:line="275" w:lineRule="exact"/>
              <w:ind w:right="147"/>
              <w:rPr>
                <w:sz w:val="24"/>
              </w:rPr>
            </w:pPr>
            <w:r>
              <w:rPr>
                <w:sz w:val="24"/>
              </w:rPr>
              <w:t>0.011372</w:t>
            </w:r>
          </w:p>
        </w:tc>
        <w:tc>
          <w:tcPr>
            <w:tcW w:w="1198" w:type="dxa"/>
            <w:tcBorders>
              <w:top w:val="nil"/>
              <w:left w:val="nil"/>
              <w:bottom w:val="nil"/>
              <w:right w:val="nil"/>
            </w:tcBorders>
          </w:tcPr>
          <w:p>
            <w:pPr>
              <w:pStyle w:val="TableParagraph"/>
              <w:spacing w:line="275" w:lineRule="exact"/>
              <w:ind w:right="67"/>
              <w:rPr>
                <w:sz w:val="24"/>
              </w:rPr>
            </w:pPr>
            <w:r>
              <w:rPr>
                <w:sz w:val="24"/>
              </w:rPr>
              <w:t>0.024883</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0.5769230</w:t>
            </w:r>
          </w:p>
        </w:tc>
        <w:tc>
          <w:tcPr>
            <w:tcW w:w="1276" w:type="dxa"/>
            <w:tcBorders>
              <w:top w:val="nil"/>
              <w:left w:val="nil"/>
              <w:bottom w:val="nil"/>
              <w:right w:val="nil"/>
            </w:tcBorders>
          </w:tcPr>
          <w:p>
            <w:pPr>
              <w:pStyle w:val="TableParagraph"/>
              <w:spacing w:line="275" w:lineRule="exact"/>
              <w:ind w:right="147"/>
              <w:rPr>
                <w:sz w:val="24"/>
              </w:rPr>
            </w:pPr>
            <w:r>
              <w:rPr>
                <w:sz w:val="24"/>
              </w:rPr>
              <w:t>0.019286</w:t>
            </w:r>
          </w:p>
        </w:tc>
        <w:tc>
          <w:tcPr>
            <w:tcW w:w="1277" w:type="dxa"/>
            <w:tcBorders>
              <w:top w:val="nil"/>
              <w:left w:val="nil"/>
              <w:bottom w:val="nil"/>
              <w:right w:val="nil"/>
            </w:tcBorders>
          </w:tcPr>
          <w:p>
            <w:pPr>
              <w:pStyle w:val="TableParagraph"/>
              <w:spacing w:line="275" w:lineRule="exact"/>
              <w:ind w:right="146"/>
              <w:rPr>
                <w:sz w:val="24"/>
              </w:rPr>
            </w:pPr>
            <w:r>
              <w:rPr>
                <w:sz w:val="24"/>
              </w:rPr>
              <w:t>0.026024</w:t>
            </w:r>
          </w:p>
        </w:tc>
        <w:tc>
          <w:tcPr>
            <w:tcW w:w="1216" w:type="dxa"/>
            <w:tcBorders>
              <w:top w:val="nil"/>
              <w:left w:val="nil"/>
              <w:bottom w:val="nil"/>
              <w:right w:val="nil"/>
            </w:tcBorders>
          </w:tcPr>
          <w:p>
            <w:pPr>
              <w:pStyle w:val="TableParagraph"/>
              <w:spacing w:line="275" w:lineRule="exact"/>
              <w:ind w:left="227"/>
              <w:jc w:val="left"/>
              <w:rPr>
                <w:sz w:val="24"/>
              </w:rPr>
            </w:pPr>
            <w:r>
              <w:rPr>
                <w:sz w:val="24"/>
              </w:rPr>
              <w:t>0.033693</w:t>
            </w:r>
          </w:p>
        </w:tc>
        <w:tc>
          <w:tcPr>
            <w:tcW w:w="1276" w:type="dxa"/>
            <w:tcBorders>
              <w:top w:val="nil"/>
              <w:left w:val="nil"/>
              <w:bottom w:val="nil"/>
              <w:right w:val="nil"/>
            </w:tcBorders>
          </w:tcPr>
          <w:p>
            <w:pPr>
              <w:pStyle w:val="TableParagraph"/>
              <w:spacing w:line="275" w:lineRule="exact"/>
              <w:ind w:right="86"/>
              <w:rPr>
                <w:sz w:val="24"/>
              </w:rPr>
            </w:pPr>
            <w:r>
              <w:rPr>
                <w:sz w:val="24"/>
              </w:rPr>
              <w:t>0.012508</w:t>
            </w:r>
          </w:p>
        </w:tc>
        <w:tc>
          <w:tcPr>
            <w:tcW w:w="1337" w:type="dxa"/>
            <w:tcBorders>
              <w:top w:val="nil"/>
              <w:left w:val="nil"/>
              <w:bottom w:val="nil"/>
              <w:right w:val="nil"/>
            </w:tcBorders>
          </w:tcPr>
          <w:p>
            <w:pPr>
              <w:pStyle w:val="TableParagraph"/>
              <w:spacing w:line="275" w:lineRule="exact"/>
              <w:ind w:right="147"/>
              <w:rPr>
                <w:sz w:val="24"/>
              </w:rPr>
            </w:pPr>
            <w:r>
              <w:rPr>
                <w:sz w:val="24"/>
              </w:rPr>
              <w:t>0.014055</w:t>
            </w:r>
          </w:p>
        </w:tc>
        <w:tc>
          <w:tcPr>
            <w:tcW w:w="1198" w:type="dxa"/>
            <w:tcBorders>
              <w:top w:val="nil"/>
              <w:left w:val="nil"/>
              <w:bottom w:val="nil"/>
              <w:right w:val="nil"/>
            </w:tcBorders>
          </w:tcPr>
          <w:p>
            <w:pPr>
              <w:pStyle w:val="TableParagraph"/>
              <w:spacing w:line="275" w:lineRule="exact"/>
              <w:ind w:right="67"/>
              <w:rPr>
                <w:sz w:val="24"/>
              </w:rPr>
            </w:pPr>
            <w:r>
              <w:rPr>
                <w:sz w:val="24"/>
              </w:rPr>
              <w:t>0.040340</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0.6538461</w:t>
            </w:r>
          </w:p>
        </w:tc>
        <w:tc>
          <w:tcPr>
            <w:tcW w:w="1276" w:type="dxa"/>
            <w:tcBorders>
              <w:top w:val="nil"/>
              <w:left w:val="nil"/>
              <w:bottom w:val="nil"/>
              <w:right w:val="nil"/>
            </w:tcBorders>
          </w:tcPr>
          <w:p>
            <w:pPr>
              <w:pStyle w:val="TableParagraph"/>
              <w:spacing w:line="275" w:lineRule="exact"/>
              <w:ind w:right="147"/>
              <w:rPr>
                <w:sz w:val="24"/>
              </w:rPr>
            </w:pPr>
            <w:r>
              <w:rPr>
                <w:sz w:val="24"/>
              </w:rPr>
              <w:t>0.053692</w:t>
            </w:r>
          </w:p>
        </w:tc>
        <w:tc>
          <w:tcPr>
            <w:tcW w:w="1277" w:type="dxa"/>
            <w:tcBorders>
              <w:top w:val="nil"/>
              <w:left w:val="nil"/>
              <w:bottom w:val="nil"/>
              <w:right w:val="nil"/>
            </w:tcBorders>
          </w:tcPr>
          <w:p>
            <w:pPr>
              <w:pStyle w:val="TableParagraph"/>
              <w:spacing w:line="275" w:lineRule="exact"/>
              <w:ind w:right="146"/>
              <w:rPr>
                <w:sz w:val="24"/>
              </w:rPr>
            </w:pPr>
            <w:r>
              <w:rPr>
                <w:sz w:val="24"/>
              </w:rPr>
              <w:t>0.047273</w:t>
            </w:r>
          </w:p>
        </w:tc>
        <w:tc>
          <w:tcPr>
            <w:tcW w:w="1216" w:type="dxa"/>
            <w:tcBorders>
              <w:top w:val="nil"/>
              <w:left w:val="nil"/>
              <w:bottom w:val="nil"/>
              <w:right w:val="nil"/>
            </w:tcBorders>
          </w:tcPr>
          <w:p>
            <w:pPr>
              <w:pStyle w:val="TableParagraph"/>
              <w:spacing w:line="275" w:lineRule="exact"/>
              <w:ind w:left="227"/>
              <w:jc w:val="left"/>
              <w:rPr>
                <w:sz w:val="24"/>
              </w:rPr>
            </w:pPr>
            <w:r>
              <w:rPr>
                <w:sz w:val="24"/>
              </w:rPr>
              <w:t>0.057749</w:t>
            </w:r>
          </w:p>
        </w:tc>
        <w:tc>
          <w:tcPr>
            <w:tcW w:w="1276" w:type="dxa"/>
            <w:tcBorders>
              <w:top w:val="nil"/>
              <w:left w:val="nil"/>
              <w:bottom w:val="nil"/>
              <w:right w:val="nil"/>
            </w:tcBorders>
          </w:tcPr>
          <w:p>
            <w:pPr>
              <w:pStyle w:val="TableParagraph"/>
              <w:spacing w:line="275" w:lineRule="exact"/>
              <w:ind w:right="86"/>
              <w:rPr>
                <w:sz w:val="24"/>
              </w:rPr>
            </w:pPr>
            <w:r>
              <w:rPr>
                <w:sz w:val="24"/>
              </w:rPr>
              <w:t>0.073328</w:t>
            </w:r>
          </w:p>
        </w:tc>
        <w:tc>
          <w:tcPr>
            <w:tcW w:w="1337" w:type="dxa"/>
            <w:tcBorders>
              <w:top w:val="nil"/>
              <w:left w:val="nil"/>
              <w:bottom w:val="nil"/>
              <w:right w:val="nil"/>
            </w:tcBorders>
          </w:tcPr>
          <w:p>
            <w:pPr>
              <w:pStyle w:val="TableParagraph"/>
              <w:spacing w:line="275" w:lineRule="exact"/>
              <w:ind w:right="147"/>
              <w:rPr>
                <w:sz w:val="24"/>
              </w:rPr>
            </w:pPr>
            <w:r>
              <w:rPr>
                <w:sz w:val="24"/>
              </w:rPr>
              <w:t>0.028568</w:t>
            </w:r>
          </w:p>
        </w:tc>
        <w:tc>
          <w:tcPr>
            <w:tcW w:w="1198" w:type="dxa"/>
            <w:tcBorders>
              <w:top w:val="nil"/>
              <w:left w:val="nil"/>
              <w:bottom w:val="nil"/>
              <w:right w:val="nil"/>
            </w:tcBorders>
          </w:tcPr>
          <w:p>
            <w:pPr>
              <w:pStyle w:val="TableParagraph"/>
              <w:spacing w:line="275" w:lineRule="exact"/>
              <w:ind w:right="67"/>
              <w:rPr>
                <w:sz w:val="24"/>
              </w:rPr>
            </w:pPr>
            <w:r>
              <w:rPr>
                <w:sz w:val="24"/>
              </w:rPr>
              <w:t>0.044553</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0.7307692</w:t>
            </w:r>
          </w:p>
        </w:tc>
        <w:tc>
          <w:tcPr>
            <w:tcW w:w="1276" w:type="dxa"/>
            <w:tcBorders>
              <w:top w:val="nil"/>
              <w:left w:val="nil"/>
              <w:bottom w:val="nil"/>
              <w:right w:val="nil"/>
            </w:tcBorders>
          </w:tcPr>
          <w:p>
            <w:pPr>
              <w:pStyle w:val="TableParagraph"/>
              <w:spacing w:line="275" w:lineRule="exact"/>
              <w:ind w:right="147"/>
              <w:rPr>
                <w:sz w:val="24"/>
              </w:rPr>
            </w:pPr>
            <w:r>
              <w:rPr>
                <w:sz w:val="24"/>
              </w:rPr>
              <w:t>0.075196</w:t>
            </w:r>
          </w:p>
        </w:tc>
        <w:tc>
          <w:tcPr>
            <w:tcW w:w="1277" w:type="dxa"/>
            <w:tcBorders>
              <w:top w:val="nil"/>
              <w:left w:val="nil"/>
              <w:bottom w:val="nil"/>
              <w:right w:val="nil"/>
            </w:tcBorders>
          </w:tcPr>
          <w:p>
            <w:pPr>
              <w:pStyle w:val="TableParagraph"/>
              <w:spacing w:line="275" w:lineRule="exact"/>
              <w:ind w:right="146"/>
              <w:rPr>
                <w:sz w:val="24"/>
              </w:rPr>
            </w:pPr>
            <w:r>
              <w:rPr>
                <w:sz w:val="24"/>
              </w:rPr>
              <w:t>0.129233</w:t>
            </w:r>
          </w:p>
        </w:tc>
        <w:tc>
          <w:tcPr>
            <w:tcW w:w="1216" w:type="dxa"/>
            <w:tcBorders>
              <w:top w:val="nil"/>
              <w:left w:val="nil"/>
              <w:bottom w:val="nil"/>
              <w:right w:val="nil"/>
            </w:tcBorders>
          </w:tcPr>
          <w:p>
            <w:pPr>
              <w:pStyle w:val="TableParagraph"/>
              <w:spacing w:line="275" w:lineRule="exact"/>
              <w:ind w:left="227"/>
              <w:jc w:val="left"/>
              <w:rPr>
                <w:sz w:val="24"/>
              </w:rPr>
            </w:pPr>
            <w:r>
              <w:rPr>
                <w:sz w:val="24"/>
              </w:rPr>
              <w:t>0.066583</w:t>
            </w:r>
          </w:p>
        </w:tc>
        <w:tc>
          <w:tcPr>
            <w:tcW w:w="1276" w:type="dxa"/>
            <w:tcBorders>
              <w:top w:val="nil"/>
              <w:left w:val="nil"/>
              <w:bottom w:val="nil"/>
              <w:right w:val="nil"/>
            </w:tcBorders>
          </w:tcPr>
          <w:p>
            <w:pPr>
              <w:pStyle w:val="TableParagraph"/>
              <w:spacing w:line="275" w:lineRule="exact"/>
              <w:ind w:right="86"/>
              <w:rPr>
                <w:sz w:val="24"/>
              </w:rPr>
            </w:pPr>
            <w:r>
              <w:rPr>
                <w:sz w:val="24"/>
              </w:rPr>
              <w:t>0.073404</w:t>
            </w:r>
          </w:p>
        </w:tc>
        <w:tc>
          <w:tcPr>
            <w:tcW w:w="1337" w:type="dxa"/>
            <w:tcBorders>
              <w:top w:val="nil"/>
              <w:left w:val="nil"/>
              <w:bottom w:val="nil"/>
              <w:right w:val="nil"/>
            </w:tcBorders>
          </w:tcPr>
          <w:p>
            <w:pPr>
              <w:pStyle w:val="TableParagraph"/>
              <w:spacing w:line="275" w:lineRule="exact"/>
              <w:ind w:right="147"/>
              <w:rPr>
                <w:sz w:val="24"/>
              </w:rPr>
            </w:pPr>
            <w:r>
              <w:rPr>
                <w:sz w:val="24"/>
              </w:rPr>
              <w:t>0.057939</w:t>
            </w:r>
          </w:p>
        </w:tc>
        <w:tc>
          <w:tcPr>
            <w:tcW w:w="1198" w:type="dxa"/>
            <w:tcBorders>
              <w:top w:val="nil"/>
              <w:left w:val="nil"/>
              <w:bottom w:val="nil"/>
              <w:right w:val="nil"/>
            </w:tcBorders>
          </w:tcPr>
          <w:p>
            <w:pPr>
              <w:pStyle w:val="TableParagraph"/>
              <w:spacing w:line="275" w:lineRule="exact"/>
              <w:ind w:right="67"/>
              <w:rPr>
                <w:sz w:val="24"/>
              </w:rPr>
            </w:pPr>
            <w:r>
              <w:rPr>
                <w:sz w:val="24"/>
              </w:rPr>
              <w:t>0.070020</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0.8076922</w:t>
            </w:r>
          </w:p>
        </w:tc>
        <w:tc>
          <w:tcPr>
            <w:tcW w:w="1276" w:type="dxa"/>
            <w:tcBorders>
              <w:top w:val="nil"/>
              <w:left w:val="nil"/>
              <w:bottom w:val="nil"/>
              <w:right w:val="nil"/>
            </w:tcBorders>
          </w:tcPr>
          <w:p>
            <w:pPr>
              <w:pStyle w:val="TableParagraph"/>
              <w:spacing w:line="275" w:lineRule="exact"/>
              <w:ind w:right="147"/>
              <w:rPr>
                <w:sz w:val="24"/>
              </w:rPr>
            </w:pPr>
            <w:r>
              <w:rPr>
                <w:sz w:val="24"/>
              </w:rPr>
              <w:t>0.092399</w:t>
            </w:r>
          </w:p>
        </w:tc>
        <w:tc>
          <w:tcPr>
            <w:tcW w:w="1277" w:type="dxa"/>
            <w:tcBorders>
              <w:top w:val="nil"/>
              <w:left w:val="nil"/>
              <w:bottom w:val="nil"/>
              <w:right w:val="nil"/>
            </w:tcBorders>
          </w:tcPr>
          <w:p>
            <w:pPr>
              <w:pStyle w:val="TableParagraph"/>
              <w:spacing w:line="275" w:lineRule="exact"/>
              <w:ind w:right="146"/>
              <w:rPr>
                <w:sz w:val="24"/>
              </w:rPr>
            </w:pPr>
            <w:r>
              <w:rPr>
                <w:sz w:val="24"/>
              </w:rPr>
              <w:t>0.129233</w:t>
            </w:r>
          </w:p>
        </w:tc>
        <w:tc>
          <w:tcPr>
            <w:tcW w:w="1216" w:type="dxa"/>
            <w:tcBorders>
              <w:top w:val="nil"/>
              <w:left w:val="nil"/>
              <w:bottom w:val="nil"/>
              <w:right w:val="nil"/>
            </w:tcBorders>
          </w:tcPr>
          <w:p>
            <w:pPr>
              <w:pStyle w:val="TableParagraph"/>
              <w:spacing w:line="275" w:lineRule="exact"/>
              <w:ind w:left="227"/>
              <w:jc w:val="left"/>
              <w:rPr>
                <w:sz w:val="24"/>
              </w:rPr>
            </w:pPr>
            <w:r>
              <w:rPr>
                <w:sz w:val="24"/>
              </w:rPr>
              <w:t>0.085377</w:t>
            </w:r>
          </w:p>
        </w:tc>
        <w:tc>
          <w:tcPr>
            <w:tcW w:w="1276" w:type="dxa"/>
            <w:tcBorders>
              <w:top w:val="nil"/>
              <w:left w:val="nil"/>
              <w:bottom w:val="nil"/>
              <w:right w:val="nil"/>
            </w:tcBorders>
          </w:tcPr>
          <w:p>
            <w:pPr>
              <w:pStyle w:val="TableParagraph"/>
              <w:spacing w:line="275" w:lineRule="exact"/>
              <w:ind w:right="86"/>
              <w:rPr>
                <w:sz w:val="24"/>
              </w:rPr>
            </w:pPr>
            <w:r>
              <w:rPr>
                <w:sz w:val="24"/>
              </w:rPr>
              <w:t>0.110820</w:t>
            </w:r>
          </w:p>
        </w:tc>
        <w:tc>
          <w:tcPr>
            <w:tcW w:w="1337" w:type="dxa"/>
            <w:tcBorders>
              <w:top w:val="nil"/>
              <w:left w:val="nil"/>
              <w:bottom w:val="nil"/>
              <w:right w:val="nil"/>
            </w:tcBorders>
          </w:tcPr>
          <w:p>
            <w:pPr>
              <w:pStyle w:val="TableParagraph"/>
              <w:spacing w:line="275" w:lineRule="exact"/>
              <w:ind w:right="147"/>
              <w:rPr>
                <w:sz w:val="24"/>
              </w:rPr>
            </w:pPr>
            <w:r>
              <w:rPr>
                <w:sz w:val="24"/>
              </w:rPr>
              <w:t>0.063146</w:t>
            </w:r>
          </w:p>
        </w:tc>
        <w:tc>
          <w:tcPr>
            <w:tcW w:w="1198" w:type="dxa"/>
            <w:tcBorders>
              <w:top w:val="nil"/>
              <w:left w:val="nil"/>
              <w:bottom w:val="nil"/>
              <w:right w:val="nil"/>
            </w:tcBorders>
          </w:tcPr>
          <w:p>
            <w:pPr>
              <w:pStyle w:val="TableParagraph"/>
              <w:spacing w:line="275" w:lineRule="exact"/>
              <w:ind w:right="67"/>
              <w:rPr>
                <w:sz w:val="24"/>
              </w:rPr>
            </w:pPr>
            <w:r>
              <w:rPr>
                <w:sz w:val="24"/>
              </w:rPr>
              <w:t>0.072332</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0.8846153</w:t>
            </w:r>
          </w:p>
        </w:tc>
        <w:tc>
          <w:tcPr>
            <w:tcW w:w="1276" w:type="dxa"/>
            <w:tcBorders>
              <w:top w:val="nil"/>
              <w:left w:val="nil"/>
              <w:bottom w:val="nil"/>
              <w:right w:val="nil"/>
            </w:tcBorders>
          </w:tcPr>
          <w:p>
            <w:pPr>
              <w:pStyle w:val="TableParagraph"/>
              <w:spacing w:line="275" w:lineRule="exact"/>
              <w:ind w:right="147"/>
              <w:rPr>
                <w:sz w:val="24"/>
              </w:rPr>
            </w:pPr>
            <w:r>
              <w:rPr>
                <w:sz w:val="24"/>
              </w:rPr>
              <w:t>0.165512</w:t>
            </w:r>
          </w:p>
        </w:tc>
        <w:tc>
          <w:tcPr>
            <w:tcW w:w="1277" w:type="dxa"/>
            <w:tcBorders>
              <w:top w:val="nil"/>
              <w:left w:val="nil"/>
              <w:bottom w:val="nil"/>
              <w:right w:val="nil"/>
            </w:tcBorders>
          </w:tcPr>
          <w:p>
            <w:pPr>
              <w:pStyle w:val="TableParagraph"/>
              <w:spacing w:line="275" w:lineRule="exact"/>
              <w:ind w:right="146"/>
              <w:rPr>
                <w:sz w:val="24"/>
              </w:rPr>
            </w:pPr>
            <w:r>
              <w:rPr>
                <w:sz w:val="24"/>
              </w:rPr>
              <w:t>0.305297</w:t>
            </w:r>
          </w:p>
        </w:tc>
        <w:tc>
          <w:tcPr>
            <w:tcW w:w="1216" w:type="dxa"/>
            <w:tcBorders>
              <w:top w:val="nil"/>
              <w:left w:val="nil"/>
              <w:bottom w:val="nil"/>
              <w:right w:val="nil"/>
            </w:tcBorders>
          </w:tcPr>
          <w:p>
            <w:pPr>
              <w:pStyle w:val="TableParagraph"/>
              <w:spacing w:line="275" w:lineRule="exact"/>
              <w:ind w:left="227"/>
              <w:jc w:val="left"/>
              <w:rPr>
                <w:sz w:val="24"/>
              </w:rPr>
            </w:pPr>
            <w:r>
              <w:rPr>
                <w:sz w:val="24"/>
              </w:rPr>
              <w:t>0.099473</w:t>
            </w:r>
          </w:p>
        </w:tc>
        <w:tc>
          <w:tcPr>
            <w:tcW w:w="1276" w:type="dxa"/>
            <w:tcBorders>
              <w:top w:val="nil"/>
              <w:left w:val="nil"/>
              <w:bottom w:val="nil"/>
              <w:right w:val="nil"/>
            </w:tcBorders>
          </w:tcPr>
          <w:p>
            <w:pPr>
              <w:pStyle w:val="TableParagraph"/>
              <w:spacing w:line="275" w:lineRule="exact"/>
              <w:ind w:right="86"/>
              <w:rPr>
                <w:sz w:val="24"/>
              </w:rPr>
            </w:pPr>
            <w:r>
              <w:rPr>
                <w:sz w:val="24"/>
              </w:rPr>
              <w:t>0.126194</w:t>
            </w:r>
          </w:p>
        </w:tc>
        <w:tc>
          <w:tcPr>
            <w:tcW w:w="1337" w:type="dxa"/>
            <w:tcBorders>
              <w:top w:val="nil"/>
              <w:left w:val="nil"/>
              <w:bottom w:val="nil"/>
              <w:right w:val="nil"/>
            </w:tcBorders>
          </w:tcPr>
          <w:p>
            <w:pPr>
              <w:pStyle w:val="TableParagraph"/>
              <w:spacing w:line="275" w:lineRule="exact"/>
              <w:ind w:right="147"/>
              <w:rPr>
                <w:sz w:val="24"/>
              </w:rPr>
            </w:pPr>
            <w:r>
              <w:rPr>
                <w:sz w:val="24"/>
              </w:rPr>
              <w:t>0.069658</w:t>
            </w:r>
          </w:p>
        </w:tc>
        <w:tc>
          <w:tcPr>
            <w:tcW w:w="1198" w:type="dxa"/>
            <w:tcBorders>
              <w:top w:val="nil"/>
              <w:left w:val="nil"/>
              <w:bottom w:val="nil"/>
              <w:right w:val="nil"/>
            </w:tcBorders>
          </w:tcPr>
          <w:p>
            <w:pPr>
              <w:pStyle w:val="TableParagraph"/>
              <w:spacing w:line="275" w:lineRule="exact"/>
              <w:ind w:right="67"/>
              <w:rPr>
                <w:sz w:val="24"/>
              </w:rPr>
            </w:pPr>
            <w:r>
              <w:rPr>
                <w:sz w:val="24"/>
              </w:rPr>
              <w:t>0.119668</w:t>
            </w:r>
          </w:p>
        </w:tc>
      </w:tr>
      <w:tr>
        <w:trPr>
          <w:trHeight w:val="300" w:hRule="exact"/>
        </w:trPr>
        <w:tc>
          <w:tcPr>
            <w:tcW w:w="1352" w:type="dxa"/>
            <w:tcBorders>
              <w:top w:val="nil"/>
              <w:left w:val="nil"/>
              <w:bottom w:val="nil"/>
              <w:right w:val="nil"/>
            </w:tcBorders>
          </w:tcPr>
          <w:p>
            <w:pPr>
              <w:pStyle w:val="TableParagraph"/>
              <w:spacing w:line="275" w:lineRule="exact"/>
              <w:ind w:right="145"/>
              <w:rPr>
                <w:sz w:val="24"/>
              </w:rPr>
            </w:pPr>
            <w:r>
              <w:rPr>
                <w:sz w:val="24"/>
              </w:rPr>
              <w:t>0.9615384</w:t>
            </w:r>
          </w:p>
        </w:tc>
        <w:tc>
          <w:tcPr>
            <w:tcW w:w="1276" w:type="dxa"/>
            <w:tcBorders>
              <w:top w:val="nil"/>
              <w:left w:val="nil"/>
              <w:bottom w:val="nil"/>
              <w:right w:val="nil"/>
            </w:tcBorders>
          </w:tcPr>
          <w:p>
            <w:pPr>
              <w:pStyle w:val="TableParagraph"/>
              <w:spacing w:line="275" w:lineRule="exact"/>
              <w:ind w:right="147"/>
              <w:rPr>
                <w:sz w:val="24"/>
              </w:rPr>
            </w:pPr>
            <w:r>
              <w:rPr>
                <w:sz w:val="24"/>
              </w:rPr>
              <w:t>0.393454</w:t>
            </w:r>
          </w:p>
        </w:tc>
        <w:tc>
          <w:tcPr>
            <w:tcW w:w="1277" w:type="dxa"/>
            <w:tcBorders>
              <w:top w:val="nil"/>
              <w:left w:val="nil"/>
              <w:bottom w:val="nil"/>
              <w:right w:val="nil"/>
            </w:tcBorders>
          </w:tcPr>
          <w:p>
            <w:pPr>
              <w:pStyle w:val="TableParagraph"/>
              <w:spacing w:line="275" w:lineRule="exact"/>
              <w:ind w:right="146"/>
              <w:rPr>
                <w:sz w:val="24"/>
              </w:rPr>
            </w:pPr>
            <w:r>
              <w:rPr>
                <w:sz w:val="24"/>
              </w:rPr>
              <w:t>0.381186</w:t>
            </w:r>
          </w:p>
        </w:tc>
        <w:tc>
          <w:tcPr>
            <w:tcW w:w="1216" w:type="dxa"/>
            <w:tcBorders>
              <w:top w:val="nil"/>
              <w:left w:val="nil"/>
              <w:bottom w:val="nil"/>
              <w:right w:val="nil"/>
            </w:tcBorders>
          </w:tcPr>
          <w:p>
            <w:pPr>
              <w:pStyle w:val="TableParagraph"/>
              <w:spacing w:line="275" w:lineRule="exact"/>
              <w:ind w:left="227"/>
              <w:jc w:val="left"/>
              <w:rPr>
                <w:sz w:val="24"/>
              </w:rPr>
            </w:pPr>
            <w:r>
              <w:rPr>
                <w:sz w:val="24"/>
              </w:rPr>
              <w:t>0.498854</w:t>
            </w:r>
          </w:p>
        </w:tc>
        <w:tc>
          <w:tcPr>
            <w:tcW w:w="1276" w:type="dxa"/>
            <w:tcBorders>
              <w:top w:val="nil"/>
              <w:left w:val="nil"/>
              <w:bottom w:val="nil"/>
              <w:right w:val="nil"/>
            </w:tcBorders>
          </w:tcPr>
          <w:p>
            <w:pPr>
              <w:pStyle w:val="TableParagraph"/>
              <w:spacing w:line="275" w:lineRule="exact"/>
              <w:ind w:right="86"/>
              <w:rPr>
                <w:sz w:val="24"/>
              </w:rPr>
            </w:pPr>
            <w:r>
              <w:rPr>
                <w:sz w:val="24"/>
              </w:rPr>
              <w:t>0.171042</w:t>
            </w:r>
          </w:p>
        </w:tc>
        <w:tc>
          <w:tcPr>
            <w:tcW w:w="1337" w:type="dxa"/>
            <w:tcBorders>
              <w:top w:val="nil"/>
              <w:left w:val="nil"/>
              <w:bottom w:val="nil"/>
              <w:right w:val="nil"/>
            </w:tcBorders>
          </w:tcPr>
          <w:p>
            <w:pPr>
              <w:pStyle w:val="TableParagraph"/>
              <w:spacing w:line="275" w:lineRule="exact"/>
              <w:ind w:right="147"/>
              <w:rPr>
                <w:sz w:val="24"/>
              </w:rPr>
            </w:pPr>
            <w:r>
              <w:rPr>
                <w:sz w:val="24"/>
              </w:rPr>
              <w:t>0.164545</w:t>
            </w:r>
          </w:p>
        </w:tc>
        <w:tc>
          <w:tcPr>
            <w:tcW w:w="1198" w:type="dxa"/>
            <w:tcBorders>
              <w:top w:val="nil"/>
              <w:left w:val="nil"/>
              <w:bottom w:val="nil"/>
              <w:right w:val="nil"/>
            </w:tcBorders>
          </w:tcPr>
          <w:p>
            <w:pPr>
              <w:pStyle w:val="TableParagraph"/>
              <w:spacing w:line="275" w:lineRule="exact"/>
              <w:ind w:right="67"/>
              <w:rPr>
                <w:sz w:val="24"/>
              </w:rPr>
            </w:pPr>
            <w:r>
              <w:rPr>
                <w:sz w:val="24"/>
              </w:rPr>
              <w:t>0.122590</w:t>
            </w:r>
          </w:p>
        </w:tc>
      </w:tr>
      <w:tr>
        <w:trPr>
          <w:trHeight w:val="307" w:hRule="exact"/>
        </w:trPr>
        <w:tc>
          <w:tcPr>
            <w:tcW w:w="1352" w:type="dxa"/>
            <w:tcBorders>
              <w:top w:val="nil"/>
              <w:left w:val="nil"/>
              <w:right w:val="nil"/>
            </w:tcBorders>
          </w:tcPr>
          <w:p>
            <w:pPr>
              <w:pStyle w:val="TableParagraph"/>
              <w:spacing w:line="275" w:lineRule="exact"/>
              <w:ind w:right="145"/>
              <w:rPr>
                <w:sz w:val="24"/>
              </w:rPr>
            </w:pPr>
            <w:r>
              <w:rPr>
                <w:sz w:val="24"/>
              </w:rPr>
              <w:t>1</w:t>
            </w:r>
          </w:p>
        </w:tc>
        <w:tc>
          <w:tcPr>
            <w:tcW w:w="1276" w:type="dxa"/>
            <w:tcBorders>
              <w:top w:val="nil"/>
              <w:left w:val="nil"/>
              <w:right w:val="nil"/>
            </w:tcBorders>
          </w:tcPr>
          <w:p>
            <w:pPr>
              <w:pStyle w:val="TableParagraph"/>
              <w:spacing w:line="275" w:lineRule="exact"/>
              <w:ind w:right="147"/>
              <w:rPr>
                <w:sz w:val="24"/>
              </w:rPr>
            </w:pPr>
            <w:r>
              <w:rPr>
                <w:sz w:val="24"/>
              </w:rPr>
              <w:t>0.393493</w:t>
            </w:r>
          </w:p>
        </w:tc>
        <w:tc>
          <w:tcPr>
            <w:tcW w:w="1277" w:type="dxa"/>
            <w:tcBorders>
              <w:top w:val="nil"/>
              <w:left w:val="nil"/>
              <w:right w:val="nil"/>
            </w:tcBorders>
          </w:tcPr>
          <w:p>
            <w:pPr>
              <w:pStyle w:val="TableParagraph"/>
              <w:spacing w:line="275" w:lineRule="exact"/>
              <w:ind w:right="146"/>
              <w:rPr>
                <w:sz w:val="24"/>
              </w:rPr>
            </w:pPr>
            <w:r>
              <w:rPr>
                <w:sz w:val="24"/>
              </w:rPr>
              <w:t>0.381224</w:t>
            </w:r>
          </w:p>
        </w:tc>
        <w:tc>
          <w:tcPr>
            <w:tcW w:w="1216" w:type="dxa"/>
            <w:tcBorders>
              <w:top w:val="nil"/>
              <w:left w:val="nil"/>
              <w:right w:val="nil"/>
            </w:tcBorders>
          </w:tcPr>
          <w:p>
            <w:pPr>
              <w:pStyle w:val="TableParagraph"/>
              <w:spacing w:line="275" w:lineRule="exact"/>
              <w:ind w:left="227"/>
              <w:jc w:val="left"/>
              <w:rPr>
                <w:sz w:val="24"/>
              </w:rPr>
            </w:pPr>
            <w:r>
              <w:rPr>
                <w:sz w:val="24"/>
              </w:rPr>
              <w:t>0.498904</w:t>
            </w:r>
          </w:p>
        </w:tc>
        <w:tc>
          <w:tcPr>
            <w:tcW w:w="1276" w:type="dxa"/>
            <w:tcBorders>
              <w:top w:val="nil"/>
              <w:left w:val="nil"/>
              <w:right w:val="nil"/>
            </w:tcBorders>
          </w:tcPr>
          <w:p>
            <w:pPr>
              <w:pStyle w:val="TableParagraph"/>
              <w:spacing w:line="275" w:lineRule="exact"/>
              <w:ind w:right="86"/>
              <w:rPr>
                <w:sz w:val="24"/>
              </w:rPr>
            </w:pPr>
            <w:r>
              <w:rPr>
                <w:sz w:val="24"/>
              </w:rPr>
              <w:t>0.171059</w:t>
            </w:r>
          </w:p>
        </w:tc>
        <w:tc>
          <w:tcPr>
            <w:tcW w:w="1337" w:type="dxa"/>
            <w:tcBorders>
              <w:top w:val="nil"/>
              <w:left w:val="nil"/>
              <w:right w:val="nil"/>
            </w:tcBorders>
          </w:tcPr>
          <w:p>
            <w:pPr>
              <w:pStyle w:val="TableParagraph"/>
              <w:spacing w:line="275" w:lineRule="exact"/>
              <w:ind w:right="147"/>
              <w:rPr>
                <w:sz w:val="24"/>
              </w:rPr>
            </w:pPr>
            <w:r>
              <w:rPr>
                <w:sz w:val="24"/>
              </w:rPr>
              <w:t>0.164562</w:t>
            </w:r>
          </w:p>
        </w:tc>
        <w:tc>
          <w:tcPr>
            <w:tcW w:w="1198" w:type="dxa"/>
            <w:tcBorders>
              <w:top w:val="nil"/>
              <w:left w:val="nil"/>
              <w:right w:val="nil"/>
            </w:tcBorders>
          </w:tcPr>
          <w:p>
            <w:pPr>
              <w:pStyle w:val="TableParagraph"/>
              <w:spacing w:line="275" w:lineRule="exact"/>
              <w:ind w:right="67"/>
              <w:rPr>
                <w:sz w:val="24"/>
              </w:rPr>
            </w:pPr>
            <w:r>
              <w:rPr>
                <w:sz w:val="24"/>
              </w:rPr>
              <w:t>0.122602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before="69" w:after="30"/>
        <w:ind w:left="191" w:right="364"/>
      </w:pPr>
      <w:r>
        <w:rPr>
          <w:b/>
        </w:rPr>
        <w:t>Anexo Tabla 2. </w:t>
      </w:r>
      <w:r>
        <w:rPr/>
        <w:t>Continuación Paso 6. Desarrollar las medias a usar para el periodo de simulación. En este caso se utilizaron las medias de los precios históricos</w:t>
      </w: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275"/>
        <w:gridCol w:w="1232"/>
        <w:gridCol w:w="1302"/>
        <w:gridCol w:w="1384"/>
        <w:gridCol w:w="1400"/>
        <w:gridCol w:w="1248"/>
      </w:tblGrid>
      <w:tr>
        <w:trPr>
          <w:trHeight w:val="341" w:hRule="exact"/>
        </w:trPr>
        <w:tc>
          <w:tcPr>
            <w:tcW w:w="2275" w:type="dxa"/>
            <w:tcBorders>
              <w:left w:val="nil"/>
              <w:bottom w:val="nil"/>
              <w:right w:val="nil"/>
            </w:tcBorders>
          </w:tcPr>
          <w:p>
            <w:pPr>
              <w:pStyle w:val="TableParagraph"/>
              <w:tabs>
                <w:tab w:pos="1163" w:val="left" w:leader="none"/>
              </w:tabs>
              <w:spacing w:line="341" w:lineRule="exact" w:before="18"/>
              <w:ind w:right="178"/>
              <w:rPr>
                <w:sz w:val="24"/>
              </w:rPr>
            </w:pPr>
            <w:r>
              <w:rPr>
                <w:position w:val="-13"/>
                <w:sz w:val="24"/>
              </w:rPr>
              <w:t>Medias</w:t>
              <w:tab/>
            </w:r>
            <w:r>
              <w:rPr>
                <w:sz w:val="24"/>
              </w:rPr>
              <w:t>Maíz</w:t>
            </w:r>
            <w:r>
              <w:rPr>
                <w:spacing w:val="-1"/>
                <w:sz w:val="24"/>
              </w:rPr>
              <w:t> </w:t>
            </w:r>
            <w:r>
              <w:rPr>
                <w:sz w:val="24"/>
              </w:rPr>
              <w:t>PH</w:t>
            </w:r>
          </w:p>
        </w:tc>
        <w:tc>
          <w:tcPr>
            <w:tcW w:w="1232" w:type="dxa"/>
            <w:tcBorders>
              <w:left w:val="nil"/>
              <w:bottom w:val="nil"/>
              <w:right w:val="nil"/>
            </w:tcBorders>
          </w:tcPr>
          <w:p>
            <w:pPr>
              <w:pStyle w:val="TableParagraph"/>
              <w:spacing w:before="18"/>
              <w:ind w:left="158" w:right="132"/>
              <w:jc w:val="center"/>
              <w:rPr>
                <w:sz w:val="24"/>
              </w:rPr>
            </w:pPr>
            <w:r>
              <w:rPr>
                <w:sz w:val="24"/>
              </w:rPr>
              <w:t>Trigo PH</w:t>
            </w:r>
          </w:p>
        </w:tc>
        <w:tc>
          <w:tcPr>
            <w:tcW w:w="1302" w:type="dxa"/>
            <w:tcBorders>
              <w:left w:val="nil"/>
              <w:bottom w:val="nil"/>
              <w:right w:val="nil"/>
            </w:tcBorders>
          </w:tcPr>
          <w:p>
            <w:pPr>
              <w:pStyle w:val="TableParagraph"/>
              <w:spacing w:before="18"/>
              <w:ind w:left="133" w:right="187"/>
              <w:jc w:val="center"/>
              <w:rPr>
                <w:sz w:val="24"/>
              </w:rPr>
            </w:pPr>
            <w:r>
              <w:rPr>
                <w:sz w:val="24"/>
              </w:rPr>
              <w:t>Sorgo PH</w:t>
            </w:r>
          </w:p>
        </w:tc>
        <w:tc>
          <w:tcPr>
            <w:tcW w:w="1384" w:type="dxa"/>
            <w:tcBorders>
              <w:left w:val="nil"/>
              <w:bottom w:val="nil"/>
              <w:right w:val="nil"/>
            </w:tcBorders>
          </w:tcPr>
          <w:p>
            <w:pPr>
              <w:pStyle w:val="TableParagraph"/>
              <w:spacing w:before="18"/>
              <w:ind w:left="217"/>
              <w:jc w:val="left"/>
              <w:rPr>
                <w:sz w:val="24"/>
              </w:rPr>
            </w:pPr>
            <w:r>
              <w:rPr>
                <w:sz w:val="24"/>
              </w:rPr>
              <w:t>Maíz RH</w:t>
            </w:r>
          </w:p>
        </w:tc>
        <w:tc>
          <w:tcPr>
            <w:tcW w:w="1400" w:type="dxa"/>
            <w:tcBorders>
              <w:left w:val="nil"/>
              <w:bottom w:val="nil"/>
              <w:right w:val="nil"/>
            </w:tcBorders>
          </w:tcPr>
          <w:p>
            <w:pPr>
              <w:pStyle w:val="TableParagraph"/>
              <w:spacing w:before="18"/>
              <w:ind w:left="252" w:right="181"/>
              <w:jc w:val="center"/>
              <w:rPr>
                <w:sz w:val="24"/>
              </w:rPr>
            </w:pPr>
            <w:r>
              <w:rPr>
                <w:sz w:val="24"/>
              </w:rPr>
              <w:t>Trigo RH</w:t>
            </w:r>
          </w:p>
        </w:tc>
        <w:tc>
          <w:tcPr>
            <w:tcW w:w="1248" w:type="dxa"/>
            <w:tcBorders>
              <w:left w:val="nil"/>
              <w:bottom w:val="nil"/>
              <w:right w:val="nil"/>
            </w:tcBorders>
          </w:tcPr>
          <w:p>
            <w:pPr>
              <w:pStyle w:val="TableParagraph"/>
              <w:spacing w:before="18"/>
              <w:ind w:left="180" w:right="60"/>
              <w:jc w:val="center"/>
              <w:rPr>
                <w:sz w:val="24"/>
              </w:rPr>
            </w:pPr>
            <w:r>
              <w:rPr>
                <w:sz w:val="24"/>
              </w:rPr>
              <w:t>Sorgo RH</w:t>
            </w:r>
          </w:p>
        </w:tc>
      </w:tr>
      <w:tr>
        <w:trPr>
          <w:trHeight w:val="307" w:hRule="exact"/>
        </w:trPr>
        <w:tc>
          <w:tcPr>
            <w:tcW w:w="2275" w:type="dxa"/>
            <w:tcBorders>
              <w:top w:val="nil"/>
              <w:left w:val="nil"/>
              <w:right w:val="nil"/>
            </w:tcBorders>
          </w:tcPr>
          <w:p>
            <w:pPr>
              <w:pStyle w:val="TableParagraph"/>
              <w:spacing w:line="275" w:lineRule="exact"/>
              <w:ind w:right="279"/>
              <w:rPr>
                <w:sz w:val="24"/>
              </w:rPr>
            </w:pPr>
            <w:r>
              <w:rPr>
                <w:sz w:val="24"/>
              </w:rPr>
              <w:t>2.3252</w:t>
            </w:r>
          </w:p>
        </w:tc>
        <w:tc>
          <w:tcPr>
            <w:tcW w:w="1232" w:type="dxa"/>
            <w:tcBorders>
              <w:top w:val="nil"/>
              <w:left w:val="nil"/>
              <w:right w:val="nil"/>
            </w:tcBorders>
          </w:tcPr>
          <w:p>
            <w:pPr>
              <w:pStyle w:val="TableParagraph"/>
              <w:spacing w:line="275" w:lineRule="exact"/>
              <w:ind w:left="158" w:right="130"/>
              <w:jc w:val="center"/>
              <w:rPr>
                <w:sz w:val="24"/>
              </w:rPr>
            </w:pPr>
            <w:r>
              <w:rPr>
                <w:sz w:val="24"/>
              </w:rPr>
              <w:t>3.2943</w:t>
            </w:r>
          </w:p>
        </w:tc>
        <w:tc>
          <w:tcPr>
            <w:tcW w:w="1302" w:type="dxa"/>
            <w:tcBorders>
              <w:top w:val="nil"/>
              <w:left w:val="nil"/>
              <w:right w:val="nil"/>
            </w:tcBorders>
          </w:tcPr>
          <w:p>
            <w:pPr>
              <w:pStyle w:val="TableParagraph"/>
              <w:spacing w:line="275" w:lineRule="exact"/>
              <w:ind w:left="133" w:right="187"/>
              <w:jc w:val="center"/>
              <w:rPr>
                <w:sz w:val="24"/>
              </w:rPr>
            </w:pPr>
            <w:r>
              <w:rPr>
                <w:sz w:val="24"/>
              </w:rPr>
              <w:t>2.1283</w:t>
            </w:r>
          </w:p>
        </w:tc>
        <w:tc>
          <w:tcPr>
            <w:tcW w:w="1384" w:type="dxa"/>
            <w:tcBorders>
              <w:top w:val="nil"/>
              <w:left w:val="nil"/>
              <w:right w:val="nil"/>
            </w:tcBorders>
          </w:tcPr>
          <w:p>
            <w:pPr>
              <w:pStyle w:val="TableParagraph"/>
              <w:spacing w:line="275" w:lineRule="exact"/>
              <w:ind w:left="210"/>
              <w:jc w:val="left"/>
              <w:rPr>
                <w:sz w:val="24"/>
              </w:rPr>
            </w:pPr>
            <w:r>
              <w:rPr>
                <w:sz w:val="24"/>
              </w:rPr>
              <w:t>118.3631</w:t>
            </w:r>
          </w:p>
        </w:tc>
        <w:tc>
          <w:tcPr>
            <w:tcW w:w="1400" w:type="dxa"/>
            <w:tcBorders>
              <w:top w:val="nil"/>
              <w:left w:val="nil"/>
              <w:right w:val="nil"/>
            </w:tcBorders>
          </w:tcPr>
          <w:p>
            <w:pPr>
              <w:pStyle w:val="TableParagraph"/>
              <w:spacing w:line="275" w:lineRule="exact"/>
              <w:ind w:left="252" w:right="176"/>
              <w:jc w:val="center"/>
              <w:rPr>
                <w:sz w:val="24"/>
              </w:rPr>
            </w:pPr>
            <w:r>
              <w:rPr>
                <w:sz w:val="24"/>
              </w:rPr>
              <w:t>37.1521</w:t>
            </w:r>
          </w:p>
        </w:tc>
        <w:tc>
          <w:tcPr>
            <w:tcW w:w="1248" w:type="dxa"/>
            <w:tcBorders>
              <w:top w:val="nil"/>
              <w:left w:val="nil"/>
              <w:right w:val="nil"/>
            </w:tcBorders>
          </w:tcPr>
          <w:p>
            <w:pPr>
              <w:pStyle w:val="TableParagraph"/>
              <w:spacing w:line="275" w:lineRule="exact"/>
              <w:ind w:left="180" w:right="58"/>
              <w:jc w:val="center"/>
              <w:rPr>
                <w:sz w:val="24"/>
              </w:rPr>
            </w:pPr>
            <w:r>
              <w:rPr>
                <w:sz w:val="24"/>
              </w:rPr>
              <w:t>64.8548</w:t>
            </w:r>
          </w:p>
        </w:tc>
      </w:tr>
    </w:tbl>
    <w:p>
      <w:pPr>
        <w:spacing w:after="0" w:line="275" w:lineRule="exact"/>
        <w:jc w:val="center"/>
        <w:rPr>
          <w:sz w:val="24"/>
        </w:rPr>
        <w:sectPr>
          <w:pgSz w:w="12240" w:h="15840"/>
          <w:pgMar w:header="0" w:footer="657" w:top="1360" w:bottom="840" w:left="1580" w:right="1420"/>
        </w:sectPr>
      </w:pPr>
    </w:p>
    <w:p>
      <w:pPr>
        <w:pStyle w:val="BodyText"/>
        <w:spacing w:before="52" w:after="30"/>
        <w:ind w:left="191" w:right="8"/>
      </w:pPr>
      <w:r>
        <w:rPr>
          <w:b/>
        </w:rPr>
        <w:t>Anexo Tabla 2. </w:t>
      </w:r>
      <w:r>
        <w:rPr/>
        <w:t>Continuación Paso 7. Simular la DME en una ecuación de primer paso</w:t>
      </w: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971"/>
        <w:gridCol w:w="5570"/>
      </w:tblGrid>
      <w:tr>
        <w:trPr>
          <w:trHeight w:val="346" w:hRule="exact"/>
        </w:trPr>
        <w:tc>
          <w:tcPr>
            <w:tcW w:w="2971" w:type="dxa"/>
            <w:tcBorders>
              <w:left w:val="nil"/>
              <w:right w:val="nil"/>
            </w:tcBorders>
          </w:tcPr>
          <w:p>
            <w:pPr>
              <w:pStyle w:val="TableParagraph"/>
              <w:spacing w:before="18"/>
              <w:ind w:left="69"/>
              <w:jc w:val="left"/>
              <w:rPr>
                <w:sz w:val="24"/>
              </w:rPr>
            </w:pPr>
            <w:r>
              <w:rPr>
                <w:sz w:val="24"/>
              </w:rPr>
              <w:t>Nombre</w:t>
            </w:r>
          </w:p>
        </w:tc>
        <w:tc>
          <w:tcPr>
            <w:tcW w:w="5570" w:type="dxa"/>
            <w:tcBorders>
              <w:left w:val="nil"/>
              <w:right w:val="nil"/>
            </w:tcBorders>
          </w:tcPr>
          <w:p>
            <w:pPr>
              <w:pStyle w:val="TableParagraph"/>
              <w:spacing w:before="18"/>
              <w:ind w:left="1952" w:right="1838"/>
              <w:jc w:val="center"/>
              <w:rPr>
                <w:sz w:val="24"/>
              </w:rPr>
            </w:pPr>
            <w:r>
              <w:rPr>
                <w:sz w:val="24"/>
              </w:rPr>
              <w:t>Valores aleatorios</w:t>
            </w:r>
          </w:p>
        </w:tc>
      </w:tr>
      <w:tr>
        <w:trPr>
          <w:trHeight w:val="341" w:hRule="exact"/>
        </w:trPr>
        <w:tc>
          <w:tcPr>
            <w:tcW w:w="2971" w:type="dxa"/>
            <w:tcBorders>
              <w:left w:val="nil"/>
              <w:bottom w:val="nil"/>
              <w:right w:val="nil"/>
            </w:tcBorders>
          </w:tcPr>
          <w:p>
            <w:pPr>
              <w:pStyle w:val="TableParagraph"/>
              <w:tabs>
                <w:tab w:pos="863" w:val="left" w:leader="none"/>
              </w:tabs>
              <w:spacing w:before="18"/>
              <w:ind w:left="69"/>
              <w:jc w:val="left"/>
              <w:rPr>
                <w:sz w:val="24"/>
              </w:rPr>
            </w:pPr>
            <w:r>
              <w:rPr>
                <w:sz w:val="24"/>
              </w:rPr>
              <w:t>Maíz</w:t>
              <w:tab/>
              <w:t>P</w:t>
            </w:r>
          </w:p>
        </w:tc>
        <w:tc>
          <w:tcPr>
            <w:tcW w:w="5570" w:type="dxa"/>
            <w:tcBorders>
              <w:left w:val="nil"/>
              <w:bottom w:val="nil"/>
              <w:right w:val="nil"/>
            </w:tcBorders>
          </w:tcPr>
          <w:p>
            <w:pPr>
              <w:pStyle w:val="TableParagraph"/>
              <w:spacing w:before="18"/>
              <w:ind w:left="1952" w:right="1537"/>
              <w:jc w:val="center"/>
              <w:rPr>
                <w:sz w:val="24"/>
              </w:rPr>
            </w:pPr>
            <w:r>
              <w:rPr>
                <w:sz w:val="24"/>
              </w:rPr>
              <w:t>1.99</w:t>
            </w:r>
          </w:p>
        </w:tc>
      </w:tr>
      <w:tr>
        <w:trPr>
          <w:trHeight w:val="300" w:hRule="exact"/>
        </w:trPr>
        <w:tc>
          <w:tcPr>
            <w:tcW w:w="2971" w:type="dxa"/>
            <w:tcBorders>
              <w:top w:val="nil"/>
              <w:left w:val="nil"/>
              <w:bottom w:val="nil"/>
              <w:right w:val="nil"/>
            </w:tcBorders>
          </w:tcPr>
          <w:p>
            <w:pPr>
              <w:pStyle w:val="TableParagraph"/>
              <w:tabs>
                <w:tab w:pos="839" w:val="left" w:leader="none"/>
              </w:tabs>
              <w:spacing w:line="275" w:lineRule="exact"/>
              <w:ind w:left="69"/>
              <w:jc w:val="left"/>
              <w:rPr>
                <w:sz w:val="24"/>
              </w:rPr>
            </w:pPr>
            <w:r>
              <w:rPr>
                <w:sz w:val="24"/>
              </w:rPr>
              <w:t>Trigo</w:t>
              <w:tab/>
              <w:t>P</w:t>
            </w:r>
          </w:p>
        </w:tc>
        <w:tc>
          <w:tcPr>
            <w:tcW w:w="5570" w:type="dxa"/>
            <w:tcBorders>
              <w:top w:val="nil"/>
              <w:left w:val="nil"/>
              <w:bottom w:val="nil"/>
              <w:right w:val="nil"/>
            </w:tcBorders>
          </w:tcPr>
          <w:p>
            <w:pPr>
              <w:pStyle w:val="TableParagraph"/>
              <w:spacing w:line="275" w:lineRule="exact"/>
              <w:ind w:left="1952" w:right="1537"/>
              <w:jc w:val="center"/>
              <w:rPr>
                <w:sz w:val="24"/>
              </w:rPr>
            </w:pPr>
            <w:r>
              <w:rPr>
                <w:sz w:val="24"/>
              </w:rPr>
              <w:t>2.61</w:t>
            </w:r>
          </w:p>
        </w:tc>
      </w:tr>
      <w:tr>
        <w:trPr>
          <w:trHeight w:val="300" w:hRule="exact"/>
        </w:trPr>
        <w:tc>
          <w:tcPr>
            <w:tcW w:w="2971" w:type="dxa"/>
            <w:tcBorders>
              <w:top w:val="nil"/>
              <w:left w:val="nil"/>
              <w:bottom w:val="nil"/>
              <w:right w:val="nil"/>
            </w:tcBorders>
          </w:tcPr>
          <w:p>
            <w:pPr>
              <w:pStyle w:val="TableParagraph"/>
              <w:spacing w:line="275" w:lineRule="exact"/>
              <w:ind w:left="69"/>
              <w:jc w:val="left"/>
              <w:rPr>
                <w:sz w:val="24"/>
              </w:rPr>
            </w:pPr>
            <w:r>
              <w:rPr>
                <w:sz w:val="24"/>
              </w:rPr>
              <w:t>Sorgo </w:t>
            </w:r>
            <w:r>
              <w:rPr>
                <w:spacing w:val="55"/>
                <w:sz w:val="24"/>
              </w:rPr>
              <w:t> </w:t>
            </w:r>
            <w:r>
              <w:rPr>
                <w:sz w:val="24"/>
              </w:rPr>
              <w:t>P</w:t>
            </w:r>
          </w:p>
        </w:tc>
        <w:tc>
          <w:tcPr>
            <w:tcW w:w="5570" w:type="dxa"/>
            <w:tcBorders>
              <w:top w:val="nil"/>
              <w:left w:val="nil"/>
              <w:bottom w:val="nil"/>
              <w:right w:val="nil"/>
            </w:tcBorders>
          </w:tcPr>
          <w:p>
            <w:pPr>
              <w:pStyle w:val="TableParagraph"/>
              <w:spacing w:line="275" w:lineRule="exact"/>
              <w:ind w:left="1952" w:right="1595"/>
              <w:jc w:val="center"/>
              <w:rPr>
                <w:sz w:val="24"/>
              </w:rPr>
            </w:pPr>
            <w:r>
              <w:rPr>
                <w:sz w:val="24"/>
              </w:rPr>
              <w:t>1.84</w:t>
            </w:r>
          </w:p>
        </w:tc>
      </w:tr>
      <w:tr>
        <w:trPr>
          <w:trHeight w:val="300" w:hRule="exact"/>
        </w:trPr>
        <w:tc>
          <w:tcPr>
            <w:tcW w:w="2971" w:type="dxa"/>
            <w:tcBorders>
              <w:top w:val="nil"/>
              <w:left w:val="nil"/>
              <w:bottom w:val="nil"/>
              <w:right w:val="nil"/>
            </w:tcBorders>
          </w:tcPr>
          <w:p>
            <w:pPr>
              <w:pStyle w:val="TableParagraph"/>
              <w:tabs>
                <w:tab w:pos="803" w:val="left" w:leader="none"/>
              </w:tabs>
              <w:spacing w:line="275" w:lineRule="exact"/>
              <w:ind w:left="69"/>
              <w:jc w:val="left"/>
              <w:rPr>
                <w:sz w:val="24"/>
              </w:rPr>
            </w:pPr>
            <w:r>
              <w:rPr>
                <w:sz w:val="24"/>
              </w:rPr>
              <w:t>Maíz</w:t>
              <w:tab/>
              <w:t>R</w:t>
            </w:r>
          </w:p>
        </w:tc>
        <w:tc>
          <w:tcPr>
            <w:tcW w:w="5570" w:type="dxa"/>
            <w:tcBorders>
              <w:top w:val="nil"/>
              <w:left w:val="nil"/>
              <w:bottom w:val="nil"/>
              <w:right w:val="nil"/>
            </w:tcBorders>
          </w:tcPr>
          <w:p>
            <w:pPr>
              <w:pStyle w:val="TableParagraph"/>
              <w:spacing w:line="275" w:lineRule="exact"/>
              <w:ind w:left="1952" w:right="1835"/>
              <w:jc w:val="center"/>
              <w:rPr>
                <w:sz w:val="24"/>
              </w:rPr>
            </w:pPr>
            <w:r>
              <w:rPr>
                <w:sz w:val="24"/>
              </w:rPr>
              <w:t>127.04</w:t>
            </w:r>
          </w:p>
        </w:tc>
      </w:tr>
      <w:tr>
        <w:trPr>
          <w:trHeight w:val="300" w:hRule="exact"/>
        </w:trPr>
        <w:tc>
          <w:tcPr>
            <w:tcW w:w="2971" w:type="dxa"/>
            <w:tcBorders>
              <w:top w:val="nil"/>
              <w:left w:val="nil"/>
              <w:bottom w:val="nil"/>
              <w:right w:val="nil"/>
            </w:tcBorders>
          </w:tcPr>
          <w:p>
            <w:pPr>
              <w:pStyle w:val="TableParagraph"/>
              <w:spacing w:line="275" w:lineRule="exact"/>
              <w:ind w:left="69"/>
              <w:jc w:val="left"/>
              <w:rPr>
                <w:sz w:val="24"/>
              </w:rPr>
            </w:pPr>
            <w:r>
              <w:rPr>
                <w:sz w:val="24"/>
              </w:rPr>
              <w:t>Trigo </w:t>
            </w:r>
            <w:r>
              <w:rPr>
                <w:spacing w:val="56"/>
                <w:sz w:val="24"/>
              </w:rPr>
              <w:t> </w:t>
            </w:r>
            <w:r>
              <w:rPr>
                <w:sz w:val="24"/>
              </w:rPr>
              <w:t>R</w:t>
            </w:r>
          </w:p>
        </w:tc>
        <w:tc>
          <w:tcPr>
            <w:tcW w:w="5570" w:type="dxa"/>
            <w:tcBorders>
              <w:top w:val="nil"/>
              <w:left w:val="nil"/>
              <w:bottom w:val="nil"/>
              <w:right w:val="nil"/>
            </w:tcBorders>
          </w:tcPr>
          <w:p>
            <w:pPr>
              <w:pStyle w:val="TableParagraph"/>
              <w:spacing w:line="275" w:lineRule="exact"/>
              <w:ind w:left="1952" w:right="1715"/>
              <w:jc w:val="center"/>
              <w:rPr>
                <w:sz w:val="24"/>
              </w:rPr>
            </w:pPr>
            <w:r>
              <w:rPr>
                <w:sz w:val="24"/>
              </w:rPr>
              <w:t>39.43</w:t>
            </w:r>
          </w:p>
        </w:tc>
      </w:tr>
      <w:tr>
        <w:trPr>
          <w:trHeight w:val="307" w:hRule="exact"/>
        </w:trPr>
        <w:tc>
          <w:tcPr>
            <w:tcW w:w="2971" w:type="dxa"/>
            <w:tcBorders>
              <w:top w:val="nil"/>
              <w:left w:val="nil"/>
              <w:right w:val="nil"/>
            </w:tcBorders>
          </w:tcPr>
          <w:p>
            <w:pPr>
              <w:pStyle w:val="TableParagraph"/>
              <w:spacing w:line="275" w:lineRule="exact"/>
              <w:ind w:left="69"/>
              <w:jc w:val="left"/>
              <w:rPr>
                <w:sz w:val="24"/>
              </w:rPr>
            </w:pPr>
            <w:r>
              <w:rPr>
                <w:sz w:val="24"/>
              </w:rPr>
              <w:t>Sorgo</w:t>
            </w:r>
            <w:r>
              <w:rPr>
                <w:spacing w:val="55"/>
                <w:sz w:val="24"/>
              </w:rPr>
              <w:t> </w:t>
            </w:r>
            <w:r>
              <w:rPr>
                <w:sz w:val="24"/>
              </w:rPr>
              <w:t>R</w:t>
            </w:r>
          </w:p>
        </w:tc>
        <w:tc>
          <w:tcPr>
            <w:tcW w:w="5570" w:type="dxa"/>
            <w:tcBorders>
              <w:top w:val="nil"/>
              <w:left w:val="nil"/>
              <w:right w:val="nil"/>
            </w:tcBorders>
          </w:tcPr>
          <w:p>
            <w:pPr>
              <w:pStyle w:val="TableParagraph"/>
              <w:spacing w:line="275" w:lineRule="exact"/>
              <w:ind w:left="1952" w:right="1715"/>
              <w:jc w:val="center"/>
              <w:rPr>
                <w:sz w:val="24"/>
              </w:rPr>
            </w:pPr>
            <w:r>
              <w:rPr>
                <w:sz w:val="24"/>
              </w:rPr>
              <w:t>66.22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before="69"/>
        <w:ind w:left="191" w:right="8"/>
      </w:pPr>
      <w:r>
        <w:rPr/>
        <w:pict>
          <v:group style="position:absolute;margin-left:84.003998pt;margin-top:31.433128pt;width:444.25pt;height:2.2pt;mso-position-horizontal-relative:page;mso-position-vertical-relative:paragraph;z-index:-456208" coordorigin="1680,629" coordsize="8885,44">
            <v:line style="position:absolute" from="1702,651" to="2760,651" stroked="true" strokeweight="2.16pt" strokecolor="#000000"/>
            <v:line style="position:absolute" from="2760,651" to="2804,651" stroked="true" strokeweight="2.16pt" strokecolor="#000000"/>
            <v:line style="position:absolute" from="2804,651" to="3862,651" stroked="true" strokeweight="2.16pt" strokecolor="#000000"/>
            <v:line style="position:absolute" from="3863,651" to="3906,651" stroked="true" strokeweight="2.16pt" strokecolor="#000000"/>
            <v:line style="position:absolute" from="3906,651" to="4669,651" stroked="true" strokeweight="2.16pt" strokecolor="#000000"/>
            <v:line style="position:absolute" from="4669,651" to="4712,651" stroked="true" strokeweight="2.16pt" strokecolor="#000000"/>
            <v:line style="position:absolute" from="4712,651" to="5732,651" stroked="true" strokeweight="2.16pt" strokecolor="#000000"/>
            <v:line style="position:absolute" from="5732,651" to="5775,651" stroked="true" strokeweight="2.16pt" strokecolor="#000000"/>
            <v:line style="position:absolute" from="5775,651" to="6561,651" stroked="true" strokeweight="2.16pt" strokecolor="#000000"/>
            <v:line style="position:absolute" from="6561,651" to="6604,651" stroked="true" strokeweight="2.16pt" strokecolor="#000000"/>
            <v:line style="position:absolute" from="6604,651" to="6846,651" stroked="true" strokeweight="2.16pt" strokecolor="#000000"/>
            <v:line style="position:absolute" from="6846,651" to="6889,651" stroked="true" strokeweight="2.16pt" strokecolor="#000000"/>
            <v:line style="position:absolute" from="6889,651" to="7377,651" stroked="true" strokeweight="2.16pt" strokecolor="#000000"/>
            <v:line style="position:absolute" from="7377,651" to="7420,651" stroked="true" strokeweight="2.16pt" strokecolor="#000000"/>
            <v:line style="position:absolute" from="7420,651" to="9607,651" stroked="true" strokeweight="2.16pt" strokecolor="#000000"/>
            <v:line style="position:absolute" from="9607,651" to="9650,651" stroked="true" strokeweight="2.16pt" strokecolor="#000000"/>
            <v:line style="position:absolute" from="9650,651" to="10207,651" stroked="true" strokeweight="2.16pt" strokecolor="#000000"/>
            <v:line style="position:absolute" from="10207,651" to="10250,651" stroked="true" strokeweight="2.16pt" strokecolor="#000000"/>
            <v:line style="position:absolute" from="10250,651" to="10543,651" stroked="true" strokeweight="2.16pt" strokecolor="#000000"/>
            <w10:wrap type="none"/>
          </v:group>
        </w:pict>
      </w:r>
      <w:r>
        <w:rPr>
          <w:b/>
        </w:rPr>
        <w:t>Anexo Tabla 2. </w:t>
      </w:r>
      <w:r>
        <w:rPr/>
        <w:t>Continuación Paso 8. Simular la DME para un año usando un enfoque directo</w:t>
      </w:r>
    </w:p>
    <w:p>
      <w:pPr>
        <w:spacing w:after="0"/>
        <w:sectPr>
          <w:pgSz w:w="12240" w:h="15840"/>
          <w:pgMar w:header="0" w:footer="657" w:top="1380" w:bottom="840" w:left="1580" w:right="1560"/>
        </w:sectPr>
      </w:pPr>
    </w:p>
    <w:p>
      <w:pPr>
        <w:spacing w:line="170" w:lineRule="exact" w:before="47"/>
        <w:ind w:left="1418" w:right="0" w:firstLine="0"/>
        <w:jc w:val="left"/>
        <w:rPr>
          <w:sz w:val="20"/>
        </w:rPr>
      </w:pPr>
      <w:r>
        <w:rPr/>
        <w:pict>
          <v:shape style="position:absolute;margin-left:95.183998pt;margin-top:9.431373pt;width:32.75pt;height:10pt;mso-position-horizontal-relative:page;mso-position-vertical-relative:paragraph;z-index:7624" type="#_x0000_t202" filled="false" stroked="false">
            <v:textbox inset="0,0,0,0">
              <w:txbxContent>
                <w:p>
                  <w:pPr>
                    <w:spacing w:line="199" w:lineRule="exact" w:before="0"/>
                    <w:ind w:left="0" w:right="0" w:firstLine="0"/>
                    <w:jc w:val="left"/>
                    <w:rPr>
                      <w:sz w:val="20"/>
                    </w:rPr>
                  </w:pPr>
                  <w:r>
                    <w:rPr>
                      <w:w w:val="95"/>
                      <w:sz w:val="20"/>
                    </w:rPr>
                    <w:t>Nombre</w:t>
                  </w:r>
                </w:p>
              </w:txbxContent>
            </v:textbox>
            <w10:wrap type="none"/>
          </v:shape>
        </w:pict>
      </w:r>
      <w:r>
        <w:rPr>
          <w:sz w:val="20"/>
        </w:rPr>
        <w:t>Valores</w:t>
      </w:r>
    </w:p>
    <w:p>
      <w:pPr>
        <w:tabs>
          <w:tab w:pos="2390" w:val="left" w:leader="none"/>
        </w:tabs>
        <w:spacing w:line="290" w:lineRule="exact" w:before="0"/>
        <w:ind w:left="1341" w:right="0" w:firstLine="0"/>
        <w:jc w:val="left"/>
        <w:rPr>
          <w:sz w:val="20"/>
        </w:rPr>
      </w:pPr>
      <w:r>
        <w:rPr>
          <w:sz w:val="20"/>
        </w:rPr>
        <w:t>aleatorios</w:t>
        <w:tab/>
      </w:r>
      <w:r>
        <w:rPr>
          <w:w w:val="95"/>
          <w:position w:val="12"/>
          <w:sz w:val="20"/>
        </w:rPr>
        <w:t>Medias</w:t>
      </w:r>
    </w:p>
    <w:p>
      <w:pPr>
        <w:spacing w:line="170" w:lineRule="exact" w:before="47"/>
        <w:ind w:left="444" w:right="0" w:firstLine="0"/>
        <w:jc w:val="left"/>
        <w:rPr>
          <w:sz w:val="20"/>
        </w:rPr>
      </w:pPr>
      <w:r>
        <w:rPr/>
        <w:br w:type="column"/>
      </w:r>
      <w:r>
        <w:rPr>
          <w:sz w:val="20"/>
        </w:rPr>
        <w:t>Des</w:t>
      </w:r>
    </w:p>
    <w:p>
      <w:pPr>
        <w:tabs>
          <w:tab w:pos="1210" w:val="left" w:leader="none"/>
          <w:tab w:pos="2921" w:val="left" w:leader="none"/>
        </w:tabs>
        <w:spacing w:line="295" w:lineRule="exact" w:before="0"/>
        <w:ind w:left="195" w:right="0" w:firstLine="0"/>
        <w:jc w:val="left"/>
        <w:rPr>
          <w:sz w:val="20"/>
        </w:rPr>
      </w:pPr>
      <w:r>
        <w:rPr>
          <w:position w:val="-11"/>
          <w:sz w:val="20"/>
        </w:rPr>
        <w:t>Corr</w:t>
      </w:r>
      <w:r>
        <w:rPr>
          <w:spacing w:val="-1"/>
          <w:position w:val="-11"/>
          <w:sz w:val="20"/>
        </w:rPr>
        <w:t> </w:t>
      </w:r>
      <w:r>
        <w:rPr>
          <w:position w:val="-11"/>
          <w:sz w:val="20"/>
        </w:rPr>
        <w:t>(%)</w:t>
      </w:r>
      <w:r>
        <w:rPr>
          <w:position w:val="-4"/>
          <w:sz w:val="13"/>
        </w:rPr>
        <w:t>Ψ</w:t>
        <w:tab/>
      </w:r>
      <w:r>
        <w:rPr>
          <w:sz w:val="20"/>
        </w:rPr>
        <w:t>CUSDs</w:t>
      </w:r>
      <w:r>
        <w:rPr>
          <w:position w:val="7"/>
          <w:sz w:val="13"/>
        </w:rPr>
        <w:t>ђ</w:t>
        <w:tab/>
      </w:r>
      <w:r>
        <w:rPr>
          <w:sz w:val="20"/>
        </w:rPr>
        <w:t>Matriz de</w:t>
      </w:r>
      <w:r>
        <w:rPr>
          <w:spacing w:val="40"/>
          <w:sz w:val="20"/>
        </w:rPr>
        <w:t> </w:t>
      </w:r>
      <w:r>
        <w:rPr>
          <w:sz w:val="20"/>
        </w:rPr>
        <w:t>correlaciones</w:t>
      </w:r>
    </w:p>
    <w:p>
      <w:pPr>
        <w:spacing w:after="0" w:line="295" w:lineRule="exact"/>
        <w:jc w:val="left"/>
        <w:rPr>
          <w:sz w:val="20"/>
        </w:rPr>
        <w:sectPr>
          <w:type w:val="continuous"/>
          <w:pgSz w:w="12240" w:h="15840"/>
          <w:pgMar w:top="1360" w:bottom="280" w:left="1580" w:right="1560"/>
          <w:cols w:num="2" w:equalWidth="0">
            <w:col w:w="2979" w:space="40"/>
            <w:col w:w="6081"/>
          </w:cols>
        </w:sectPr>
      </w:pP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650"/>
        <w:gridCol w:w="452"/>
        <w:gridCol w:w="933"/>
        <w:gridCol w:w="1010"/>
        <w:gridCol w:w="868"/>
        <w:gridCol w:w="895"/>
        <w:gridCol w:w="718"/>
        <w:gridCol w:w="668"/>
        <w:gridCol w:w="646"/>
        <w:gridCol w:w="678"/>
        <w:gridCol w:w="661"/>
        <w:gridCol w:w="661"/>
      </w:tblGrid>
      <w:tr>
        <w:trPr>
          <w:trHeight w:val="352" w:hRule="exact"/>
        </w:trPr>
        <w:tc>
          <w:tcPr>
            <w:tcW w:w="650" w:type="dxa"/>
            <w:tcBorders>
              <w:left w:val="nil"/>
              <w:bottom w:val="nil"/>
              <w:right w:val="nil"/>
            </w:tcBorders>
          </w:tcPr>
          <w:p>
            <w:pPr>
              <w:pStyle w:val="TableParagraph"/>
              <w:spacing w:before="57"/>
              <w:ind w:left="17" w:right="70"/>
              <w:jc w:val="center"/>
              <w:rPr>
                <w:sz w:val="22"/>
              </w:rPr>
            </w:pPr>
            <w:r>
              <w:rPr>
                <w:sz w:val="22"/>
              </w:rPr>
              <w:t>Maíz</w:t>
            </w:r>
          </w:p>
        </w:tc>
        <w:tc>
          <w:tcPr>
            <w:tcW w:w="452" w:type="dxa"/>
            <w:tcBorders>
              <w:left w:val="nil"/>
              <w:bottom w:val="nil"/>
              <w:right w:val="nil"/>
            </w:tcBorders>
          </w:tcPr>
          <w:p>
            <w:pPr>
              <w:pStyle w:val="TableParagraph"/>
              <w:spacing w:before="57"/>
              <w:ind w:right="179"/>
              <w:rPr>
                <w:sz w:val="22"/>
              </w:rPr>
            </w:pPr>
            <w:r>
              <w:rPr>
                <w:w w:val="100"/>
                <w:sz w:val="22"/>
              </w:rPr>
              <w:t>P</w:t>
            </w:r>
          </w:p>
        </w:tc>
        <w:tc>
          <w:tcPr>
            <w:tcW w:w="933" w:type="dxa"/>
            <w:tcBorders>
              <w:left w:val="nil"/>
              <w:bottom w:val="nil"/>
              <w:right w:val="nil"/>
            </w:tcBorders>
          </w:tcPr>
          <w:p>
            <w:pPr>
              <w:pStyle w:val="TableParagraph"/>
              <w:spacing w:before="57"/>
              <w:ind w:left="163" w:right="234"/>
              <w:jc w:val="center"/>
              <w:rPr>
                <w:sz w:val="22"/>
              </w:rPr>
            </w:pPr>
            <w:r>
              <w:rPr>
                <w:sz w:val="22"/>
              </w:rPr>
              <w:t>2.28</w:t>
            </w:r>
          </w:p>
        </w:tc>
        <w:tc>
          <w:tcPr>
            <w:tcW w:w="1010" w:type="dxa"/>
            <w:tcBorders>
              <w:left w:val="nil"/>
              <w:bottom w:val="nil"/>
              <w:right w:val="nil"/>
            </w:tcBorders>
          </w:tcPr>
          <w:p>
            <w:pPr>
              <w:pStyle w:val="TableParagraph"/>
              <w:spacing w:before="57"/>
              <w:ind w:right="145"/>
              <w:rPr>
                <w:sz w:val="22"/>
              </w:rPr>
            </w:pPr>
            <w:r>
              <w:rPr>
                <w:sz w:val="22"/>
              </w:rPr>
              <w:t>2.32</w:t>
            </w:r>
          </w:p>
        </w:tc>
        <w:tc>
          <w:tcPr>
            <w:tcW w:w="868" w:type="dxa"/>
            <w:tcBorders>
              <w:left w:val="nil"/>
              <w:bottom w:val="nil"/>
              <w:right w:val="nil"/>
            </w:tcBorders>
          </w:tcPr>
          <w:p>
            <w:pPr>
              <w:pStyle w:val="TableParagraph"/>
              <w:spacing w:before="57"/>
              <w:ind w:left="147"/>
              <w:jc w:val="left"/>
              <w:rPr>
                <w:sz w:val="22"/>
              </w:rPr>
            </w:pPr>
            <w:r>
              <w:rPr>
                <w:sz w:val="22"/>
              </w:rPr>
              <w:t>-0.02</w:t>
            </w:r>
          </w:p>
        </w:tc>
        <w:tc>
          <w:tcPr>
            <w:tcW w:w="895" w:type="dxa"/>
            <w:tcBorders>
              <w:left w:val="nil"/>
              <w:bottom w:val="nil"/>
              <w:right w:val="nil"/>
            </w:tcBorders>
          </w:tcPr>
          <w:p>
            <w:pPr>
              <w:pStyle w:val="TableParagraph"/>
              <w:spacing w:before="57"/>
              <w:ind w:left="244" w:right="226"/>
              <w:jc w:val="center"/>
              <w:rPr>
                <w:sz w:val="22"/>
              </w:rPr>
            </w:pPr>
            <w:r>
              <w:rPr>
                <w:sz w:val="22"/>
              </w:rPr>
              <w:t>0.40</w:t>
            </w:r>
          </w:p>
        </w:tc>
        <w:tc>
          <w:tcPr>
            <w:tcW w:w="718" w:type="dxa"/>
            <w:tcBorders>
              <w:left w:val="nil"/>
              <w:bottom w:val="nil"/>
              <w:right w:val="nil"/>
            </w:tcBorders>
          </w:tcPr>
          <w:p>
            <w:pPr>
              <w:pStyle w:val="TableParagraph"/>
              <w:spacing w:before="57"/>
              <w:ind w:right="194"/>
              <w:rPr>
                <w:sz w:val="22"/>
              </w:rPr>
            </w:pPr>
            <w:r>
              <w:rPr>
                <w:sz w:val="22"/>
              </w:rPr>
              <w:t>1.0</w:t>
            </w:r>
          </w:p>
        </w:tc>
        <w:tc>
          <w:tcPr>
            <w:tcW w:w="668" w:type="dxa"/>
            <w:tcBorders>
              <w:left w:val="nil"/>
              <w:bottom w:val="nil"/>
              <w:right w:val="nil"/>
            </w:tcBorders>
          </w:tcPr>
          <w:p>
            <w:pPr>
              <w:pStyle w:val="TableParagraph"/>
              <w:spacing w:before="57"/>
              <w:ind w:left="177" w:right="176"/>
              <w:jc w:val="center"/>
              <w:rPr>
                <w:sz w:val="22"/>
              </w:rPr>
            </w:pPr>
            <w:r>
              <w:rPr>
                <w:sz w:val="22"/>
              </w:rPr>
              <w:t>0.8</w:t>
            </w:r>
          </w:p>
        </w:tc>
        <w:tc>
          <w:tcPr>
            <w:tcW w:w="646" w:type="dxa"/>
            <w:tcBorders>
              <w:left w:val="nil"/>
              <w:bottom w:val="nil"/>
              <w:right w:val="nil"/>
            </w:tcBorders>
          </w:tcPr>
          <w:p>
            <w:pPr>
              <w:pStyle w:val="TableParagraph"/>
              <w:spacing w:before="57"/>
              <w:ind w:left="175" w:right="154"/>
              <w:jc w:val="center"/>
              <w:rPr>
                <w:sz w:val="22"/>
              </w:rPr>
            </w:pPr>
            <w:r>
              <w:rPr>
                <w:sz w:val="22"/>
              </w:rPr>
              <w:t>0.9</w:t>
            </w:r>
          </w:p>
        </w:tc>
        <w:tc>
          <w:tcPr>
            <w:tcW w:w="678" w:type="dxa"/>
            <w:tcBorders>
              <w:left w:val="nil"/>
              <w:bottom w:val="nil"/>
              <w:right w:val="nil"/>
            </w:tcBorders>
          </w:tcPr>
          <w:p>
            <w:pPr>
              <w:pStyle w:val="TableParagraph"/>
              <w:spacing w:before="57"/>
              <w:ind w:left="152" w:right="137"/>
              <w:jc w:val="center"/>
              <w:rPr>
                <w:sz w:val="22"/>
              </w:rPr>
            </w:pPr>
            <w:r>
              <w:rPr>
                <w:sz w:val="22"/>
              </w:rPr>
              <w:t>-0.2</w:t>
            </w:r>
          </w:p>
        </w:tc>
        <w:tc>
          <w:tcPr>
            <w:tcW w:w="661" w:type="dxa"/>
            <w:tcBorders>
              <w:left w:val="nil"/>
              <w:bottom w:val="nil"/>
              <w:right w:val="nil"/>
            </w:tcBorders>
          </w:tcPr>
          <w:p>
            <w:pPr>
              <w:pStyle w:val="TableParagraph"/>
              <w:spacing w:before="57"/>
              <w:ind w:left="158"/>
              <w:jc w:val="left"/>
              <w:rPr>
                <w:sz w:val="22"/>
              </w:rPr>
            </w:pPr>
            <w:r>
              <w:rPr>
                <w:sz w:val="22"/>
              </w:rPr>
              <w:t>-0.1</w:t>
            </w:r>
          </w:p>
        </w:tc>
        <w:tc>
          <w:tcPr>
            <w:tcW w:w="661" w:type="dxa"/>
            <w:tcBorders>
              <w:left w:val="nil"/>
              <w:bottom w:val="nil"/>
              <w:right w:val="nil"/>
            </w:tcBorders>
          </w:tcPr>
          <w:p>
            <w:pPr>
              <w:pStyle w:val="TableParagraph"/>
              <w:spacing w:before="57"/>
              <w:ind w:left="157"/>
              <w:jc w:val="left"/>
              <w:rPr>
                <w:sz w:val="22"/>
              </w:rPr>
            </w:pPr>
            <w:r>
              <w:rPr>
                <w:sz w:val="22"/>
              </w:rPr>
              <w:t>-0.5</w:t>
            </w:r>
          </w:p>
        </w:tc>
      </w:tr>
      <w:tr>
        <w:trPr>
          <w:trHeight w:val="300" w:hRule="exact"/>
        </w:trPr>
        <w:tc>
          <w:tcPr>
            <w:tcW w:w="650" w:type="dxa"/>
            <w:tcBorders>
              <w:top w:val="nil"/>
              <w:left w:val="nil"/>
              <w:bottom w:val="nil"/>
              <w:right w:val="nil"/>
            </w:tcBorders>
          </w:tcPr>
          <w:p>
            <w:pPr>
              <w:pStyle w:val="TableParagraph"/>
              <w:spacing w:before="27"/>
              <w:ind w:left="49" w:right="68"/>
              <w:jc w:val="center"/>
              <w:rPr>
                <w:sz w:val="22"/>
              </w:rPr>
            </w:pPr>
            <w:r>
              <w:rPr>
                <w:sz w:val="22"/>
              </w:rPr>
              <w:t>Trigo</w:t>
            </w:r>
          </w:p>
        </w:tc>
        <w:tc>
          <w:tcPr>
            <w:tcW w:w="452" w:type="dxa"/>
            <w:tcBorders>
              <w:top w:val="nil"/>
              <w:left w:val="nil"/>
              <w:bottom w:val="nil"/>
              <w:right w:val="nil"/>
            </w:tcBorders>
          </w:tcPr>
          <w:p>
            <w:pPr>
              <w:pStyle w:val="TableParagraph"/>
              <w:spacing w:before="27"/>
              <w:ind w:right="198"/>
              <w:rPr>
                <w:sz w:val="22"/>
              </w:rPr>
            </w:pPr>
            <w:r>
              <w:rPr>
                <w:w w:val="100"/>
                <w:sz w:val="22"/>
              </w:rPr>
              <w:t>P</w:t>
            </w:r>
          </w:p>
        </w:tc>
        <w:tc>
          <w:tcPr>
            <w:tcW w:w="933" w:type="dxa"/>
            <w:tcBorders>
              <w:top w:val="nil"/>
              <w:left w:val="nil"/>
              <w:bottom w:val="nil"/>
              <w:right w:val="nil"/>
            </w:tcBorders>
          </w:tcPr>
          <w:p>
            <w:pPr>
              <w:pStyle w:val="TableParagraph"/>
              <w:spacing w:before="27"/>
              <w:ind w:left="163" w:right="234"/>
              <w:jc w:val="center"/>
              <w:rPr>
                <w:sz w:val="22"/>
              </w:rPr>
            </w:pPr>
            <w:r>
              <w:rPr>
                <w:sz w:val="22"/>
              </w:rPr>
              <w:t>3.14</w:t>
            </w:r>
          </w:p>
        </w:tc>
        <w:tc>
          <w:tcPr>
            <w:tcW w:w="1010" w:type="dxa"/>
            <w:tcBorders>
              <w:top w:val="nil"/>
              <w:left w:val="nil"/>
              <w:bottom w:val="nil"/>
              <w:right w:val="nil"/>
            </w:tcBorders>
          </w:tcPr>
          <w:p>
            <w:pPr>
              <w:pStyle w:val="TableParagraph"/>
              <w:spacing w:before="27"/>
              <w:ind w:right="145"/>
              <w:rPr>
                <w:sz w:val="22"/>
              </w:rPr>
            </w:pPr>
            <w:r>
              <w:rPr>
                <w:sz w:val="22"/>
              </w:rPr>
              <w:t>3.29</w:t>
            </w:r>
          </w:p>
        </w:tc>
        <w:tc>
          <w:tcPr>
            <w:tcW w:w="868" w:type="dxa"/>
            <w:tcBorders>
              <w:top w:val="nil"/>
              <w:left w:val="nil"/>
              <w:bottom w:val="nil"/>
              <w:right w:val="nil"/>
            </w:tcBorders>
          </w:tcPr>
          <w:p>
            <w:pPr>
              <w:pStyle w:val="TableParagraph"/>
              <w:spacing w:before="27"/>
              <w:ind w:left="147"/>
              <w:jc w:val="left"/>
              <w:rPr>
                <w:sz w:val="22"/>
              </w:rPr>
            </w:pPr>
            <w:r>
              <w:rPr>
                <w:sz w:val="22"/>
              </w:rPr>
              <w:t>-0.04</w:t>
            </w:r>
          </w:p>
        </w:tc>
        <w:tc>
          <w:tcPr>
            <w:tcW w:w="895" w:type="dxa"/>
            <w:tcBorders>
              <w:top w:val="nil"/>
              <w:left w:val="nil"/>
              <w:bottom w:val="nil"/>
              <w:right w:val="nil"/>
            </w:tcBorders>
          </w:tcPr>
          <w:p>
            <w:pPr>
              <w:pStyle w:val="TableParagraph"/>
              <w:spacing w:before="27"/>
              <w:ind w:left="244" w:right="226"/>
              <w:jc w:val="center"/>
              <w:rPr>
                <w:sz w:val="22"/>
              </w:rPr>
            </w:pPr>
            <w:r>
              <w:rPr>
                <w:sz w:val="22"/>
              </w:rPr>
              <w:t>0.39</w:t>
            </w:r>
          </w:p>
        </w:tc>
        <w:tc>
          <w:tcPr>
            <w:tcW w:w="718" w:type="dxa"/>
            <w:tcBorders>
              <w:top w:val="nil"/>
              <w:left w:val="nil"/>
              <w:bottom w:val="nil"/>
              <w:right w:val="nil"/>
            </w:tcBorders>
          </w:tcPr>
          <w:p>
            <w:pPr>
              <w:pStyle w:val="TableParagraph"/>
              <w:spacing w:before="27"/>
              <w:ind w:right="194"/>
              <w:rPr>
                <w:sz w:val="22"/>
              </w:rPr>
            </w:pPr>
            <w:r>
              <w:rPr>
                <w:sz w:val="22"/>
              </w:rPr>
              <w:t>0.0</w:t>
            </w:r>
          </w:p>
        </w:tc>
        <w:tc>
          <w:tcPr>
            <w:tcW w:w="668" w:type="dxa"/>
            <w:tcBorders>
              <w:top w:val="nil"/>
              <w:left w:val="nil"/>
              <w:bottom w:val="nil"/>
              <w:right w:val="nil"/>
            </w:tcBorders>
          </w:tcPr>
          <w:p>
            <w:pPr>
              <w:pStyle w:val="TableParagraph"/>
              <w:spacing w:before="27"/>
              <w:ind w:left="177" w:right="176"/>
              <w:jc w:val="center"/>
              <w:rPr>
                <w:sz w:val="22"/>
              </w:rPr>
            </w:pPr>
            <w:r>
              <w:rPr>
                <w:sz w:val="22"/>
              </w:rPr>
              <w:t>1.0</w:t>
            </w:r>
          </w:p>
        </w:tc>
        <w:tc>
          <w:tcPr>
            <w:tcW w:w="646" w:type="dxa"/>
            <w:tcBorders>
              <w:top w:val="nil"/>
              <w:left w:val="nil"/>
              <w:bottom w:val="nil"/>
              <w:right w:val="nil"/>
            </w:tcBorders>
          </w:tcPr>
          <w:p>
            <w:pPr>
              <w:pStyle w:val="TableParagraph"/>
              <w:spacing w:before="27"/>
              <w:ind w:left="175" w:right="154"/>
              <w:jc w:val="center"/>
              <w:rPr>
                <w:sz w:val="22"/>
              </w:rPr>
            </w:pPr>
            <w:r>
              <w:rPr>
                <w:sz w:val="22"/>
              </w:rPr>
              <w:t>0.8</w:t>
            </w:r>
          </w:p>
        </w:tc>
        <w:tc>
          <w:tcPr>
            <w:tcW w:w="678" w:type="dxa"/>
            <w:tcBorders>
              <w:top w:val="nil"/>
              <w:left w:val="nil"/>
              <w:bottom w:val="nil"/>
              <w:right w:val="nil"/>
            </w:tcBorders>
          </w:tcPr>
          <w:p>
            <w:pPr>
              <w:pStyle w:val="TableParagraph"/>
              <w:spacing w:before="27"/>
              <w:ind w:left="152" w:right="137"/>
              <w:jc w:val="center"/>
              <w:rPr>
                <w:sz w:val="22"/>
              </w:rPr>
            </w:pPr>
            <w:r>
              <w:rPr>
                <w:sz w:val="22"/>
              </w:rPr>
              <w:t>-0.1</w:t>
            </w:r>
          </w:p>
        </w:tc>
        <w:tc>
          <w:tcPr>
            <w:tcW w:w="661" w:type="dxa"/>
            <w:tcBorders>
              <w:top w:val="nil"/>
              <w:left w:val="nil"/>
              <w:bottom w:val="nil"/>
              <w:right w:val="nil"/>
            </w:tcBorders>
          </w:tcPr>
          <w:p>
            <w:pPr>
              <w:pStyle w:val="TableParagraph"/>
              <w:spacing w:before="27"/>
              <w:ind w:left="158"/>
              <w:jc w:val="left"/>
              <w:rPr>
                <w:sz w:val="22"/>
              </w:rPr>
            </w:pPr>
            <w:r>
              <w:rPr>
                <w:sz w:val="22"/>
              </w:rPr>
              <w:t>-0.3</w:t>
            </w:r>
          </w:p>
        </w:tc>
        <w:tc>
          <w:tcPr>
            <w:tcW w:w="661" w:type="dxa"/>
            <w:tcBorders>
              <w:top w:val="nil"/>
              <w:left w:val="nil"/>
              <w:bottom w:val="nil"/>
              <w:right w:val="nil"/>
            </w:tcBorders>
          </w:tcPr>
          <w:p>
            <w:pPr>
              <w:pStyle w:val="TableParagraph"/>
              <w:spacing w:before="27"/>
              <w:ind w:left="157"/>
              <w:jc w:val="left"/>
              <w:rPr>
                <w:sz w:val="22"/>
              </w:rPr>
            </w:pPr>
            <w:r>
              <w:rPr>
                <w:sz w:val="22"/>
              </w:rPr>
              <w:t>-0.3</w:t>
            </w:r>
          </w:p>
        </w:tc>
      </w:tr>
      <w:tr>
        <w:trPr>
          <w:trHeight w:val="300" w:hRule="exact"/>
        </w:trPr>
        <w:tc>
          <w:tcPr>
            <w:tcW w:w="650" w:type="dxa"/>
            <w:tcBorders>
              <w:top w:val="nil"/>
              <w:left w:val="nil"/>
              <w:bottom w:val="nil"/>
              <w:right w:val="nil"/>
            </w:tcBorders>
          </w:tcPr>
          <w:p>
            <w:pPr>
              <w:pStyle w:val="TableParagraph"/>
              <w:spacing w:before="27"/>
              <w:ind w:left="49" w:right="35"/>
              <w:jc w:val="center"/>
              <w:rPr>
                <w:sz w:val="22"/>
              </w:rPr>
            </w:pPr>
            <w:r>
              <w:rPr>
                <w:sz w:val="22"/>
              </w:rPr>
              <w:t>Sorgo</w:t>
            </w:r>
          </w:p>
        </w:tc>
        <w:tc>
          <w:tcPr>
            <w:tcW w:w="452" w:type="dxa"/>
            <w:tcBorders>
              <w:top w:val="nil"/>
              <w:left w:val="nil"/>
              <w:bottom w:val="nil"/>
              <w:right w:val="nil"/>
            </w:tcBorders>
          </w:tcPr>
          <w:p>
            <w:pPr>
              <w:pStyle w:val="TableParagraph"/>
              <w:spacing w:before="27"/>
              <w:ind w:right="217"/>
              <w:rPr>
                <w:sz w:val="22"/>
              </w:rPr>
            </w:pPr>
            <w:r>
              <w:rPr>
                <w:w w:val="100"/>
                <w:sz w:val="22"/>
              </w:rPr>
              <w:t>P</w:t>
            </w:r>
          </w:p>
        </w:tc>
        <w:tc>
          <w:tcPr>
            <w:tcW w:w="933" w:type="dxa"/>
            <w:tcBorders>
              <w:top w:val="nil"/>
              <w:left w:val="nil"/>
              <w:bottom w:val="nil"/>
              <w:right w:val="nil"/>
            </w:tcBorders>
          </w:tcPr>
          <w:p>
            <w:pPr>
              <w:pStyle w:val="TableParagraph"/>
              <w:spacing w:before="27"/>
              <w:ind w:left="163" w:right="234"/>
              <w:jc w:val="center"/>
              <w:rPr>
                <w:sz w:val="22"/>
              </w:rPr>
            </w:pPr>
            <w:r>
              <w:rPr>
                <w:sz w:val="22"/>
              </w:rPr>
              <w:t>2.09</w:t>
            </w:r>
          </w:p>
        </w:tc>
        <w:tc>
          <w:tcPr>
            <w:tcW w:w="1010" w:type="dxa"/>
            <w:tcBorders>
              <w:top w:val="nil"/>
              <w:left w:val="nil"/>
              <w:bottom w:val="nil"/>
              <w:right w:val="nil"/>
            </w:tcBorders>
          </w:tcPr>
          <w:p>
            <w:pPr>
              <w:pStyle w:val="TableParagraph"/>
              <w:spacing w:before="27"/>
              <w:ind w:right="145"/>
              <w:rPr>
                <w:sz w:val="22"/>
              </w:rPr>
            </w:pPr>
            <w:r>
              <w:rPr>
                <w:sz w:val="22"/>
              </w:rPr>
              <w:t>2.12</w:t>
            </w:r>
          </w:p>
        </w:tc>
        <w:tc>
          <w:tcPr>
            <w:tcW w:w="868" w:type="dxa"/>
            <w:tcBorders>
              <w:top w:val="nil"/>
              <w:left w:val="nil"/>
              <w:bottom w:val="nil"/>
              <w:right w:val="nil"/>
            </w:tcBorders>
          </w:tcPr>
          <w:p>
            <w:pPr>
              <w:pStyle w:val="TableParagraph"/>
              <w:spacing w:before="27"/>
              <w:ind w:left="147"/>
              <w:jc w:val="left"/>
              <w:rPr>
                <w:sz w:val="22"/>
              </w:rPr>
            </w:pPr>
            <w:r>
              <w:rPr>
                <w:sz w:val="22"/>
              </w:rPr>
              <w:t>-0.01</w:t>
            </w:r>
          </w:p>
        </w:tc>
        <w:tc>
          <w:tcPr>
            <w:tcW w:w="895" w:type="dxa"/>
            <w:tcBorders>
              <w:top w:val="nil"/>
              <w:left w:val="nil"/>
              <w:bottom w:val="nil"/>
              <w:right w:val="nil"/>
            </w:tcBorders>
          </w:tcPr>
          <w:p>
            <w:pPr>
              <w:pStyle w:val="TableParagraph"/>
              <w:spacing w:before="27"/>
              <w:ind w:left="244" w:right="226"/>
              <w:jc w:val="center"/>
              <w:rPr>
                <w:sz w:val="22"/>
              </w:rPr>
            </w:pPr>
            <w:r>
              <w:rPr>
                <w:sz w:val="22"/>
              </w:rPr>
              <w:t>0.34</w:t>
            </w:r>
          </w:p>
        </w:tc>
        <w:tc>
          <w:tcPr>
            <w:tcW w:w="718" w:type="dxa"/>
            <w:tcBorders>
              <w:top w:val="nil"/>
              <w:left w:val="nil"/>
              <w:bottom w:val="nil"/>
              <w:right w:val="nil"/>
            </w:tcBorders>
          </w:tcPr>
          <w:p>
            <w:pPr>
              <w:pStyle w:val="TableParagraph"/>
              <w:spacing w:before="27"/>
              <w:ind w:right="194"/>
              <w:rPr>
                <w:sz w:val="22"/>
              </w:rPr>
            </w:pPr>
            <w:r>
              <w:rPr>
                <w:sz w:val="22"/>
              </w:rPr>
              <w:t>0.0</w:t>
            </w:r>
          </w:p>
        </w:tc>
        <w:tc>
          <w:tcPr>
            <w:tcW w:w="668" w:type="dxa"/>
            <w:tcBorders>
              <w:top w:val="nil"/>
              <w:left w:val="nil"/>
              <w:bottom w:val="nil"/>
              <w:right w:val="nil"/>
            </w:tcBorders>
          </w:tcPr>
          <w:p>
            <w:pPr>
              <w:pStyle w:val="TableParagraph"/>
              <w:spacing w:before="27"/>
              <w:ind w:left="177" w:right="176"/>
              <w:jc w:val="center"/>
              <w:rPr>
                <w:sz w:val="22"/>
              </w:rPr>
            </w:pPr>
            <w:r>
              <w:rPr>
                <w:sz w:val="22"/>
              </w:rPr>
              <w:t>0.0</w:t>
            </w:r>
          </w:p>
        </w:tc>
        <w:tc>
          <w:tcPr>
            <w:tcW w:w="646" w:type="dxa"/>
            <w:tcBorders>
              <w:top w:val="nil"/>
              <w:left w:val="nil"/>
              <w:bottom w:val="nil"/>
              <w:right w:val="nil"/>
            </w:tcBorders>
          </w:tcPr>
          <w:p>
            <w:pPr>
              <w:pStyle w:val="TableParagraph"/>
              <w:spacing w:before="27"/>
              <w:ind w:left="175" w:right="154"/>
              <w:jc w:val="center"/>
              <w:rPr>
                <w:sz w:val="22"/>
              </w:rPr>
            </w:pPr>
            <w:r>
              <w:rPr>
                <w:sz w:val="22"/>
              </w:rPr>
              <w:t>1.0</w:t>
            </w:r>
          </w:p>
        </w:tc>
        <w:tc>
          <w:tcPr>
            <w:tcW w:w="678" w:type="dxa"/>
            <w:tcBorders>
              <w:top w:val="nil"/>
              <w:left w:val="nil"/>
              <w:bottom w:val="nil"/>
              <w:right w:val="nil"/>
            </w:tcBorders>
          </w:tcPr>
          <w:p>
            <w:pPr>
              <w:pStyle w:val="TableParagraph"/>
              <w:spacing w:before="27"/>
              <w:ind w:left="152" w:right="137"/>
              <w:jc w:val="center"/>
              <w:rPr>
                <w:sz w:val="22"/>
              </w:rPr>
            </w:pPr>
            <w:r>
              <w:rPr>
                <w:sz w:val="22"/>
              </w:rPr>
              <w:t>-0.2</w:t>
            </w:r>
          </w:p>
        </w:tc>
        <w:tc>
          <w:tcPr>
            <w:tcW w:w="661" w:type="dxa"/>
            <w:tcBorders>
              <w:top w:val="nil"/>
              <w:left w:val="nil"/>
              <w:bottom w:val="nil"/>
              <w:right w:val="nil"/>
            </w:tcBorders>
          </w:tcPr>
          <w:p>
            <w:pPr>
              <w:pStyle w:val="TableParagraph"/>
              <w:spacing w:before="27"/>
              <w:ind w:left="158"/>
              <w:jc w:val="left"/>
              <w:rPr>
                <w:sz w:val="22"/>
              </w:rPr>
            </w:pPr>
            <w:r>
              <w:rPr>
                <w:sz w:val="22"/>
              </w:rPr>
              <w:t>-0.1</w:t>
            </w:r>
          </w:p>
        </w:tc>
        <w:tc>
          <w:tcPr>
            <w:tcW w:w="661" w:type="dxa"/>
            <w:tcBorders>
              <w:top w:val="nil"/>
              <w:left w:val="nil"/>
              <w:bottom w:val="nil"/>
              <w:right w:val="nil"/>
            </w:tcBorders>
          </w:tcPr>
          <w:p>
            <w:pPr>
              <w:pStyle w:val="TableParagraph"/>
              <w:spacing w:before="27"/>
              <w:ind w:left="157"/>
              <w:jc w:val="left"/>
              <w:rPr>
                <w:sz w:val="22"/>
              </w:rPr>
            </w:pPr>
            <w:r>
              <w:rPr>
                <w:sz w:val="22"/>
              </w:rPr>
              <w:t>-0.5</w:t>
            </w:r>
          </w:p>
        </w:tc>
      </w:tr>
      <w:tr>
        <w:trPr>
          <w:trHeight w:val="300" w:hRule="exact"/>
        </w:trPr>
        <w:tc>
          <w:tcPr>
            <w:tcW w:w="650" w:type="dxa"/>
            <w:tcBorders>
              <w:top w:val="nil"/>
              <w:left w:val="nil"/>
              <w:bottom w:val="nil"/>
              <w:right w:val="nil"/>
            </w:tcBorders>
          </w:tcPr>
          <w:p>
            <w:pPr>
              <w:pStyle w:val="TableParagraph"/>
              <w:spacing w:before="27"/>
              <w:ind w:left="17" w:right="70"/>
              <w:jc w:val="center"/>
              <w:rPr>
                <w:sz w:val="22"/>
              </w:rPr>
            </w:pPr>
            <w:r>
              <w:rPr>
                <w:sz w:val="22"/>
              </w:rPr>
              <w:t>Maíz</w:t>
            </w:r>
          </w:p>
        </w:tc>
        <w:tc>
          <w:tcPr>
            <w:tcW w:w="452" w:type="dxa"/>
            <w:tcBorders>
              <w:top w:val="nil"/>
              <w:left w:val="nil"/>
              <w:bottom w:val="nil"/>
              <w:right w:val="nil"/>
            </w:tcBorders>
          </w:tcPr>
          <w:p>
            <w:pPr>
              <w:pStyle w:val="TableParagraph"/>
              <w:spacing w:before="27"/>
              <w:ind w:right="209"/>
              <w:rPr>
                <w:sz w:val="22"/>
              </w:rPr>
            </w:pPr>
            <w:r>
              <w:rPr>
                <w:w w:val="100"/>
                <w:sz w:val="22"/>
              </w:rPr>
              <w:t>R</w:t>
            </w:r>
          </w:p>
        </w:tc>
        <w:tc>
          <w:tcPr>
            <w:tcW w:w="933" w:type="dxa"/>
            <w:tcBorders>
              <w:top w:val="nil"/>
              <w:left w:val="nil"/>
              <w:bottom w:val="nil"/>
              <w:right w:val="nil"/>
            </w:tcBorders>
          </w:tcPr>
          <w:p>
            <w:pPr>
              <w:pStyle w:val="TableParagraph"/>
              <w:spacing w:before="27"/>
              <w:ind w:left="163" w:right="234"/>
              <w:jc w:val="center"/>
              <w:rPr>
                <w:sz w:val="22"/>
              </w:rPr>
            </w:pPr>
            <w:r>
              <w:rPr>
                <w:sz w:val="22"/>
              </w:rPr>
              <w:t>84.61</w:t>
            </w:r>
          </w:p>
        </w:tc>
        <w:tc>
          <w:tcPr>
            <w:tcW w:w="1010" w:type="dxa"/>
            <w:tcBorders>
              <w:top w:val="nil"/>
              <w:left w:val="nil"/>
              <w:bottom w:val="nil"/>
              <w:right w:val="nil"/>
            </w:tcBorders>
          </w:tcPr>
          <w:p>
            <w:pPr>
              <w:pStyle w:val="TableParagraph"/>
              <w:spacing w:before="27"/>
              <w:ind w:right="145"/>
              <w:rPr>
                <w:sz w:val="22"/>
              </w:rPr>
            </w:pPr>
            <w:r>
              <w:rPr>
                <w:sz w:val="22"/>
              </w:rPr>
              <w:t>118.36</w:t>
            </w:r>
          </w:p>
        </w:tc>
        <w:tc>
          <w:tcPr>
            <w:tcW w:w="868" w:type="dxa"/>
            <w:tcBorders>
              <w:top w:val="nil"/>
              <w:left w:val="nil"/>
              <w:bottom w:val="nil"/>
              <w:right w:val="nil"/>
            </w:tcBorders>
          </w:tcPr>
          <w:p>
            <w:pPr>
              <w:pStyle w:val="TableParagraph"/>
              <w:spacing w:before="27"/>
              <w:ind w:left="147"/>
              <w:jc w:val="left"/>
              <w:rPr>
                <w:sz w:val="22"/>
              </w:rPr>
            </w:pPr>
            <w:r>
              <w:rPr>
                <w:sz w:val="22"/>
              </w:rPr>
              <w:t>-0.28</w:t>
            </w:r>
          </w:p>
        </w:tc>
        <w:tc>
          <w:tcPr>
            <w:tcW w:w="895" w:type="dxa"/>
            <w:tcBorders>
              <w:top w:val="nil"/>
              <w:left w:val="nil"/>
              <w:bottom w:val="nil"/>
              <w:right w:val="nil"/>
            </w:tcBorders>
          </w:tcPr>
          <w:p>
            <w:pPr>
              <w:pStyle w:val="TableParagraph"/>
              <w:spacing w:before="27"/>
              <w:ind w:left="244" w:right="226"/>
              <w:jc w:val="center"/>
              <w:rPr>
                <w:sz w:val="22"/>
              </w:rPr>
            </w:pPr>
            <w:r>
              <w:rPr>
                <w:sz w:val="22"/>
              </w:rPr>
              <w:t>0.01</w:t>
            </w:r>
          </w:p>
        </w:tc>
        <w:tc>
          <w:tcPr>
            <w:tcW w:w="718" w:type="dxa"/>
            <w:tcBorders>
              <w:top w:val="nil"/>
              <w:left w:val="nil"/>
              <w:bottom w:val="nil"/>
              <w:right w:val="nil"/>
            </w:tcBorders>
          </w:tcPr>
          <w:p>
            <w:pPr>
              <w:pStyle w:val="TableParagraph"/>
              <w:spacing w:before="27"/>
              <w:ind w:right="194"/>
              <w:rPr>
                <w:sz w:val="22"/>
              </w:rPr>
            </w:pPr>
            <w:r>
              <w:rPr>
                <w:sz w:val="22"/>
              </w:rPr>
              <w:t>0.0</w:t>
            </w:r>
          </w:p>
        </w:tc>
        <w:tc>
          <w:tcPr>
            <w:tcW w:w="668" w:type="dxa"/>
            <w:tcBorders>
              <w:top w:val="nil"/>
              <w:left w:val="nil"/>
              <w:bottom w:val="nil"/>
              <w:right w:val="nil"/>
            </w:tcBorders>
          </w:tcPr>
          <w:p>
            <w:pPr>
              <w:pStyle w:val="TableParagraph"/>
              <w:spacing w:before="27"/>
              <w:ind w:left="177" w:right="176"/>
              <w:jc w:val="center"/>
              <w:rPr>
                <w:sz w:val="22"/>
              </w:rPr>
            </w:pPr>
            <w:r>
              <w:rPr>
                <w:sz w:val="22"/>
              </w:rPr>
              <w:t>0.0</w:t>
            </w:r>
          </w:p>
        </w:tc>
        <w:tc>
          <w:tcPr>
            <w:tcW w:w="646" w:type="dxa"/>
            <w:tcBorders>
              <w:top w:val="nil"/>
              <w:left w:val="nil"/>
              <w:bottom w:val="nil"/>
              <w:right w:val="nil"/>
            </w:tcBorders>
          </w:tcPr>
          <w:p>
            <w:pPr>
              <w:pStyle w:val="TableParagraph"/>
              <w:spacing w:before="27"/>
              <w:ind w:left="175" w:right="154"/>
              <w:jc w:val="center"/>
              <w:rPr>
                <w:sz w:val="22"/>
              </w:rPr>
            </w:pPr>
            <w:r>
              <w:rPr>
                <w:sz w:val="22"/>
              </w:rPr>
              <w:t>0.0</w:t>
            </w:r>
          </w:p>
        </w:tc>
        <w:tc>
          <w:tcPr>
            <w:tcW w:w="678" w:type="dxa"/>
            <w:tcBorders>
              <w:top w:val="nil"/>
              <w:left w:val="nil"/>
              <w:bottom w:val="nil"/>
              <w:right w:val="nil"/>
            </w:tcBorders>
          </w:tcPr>
          <w:p>
            <w:pPr>
              <w:pStyle w:val="TableParagraph"/>
              <w:spacing w:before="27"/>
              <w:ind w:left="152" w:right="135"/>
              <w:jc w:val="center"/>
              <w:rPr>
                <w:sz w:val="22"/>
              </w:rPr>
            </w:pPr>
            <w:r>
              <w:rPr>
                <w:sz w:val="22"/>
              </w:rPr>
              <w:t>1.0</w:t>
            </w:r>
          </w:p>
        </w:tc>
        <w:tc>
          <w:tcPr>
            <w:tcW w:w="661" w:type="dxa"/>
            <w:tcBorders>
              <w:top w:val="nil"/>
              <w:left w:val="nil"/>
              <w:bottom w:val="nil"/>
              <w:right w:val="nil"/>
            </w:tcBorders>
          </w:tcPr>
          <w:p>
            <w:pPr>
              <w:pStyle w:val="TableParagraph"/>
              <w:spacing w:before="27"/>
              <w:ind w:left="194"/>
              <w:jc w:val="left"/>
              <w:rPr>
                <w:sz w:val="22"/>
              </w:rPr>
            </w:pPr>
            <w:r>
              <w:rPr>
                <w:sz w:val="22"/>
              </w:rPr>
              <w:t>0.5</w:t>
            </w:r>
          </w:p>
        </w:tc>
        <w:tc>
          <w:tcPr>
            <w:tcW w:w="661" w:type="dxa"/>
            <w:tcBorders>
              <w:top w:val="nil"/>
              <w:left w:val="nil"/>
              <w:bottom w:val="nil"/>
              <w:right w:val="nil"/>
            </w:tcBorders>
          </w:tcPr>
          <w:p>
            <w:pPr>
              <w:pStyle w:val="TableParagraph"/>
              <w:spacing w:before="27"/>
              <w:ind w:left="193"/>
              <w:jc w:val="left"/>
              <w:rPr>
                <w:sz w:val="22"/>
              </w:rPr>
            </w:pPr>
            <w:r>
              <w:rPr>
                <w:sz w:val="22"/>
              </w:rPr>
              <w:t>0.5</w:t>
            </w:r>
          </w:p>
        </w:tc>
      </w:tr>
      <w:tr>
        <w:trPr>
          <w:trHeight w:val="300" w:hRule="exact"/>
        </w:trPr>
        <w:tc>
          <w:tcPr>
            <w:tcW w:w="650" w:type="dxa"/>
            <w:tcBorders>
              <w:top w:val="nil"/>
              <w:left w:val="nil"/>
              <w:bottom w:val="nil"/>
              <w:right w:val="nil"/>
            </w:tcBorders>
          </w:tcPr>
          <w:p>
            <w:pPr>
              <w:pStyle w:val="TableParagraph"/>
              <w:spacing w:before="27"/>
              <w:ind w:left="49" w:right="68"/>
              <w:jc w:val="center"/>
              <w:rPr>
                <w:sz w:val="22"/>
              </w:rPr>
            </w:pPr>
            <w:r>
              <w:rPr>
                <w:sz w:val="22"/>
              </w:rPr>
              <w:t>Trigo</w:t>
            </w:r>
          </w:p>
        </w:tc>
        <w:tc>
          <w:tcPr>
            <w:tcW w:w="452" w:type="dxa"/>
            <w:tcBorders>
              <w:top w:val="nil"/>
              <w:left w:val="nil"/>
              <w:bottom w:val="nil"/>
              <w:right w:val="nil"/>
            </w:tcBorders>
          </w:tcPr>
          <w:p>
            <w:pPr>
              <w:pStyle w:val="TableParagraph"/>
              <w:spacing w:before="27"/>
              <w:ind w:right="229"/>
              <w:rPr>
                <w:sz w:val="22"/>
              </w:rPr>
            </w:pPr>
            <w:r>
              <w:rPr>
                <w:w w:val="100"/>
                <w:sz w:val="22"/>
              </w:rPr>
              <w:t>R</w:t>
            </w:r>
          </w:p>
        </w:tc>
        <w:tc>
          <w:tcPr>
            <w:tcW w:w="933" w:type="dxa"/>
            <w:tcBorders>
              <w:top w:val="nil"/>
              <w:left w:val="nil"/>
              <w:bottom w:val="nil"/>
              <w:right w:val="nil"/>
            </w:tcBorders>
          </w:tcPr>
          <w:p>
            <w:pPr>
              <w:pStyle w:val="TableParagraph"/>
              <w:spacing w:before="27"/>
              <w:ind w:left="163" w:right="234"/>
              <w:jc w:val="center"/>
              <w:rPr>
                <w:sz w:val="22"/>
              </w:rPr>
            </w:pPr>
            <w:r>
              <w:rPr>
                <w:sz w:val="22"/>
              </w:rPr>
              <w:t>33.64</w:t>
            </w:r>
          </w:p>
        </w:tc>
        <w:tc>
          <w:tcPr>
            <w:tcW w:w="1010" w:type="dxa"/>
            <w:tcBorders>
              <w:top w:val="nil"/>
              <w:left w:val="nil"/>
              <w:bottom w:val="nil"/>
              <w:right w:val="nil"/>
            </w:tcBorders>
          </w:tcPr>
          <w:p>
            <w:pPr>
              <w:pStyle w:val="TableParagraph"/>
              <w:spacing w:before="27"/>
              <w:ind w:right="145"/>
              <w:rPr>
                <w:sz w:val="22"/>
              </w:rPr>
            </w:pPr>
            <w:r>
              <w:rPr>
                <w:sz w:val="22"/>
              </w:rPr>
              <w:t>37.15</w:t>
            </w:r>
          </w:p>
        </w:tc>
        <w:tc>
          <w:tcPr>
            <w:tcW w:w="868" w:type="dxa"/>
            <w:tcBorders>
              <w:top w:val="nil"/>
              <w:left w:val="nil"/>
              <w:bottom w:val="nil"/>
              <w:right w:val="nil"/>
            </w:tcBorders>
          </w:tcPr>
          <w:p>
            <w:pPr>
              <w:pStyle w:val="TableParagraph"/>
              <w:spacing w:before="27"/>
              <w:ind w:left="147"/>
              <w:jc w:val="left"/>
              <w:rPr>
                <w:sz w:val="22"/>
              </w:rPr>
            </w:pPr>
            <w:r>
              <w:rPr>
                <w:sz w:val="22"/>
              </w:rPr>
              <w:t>-0.09</w:t>
            </w:r>
          </w:p>
        </w:tc>
        <w:tc>
          <w:tcPr>
            <w:tcW w:w="895" w:type="dxa"/>
            <w:tcBorders>
              <w:top w:val="nil"/>
              <w:left w:val="nil"/>
              <w:bottom w:val="nil"/>
              <w:right w:val="nil"/>
            </w:tcBorders>
          </w:tcPr>
          <w:p>
            <w:pPr>
              <w:pStyle w:val="TableParagraph"/>
              <w:spacing w:before="27"/>
              <w:ind w:left="244" w:right="226"/>
              <w:jc w:val="center"/>
              <w:rPr>
                <w:sz w:val="22"/>
              </w:rPr>
            </w:pPr>
            <w:r>
              <w:rPr>
                <w:sz w:val="22"/>
              </w:rPr>
              <w:t>0.09</w:t>
            </w:r>
          </w:p>
        </w:tc>
        <w:tc>
          <w:tcPr>
            <w:tcW w:w="718" w:type="dxa"/>
            <w:tcBorders>
              <w:top w:val="nil"/>
              <w:left w:val="nil"/>
              <w:bottom w:val="nil"/>
              <w:right w:val="nil"/>
            </w:tcBorders>
          </w:tcPr>
          <w:p>
            <w:pPr>
              <w:pStyle w:val="TableParagraph"/>
              <w:spacing w:before="27"/>
              <w:ind w:right="194"/>
              <w:rPr>
                <w:sz w:val="22"/>
              </w:rPr>
            </w:pPr>
            <w:r>
              <w:rPr>
                <w:sz w:val="22"/>
              </w:rPr>
              <w:t>0.0</w:t>
            </w:r>
          </w:p>
        </w:tc>
        <w:tc>
          <w:tcPr>
            <w:tcW w:w="668" w:type="dxa"/>
            <w:tcBorders>
              <w:top w:val="nil"/>
              <w:left w:val="nil"/>
              <w:bottom w:val="nil"/>
              <w:right w:val="nil"/>
            </w:tcBorders>
          </w:tcPr>
          <w:p>
            <w:pPr>
              <w:pStyle w:val="TableParagraph"/>
              <w:spacing w:before="27"/>
              <w:ind w:left="177" w:right="176"/>
              <w:jc w:val="center"/>
              <w:rPr>
                <w:sz w:val="22"/>
              </w:rPr>
            </w:pPr>
            <w:r>
              <w:rPr>
                <w:sz w:val="22"/>
              </w:rPr>
              <w:t>0.0</w:t>
            </w:r>
          </w:p>
        </w:tc>
        <w:tc>
          <w:tcPr>
            <w:tcW w:w="646" w:type="dxa"/>
            <w:tcBorders>
              <w:top w:val="nil"/>
              <w:left w:val="nil"/>
              <w:bottom w:val="nil"/>
              <w:right w:val="nil"/>
            </w:tcBorders>
          </w:tcPr>
          <w:p>
            <w:pPr>
              <w:pStyle w:val="TableParagraph"/>
              <w:spacing w:before="27"/>
              <w:ind w:left="175" w:right="154"/>
              <w:jc w:val="center"/>
              <w:rPr>
                <w:sz w:val="22"/>
              </w:rPr>
            </w:pPr>
            <w:r>
              <w:rPr>
                <w:sz w:val="22"/>
              </w:rPr>
              <w:t>0.0</w:t>
            </w:r>
          </w:p>
        </w:tc>
        <w:tc>
          <w:tcPr>
            <w:tcW w:w="678" w:type="dxa"/>
            <w:tcBorders>
              <w:top w:val="nil"/>
              <w:left w:val="nil"/>
              <w:bottom w:val="nil"/>
              <w:right w:val="nil"/>
            </w:tcBorders>
          </w:tcPr>
          <w:p>
            <w:pPr>
              <w:pStyle w:val="TableParagraph"/>
              <w:spacing w:before="27"/>
              <w:ind w:left="152" w:right="135"/>
              <w:jc w:val="center"/>
              <w:rPr>
                <w:sz w:val="22"/>
              </w:rPr>
            </w:pPr>
            <w:r>
              <w:rPr>
                <w:sz w:val="22"/>
              </w:rPr>
              <w:t>0.0</w:t>
            </w:r>
          </w:p>
        </w:tc>
        <w:tc>
          <w:tcPr>
            <w:tcW w:w="661" w:type="dxa"/>
            <w:tcBorders>
              <w:top w:val="nil"/>
              <w:left w:val="nil"/>
              <w:bottom w:val="nil"/>
              <w:right w:val="nil"/>
            </w:tcBorders>
          </w:tcPr>
          <w:p>
            <w:pPr>
              <w:pStyle w:val="TableParagraph"/>
              <w:spacing w:before="27"/>
              <w:ind w:left="194"/>
              <w:jc w:val="left"/>
              <w:rPr>
                <w:sz w:val="22"/>
              </w:rPr>
            </w:pPr>
            <w:r>
              <w:rPr>
                <w:sz w:val="22"/>
              </w:rPr>
              <w:t>1.0</w:t>
            </w:r>
          </w:p>
        </w:tc>
        <w:tc>
          <w:tcPr>
            <w:tcW w:w="661" w:type="dxa"/>
            <w:tcBorders>
              <w:top w:val="nil"/>
              <w:left w:val="nil"/>
              <w:bottom w:val="nil"/>
              <w:right w:val="nil"/>
            </w:tcBorders>
          </w:tcPr>
          <w:p>
            <w:pPr>
              <w:pStyle w:val="TableParagraph"/>
              <w:spacing w:before="27"/>
              <w:ind w:left="193"/>
              <w:jc w:val="left"/>
              <w:rPr>
                <w:sz w:val="22"/>
              </w:rPr>
            </w:pPr>
            <w:r>
              <w:rPr>
                <w:sz w:val="22"/>
              </w:rPr>
              <w:t>0.4</w:t>
            </w:r>
          </w:p>
        </w:tc>
      </w:tr>
      <w:tr>
        <w:trPr>
          <w:trHeight w:val="294" w:hRule="exact"/>
        </w:trPr>
        <w:tc>
          <w:tcPr>
            <w:tcW w:w="650" w:type="dxa"/>
            <w:tcBorders>
              <w:top w:val="nil"/>
              <w:left w:val="nil"/>
              <w:right w:val="nil"/>
            </w:tcBorders>
          </w:tcPr>
          <w:p>
            <w:pPr>
              <w:pStyle w:val="TableParagraph"/>
              <w:spacing w:before="27"/>
              <w:ind w:left="49" w:right="35"/>
              <w:jc w:val="center"/>
              <w:rPr>
                <w:sz w:val="22"/>
              </w:rPr>
            </w:pPr>
            <w:r>
              <w:rPr>
                <w:sz w:val="22"/>
              </w:rPr>
              <w:t>Sorgo</w:t>
            </w:r>
          </w:p>
        </w:tc>
        <w:tc>
          <w:tcPr>
            <w:tcW w:w="452" w:type="dxa"/>
            <w:tcBorders>
              <w:top w:val="nil"/>
              <w:left w:val="nil"/>
              <w:right w:val="nil"/>
            </w:tcBorders>
          </w:tcPr>
          <w:p>
            <w:pPr>
              <w:pStyle w:val="TableParagraph"/>
              <w:spacing w:before="27"/>
              <w:ind w:right="248"/>
              <w:rPr>
                <w:sz w:val="22"/>
              </w:rPr>
            </w:pPr>
            <w:r>
              <w:rPr>
                <w:w w:val="100"/>
                <w:sz w:val="22"/>
              </w:rPr>
              <w:t>R</w:t>
            </w:r>
          </w:p>
        </w:tc>
        <w:tc>
          <w:tcPr>
            <w:tcW w:w="933" w:type="dxa"/>
            <w:tcBorders>
              <w:top w:val="nil"/>
              <w:left w:val="nil"/>
              <w:right w:val="nil"/>
            </w:tcBorders>
          </w:tcPr>
          <w:p>
            <w:pPr>
              <w:pStyle w:val="TableParagraph"/>
              <w:spacing w:before="27"/>
              <w:ind w:left="163" w:right="234"/>
              <w:jc w:val="center"/>
              <w:rPr>
                <w:sz w:val="22"/>
              </w:rPr>
            </w:pPr>
            <w:r>
              <w:rPr>
                <w:sz w:val="22"/>
              </w:rPr>
              <w:t>63.24</w:t>
            </w:r>
          </w:p>
        </w:tc>
        <w:tc>
          <w:tcPr>
            <w:tcW w:w="1010" w:type="dxa"/>
            <w:tcBorders>
              <w:top w:val="nil"/>
              <w:left w:val="nil"/>
              <w:right w:val="nil"/>
            </w:tcBorders>
          </w:tcPr>
          <w:p>
            <w:pPr>
              <w:pStyle w:val="TableParagraph"/>
              <w:spacing w:before="27"/>
              <w:ind w:right="145"/>
              <w:rPr>
                <w:sz w:val="22"/>
              </w:rPr>
            </w:pPr>
            <w:r>
              <w:rPr>
                <w:sz w:val="22"/>
              </w:rPr>
              <w:t>64.85</w:t>
            </w:r>
          </w:p>
        </w:tc>
        <w:tc>
          <w:tcPr>
            <w:tcW w:w="868" w:type="dxa"/>
            <w:tcBorders>
              <w:top w:val="nil"/>
              <w:left w:val="nil"/>
              <w:right w:val="nil"/>
            </w:tcBorders>
          </w:tcPr>
          <w:p>
            <w:pPr>
              <w:pStyle w:val="TableParagraph"/>
              <w:spacing w:before="27"/>
              <w:ind w:left="147"/>
              <w:jc w:val="left"/>
              <w:rPr>
                <w:sz w:val="22"/>
              </w:rPr>
            </w:pPr>
            <w:r>
              <w:rPr>
                <w:sz w:val="22"/>
              </w:rPr>
              <w:t>-0.02</w:t>
            </w:r>
          </w:p>
        </w:tc>
        <w:tc>
          <w:tcPr>
            <w:tcW w:w="895" w:type="dxa"/>
            <w:tcBorders>
              <w:top w:val="nil"/>
              <w:left w:val="nil"/>
              <w:right w:val="nil"/>
            </w:tcBorders>
          </w:tcPr>
          <w:p>
            <w:pPr>
              <w:pStyle w:val="TableParagraph"/>
              <w:spacing w:before="27"/>
              <w:ind w:left="244" w:right="226"/>
              <w:jc w:val="center"/>
              <w:rPr>
                <w:sz w:val="22"/>
              </w:rPr>
            </w:pPr>
            <w:r>
              <w:rPr>
                <w:sz w:val="22"/>
              </w:rPr>
              <w:t>0.36</w:t>
            </w:r>
          </w:p>
        </w:tc>
        <w:tc>
          <w:tcPr>
            <w:tcW w:w="718" w:type="dxa"/>
            <w:tcBorders>
              <w:top w:val="nil"/>
              <w:left w:val="nil"/>
              <w:right w:val="nil"/>
            </w:tcBorders>
          </w:tcPr>
          <w:p>
            <w:pPr>
              <w:pStyle w:val="TableParagraph"/>
              <w:spacing w:before="27"/>
              <w:ind w:right="194"/>
              <w:rPr>
                <w:sz w:val="22"/>
              </w:rPr>
            </w:pPr>
            <w:r>
              <w:rPr>
                <w:sz w:val="22"/>
              </w:rPr>
              <w:t>0.0</w:t>
            </w:r>
          </w:p>
        </w:tc>
        <w:tc>
          <w:tcPr>
            <w:tcW w:w="668" w:type="dxa"/>
            <w:tcBorders>
              <w:top w:val="nil"/>
              <w:left w:val="nil"/>
              <w:right w:val="nil"/>
            </w:tcBorders>
          </w:tcPr>
          <w:p>
            <w:pPr>
              <w:pStyle w:val="TableParagraph"/>
              <w:spacing w:before="27"/>
              <w:ind w:left="177" w:right="176"/>
              <w:jc w:val="center"/>
              <w:rPr>
                <w:sz w:val="22"/>
              </w:rPr>
            </w:pPr>
            <w:r>
              <w:rPr>
                <w:sz w:val="22"/>
              </w:rPr>
              <w:t>0.0</w:t>
            </w:r>
          </w:p>
        </w:tc>
        <w:tc>
          <w:tcPr>
            <w:tcW w:w="646" w:type="dxa"/>
            <w:tcBorders>
              <w:top w:val="nil"/>
              <w:left w:val="nil"/>
              <w:right w:val="nil"/>
            </w:tcBorders>
          </w:tcPr>
          <w:p>
            <w:pPr>
              <w:pStyle w:val="TableParagraph"/>
              <w:spacing w:before="27"/>
              <w:ind w:left="175" w:right="154"/>
              <w:jc w:val="center"/>
              <w:rPr>
                <w:sz w:val="22"/>
              </w:rPr>
            </w:pPr>
            <w:r>
              <w:rPr>
                <w:sz w:val="22"/>
              </w:rPr>
              <w:t>0.0</w:t>
            </w:r>
          </w:p>
        </w:tc>
        <w:tc>
          <w:tcPr>
            <w:tcW w:w="678" w:type="dxa"/>
            <w:tcBorders>
              <w:top w:val="nil"/>
              <w:left w:val="nil"/>
              <w:right w:val="nil"/>
            </w:tcBorders>
          </w:tcPr>
          <w:p>
            <w:pPr>
              <w:pStyle w:val="TableParagraph"/>
              <w:spacing w:before="27"/>
              <w:ind w:left="152" w:right="135"/>
              <w:jc w:val="center"/>
              <w:rPr>
                <w:sz w:val="22"/>
              </w:rPr>
            </w:pPr>
            <w:r>
              <w:rPr>
                <w:sz w:val="22"/>
              </w:rPr>
              <w:t>0.0</w:t>
            </w:r>
          </w:p>
        </w:tc>
        <w:tc>
          <w:tcPr>
            <w:tcW w:w="661" w:type="dxa"/>
            <w:tcBorders>
              <w:top w:val="nil"/>
              <w:left w:val="nil"/>
              <w:right w:val="nil"/>
            </w:tcBorders>
          </w:tcPr>
          <w:p>
            <w:pPr>
              <w:pStyle w:val="TableParagraph"/>
              <w:spacing w:before="27"/>
              <w:ind w:left="194"/>
              <w:jc w:val="left"/>
              <w:rPr>
                <w:sz w:val="22"/>
              </w:rPr>
            </w:pPr>
            <w:r>
              <w:rPr>
                <w:sz w:val="22"/>
              </w:rPr>
              <w:t>0.0</w:t>
            </w:r>
          </w:p>
        </w:tc>
        <w:tc>
          <w:tcPr>
            <w:tcW w:w="661" w:type="dxa"/>
            <w:tcBorders>
              <w:top w:val="nil"/>
              <w:left w:val="nil"/>
              <w:right w:val="nil"/>
            </w:tcBorders>
          </w:tcPr>
          <w:p>
            <w:pPr>
              <w:pStyle w:val="TableParagraph"/>
              <w:spacing w:before="27"/>
              <w:ind w:left="193"/>
              <w:jc w:val="left"/>
              <w:rPr>
                <w:sz w:val="22"/>
              </w:rPr>
            </w:pPr>
            <w:r>
              <w:rPr>
                <w:sz w:val="22"/>
              </w:rPr>
              <w:t>1.0</w:t>
            </w:r>
          </w:p>
        </w:tc>
      </w:tr>
    </w:tbl>
    <w:p>
      <w:pPr>
        <w:spacing w:line="226" w:lineRule="exact" w:before="0"/>
        <w:ind w:left="122" w:right="8" w:firstLine="0"/>
        <w:jc w:val="left"/>
        <w:rPr>
          <w:sz w:val="20"/>
        </w:rPr>
      </w:pPr>
      <w:r>
        <w:rPr>
          <w:position w:val="7"/>
          <w:sz w:val="13"/>
        </w:rPr>
        <w:t>Ψ</w:t>
      </w:r>
      <w:r>
        <w:rPr>
          <w:sz w:val="20"/>
        </w:rPr>
        <w:t>Desviaciones correlacionadas; </w:t>
      </w:r>
      <w:r>
        <w:rPr>
          <w:position w:val="7"/>
          <w:sz w:val="13"/>
        </w:rPr>
        <w:t>ђ</w:t>
      </w:r>
      <w:r>
        <w:rPr>
          <w:sz w:val="20"/>
        </w:rPr>
        <w:t>Valor de entrada opcional reservado para la correlación de distribuciones  no</w:t>
      </w:r>
    </w:p>
    <w:p>
      <w:pPr>
        <w:spacing w:before="118"/>
        <w:ind w:left="122" w:right="8" w:firstLine="0"/>
        <w:jc w:val="left"/>
        <w:rPr>
          <w:sz w:val="20"/>
        </w:rPr>
      </w:pPr>
      <w:r>
        <w:rPr>
          <w:sz w:val="20"/>
        </w:rPr>
        <w:t>normales.</w:t>
      </w:r>
    </w:p>
    <w:p>
      <w:pPr>
        <w:pStyle w:val="BodyText"/>
        <w:rPr>
          <w:sz w:val="20"/>
        </w:rPr>
      </w:pPr>
    </w:p>
    <w:p>
      <w:pPr>
        <w:pStyle w:val="BodyText"/>
        <w:rPr>
          <w:sz w:val="20"/>
        </w:rPr>
      </w:pPr>
    </w:p>
    <w:p>
      <w:pPr>
        <w:pStyle w:val="BodyText"/>
        <w:rPr>
          <w:sz w:val="20"/>
        </w:rPr>
      </w:pPr>
    </w:p>
    <w:p>
      <w:pPr>
        <w:pStyle w:val="BodyText"/>
        <w:spacing w:before="5"/>
        <w:rPr>
          <w:sz w:val="16"/>
        </w:rPr>
      </w:pPr>
    </w:p>
    <w:p>
      <w:pPr>
        <w:spacing w:before="1"/>
        <w:ind w:left="191" w:right="8" w:firstLine="0"/>
        <w:jc w:val="left"/>
        <w:rPr>
          <w:sz w:val="24"/>
        </w:rPr>
      </w:pPr>
      <w:r>
        <w:rPr/>
        <w:pict>
          <v:group style="position:absolute;margin-left:84.003998pt;margin-top:14.233131pt;width:444.25pt;height:2.2pt;mso-position-horizontal-relative:page;mso-position-vertical-relative:paragraph;z-index:7600" coordorigin="1680,285" coordsize="8885,44">
            <v:line style="position:absolute" from="1702,307" to="2837,307" stroked="true" strokeweight="2.16pt" strokecolor="#000000"/>
            <v:line style="position:absolute" from="2837,307" to="2880,307" stroked="true" strokeweight="2.16pt" strokecolor="#000000"/>
            <v:line style="position:absolute" from="2880,307" to="3754,307" stroked="true" strokeweight="2.16pt" strokecolor="#000000"/>
            <v:line style="position:absolute" from="3754,307" to="3797,307" stroked="true" strokeweight="2.16pt" strokecolor="#000000"/>
            <v:line style="position:absolute" from="3797,307" to="4484,307" stroked="true" strokeweight="2.16pt" strokecolor="#000000"/>
            <v:line style="position:absolute" from="4484,307" to="4527,307" stroked="true" strokeweight="2.16pt" strokecolor="#000000"/>
            <v:line style="position:absolute" from="4527,307" to="5526,307" stroked="true" strokeweight="2.16pt" strokecolor="#000000"/>
            <v:line style="position:absolute" from="5526,307" to="5569,307" stroked="true" strokeweight="2.16pt" strokecolor="#000000"/>
            <v:line style="position:absolute" from="5569,307" to="6351,307" stroked="true" strokeweight="2.16pt" strokecolor="#000000"/>
            <v:line style="position:absolute" from="6351,307" to="6395,307" stroked="true" strokeweight="2.16pt" strokecolor="#000000"/>
            <v:line style="position:absolute" from="6395,307" to="9772,307" stroked="true" strokeweight="2.16pt" strokecolor="#000000"/>
            <v:line style="position:absolute" from="9772,307" to="9816,307" stroked="true" strokeweight="2.16pt" strokecolor="#000000"/>
            <v:line style="position:absolute" from="9816,307" to="10543,307" stroked="true" strokeweight="2.16pt" strokecolor="#000000"/>
            <w10:wrap type="none"/>
          </v:group>
        </w:pict>
      </w:r>
      <w:r>
        <w:rPr>
          <w:b/>
          <w:sz w:val="24"/>
        </w:rPr>
        <w:t>Anexo Tabla 2. </w:t>
      </w:r>
      <w:r>
        <w:rPr>
          <w:sz w:val="24"/>
        </w:rPr>
        <w:t>Continuación Paso 9. Simular la DME para un año</w:t>
      </w:r>
    </w:p>
    <w:p>
      <w:pPr>
        <w:spacing w:after="0"/>
        <w:jc w:val="left"/>
        <w:rPr>
          <w:sz w:val="24"/>
        </w:rPr>
        <w:sectPr>
          <w:type w:val="continuous"/>
          <w:pgSz w:w="12240" w:h="15840"/>
          <w:pgMar w:top="1360" w:bottom="280" w:left="1580" w:right="1560"/>
        </w:sectPr>
      </w:pPr>
    </w:p>
    <w:p>
      <w:pPr>
        <w:pStyle w:val="BodyText"/>
        <w:spacing w:before="1"/>
        <w:rPr>
          <w:sz w:val="20"/>
        </w:rPr>
      </w:pPr>
    </w:p>
    <w:p>
      <w:pPr>
        <w:spacing w:before="0"/>
        <w:ind w:left="191" w:right="-19" w:firstLine="0"/>
        <w:jc w:val="left"/>
        <w:rPr>
          <w:sz w:val="20"/>
        </w:rPr>
      </w:pPr>
      <w:r>
        <w:rPr>
          <w:w w:val="95"/>
          <w:sz w:val="20"/>
        </w:rPr>
        <w:t>Nombre</w:t>
      </w:r>
    </w:p>
    <w:p>
      <w:pPr>
        <w:spacing w:line="278" w:lineRule="auto" w:before="80"/>
        <w:ind w:left="191" w:right="0" w:firstLine="0"/>
        <w:jc w:val="left"/>
        <w:rPr>
          <w:sz w:val="20"/>
        </w:rPr>
      </w:pPr>
      <w:r>
        <w:rPr/>
        <w:br w:type="column"/>
      </w:r>
      <w:r>
        <w:rPr>
          <w:sz w:val="20"/>
        </w:rPr>
        <w:t>Valores </w:t>
      </w:r>
      <w:r>
        <w:rPr>
          <w:w w:val="95"/>
          <w:sz w:val="20"/>
        </w:rPr>
        <w:t>aleatorios</w:t>
      </w:r>
    </w:p>
    <w:p>
      <w:pPr>
        <w:pStyle w:val="BodyText"/>
        <w:spacing w:before="1"/>
        <w:rPr>
          <w:sz w:val="20"/>
        </w:rPr>
      </w:pPr>
      <w:r>
        <w:rPr/>
        <w:br w:type="column"/>
      </w:r>
      <w:r>
        <w:rPr>
          <w:sz w:val="20"/>
        </w:rPr>
      </w:r>
    </w:p>
    <w:p>
      <w:pPr>
        <w:spacing w:before="0"/>
        <w:ind w:left="101" w:right="0" w:firstLine="0"/>
        <w:jc w:val="left"/>
        <w:rPr>
          <w:sz w:val="20"/>
        </w:rPr>
      </w:pPr>
      <w:r>
        <w:rPr>
          <w:w w:val="95"/>
          <w:sz w:val="20"/>
        </w:rPr>
        <w:t>Medias</w:t>
      </w:r>
    </w:p>
    <w:p>
      <w:pPr>
        <w:spacing w:before="80"/>
        <w:ind w:left="102" w:right="-12" w:firstLine="0"/>
        <w:jc w:val="left"/>
        <w:rPr>
          <w:sz w:val="20"/>
        </w:rPr>
      </w:pPr>
      <w:r>
        <w:rPr/>
        <w:br w:type="column"/>
      </w:r>
      <w:r>
        <w:rPr>
          <w:sz w:val="20"/>
        </w:rPr>
        <w:t>Des</w:t>
      </w:r>
    </w:p>
    <w:p>
      <w:pPr>
        <w:spacing w:before="31"/>
        <w:ind w:left="142" w:right="-12" w:firstLine="0"/>
        <w:jc w:val="left"/>
        <w:rPr>
          <w:sz w:val="14"/>
        </w:rPr>
      </w:pPr>
      <w:r>
        <w:rPr>
          <w:sz w:val="20"/>
        </w:rPr>
        <w:t>Corr (%)</w:t>
      </w:r>
      <w:r>
        <w:rPr>
          <w:position w:val="8"/>
          <w:sz w:val="14"/>
        </w:rPr>
        <w:t>Ψ     </w:t>
      </w:r>
      <w:r>
        <w:rPr>
          <w:sz w:val="20"/>
        </w:rPr>
        <w:t>CUSDs</w:t>
      </w:r>
      <w:r>
        <w:rPr>
          <w:position w:val="8"/>
          <w:sz w:val="14"/>
        </w:rPr>
        <w:t>ђ</w:t>
      </w:r>
    </w:p>
    <w:p>
      <w:pPr>
        <w:pStyle w:val="BodyText"/>
        <w:spacing w:before="8"/>
        <w:rPr>
          <w:sz w:val="19"/>
        </w:rPr>
      </w:pPr>
      <w:r>
        <w:rPr/>
        <w:br w:type="column"/>
      </w:r>
      <w:r>
        <w:rPr>
          <w:sz w:val="19"/>
        </w:rPr>
      </w:r>
    </w:p>
    <w:p>
      <w:pPr>
        <w:tabs>
          <w:tab w:pos="2916" w:val="left" w:leader="none"/>
        </w:tabs>
        <w:spacing w:before="0"/>
        <w:ind w:left="191" w:right="0" w:firstLine="0"/>
        <w:jc w:val="left"/>
        <w:rPr>
          <w:sz w:val="13"/>
        </w:rPr>
      </w:pPr>
      <w:r>
        <w:rPr>
          <w:sz w:val="20"/>
        </w:rPr>
        <w:t>Matriz</w:t>
      </w:r>
      <w:r>
        <w:rPr>
          <w:spacing w:val="-2"/>
          <w:sz w:val="20"/>
        </w:rPr>
        <w:t> </w:t>
      </w:r>
      <w:r>
        <w:rPr>
          <w:sz w:val="20"/>
        </w:rPr>
        <w:t>de</w:t>
      </w:r>
      <w:r>
        <w:rPr>
          <w:spacing w:val="-2"/>
          <w:sz w:val="20"/>
        </w:rPr>
        <w:t> </w:t>
      </w:r>
      <w:r>
        <w:rPr>
          <w:sz w:val="20"/>
        </w:rPr>
        <w:t>correlaciones</w:t>
        <w:tab/>
        <w:t>ISNDs</w:t>
      </w:r>
      <w:r>
        <w:rPr>
          <w:position w:val="7"/>
          <w:sz w:val="13"/>
        </w:rPr>
        <w:t>ф</w:t>
      </w:r>
    </w:p>
    <w:p>
      <w:pPr>
        <w:spacing w:after="0"/>
        <w:jc w:val="left"/>
        <w:rPr>
          <w:sz w:val="13"/>
        </w:rPr>
        <w:sectPr>
          <w:type w:val="continuous"/>
          <w:pgSz w:w="12240" w:h="15840"/>
          <w:pgMar w:top="1360" w:bottom="280" w:left="1580" w:right="1560"/>
          <w:cols w:num="5" w:equalWidth="0">
            <w:col w:w="846" w:space="286"/>
            <w:col w:w="969" w:space="40"/>
            <w:col w:w="690" w:space="40"/>
            <w:col w:w="1824" w:space="651"/>
            <w:col w:w="3754"/>
          </w:cols>
        </w:sectPr>
      </w:pPr>
    </w:p>
    <w:p>
      <w:pPr>
        <w:pStyle w:val="BodyText"/>
        <w:spacing w:before="1"/>
        <w:rPr>
          <w:sz w:val="4"/>
        </w:rPr>
      </w:pPr>
    </w:p>
    <w:tbl>
      <w:tblPr>
        <w:tblW w:w="0" w:type="auto"/>
        <w:jc w:val="left"/>
        <w:tblInd w:w="1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650"/>
        <w:gridCol w:w="412"/>
        <w:gridCol w:w="871"/>
        <w:gridCol w:w="891"/>
        <w:gridCol w:w="876"/>
        <w:gridCol w:w="868"/>
        <w:gridCol w:w="634"/>
        <w:gridCol w:w="635"/>
        <w:gridCol w:w="652"/>
        <w:gridCol w:w="613"/>
        <w:gridCol w:w="505"/>
        <w:gridCol w:w="568"/>
        <w:gridCol w:w="666"/>
      </w:tblGrid>
      <w:tr>
        <w:trPr>
          <w:trHeight w:val="352" w:hRule="exact"/>
        </w:trPr>
        <w:tc>
          <w:tcPr>
            <w:tcW w:w="650" w:type="dxa"/>
            <w:tcBorders>
              <w:left w:val="nil"/>
              <w:bottom w:val="nil"/>
              <w:right w:val="nil"/>
            </w:tcBorders>
          </w:tcPr>
          <w:p>
            <w:pPr>
              <w:pStyle w:val="TableParagraph"/>
              <w:spacing w:before="57"/>
              <w:ind w:left="17" w:right="70"/>
              <w:jc w:val="center"/>
              <w:rPr>
                <w:sz w:val="22"/>
              </w:rPr>
            </w:pPr>
            <w:r>
              <w:rPr>
                <w:sz w:val="22"/>
              </w:rPr>
              <w:t>Maíz</w:t>
            </w:r>
          </w:p>
        </w:tc>
        <w:tc>
          <w:tcPr>
            <w:tcW w:w="412" w:type="dxa"/>
            <w:tcBorders>
              <w:left w:val="nil"/>
              <w:bottom w:val="nil"/>
              <w:right w:val="nil"/>
            </w:tcBorders>
          </w:tcPr>
          <w:p>
            <w:pPr>
              <w:pStyle w:val="TableParagraph"/>
              <w:spacing w:before="57"/>
              <w:ind w:right="138"/>
              <w:rPr>
                <w:sz w:val="22"/>
              </w:rPr>
            </w:pPr>
            <w:r>
              <w:rPr>
                <w:w w:val="100"/>
                <w:sz w:val="22"/>
              </w:rPr>
              <w:t>P</w:t>
            </w:r>
          </w:p>
        </w:tc>
        <w:tc>
          <w:tcPr>
            <w:tcW w:w="871" w:type="dxa"/>
            <w:tcBorders>
              <w:left w:val="nil"/>
              <w:bottom w:val="nil"/>
              <w:right w:val="nil"/>
            </w:tcBorders>
          </w:tcPr>
          <w:p>
            <w:pPr>
              <w:pStyle w:val="TableParagraph"/>
              <w:spacing w:before="80"/>
              <w:ind w:left="140"/>
              <w:jc w:val="left"/>
              <w:rPr>
                <w:sz w:val="20"/>
              </w:rPr>
            </w:pPr>
            <w:r>
              <w:rPr>
                <w:sz w:val="20"/>
              </w:rPr>
              <w:t>2.37</w:t>
            </w:r>
          </w:p>
        </w:tc>
        <w:tc>
          <w:tcPr>
            <w:tcW w:w="891" w:type="dxa"/>
            <w:tcBorders>
              <w:left w:val="nil"/>
              <w:bottom w:val="nil"/>
              <w:right w:val="nil"/>
            </w:tcBorders>
          </w:tcPr>
          <w:p>
            <w:pPr>
              <w:pStyle w:val="TableParagraph"/>
              <w:spacing w:before="80"/>
              <w:ind w:left="181"/>
              <w:jc w:val="left"/>
              <w:rPr>
                <w:sz w:val="20"/>
              </w:rPr>
            </w:pPr>
            <w:r>
              <w:rPr>
                <w:sz w:val="20"/>
              </w:rPr>
              <w:t>2.32</w:t>
            </w:r>
          </w:p>
        </w:tc>
        <w:tc>
          <w:tcPr>
            <w:tcW w:w="876" w:type="dxa"/>
            <w:tcBorders>
              <w:left w:val="nil"/>
              <w:bottom w:val="nil"/>
              <w:right w:val="nil"/>
            </w:tcBorders>
          </w:tcPr>
          <w:p>
            <w:pPr>
              <w:pStyle w:val="TableParagraph"/>
              <w:spacing w:before="80"/>
              <w:ind w:left="159"/>
              <w:jc w:val="left"/>
              <w:rPr>
                <w:sz w:val="20"/>
              </w:rPr>
            </w:pPr>
            <w:r>
              <w:rPr>
                <w:sz w:val="20"/>
              </w:rPr>
              <w:t>0.01</w:t>
            </w:r>
          </w:p>
        </w:tc>
        <w:tc>
          <w:tcPr>
            <w:tcW w:w="868" w:type="dxa"/>
            <w:tcBorders>
              <w:left w:val="nil"/>
              <w:bottom w:val="nil"/>
              <w:right w:val="nil"/>
            </w:tcBorders>
          </w:tcPr>
          <w:p>
            <w:pPr>
              <w:pStyle w:val="TableParagraph"/>
              <w:spacing w:before="80"/>
              <w:ind w:right="213"/>
              <w:rPr>
                <w:sz w:val="20"/>
              </w:rPr>
            </w:pPr>
            <w:r>
              <w:rPr>
                <w:sz w:val="20"/>
              </w:rPr>
              <w:t>0.56</w:t>
            </w:r>
          </w:p>
        </w:tc>
        <w:tc>
          <w:tcPr>
            <w:tcW w:w="634" w:type="dxa"/>
            <w:tcBorders>
              <w:left w:val="nil"/>
              <w:bottom w:val="nil"/>
              <w:right w:val="nil"/>
            </w:tcBorders>
          </w:tcPr>
          <w:p>
            <w:pPr>
              <w:pStyle w:val="TableParagraph"/>
              <w:spacing w:before="80"/>
              <w:ind w:right="166"/>
              <w:rPr>
                <w:sz w:val="20"/>
              </w:rPr>
            </w:pPr>
            <w:r>
              <w:rPr>
                <w:sz w:val="20"/>
              </w:rPr>
              <w:t>1.0</w:t>
            </w:r>
          </w:p>
        </w:tc>
        <w:tc>
          <w:tcPr>
            <w:tcW w:w="635" w:type="dxa"/>
            <w:tcBorders>
              <w:left w:val="nil"/>
              <w:bottom w:val="nil"/>
              <w:right w:val="nil"/>
            </w:tcBorders>
          </w:tcPr>
          <w:p>
            <w:pPr>
              <w:pStyle w:val="TableParagraph"/>
              <w:spacing w:before="80"/>
              <w:ind w:left="148" w:right="196"/>
              <w:jc w:val="center"/>
              <w:rPr>
                <w:sz w:val="20"/>
              </w:rPr>
            </w:pPr>
            <w:r>
              <w:rPr>
                <w:sz w:val="20"/>
              </w:rPr>
              <w:t>0.8</w:t>
            </w:r>
          </w:p>
        </w:tc>
        <w:tc>
          <w:tcPr>
            <w:tcW w:w="652" w:type="dxa"/>
            <w:tcBorders>
              <w:left w:val="nil"/>
              <w:bottom w:val="nil"/>
              <w:right w:val="nil"/>
            </w:tcBorders>
          </w:tcPr>
          <w:p>
            <w:pPr>
              <w:pStyle w:val="TableParagraph"/>
              <w:spacing w:before="80"/>
              <w:ind w:right="181"/>
              <w:rPr>
                <w:sz w:val="20"/>
              </w:rPr>
            </w:pPr>
            <w:r>
              <w:rPr>
                <w:sz w:val="20"/>
              </w:rPr>
              <w:t>0.9</w:t>
            </w:r>
          </w:p>
        </w:tc>
        <w:tc>
          <w:tcPr>
            <w:tcW w:w="613" w:type="dxa"/>
            <w:tcBorders>
              <w:left w:val="nil"/>
              <w:bottom w:val="nil"/>
              <w:right w:val="nil"/>
            </w:tcBorders>
          </w:tcPr>
          <w:p>
            <w:pPr>
              <w:pStyle w:val="TableParagraph"/>
              <w:spacing w:before="80"/>
              <w:ind w:right="112"/>
              <w:rPr>
                <w:sz w:val="20"/>
              </w:rPr>
            </w:pPr>
            <w:r>
              <w:rPr>
                <w:sz w:val="20"/>
              </w:rPr>
              <w:t>-0.2</w:t>
            </w:r>
          </w:p>
        </w:tc>
        <w:tc>
          <w:tcPr>
            <w:tcW w:w="505" w:type="dxa"/>
            <w:tcBorders>
              <w:left w:val="nil"/>
              <w:bottom w:val="nil"/>
              <w:right w:val="nil"/>
            </w:tcBorders>
          </w:tcPr>
          <w:p>
            <w:pPr>
              <w:pStyle w:val="TableParagraph"/>
              <w:spacing w:before="80"/>
              <w:ind w:left="89" w:right="54"/>
              <w:jc w:val="center"/>
              <w:rPr>
                <w:sz w:val="20"/>
              </w:rPr>
            </w:pPr>
            <w:r>
              <w:rPr>
                <w:sz w:val="20"/>
              </w:rPr>
              <w:t>-0.1</w:t>
            </w:r>
          </w:p>
        </w:tc>
        <w:tc>
          <w:tcPr>
            <w:tcW w:w="568" w:type="dxa"/>
            <w:tcBorders>
              <w:left w:val="nil"/>
              <w:bottom w:val="nil"/>
              <w:right w:val="nil"/>
            </w:tcBorders>
          </w:tcPr>
          <w:p>
            <w:pPr>
              <w:pStyle w:val="TableParagraph"/>
              <w:spacing w:before="80"/>
              <w:ind w:right="176"/>
              <w:rPr>
                <w:sz w:val="20"/>
              </w:rPr>
            </w:pPr>
            <w:r>
              <w:rPr>
                <w:sz w:val="20"/>
              </w:rPr>
              <w:t>-0.5</w:t>
            </w:r>
          </w:p>
        </w:tc>
        <w:tc>
          <w:tcPr>
            <w:tcW w:w="666" w:type="dxa"/>
            <w:tcBorders>
              <w:left w:val="nil"/>
              <w:bottom w:val="nil"/>
              <w:right w:val="nil"/>
            </w:tcBorders>
          </w:tcPr>
          <w:p>
            <w:pPr>
              <w:pStyle w:val="TableParagraph"/>
              <w:spacing w:before="80"/>
              <w:ind w:right="71"/>
              <w:rPr>
                <w:sz w:val="20"/>
              </w:rPr>
            </w:pPr>
            <w:r>
              <w:rPr>
                <w:w w:val="95"/>
                <w:sz w:val="20"/>
              </w:rPr>
              <w:t>-0.48</w:t>
            </w:r>
          </w:p>
        </w:tc>
      </w:tr>
      <w:tr>
        <w:trPr>
          <w:trHeight w:val="300" w:hRule="exact"/>
        </w:trPr>
        <w:tc>
          <w:tcPr>
            <w:tcW w:w="650" w:type="dxa"/>
            <w:tcBorders>
              <w:top w:val="nil"/>
              <w:left w:val="nil"/>
              <w:bottom w:val="nil"/>
              <w:right w:val="nil"/>
            </w:tcBorders>
          </w:tcPr>
          <w:p>
            <w:pPr>
              <w:pStyle w:val="TableParagraph"/>
              <w:spacing w:before="27"/>
              <w:ind w:left="49" w:right="68"/>
              <w:jc w:val="center"/>
              <w:rPr>
                <w:sz w:val="22"/>
              </w:rPr>
            </w:pPr>
            <w:r>
              <w:rPr>
                <w:sz w:val="22"/>
              </w:rPr>
              <w:t>Trigo</w:t>
            </w:r>
          </w:p>
        </w:tc>
        <w:tc>
          <w:tcPr>
            <w:tcW w:w="412" w:type="dxa"/>
            <w:tcBorders>
              <w:top w:val="nil"/>
              <w:left w:val="nil"/>
              <w:bottom w:val="nil"/>
              <w:right w:val="nil"/>
            </w:tcBorders>
          </w:tcPr>
          <w:p>
            <w:pPr>
              <w:pStyle w:val="TableParagraph"/>
              <w:spacing w:before="27"/>
              <w:ind w:right="157"/>
              <w:rPr>
                <w:sz w:val="22"/>
              </w:rPr>
            </w:pPr>
            <w:r>
              <w:rPr>
                <w:w w:val="100"/>
                <w:sz w:val="22"/>
              </w:rPr>
              <w:t>P</w:t>
            </w:r>
          </w:p>
        </w:tc>
        <w:tc>
          <w:tcPr>
            <w:tcW w:w="871" w:type="dxa"/>
            <w:tcBorders>
              <w:top w:val="nil"/>
              <w:left w:val="nil"/>
              <w:bottom w:val="nil"/>
              <w:right w:val="nil"/>
            </w:tcBorders>
          </w:tcPr>
          <w:p>
            <w:pPr>
              <w:pStyle w:val="TableParagraph"/>
              <w:spacing w:before="50"/>
              <w:ind w:left="140"/>
              <w:jc w:val="left"/>
              <w:rPr>
                <w:sz w:val="20"/>
              </w:rPr>
            </w:pPr>
            <w:r>
              <w:rPr>
                <w:sz w:val="20"/>
              </w:rPr>
              <w:t>3.85</w:t>
            </w:r>
          </w:p>
        </w:tc>
        <w:tc>
          <w:tcPr>
            <w:tcW w:w="891" w:type="dxa"/>
            <w:tcBorders>
              <w:top w:val="nil"/>
              <w:left w:val="nil"/>
              <w:bottom w:val="nil"/>
              <w:right w:val="nil"/>
            </w:tcBorders>
          </w:tcPr>
          <w:p>
            <w:pPr>
              <w:pStyle w:val="TableParagraph"/>
              <w:spacing w:before="50"/>
              <w:ind w:left="181"/>
              <w:jc w:val="left"/>
              <w:rPr>
                <w:sz w:val="20"/>
              </w:rPr>
            </w:pPr>
            <w:r>
              <w:rPr>
                <w:sz w:val="20"/>
              </w:rPr>
              <w:t>3.29</w:t>
            </w:r>
          </w:p>
        </w:tc>
        <w:tc>
          <w:tcPr>
            <w:tcW w:w="876" w:type="dxa"/>
            <w:tcBorders>
              <w:top w:val="nil"/>
              <w:left w:val="nil"/>
              <w:bottom w:val="nil"/>
              <w:right w:val="nil"/>
            </w:tcBorders>
          </w:tcPr>
          <w:p>
            <w:pPr>
              <w:pStyle w:val="TableParagraph"/>
              <w:spacing w:before="50"/>
              <w:ind w:left="159"/>
              <w:jc w:val="left"/>
              <w:rPr>
                <w:sz w:val="20"/>
              </w:rPr>
            </w:pPr>
            <w:r>
              <w:rPr>
                <w:sz w:val="20"/>
              </w:rPr>
              <w:t>0.16</w:t>
            </w:r>
          </w:p>
        </w:tc>
        <w:tc>
          <w:tcPr>
            <w:tcW w:w="868" w:type="dxa"/>
            <w:tcBorders>
              <w:top w:val="nil"/>
              <w:left w:val="nil"/>
              <w:bottom w:val="nil"/>
              <w:right w:val="nil"/>
            </w:tcBorders>
          </w:tcPr>
          <w:p>
            <w:pPr>
              <w:pStyle w:val="TableParagraph"/>
              <w:spacing w:before="50"/>
              <w:ind w:right="213"/>
              <w:rPr>
                <w:sz w:val="20"/>
              </w:rPr>
            </w:pPr>
            <w:r>
              <w:rPr>
                <w:sz w:val="20"/>
              </w:rPr>
              <w:t>0.82</w:t>
            </w:r>
          </w:p>
        </w:tc>
        <w:tc>
          <w:tcPr>
            <w:tcW w:w="634" w:type="dxa"/>
            <w:tcBorders>
              <w:top w:val="nil"/>
              <w:left w:val="nil"/>
              <w:bottom w:val="nil"/>
              <w:right w:val="nil"/>
            </w:tcBorders>
          </w:tcPr>
          <w:p>
            <w:pPr>
              <w:pStyle w:val="TableParagraph"/>
              <w:spacing w:before="50"/>
              <w:ind w:right="165"/>
              <w:rPr>
                <w:sz w:val="20"/>
              </w:rPr>
            </w:pPr>
            <w:r>
              <w:rPr>
                <w:sz w:val="20"/>
              </w:rPr>
              <w:t>0.0</w:t>
            </w:r>
          </w:p>
        </w:tc>
        <w:tc>
          <w:tcPr>
            <w:tcW w:w="635" w:type="dxa"/>
            <w:tcBorders>
              <w:top w:val="nil"/>
              <w:left w:val="nil"/>
              <w:bottom w:val="nil"/>
              <w:right w:val="nil"/>
            </w:tcBorders>
          </w:tcPr>
          <w:p>
            <w:pPr>
              <w:pStyle w:val="TableParagraph"/>
              <w:spacing w:before="50"/>
              <w:ind w:left="148" w:right="196"/>
              <w:jc w:val="center"/>
              <w:rPr>
                <w:sz w:val="20"/>
              </w:rPr>
            </w:pPr>
            <w:r>
              <w:rPr>
                <w:sz w:val="20"/>
              </w:rPr>
              <w:t>1.0</w:t>
            </w:r>
          </w:p>
        </w:tc>
        <w:tc>
          <w:tcPr>
            <w:tcW w:w="652" w:type="dxa"/>
            <w:tcBorders>
              <w:top w:val="nil"/>
              <w:left w:val="nil"/>
              <w:bottom w:val="nil"/>
              <w:right w:val="nil"/>
            </w:tcBorders>
          </w:tcPr>
          <w:p>
            <w:pPr>
              <w:pStyle w:val="TableParagraph"/>
              <w:spacing w:before="50"/>
              <w:ind w:right="181"/>
              <w:rPr>
                <w:sz w:val="20"/>
              </w:rPr>
            </w:pPr>
            <w:r>
              <w:rPr>
                <w:sz w:val="20"/>
              </w:rPr>
              <w:t>0.8</w:t>
            </w:r>
          </w:p>
        </w:tc>
        <w:tc>
          <w:tcPr>
            <w:tcW w:w="613" w:type="dxa"/>
            <w:tcBorders>
              <w:top w:val="nil"/>
              <w:left w:val="nil"/>
              <w:bottom w:val="nil"/>
              <w:right w:val="nil"/>
            </w:tcBorders>
          </w:tcPr>
          <w:p>
            <w:pPr>
              <w:pStyle w:val="TableParagraph"/>
              <w:spacing w:before="50"/>
              <w:ind w:right="112"/>
              <w:rPr>
                <w:sz w:val="20"/>
              </w:rPr>
            </w:pPr>
            <w:r>
              <w:rPr>
                <w:sz w:val="20"/>
              </w:rPr>
              <w:t>-0.1</w:t>
            </w:r>
          </w:p>
        </w:tc>
        <w:tc>
          <w:tcPr>
            <w:tcW w:w="505" w:type="dxa"/>
            <w:tcBorders>
              <w:top w:val="nil"/>
              <w:left w:val="nil"/>
              <w:bottom w:val="nil"/>
              <w:right w:val="nil"/>
            </w:tcBorders>
          </w:tcPr>
          <w:p>
            <w:pPr>
              <w:pStyle w:val="TableParagraph"/>
              <w:spacing w:before="50"/>
              <w:ind w:left="89" w:right="54"/>
              <w:jc w:val="center"/>
              <w:rPr>
                <w:sz w:val="20"/>
              </w:rPr>
            </w:pPr>
            <w:r>
              <w:rPr>
                <w:sz w:val="20"/>
              </w:rPr>
              <w:t>-0.3</w:t>
            </w:r>
          </w:p>
        </w:tc>
        <w:tc>
          <w:tcPr>
            <w:tcW w:w="568" w:type="dxa"/>
            <w:tcBorders>
              <w:top w:val="nil"/>
              <w:left w:val="nil"/>
              <w:bottom w:val="nil"/>
              <w:right w:val="nil"/>
            </w:tcBorders>
          </w:tcPr>
          <w:p>
            <w:pPr>
              <w:pStyle w:val="TableParagraph"/>
              <w:spacing w:before="50"/>
              <w:ind w:right="176"/>
              <w:rPr>
                <w:sz w:val="20"/>
              </w:rPr>
            </w:pPr>
            <w:r>
              <w:rPr>
                <w:sz w:val="20"/>
              </w:rPr>
              <w:t>-0.3</w:t>
            </w:r>
          </w:p>
        </w:tc>
        <w:tc>
          <w:tcPr>
            <w:tcW w:w="666" w:type="dxa"/>
            <w:tcBorders>
              <w:top w:val="nil"/>
              <w:left w:val="nil"/>
              <w:bottom w:val="nil"/>
              <w:right w:val="nil"/>
            </w:tcBorders>
          </w:tcPr>
          <w:p>
            <w:pPr>
              <w:pStyle w:val="TableParagraph"/>
              <w:spacing w:before="50"/>
              <w:ind w:right="69"/>
              <w:rPr>
                <w:sz w:val="20"/>
              </w:rPr>
            </w:pPr>
            <w:r>
              <w:rPr>
                <w:sz w:val="20"/>
              </w:rPr>
              <w:t>0.66</w:t>
            </w:r>
          </w:p>
        </w:tc>
      </w:tr>
      <w:tr>
        <w:trPr>
          <w:trHeight w:val="300" w:hRule="exact"/>
        </w:trPr>
        <w:tc>
          <w:tcPr>
            <w:tcW w:w="650" w:type="dxa"/>
            <w:tcBorders>
              <w:top w:val="nil"/>
              <w:left w:val="nil"/>
              <w:bottom w:val="nil"/>
              <w:right w:val="nil"/>
            </w:tcBorders>
          </w:tcPr>
          <w:p>
            <w:pPr>
              <w:pStyle w:val="TableParagraph"/>
              <w:spacing w:before="27"/>
              <w:ind w:left="49" w:right="35"/>
              <w:jc w:val="center"/>
              <w:rPr>
                <w:sz w:val="22"/>
              </w:rPr>
            </w:pPr>
            <w:r>
              <w:rPr>
                <w:sz w:val="22"/>
              </w:rPr>
              <w:t>Sorgo</w:t>
            </w:r>
          </w:p>
        </w:tc>
        <w:tc>
          <w:tcPr>
            <w:tcW w:w="412" w:type="dxa"/>
            <w:tcBorders>
              <w:top w:val="nil"/>
              <w:left w:val="nil"/>
              <w:bottom w:val="nil"/>
              <w:right w:val="nil"/>
            </w:tcBorders>
          </w:tcPr>
          <w:p>
            <w:pPr>
              <w:pStyle w:val="TableParagraph"/>
              <w:spacing w:before="27"/>
              <w:ind w:right="176"/>
              <w:rPr>
                <w:sz w:val="22"/>
              </w:rPr>
            </w:pPr>
            <w:r>
              <w:rPr>
                <w:w w:val="100"/>
                <w:sz w:val="22"/>
              </w:rPr>
              <w:t>P</w:t>
            </w:r>
          </w:p>
        </w:tc>
        <w:tc>
          <w:tcPr>
            <w:tcW w:w="871" w:type="dxa"/>
            <w:tcBorders>
              <w:top w:val="nil"/>
              <w:left w:val="nil"/>
              <w:bottom w:val="nil"/>
              <w:right w:val="nil"/>
            </w:tcBorders>
          </w:tcPr>
          <w:p>
            <w:pPr>
              <w:pStyle w:val="TableParagraph"/>
              <w:spacing w:before="50"/>
              <w:ind w:left="140"/>
              <w:jc w:val="left"/>
              <w:rPr>
                <w:sz w:val="20"/>
              </w:rPr>
            </w:pPr>
            <w:r>
              <w:rPr>
                <w:sz w:val="20"/>
              </w:rPr>
              <w:t>2.16</w:t>
            </w:r>
          </w:p>
        </w:tc>
        <w:tc>
          <w:tcPr>
            <w:tcW w:w="891" w:type="dxa"/>
            <w:tcBorders>
              <w:top w:val="nil"/>
              <w:left w:val="nil"/>
              <w:bottom w:val="nil"/>
              <w:right w:val="nil"/>
            </w:tcBorders>
          </w:tcPr>
          <w:p>
            <w:pPr>
              <w:pStyle w:val="TableParagraph"/>
              <w:spacing w:before="50"/>
              <w:ind w:left="181"/>
              <w:jc w:val="left"/>
              <w:rPr>
                <w:sz w:val="20"/>
              </w:rPr>
            </w:pPr>
            <w:r>
              <w:rPr>
                <w:sz w:val="20"/>
              </w:rPr>
              <w:t>2.12</w:t>
            </w:r>
          </w:p>
        </w:tc>
        <w:tc>
          <w:tcPr>
            <w:tcW w:w="876" w:type="dxa"/>
            <w:tcBorders>
              <w:top w:val="nil"/>
              <w:left w:val="nil"/>
              <w:bottom w:val="nil"/>
              <w:right w:val="nil"/>
            </w:tcBorders>
          </w:tcPr>
          <w:p>
            <w:pPr>
              <w:pStyle w:val="TableParagraph"/>
              <w:spacing w:before="50"/>
              <w:ind w:left="159"/>
              <w:jc w:val="left"/>
              <w:rPr>
                <w:sz w:val="20"/>
              </w:rPr>
            </w:pPr>
            <w:r>
              <w:rPr>
                <w:sz w:val="20"/>
              </w:rPr>
              <w:t>0.01</w:t>
            </w:r>
          </w:p>
        </w:tc>
        <w:tc>
          <w:tcPr>
            <w:tcW w:w="868" w:type="dxa"/>
            <w:tcBorders>
              <w:top w:val="nil"/>
              <w:left w:val="nil"/>
              <w:bottom w:val="nil"/>
              <w:right w:val="nil"/>
            </w:tcBorders>
          </w:tcPr>
          <w:p>
            <w:pPr>
              <w:pStyle w:val="TableParagraph"/>
              <w:spacing w:before="50"/>
              <w:ind w:right="213"/>
              <w:rPr>
                <w:sz w:val="20"/>
              </w:rPr>
            </w:pPr>
            <w:r>
              <w:rPr>
                <w:sz w:val="20"/>
              </w:rPr>
              <w:t>0.53</w:t>
            </w:r>
          </w:p>
        </w:tc>
        <w:tc>
          <w:tcPr>
            <w:tcW w:w="634" w:type="dxa"/>
            <w:tcBorders>
              <w:top w:val="nil"/>
              <w:left w:val="nil"/>
              <w:bottom w:val="nil"/>
              <w:right w:val="nil"/>
            </w:tcBorders>
          </w:tcPr>
          <w:p>
            <w:pPr>
              <w:pStyle w:val="TableParagraph"/>
              <w:spacing w:before="50"/>
              <w:ind w:right="166"/>
              <w:rPr>
                <w:sz w:val="20"/>
              </w:rPr>
            </w:pPr>
            <w:r>
              <w:rPr>
                <w:sz w:val="20"/>
              </w:rPr>
              <w:t>0.0</w:t>
            </w:r>
          </w:p>
        </w:tc>
        <w:tc>
          <w:tcPr>
            <w:tcW w:w="635" w:type="dxa"/>
            <w:tcBorders>
              <w:top w:val="nil"/>
              <w:left w:val="nil"/>
              <w:bottom w:val="nil"/>
              <w:right w:val="nil"/>
            </w:tcBorders>
          </w:tcPr>
          <w:p>
            <w:pPr>
              <w:pStyle w:val="TableParagraph"/>
              <w:spacing w:before="50"/>
              <w:ind w:left="148" w:right="196"/>
              <w:jc w:val="center"/>
              <w:rPr>
                <w:sz w:val="20"/>
              </w:rPr>
            </w:pPr>
            <w:r>
              <w:rPr>
                <w:sz w:val="20"/>
              </w:rPr>
              <w:t>0.0</w:t>
            </w:r>
          </w:p>
        </w:tc>
        <w:tc>
          <w:tcPr>
            <w:tcW w:w="652" w:type="dxa"/>
            <w:tcBorders>
              <w:top w:val="nil"/>
              <w:left w:val="nil"/>
              <w:bottom w:val="nil"/>
              <w:right w:val="nil"/>
            </w:tcBorders>
          </w:tcPr>
          <w:p>
            <w:pPr>
              <w:pStyle w:val="TableParagraph"/>
              <w:spacing w:before="50"/>
              <w:ind w:right="181"/>
              <w:rPr>
                <w:sz w:val="20"/>
              </w:rPr>
            </w:pPr>
            <w:r>
              <w:rPr>
                <w:sz w:val="20"/>
              </w:rPr>
              <w:t>1.0</w:t>
            </w:r>
          </w:p>
        </w:tc>
        <w:tc>
          <w:tcPr>
            <w:tcW w:w="613" w:type="dxa"/>
            <w:tcBorders>
              <w:top w:val="nil"/>
              <w:left w:val="nil"/>
              <w:bottom w:val="nil"/>
              <w:right w:val="nil"/>
            </w:tcBorders>
          </w:tcPr>
          <w:p>
            <w:pPr>
              <w:pStyle w:val="TableParagraph"/>
              <w:spacing w:before="50"/>
              <w:ind w:right="112"/>
              <w:rPr>
                <w:sz w:val="20"/>
              </w:rPr>
            </w:pPr>
            <w:r>
              <w:rPr>
                <w:sz w:val="20"/>
              </w:rPr>
              <w:t>-0.2</w:t>
            </w:r>
          </w:p>
        </w:tc>
        <w:tc>
          <w:tcPr>
            <w:tcW w:w="505" w:type="dxa"/>
            <w:tcBorders>
              <w:top w:val="nil"/>
              <w:left w:val="nil"/>
              <w:bottom w:val="nil"/>
              <w:right w:val="nil"/>
            </w:tcBorders>
          </w:tcPr>
          <w:p>
            <w:pPr>
              <w:pStyle w:val="TableParagraph"/>
              <w:spacing w:before="50"/>
              <w:ind w:left="89" w:right="54"/>
              <w:jc w:val="center"/>
              <w:rPr>
                <w:sz w:val="20"/>
              </w:rPr>
            </w:pPr>
            <w:r>
              <w:rPr>
                <w:sz w:val="20"/>
              </w:rPr>
              <w:t>-0.1</w:t>
            </w:r>
          </w:p>
        </w:tc>
        <w:tc>
          <w:tcPr>
            <w:tcW w:w="568" w:type="dxa"/>
            <w:tcBorders>
              <w:top w:val="nil"/>
              <w:left w:val="nil"/>
              <w:bottom w:val="nil"/>
              <w:right w:val="nil"/>
            </w:tcBorders>
          </w:tcPr>
          <w:p>
            <w:pPr>
              <w:pStyle w:val="TableParagraph"/>
              <w:spacing w:before="50"/>
              <w:ind w:right="176"/>
              <w:rPr>
                <w:sz w:val="20"/>
              </w:rPr>
            </w:pPr>
            <w:r>
              <w:rPr>
                <w:sz w:val="20"/>
              </w:rPr>
              <w:t>-0.5</w:t>
            </w:r>
          </w:p>
        </w:tc>
        <w:tc>
          <w:tcPr>
            <w:tcW w:w="666" w:type="dxa"/>
            <w:tcBorders>
              <w:top w:val="nil"/>
              <w:left w:val="nil"/>
              <w:bottom w:val="nil"/>
              <w:right w:val="nil"/>
            </w:tcBorders>
          </w:tcPr>
          <w:p>
            <w:pPr>
              <w:pStyle w:val="TableParagraph"/>
              <w:spacing w:before="50"/>
              <w:ind w:right="69"/>
              <w:rPr>
                <w:sz w:val="20"/>
              </w:rPr>
            </w:pPr>
            <w:r>
              <w:rPr>
                <w:sz w:val="20"/>
              </w:rPr>
              <w:t>0.65</w:t>
            </w:r>
          </w:p>
        </w:tc>
      </w:tr>
      <w:tr>
        <w:trPr>
          <w:trHeight w:val="300" w:hRule="exact"/>
        </w:trPr>
        <w:tc>
          <w:tcPr>
            <w:tcW w:w="650" w:type="dxa"/>
            <w:tcBorders>
              <w:top w:val="nil"/>
              <w:left w:val="nil"/>
              <w:bottom w:val="nil"/>
              <w:right w:val="nil"/>
            </w:tcBorders>
          </w:tcPr>
          <w:p>
            <w:pPr>
              <w:pStyle w:val="TableParagraph"/>
              <w:spacing w:before="27"/>
              <w:ind w:left="17" w:right="70"/>
              <w:jc w:val="center"/>
              <w:rPr>
                <w:sz w:val="22"/>
              </w:rPr>
            </w:pPr>
            <w:r>
              <w:rPr>
                <w:sz w:val="22"/>
              </w:rPr>
              <w:t>Maíz</w:t>
            </w:r>
          </w:p>
        </w:tc>
        <w:tc>
          <w:tcPr>
            <w:tcW w:w="412" w:type="dxa"/>
            <w:tcBorders>
              <w:top w:val="nil"/>
              <w:left w:val="nil"/>
              <w:bottom w:val="nil"/>
              <w:right w:val="nil"/>
            </w:tcBorders>
          </w:tcPr>
          <w:p>
            <w:pPr>
              <w:pStyle w:val="TableParagraph"/>
              <w:spacing w:before="27"/>
              <w:ind w:right="169"/>
              <w:rPr>
                <w:sz w:val="22"/>
              </w:rPr>
            </w:pPr>
            <w:r>
              <w:rPr>
                <w:w w:val="100"/>
                <w:sz w:val="22"/>
              </w:rPr>
              <w:t>R</w:t>
            </w:r>
          </w:p>
        </w:tc>
        <w:tc>
          <w:tcPr>
            <w:tcW w:w="871" w:type="dxa"/>
            <w:tcBorders>
              <w:top w:val="nil"/>
              <w:left w:val="nil"/>
              <w:bottom w:val="nil"/>
              <w:right w:val="nil"/>
            </w:tcBorders>
          </w:tcPr>
          <w:p>
            <w:pPr>
              <w:pStyle w:val="TableParagraph"/>
              <w:spacing w:before="50"/>
              <w:ind w:left="140"/>
              <w:jc w:val="left"/>
              <w:rPr>
                <w:sz w:val="20"/>
              </w:rPr>
            </w:pPr>
            <w:r>
              <w:rPr>
                <w:sz w:val="20"/>
              </w:rPr>
              <w:t>119.76</w:t>
            </w:r>
          </w:p>
        </w:tc>
        <w:tc>
          <w:tcPr>
            <w:tcW w:w="891" w:type="dxa"/>
            <w:tcBorders>
              <w:top w:val="nil"/>
              <w:left w:val="nil"/>
              <w:bottom w:val="nil"/>
              <w:right w:val="nil"/>
            </w:tcBorders>
          </w:tcPr>
          <w:p>
            <w:pPr>
              <w:pStyle w:val="TableParagraph"/>
              <w:spacing w:before="50"/>
              <w:ind w:left="181"/>
              <w:jc w:val="left"/>
              <w:rPr>
                <w:sz w:val="20"/>
              </w:rPr>
            </w:pPr>
            <w:r>
              <w:rPr>
                <w:sz w:val="20"/>
              </w:rPr>
              <w:t>118.36</w:t>
            </w:r>
          </w:p>
        </w:tc>
        <w:tc>
          <w:tcPr>
            <w:tcW w:w="876" w:type="dxa"/>
            <w:tcBorders>
              <w:top w:val="nil"/>
              <w:left w:val="nil"/>
              <w:bottom w:val="nil"/>
              <w:right w:val="nil"/>
            </w:tcBorders>
          </w:tcPr>
          <w:p>
            <w:pPr>
              <w:pStyle w:val="TableParagraph"/>
              <w:spacing w:before="50"/>
              <w:ind w:left="159"/>
              <w:jc w:val="left"/>
              <w:rPr>
                <w:sz w:val="20"/>
              </w:rPr>
            </w:pPr>
            <w:r>
              <w:rPr>
                <w:sz w:val="20"/>
              </w:rPr>
              <w:t>0.01</w:t>
            </w:r>
          </w:p>
        </w:tc>
        <w:tc>
          <w:tcPr>
            <w:tcW w:w="868" w:type="dxa"/>
            <w:tcBorders>
              <w:top w:val="nil"/>
              <w:left w:val="nil"/>
              <w:bottom w:val="nil"/>
              <w:right w:val="nil"/>
            </w:tcBorders>
          </w:tcPr>
          <w:p>
            <w:pPr>
              <w:pStyle w:val="TableParagraph"/>
              <w:spacing w:before="50"/>
              <w:ind w:right="213"/>
              <w:rPr>
                <w:sz w:val="20"/>
              </w:rPr>
            </w:pPr>
            <w:r>
              <w:rPr>
                <w:sz w:val="20"/>
              </w:rPr>
              <w:t>0.56</w:t>
            </w:r>
          </w:p>
        </w:tc>
        <w:tc>
          <w:tcPr>
            <w:tcW w:w="634" w:type="dxa"/>
            <w:tcBorders>
              <w:top w:val="nil"/>
              <w:left w:val="nil"/>
              <w:bottom w:val="nil"/>
              <w:right w:val="nil"/>
            </w:tcBorders>
          </w:tcPr>
          <w:p>
            <w:pPr>
              <w:pStyle w:val="TableParagraph"/>
              <w:spacing w:before="50"/>
              <w:ind w:right="166"/>
              <w:rPr>
                <w:sz w:val="20"/>
              </w:rPr>
            </w:pPr>
            <w:r>
              <w:rPr>
                <w:sz w:val="20"/>
              </w:rPr>
              <w:t>0.0</w:t>
            </w:r>
          </w:p>
        </w:tc>
        <w:tc>
          <w:tcPr>
            <w:tcW w:w="635" w:type="dxa"/>
            <w:tcBorders>
              <w:top w:val="nil"/>
              <w:left w:val="nil"/>
              <w:bottom w:val="nil"/>
              <w:right w:val="nil"/>
            </w:tcBorders>
          </w:tcPr>
          <w:p>
            <w:pPr>
              <w:pStyle w:val="TableParagraph"/>
              <w:spacing w:before="50"/>
              <w:ind w:left="148" w:right="196"/>
              <w:jc w:val="center"/>
              <w:rPr>
                <w:sz w:val="20"/>
              </w:rPr>
            </w:pPr>
            <w:r>
              <w:rPr>
                <w:sz w:val="20"/>
              </w:rPr>
              <w:t>0.0</w:t>
            </w:r>
          </w:p>
        </w:tc>
        <w:tc>
          <w:tcPr>
            <w:tcW w:w="652" w:type="dxa"/>
            <w:tcBorders>
              <w:top w:val="nil"/>
              <w:left w:val="nil"/>
              <w:bottom w:val="nil"/>
              <w:right w:val="nil"/>
            </w:tcBorders>
          </w:tcPr>
          <w:p>
            <w:pPr>
              <w:pStyle w:val="TableParagraph"/>
              <w:spacing w:before="50"/>
              <w:ind w:right="181"/>
              <w:rPr>
                <w:sz w:val="20"/>
              </w:rPr>
            </w:pPr>
            <w:r>
              <w:rPr>
                <w:sz w:val="20"/>
              </w:rPr>
              <w:t>0.0</w:t>
            </w:r>
          </w:p>
        </w:tc>
        <w:tc>
          <w:tcPr>
            <w:tcW w:w="613" w:type="dxa"/>
            <w:tcBorders>
              <w:top w:val="nil"/>
              <w:left w:val="nil"/>
              <w:bottom w:val="nil"/>
              <w:right w:val="nil"/>
            </w:tcBorders>
          </w:tcPr>
          <w:p>
            <w:pPr>
              <w:pStyle w:val="TableParagraph"/>
              <w:spacing w:before="50"/>
              <w:ind w:right="110"/>
              <w:rPr>
                <w:sz w:val="20"/>
              </w:rPr>
            </w:pPr>
            <w:r>
              <w:rPr>
                <w:sz w:val="20"/>
              </w:rPr>
              <w:t>1.0</w:t>
            </w:r>
          </w:p>
        </w:tc>
        <w:tc>
          <w:tcPr>
            <w:tcW w:w="505" w:type="dxa"/>
            <w:tcBorders>
              <w:top w:val="nil"/>
              <w:left w:val="nil"/>
              <w:bottom w:val="nil"/>
              <w:right w:val="nil"/>
            </w:tcBorders>
          </w:tcPr>
          <w:p>
            <w:pPr>
              <w:pStyle w:val="TableParagraph"/>
              <w:spacing w:before="50"/>
              <w:ind w:left="160" w:right="54"/>
              <w:jc w:val="center"/>
              <w:rPr>
                <w:sz w:val="20"/>
              </w:rPr>
            </w:pPr>
            <w:r>
              <w:rPr>
                <w:sz w:val="20"/>
              </w:rPr>
              <w:t>0.5</w:t>
            </w:r>
          </w:p>
        </w:tc>
        <w:tc>
          <w:tcPr>
            <w:tcW w:w="568" w:type="dxa"/>
            <w:tcBorders>
              <w:top w:val="nil"/>
              <w:left w:val="nil"/>
              <w:bottom w:val="nil"/>
              <w:right w:val="nil"/>
            </w:tcBorders>
          </w:tcPr>
          <w:p>
            <w:pPr>
              <w:pStyle w:val="TableParagraph"/>
              <w:spacing w:before="50"/>
              <w:ind w:right="174"/>
              <w:rPr>
                <w:sz w:val="20"/>
              </w:rPr>
            </w:pPr>
            <w:r>
              <w:rPr>
                <w:sz w:val="20"/>
              </w:rPr>
              <w:t>0.5</w:t>
            </w:r>
          </w:p>
        </w:tc>
        <w:tc>
          <w:tcPr>
            <w:tcW w:w="666" w:type="dxa"/>
            <w:tcBorders>
              <w:top w:val="nil"/>
              <w:left w:val="nil"/>
              <w:bottom w:val="nil"/>
              <w:right w:val="nil"/>
            </w:tcBorders>
          </w:tcPr>
          <w:p>
            <w:pPr>
              <w:pStyle w:val="TableParagraph"/>
              <w:spacing w:before="50"/>
              <w:ind w:right="69"/>
              <w:rPr>
                <w:sz w:val="20"/>
              </w:rPr>
            </w:pPr>
            <w:r>
              <w:rPr>
                <w:sz w:val="20"/>
              </w:rPr>
              <w:t>0.25</w:t>
            </w:r>
          </w:p>
        </w:tc>
      </w:tr>
      <w:tr>
        <w:trPr>
          <w:trHeight w:val="300" w:hRule="exact"/>
        </w:trPr>
        <w:tc>
          <w:tcPr>
            <w:tcW w:w="650" w:type="dxa"/>
            <w:tcBorders>
              <w:top w:val="nil"/>
              <w:left w:val="nil"/>
              <w:bottom w:val="nil"/>
              <w:right w:val="nil"/>
            </w:tcBorders>
          </w:tcPr>
          <w:p>
            <w:pPr>
              <w:pStyle w:val="TableParagraph"/>
              <w:spacing w:before="27"/>
              <w:ind w:left="49" w:right="68"/>
              <w:jc w:val="center"/>
              <w:rPr>
                <w:sz w:val="22"/>
              </w:rPr>
            </w:pPr>
            <w:r>
              <w:rPr>
                <w:sz w:val="22"/>
              </w:rPr>
              <w:t>Trigo</w:t>
            </w:r>
          </w:p>
        </w:tc>
        <w:tc>
          <w:tcPr>
            <w:tcW w:w="412" w:type="dxa"/>
            <w:tcBorders>
              <w:top w:val="nil"/>
              <w:left w:val="nil"/>
              <w:bottom w:val="nil"/>
              <w:right w:val="nil"/>
            </w:tcBorders>
          </w:tcPr>
          <w:p>
            <w:pPr>
              <w:pStyle w:val="TableParagraph"/>
              <w:spacing w:before="27"/>
              <w:ind w:right="188"/>
              <w:rPr>
                <w:sz w:val="22"/>
              </w:rPr>
            </w:pPr>
            <w:r>
              <w:rPr>
                <w:w w:val="100"/>
                <w:sz w:val="22"/>
              </w:rPr>
              <w:t>R</w:t>
            </w:r>
          </w:p>
        </w:tc>
        <w:tc>
          <w:tcPr>
            <w:tcW w:w="871" w:type="dxa"/>
            <w:tcBorders>
              <w:top w:val="nil"/>
              <w:left w:val="nil"/>
              <w:bottom w:val="nil"/>
              <w:right w:val="nil"/>
            </w:tcBorders>
          </w:tcPr>
          <w:p>
            <w:pPr>
              <w:pStyle w:val="TableParagraph"/>
              <w:spacing w:before="51"/>
              <w:ind w:left="140"/>
              <w:jc w:val="left"/>
              <w:rPr>
                <w:sz w:val="20"/>
              </w:rPr>
            </w:pPr>
            <w:r>
              <w:rPr>
                <w:sz w:val="20"/>
              </w:rPr>
              <w:t>34.35</w:t>
            </w:r>
          </w:p>
        </w:tc>
        <w:tc>
          <w:tcPr>
            <w:tcW w:w="891" w:type="dxa"/>
            <w:tcBorders>
              <w:top w:val="nil"/>
              <w:left w:val="nil"/>
              <w:bottom w:val="nil"/>
              <w:right w:val="nil"/>
            </w:tcBorders>
          </w:tcPr>
          <w:p>
            <w:pPr>
              <w:pStyle w:val="TableParagraph"/>
              <w:spacing w:before="51"/>
              <w:ind w:left="181"/>
              <w:jc w:val="left"/>
              <w:rPr>
                <w:sz w:val="20"/>
              </w:rPr>
            </w:pPr>
            <w:r>
              <w:rPr>
                <w:sz w:val="20"/>
              </w:rPr>
              <w:t>37.15</w:t>
            </w:r>
          </w:p>
        </w:tc>
        <w:tc>
          <w:tcPr>
            <w:tcW w:w="876" w:type="dxa"/>
            <w:tcBorders>
              <w:top w:val="nil"/>
              <w:left w:val="nil"/>
              <w:bottom w:val="nil"/>
              <w:right w:val="nil"/>
            </w:tcBorders>
          </w:tcPr>
          <w:p>
            <w:pPr>
              <w:pStyle w:val="TableParagraph"/>
              <w:spacing w:before="51"/>
              <w:ind w:left="159"/>
              <w:jc w:val="left"/>
              <w:rPr>
                <w:sz w:val="20"/>
              </w:rPr>
            </w:pPr>
            <w:r>
              <w:rPr>
                <w:sz w:val="20"/>
              </w:rPr>
              <w:t>-0.07</w:t>
            </w:r>
          </w:p>
        </w:tc>
        <w:tc>
          <w:tcPr>
            <w:tcW w:w="868" w:type="dxa"/>
            <w:tcBorders>
              <w:top w:val="nil"/>
              <w:left w:val="nil"/>
              <w:bottom w:val="nil"/>
              <w:right w:val="nil"/>
            </w:tcBorders>
          </w:tcPr>
          <w:p>
            <w:pPr>
              <w:pStyle w:val="TableParagraph"/>
              <w:spacing w:before="51"/>
              <w:ind w:right="213"/>
              <w:rPr>
                <w:sz w:val="20"/>
              </w:rPr>
            </w:pPr>
            <w:r>
              <w:rPr>
                <w:sz w:val="20"/>
              </w:rPr>
              <w:t>0.20</w:t>
            </w:r>
          </w:p>
        </w:tc>
        <w:tc>
          <w:tcPr>
            <w:tcW w:w="634" w:type="dxa"/>
            <w:tcBorders>
              <w:top w:val="nil"/>
              <w:left w:val="nil"/>
              <w:bottom w:val="nil"/>
              <w:right w:val="nil"/>
            </w:tcBorders>
          </w:tcPr>
          <w:p>
            <w:pPr>
              <w:pStyle w:val="TableParagraph"/>
              <w:spacing w:before="51"/>
              <w:ind w:right="166"/>
              <w:rPr>
                <w:sz w:val="20"/>
              </w:rPr>
            </w:pPr>
            <w:r>
              <w:rPr>
                <w:sz w:val="20"/>
              </w:rPr>
              <w:t>0.0</w:t>
            </w:r>
          </w:p>
        </w:tc>
        <w:tc>
          <w:tcPr>
            <w:tcW w:w="635" w:type="dxa"/>
            <w:tcBorders>
              <w:top w:val="nil"/>
              <w:left w:val="nil"/>
              <w:bottom w:val="nil"/>
              <w:right w:val="nil"/>
            </w:tcBorders>
          </w:tcPr>
          <w:p>
            <w:pPr>
              <w:pStyle w:val="TableParagraph"/>
              <w:spacing w:before="51"/>
              <w:ind w:left="148" w:right="196"/>
              <w:jc w:val="center"/>
              <w:rPr>
                <w:sz w:val="20"/>
              </w:rPr>
            </w:pPr>
            <w:r>
              <w:rPr>
                <w:sz w:val="20"/>
              </w:rPr>
              <w:t>0.0</w:t>
            </w:r>
          </w:p>
        </w:tc>
        <w:tc>
          <w:tcPr>
            <w:tcW w:w="652" w:type="dxa"/>
            <w:tcBorders>
              <w:top w:val="nil"/>
              <w:left w:val="nil"/>
              <w:bottom w:val="nil"/>
              <w:right w:val="nil"/>
            </w:tcBorders>
          </w:tcPr>
          <w:p>
            <w:pPr>
              <w:pStyle w:val="TableParagraph"/>
              <w:spacing w:before="51"/>
              <w:ind w:right="181"/>
              <w:rPr>
                <w:sz w:val="20"/>
              </w:rPr>
            </w:pPr>
            <w:r>
              <w:rPr>
                <w:sz w:val="20"/>
              </w:rPr>
              <w:t>0.0</w:t>
            </w:r>
          </w:p>
        </w:tc>
        <w:tc>
          <w:tcPr>
            <w:tcW w:w="613" w:type="dxa"/>
            <w:tcBorders>
              <w:top w:val="nil"/>
              <w:left w:val="nil"/>
              <w:bottom w:val="nil"/>
              <w:right w:val="nil"/>
            </w:tcBorders>
          </w:tcPr>
          <w:p>
            <w:pPr>
              <w:pStyle w:val="TableParagraph"/>
              <w:spacing w:before="51"/>
              <w:ind w:right="110"/>
              <w:rPr>
                <w:sz w:val="20"/>
              </w:rPr>
            </w:pPr>
            <w:r>
              <w:rPr>
                <w:sz w:val="20"/>
              </w:rPr>
              <w:t>0.0</w:t>
            </w:r>
          </w:p>
        </w:tc>
        <w:tc>
          <w:tcPr>
            <w:tcW w:w="505" w:type="dxa"/>
            <w:tcBorders>
              <w:top w:val="nil"/>
              <w:left w:val="nil"/>
              <w:bottom w:val="nil"/>
              <w:right w:val="nil"/>
            </w:tcBorders>
          </w:tcPr>
          <w:p>
            <w:pPr>
              <w:pStyle w:val="TableParagraph"/>
              <w:spacing w:before="51"/>
              <w:ind w:left="160" w:right="54"/>
              <w:jc w:val="center"/>
              <w:rPr>
                <w:sz w:val="20"/>
              </w:rPr>
            </w:pPr>
            <w:r>
              <w:rPr>
                <w:sz w:val="20"/>
              </w:rPr>
              <w:t>1.0</w:t>
            </w:r>
          </w:p>
        </w:tc>
        <w:tc>
          <w:tcPr>
            <w:tcW w:w="568" w:type="dxa"/>
            <w:tcBorders>
              <w:top w:val="nil"/>
              <w:left w:val="nil"/>
              <w:bottom w:val="nil"/>
              <w:right w:val="nil"/>
            </w:tcBorders>
          </w:tcPr>
          <w:p>
            <w:pPr>
              <w:pStyle w:val="TableParagraph"/>
              <w:spacing w:before="51"/>
              <w:ind w:right="174"/>
              <w:rPr>
                <w:sz w:val="20"/>
              </w:rPr>
            </w:pPr>
            <w:r>
              <w:rPr>
                <w:sz w:val="20"/>
              </w:rPr>
              <w:t>0.4</w:t>
            </w:r>
          </w:p>
        </w:tc>
        <w:tc>
          <w:tcPr>
            <w:tcW w:w="666" w:type="dxa"/>
            <w:tcBorders>
              <w:top w:val="nil"/>
              <w:left w:val="nil"/>
              <w:bottom w:val="nil"/>
              <w:right w:val="nil"/>
            </w:tcBorders>
          </w:tcPr>
          <w:p>
            <w:pPr>
              <w:pStyle w:val="TableParagraph"/>
              <w:spacing w:before="51"/>
              <w:ind w:right="71"/>
              <w:rPr>
                <w:sz w:val="20"/>
              </w:rPr>
            </w:pPr>
            <w:r>
              <w:rPr>
                <w:w w:val="95"/>
                <w:sz w:val="20"/>
              </w:rPr>
              <w:t>-1.22</w:t>
            </w:r>
          </w:p>
        </w:tc>
      </w:tr>
      <w:tr>
        <w:trPr>
          <w:trHeight w:val="294" w:hRule="exact"/>
        </w:trPr>
        <w:tc>
          <w:tcPr>
            <w:tcW w:w="650" w:type="dxa"/>
            <w:tcBorders>
              <w:top w:val="nil"/>
              <w:left w:val="nil"/>
              <w:right w:val="nil"/>
            </w:tcBorders>
          </w:tcPr>
          <w:p>
            <w:pPr>
              <w:pStyle w:val="TableParagraph"/>
              <w:spacing w:before="27"/>
              <w:ind w:left="49" w:right="35"/>
              <w:jc w:val="center"/>
              <w:rPr>
                <w:sz w:val="22"/>
              </w:rPr>
            </w:pPr>
            <w:r>
              <w:rPr>
                <w:sz w:val="22"/>
              </w:rPr>
              <w:t>Sorgo</w:t>
            </w:r>
          </w:p>
        </w:tc>
        <w:tc>
          <w:tcPr>
            <w:tcW w:w="412" w:type="dxa"/>
            <w:tcBorders>
              <w:top w:val="nil"/>
              <w:left w:val="nil"/>
              <w:right w:val="nil"/>
            </w:tcBorders>
          </w:tcPr>
          <w:p>
            <w:pPr>
              <w:pStyle w:val="TableParagraph"/>
              <w:spacing w:before="27"/>
              <w:ind w:right="207"/>
              <w:rPr>
                <w:sz w:val="22"/>
              </w:rPr>
            </w:pPr>
            <w:r>
              <w:rPr>
                <w:w w:val="100"/>
                <w:sz w:val="22"/>
              </w:rPr>
              <w:t>R</w:t>
            </w:r>
          </w:p>
        </w:tc>
        <w:tc>
          <w:tcPr>
            <w:tcW w:w="871" w:type="dxa"/>
            <w:tcBorders>
              <w:top w:val="nil"/>
              <w:left w:val="nil"/>
              <w:right w:val="nil"/>
            </w:tcBorders>
          </w:tcPr>
          <w:p>
            <w:pPr>
              <w:pStyle w:val="TableParagraph"/>
              <w:spacing w:before="50"/>
              <w:ind w:left="140"/>
              <w:jc w:val="left"/>
              <w:rPr>
                <w:sz w:val="20"/>
              </w:rPr>
            </w:pPr>
            <w:r>
              <w:rPr>
                <w:sz w:val="20"/>
              </w:rPr>
              <w:t>68.91</w:t>
            </w:r>
          </w:p>
        </w:tc>
        <w:tc>
          <w:tcPr>
            <w:tcW w:w="891" w:type="dxa"/>
            <w:tcBorders>
              <w:top w:val="nil"/>
              <w:left w:val="nil"/>
              <w:right w:val="nil"/>
            </w:tcBorders>
          </w:tcPr>
          <w:p>
            <w:pPr>
              <w:pStyle w:val="TableParagraph"/>
              <w:spacing w:before="50"/>
              <w:ind w:left="181"/>
              <w:jc w:val="left"/>
              <w:rPr>
                <w:sz w:val="20"/>
              </w:rPr>
            </w:pPr>
            <w:r>
              <w:rPr>
                <w:sz w:val="20"/>
              </w:rPr>
              <w:t>64.85</w:t>
            </w:r>
          </w:p>
        </w:tc>
        <w:tc>
          <w:tcPr>
            <w:tcW w:w="876" w:type="dxa"/>
            <w:tcBorders>
              <w:top w:val="nil"/>
              <w:left w:val="nil"/>
              <w:right w:val="nil"/>
            </w:tcBorders>
          </w:tcPr>
          <w:p>
            <w:pPr>
              <w:pStyle w:val="TableParagraph"/>
              <w:spacing w:before="50"/>
              <w:ind w:left="159"/>
              <w:jc w:val="left"/>
              <w:rPr>
                <w:sz w:val="20"/>
              </w:rPr>
            </w:pPr>
            <w:r>
              <w:rPr>
                <w:sz w:val="20"/>
              </w:rPr>
              <w:t>0.06</w:t>
            </w:r>
          </w:p>
        </w:tc>
        <w:tc>
          <w:tcPr>
            <w:tcW w:w="868" w:type="dxa"/>
            <w:tcBorders>
              <w:top w:val="nil"/>
              <w:left w:val="nil"/>
              <w:right w:val="nil"/>
            </w:tcBorders>
          </w:tcPr>
          <w:p>
            <w:pPr>
              <w:pStyle w:val="TableParagraph"/>
              <w:spacing w:before="50"/>
              <w:ind w:right="213"/>
              <w:rPr>
                <w:sz w:val="20"/>
              </w:rPr>
            </w:pPr>
            <w:r>
              <w:rPr>
                <w:sz w:val="20"/>
              </w:rPr>
              <w:t>0.70</w:t>
            </w:r>
          </w:p>
        </w:tc>
        <w:tc>
          <w:tcPr>
            <w:tcW w:w="634" w:type="dxa"/>
            <w:tcBorders>
              <w:top w:val="nil"/>
              <w:left w:val="nil"/>
              <w:right w:val="nil"/>
            </w:tcBorders>
          </w:tcPr>
          <w:p>
            <w:pPr>
              <w:pStyle w:val="TableParagraph"/>
              <w:spacing w:before="50"/>
              <w:ind w:right="165"/>
              <w:rPr>
                <w:sz w:val="20"/>
              </w:rPr>
            </w:pPr>
            <w:r>
              <w:rPr>
                <w:sz w:val="20"/>
              </w:rPr>
              <w:t>0.0</w:t>
            </w:r>
          </w:p>
        </w:tc>
        <w:tc>
          <w:tcPr>
            <w:tcW w:w="635" w:type="dxa"/>
            <w:tcBorders>
              <w:top w:val="nil"/>
              <w:left w:val="nil"/>
              <w:right w:val="nil"/>
            </w:tcBorders>
          </w:tcPr>
          <w:p>
            <w:pPr>
              <w:pStyle w:val="TableParagraph"/>
              <w:spacing w:before="50"/>
              <w:ind w:left="148" w:right="196"/>
              <w:jc w:val="center"/>
              <w:rPr>
                <w:sz w:val="20"/>
              </w:rPr>
            </w:pPr>
            <w:r>
              <w:rPr>
                <w:sz w:val="20"/>
              </w:rPr>
              <w:t>0.0</w:t>
            </w:r>
          </w:p>
        </w:tc>
        <w:tc>
          <w:tcPr>
            <w:tcW w:w="652" w:type="dxa"/>
            <w:tcBorders>
              <w:top w:val="nil"/>
              <w:left w:val="nil"/>
              <w:right w:val="nil"/>
            </w:tcBorders>
          </w:tcPr>
          <w:p>
            <w:pPr>
              <w:pStyle w:val="TableParagraph"/>
              <w:spacing w:before="50"/>
              <w:ind w:right="181"/>
              <w:rPr>
                <w:sz w:val="20"/>
              </w:rPr>
            </w:pPr>
            <w:r>
              <w:rPr>
                <w:sz w:val="20"/>
              </w:rPr>
              <w:t>0.0</w:t>
            </w:r>
          </w:p>
        </w:tc>
        <w:tc>
          <w:tcPr>
            <w:tcW w:w="613" w:type="dxa"/>
            <w:tcBorders>
              <w:top w:val="nil"/>
              <w:left w:val="nil"/>
              <w:right w:val="nil"/>
            </w:tcBorders>
          </w:tcPr>
          <w:p>
            <w:pPr>
              <w:pStyle w:val="TableParagraph"/>
              <w:spacing w:before="50"/>
              <w:ind w:right="110"/>
              <w:rPr>
                <w:sz w:val="20"/>
              </w:rPr>
            </w:pPr>
            <w:r>
              <w:rPr>
                <w:sz w:val="20"/>
              </w:rPr>
              <w:t>0.0</w:t>
            </w:r>
          </w:p>
        </w:tc>
        <w:tc>
          <w:tcPr>
            <w:tcW w:w="505" w:type="dxa"/>
            <w:tcBorders>
              <w:top w:val="nil"/>
              <w:left w:val="nil"/>
              <w:right w:val="nil"/>
            </w:tcBorders>
          </w:tcPr>
          <w:p>
            <w:pPr>
              <w:pStyle w:val="TableParagraph"/>
              <w:spacing w:before="50"/>
              <w:ind w:left="160" w:right="54"/>
              <w:jc w:val="center"/>
              <w:rPr>
                <w:sz w:val="20"/>
              </w:rPr>
            </w:pPr>
            <w:r>
              <w:rPr>
                <w:sz w:val="20"/>
              </w:rPr>
              <w:t>0.0</w:t>
            </w:r>
          </w:p>
        </w:tc>
        <w:tc>
          <w:tcPr>
            <w:tcW w:w="568" w:type="dxa"/>
            <w:tcBorders>
              <w:top w:val="nil"/>
              <w:left w:val="nil"/>
              <w:right w:val="nil"/>
            </w:tcBorders>
          </w:tcPr>
          <w:p>
            <w:pPr>
              <w:pStyle w:val="TableParagraph"/>
              <w:spacing w:before="50"/>
              <w:ind w:right="174"/>
              <w:rPr>
                <w:sz w:val="20"/>
              </w:rPr>
            </w:pPr>
            <w:r>
              <w:rPr>
                <w:sz w:val="20"/>
              </w:rPr>
              <w:t>1.0</w:t>
            </w:r>
          </w:p>
        </w:tc>
        <w:tc>
          <w:tcPr>
            <w:tcW w:w="666" w:type="dxa"/>
            <w:tcBorders>
              <w:top w:val="nil"/>
              <w:left w:val="nil"/>
              <w:right w:val="nil"/>
            </w:tcBorders>
          </w:tcPr>
          <w:p>
            <w:pPr>
              <w:pStyle w:val="TableParagraph"/>
              <w:spacing w:before="50"/>
              <w:ind w:right="69"/>
              <w:rPr>
                <w:sz w:val="20"/>
              </w:rPr>
            </w:pPr>
            <w:r>
              <w:rPr>
                <w:sz w:val="20"/>
              </w:rPr>
              <w:t>0.54</w:t>
            </w:r>
          </w:p>
        </w:tc>
      </w:tr>
    </w:tbl>
    <w:p>
      <w:pPr>
        <w:spacing w:line="218" w:lineRule="exact" w:before="0"/>
        <w:ind w:left="122" w:right="8" w:firstLine="0"/>
        <w:jc w:val="left"/>
        <w:rPr>
          <w:sz w:val="20"/>
        </w:rPr>
      </w:pPr>
      <w:r>
        <w:rPr>
          <w:position w:val="7"/>
          <w:sz w:val="13"/>
        </w:rPr>
        <w:t>Ψ</w:t>
      </w:r>
      <w:r>
        <w:rPr>
          <w:sz w:val="20"/>
        </w:rPr>
        <w:t>Desviaciones correlacionadas; </w:t>
      </w:r>
      <w:r>
        <w:rPr>
          <w:position w:val="7"/>
          <w:sz w:val="13"/>
        </w:rPr>
        <w:t>ђ</w:t>
      </w:r>
      <w:r>
        <w:rPr>
          <w:sz w:val="20"/>
        </w:rPr>
        <w:t>Valor de entrada opcional reservado para la correlación de distribuciones  no</w:t>
      </w:r>
    </w:p>
    <w:p>
      <w:pPr>
        <w:spacing w:before="113"/>
        <w:ind w:left="122" w:right="8" w:firstLine="0"/>
        <w:jc w:val="left"/>
        <w:rPr>
          <w:sz w:val="20"/>
        </w:rPr>
      </w:pPr>
      <w:r>
        <w:rPr>
          <w:sz w:val="20"/>
        </w:rPr>
        <w:t>normales; </w:t>
      </w:r>
      <w:r>
        <w:rPr>
          <w:position w:val="7"/>
          <w:sz w:val="13"/>
        </w:rPr>
        <w:t>ф</w:t>
      </w:r>
      <w:r>
        <w:rPr>
          <w:sz w:val="20"/>
        </w:rPr>
        <w:t>Matriz de correlación de rango.</w:t>
      </w:r>
    </w:p>
    <w:p>
      <w:pPr>
        <w:spacing w:after="0"/>
        <w:jc w:val="left"/>
        <w:rPr>
          <w:sz w:val="20"/>
        </w:rPr>
        <w:sectPr>
          <w:type w:val="continuous"/>
          <w:pgSz w:w="12240" w:h="15840"/>
          <w:pgMar w:top="1360" w:bottom="280" w:left="1580" w:right="1560"/>
        </w:sectPr>
      </w:pPr>
    </w:p>
    <w:p>
      <w:pPr>
        <w:pStyle w:val="BodyText"/>
        <w:spacing w:line="362" w:lineRule="auto" w:before="50"/>
        <w:ind w:left="102" w:right="118"/>
      </w:pPr>
      <w:r>
        <w:rPr/>
        <w:t>Paso 10. Prueba de correlación de datos para observar si los datos están correlacionados de la misma forma que los datos históricos.</w:t>
      </w:r>
    </w:p>
    <w:p>
      <w:pPr>
        <w:pStyle w:val="BodyText"/>
        <w:tabs>
          <w:tab w:pos="1625" w:val="left" w:leader="none"/>
        </w:tabs>
        <w:spacing w:line="535" w:lineRule="auto" w:before="203"/>
        <w:ind w:left="102" w:right="6157"/>
      </w:pPr>
      <w:r>
        <w:rPr/>
        <w:t>Nivel de confianza: 99.76% Valor</w:t>
      </w:r>
      <w:r>
        <w:rPr>
          <w:spacing w:val="-3"/>
        </w:rPr>
        <w:t> </w:t>
      </w:r>
      <w:r>
        <w:rPr/>
        <w:t>crítico:</w:t>
        <w:tab/>
        <w:t>3.11</w:t>
      </w:r>
    </w:p>
    <w:p>
      <w:pPr>
        <w:pStyle w:val="BodyText"/>
      </w:pPr>
    </w:p>
    <w:p>
      <w:pPr>
        <w:pStyle w:val="BodyText"/>
        <w:rPr>
          <w:sz w:val="30"/>
        </w:rPr>
      </w:pPr>
    </w:p>
    <w:p>
      <w:pPr>
        <w:pStyle w:val="BodyText"/>
        <w:spacing w:after="30"/>
        <w:ind w:left="171" w:right="118"/>
      </w:pPr>
      <w:r>
        <w:rPr>
          <w:b/>
        </w:rPr>
        <w:t>Anexo Tabla 2. </w:t>
      </w:r>
      <w:r>
        <w:rPr/>
        <w:t>Continuación Paso 11. Correlación de matrices para verificar la igualdad de los datos simulados con los datos históricos</w:t>
      </w:r>
    </w:p>
    <w:tbl>
      <w:tblPr>
        <w:tblW w:w="0" w:type="auto"/>
        <w:jc w:val="left"/>
        <w:tblInd w:w="10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710"/>
        <w:gridCol w:w="734"/>
        <w:gridCol w:w="1528"/>
        <w:gridCol w:w="1451"/>
        <w:gridCol w:w="1331"/>
        <w:gridCol w:w="1437"/>
        <w:gridCol w:w="1649"/>
      </w:tblGrid>
      <w:tr>
        <w:trPr>
          <w:trHeight w:val="341" w:hRule="exact"/>
        </w:trPr>
        <w:tc>
          <w:tcPr>
            <w:tcW w:w="1444" w:type="dxa"/>
            <w:gridSpan w:val="2"/>
            <w:tcBorders>
              <w:left w:val="nil"/>
              <w:bottom w:val="nil"/>
              <w:right w:val="nil"/>
            </w:tcBorders>
          </w:tcPr>
          <w:p>
            <w:pPr/>
          </w:p>
        </w:tc>
        <w:tc>
          <w:tcPr>
            <w:tcW w:w="1528" w:type="dxa"/>
            <w:tcBorders>
              <w:left w:val="nil"/>
              <w:bottom w:val="nil"/>
              <w:right w:val="nil"/>
            </w:tcBorders>
          </w:tcPr>
          <w:p>
            <w:pPr>
              <w:pStyle w:val="TableParagraph"/>
              <w:spacing w:before="19"/>
              <w:ind w:left="425" w:right="336"/>
              <w:jc w:val="center"/>
              <w:rPr>
                <w:sz w:val="24"/>
              </w:rPr>
            </w:pPr>
            <w:r>
              <w:rPr>
                <w:sz w:val="24"/>
              </w:rPr>
              <w:t>Trigo P</w:t>
            </w:r>
          </w:p>
        </w:tc>
        <w:tc>
          <w:tcPr>
            <w:tcW w:w="1451" w:type="dxa"/>
            <w:tcBorders>
              <w:left w:val="nil"/>
              <w:bottom w:val="nil"/>
              <w:right w:val="nil"/>
            </w:tcBorders>
          </w:tcPr>
          <w:p>
            <w:pPr>
              <w:pStyle w:val="TableParagraph"/>
              <w:spacing w:before="19"/>
              <w:ind w:left="335" w:right="308"/>
              <w:jc w:val="center"/>
              <w:rPr>
                <w:sz w:val="24"/>
              </w:rPr>
            </w:pPr>
            <w:r>
              <w:rPr>
                <w:sz w:val="24"/>
              </w:rPr>
              <w:t>Sorgo P</w:t>
            </w:r>
          </w:p>
        </w:tc>
        <w:tc>
          <w:tcPr>
            <w:tcW w:w="1331" w:type="dxa"/>
            <w:tcBorders>
              <w:left w:val="nil"/>
              <w:bottom w:val="nil"/>
              <w:right w:val="nil"/>
            </w:tcBorders>
          </w:tcPr>
          <w:p>
            <w:pPr>
              <w:pStyle w:val="TableParagraph"/>
              <w:spacing w:before="19"/>
              <w:ind w:left="309" w:right="267"/>
              <w:jc w:val="center"/>
              <w:rPr>
                <w:sz w:val="24"/>
              </w:rPr>
            </w:pPr>
            <w:r>
              <w:rPr>
                <w:sz w:val="24"/>
              </w:rPr>
              <w:t>Maíz R</w:t>
            </w:r>
          </w:p>
        </w:tc>
        <w:tc>
          <w:tcPr>
            <w:tcW w:w="1437" w:type="dxa"/>
            <w:tcBorders>
              <w:left w:val="nil"/>
              <w:bottom w:val="nil"/>
              <w:right w:val="nil"/>
            </w:tcBorders>
          </w:tcPr>
          <w:p>
            <w:pPr>
              <w:pStyle w:val="TableParagraph"/>
              <w:spacing w:before="19"/>
              <w:ind w:left="267" w:right="376"/>
              <w:jc w:val="center"/>
              <w:rPr>
                <w:sz w:val="24"/>
              </w:rPr>
            </w:pPr>
            <w:r>
              <w:rPr>
                <w:sz w:val="24"/>
              </w:rPr>
              <w:t>Trigo R</w:t>
            </w:r>
          </w:p>
        </w:tc>
        <w:tc>
          <w:tcPr>
            <w:tcW w:w="1649" w:type="dxa"/>
            <w:tcBorders>
              <w:left w:val="nil"/>
              <w:bottom w:val="nil"/>
              <w:right w:val="nil"/>
            </w:tcBorders>
          </w:tcPr>
          <w:p>
            <w:pPr>
              <w:pStyle w:val="TableParagraph"/>
              <w:spacing w:before="19"/>
              <w:ind w:left="379" w:right="436"/>
              <w:jc w:val="center"/>
              <w:rPr>
                <w:sz w:val="24"/>
              </w:rPr>
            </w:pPr>
            <w:r>
              <w:rPr>
                <w:sz w:val="24"/>
              </w:rPr>
              <w:t>Sorgo R</w:t>
            </w:r>
          </w:p>
        </w:tc>
      </w:tr>
      <w:tr>
        <w:trPr>
          <w:trHeight w:val="300" w:hRule="exact"/>
        </w:trPr>
        <w:tc>
          <w:tcPr>
            <w:tcW w:w="710" w:type="dxa"/>
            <w:tcBorders>
              <w:top w:val="nil"/>
              <w:left w:val="nil"/>
              <w:bottom w:val="nil"/>
              <w:right w:val="nil"/>
            </w:tcBorders>
          </w:tcPr>
          <w:p>
            <w:pPr>
              <w:pStyle w:val="TableParagraph"/>
              <w:spacing w:line="275" w:lineRule="exact"/>
              <w:ind w:left="11" w:right="87"/>
              <w:jc w:val="center"/>
              <w:rPr>
                <w:sz w:val="24"/>
              </w:rPr>
            </w:pPr>
            <w:r>
              <w:rPr>
                <w:sz w:val="24"/>
              </w:rPr>
              <w:t>Maíz</w:t>
            </w:r>
          </w:p>
        </w:tc>
        <w:tc>
          <w:tcPr>
            <w:tcW w:w="734" w:type="dxa"/>
            <w:tcBorders>
              <w:top w:val="nil"/>
              <w:left w:val="nil"/>
              <w:bottom w:val="nil"/>
              <w:right w:val="nil"/>
            </w:tcBorders>
          </w:tcPr>
          <w:p>
            <w:pPr>
              <w:pStyle w:val="TableParagraph"/>
              <w:spacing w:line="275" w:lineRule="exact"/>
              <w:ind w:left="153"/>
              <w:jc w:val="left"/>
              <w:rPr>
                <w:sz w:val="24"/>
              </w:rPr>
            </w:pPr>
            <w:r>
              <w:rPr>
                <w:w w:val="99"/>
                <w:sz w:val="24"/>
              </w:rPr>
              <w:t>P</w:t>
            </w:r>
          </w:p>
        </w:tc>
        <w:tc>
          <w:tcPr>
            <w:tcW w:w="1528" w:type="dxa"/>
            <w:tcBorders>
              <w:top w:val="nil"/>
              <w:left w:val="nil"/>
              <w:bottom w:val="nil"/>
              <w:right w:val="nil"/>
            </w:tcBorders>
          </w:tcPr>
          <w:p>
            <w:pPr>
              <w:pStyle w:val="TableParagraph"/>
              <w:spacing w:line="275" w:lineRule="exact"/>
              <w:ind w:left="425" w:right="332"/>
              <w:jc w:val="center"/>
              <w:rPr>
                <w:sz w:val="24"/>
              </w:rPr>
            </w:pPr>
            <w:r>
              <w:rPr>
                <w:sz w:val="24"/>
              </w:rPr>
              <w:t>0.38</w:t>
            </w:r>
          </w:p>
        </w:tc>
        <w:tc>
          <w:tcPr>
            <w:tcW w:w="1451" w:type="dxa"/>
            <w:tcBorders>
              <w:top w:val="nil"/>
              <w:left w:val="nil"/>
              <w:bottom w:val="nil"/>
              <w:right w:val="nil"/>
            </w:tcBorders>
          </w:tcPr>
          <w:p>
            <w:pPr>
              <w:pStyle w:val="TableParagraph"/>
              <w:spacing w:line="275" w:lineRule="exact"/>
              <w:ind w:left="335" w:right="307"/>
              <w:jc w:val="center"/>
              <w:rPr>
                <w:sz w:val="24"/>
              </w:rPr>
            </w:pPr>
            <w:r>
              <w:rPr>
                <w:sz w:val="24"/>
              </w:rPr>
              <w:t>1.19</w:t>
            </w:r>
          </w:p>
        </w:tc>
        <w:tc>
          <w:tcPr>
            <w:tcW w:w="1331" w:type="dxa"/>
            <w:tcBorders>
              <w:top w:val="nil"/>
              <w:left w:val="nil"/>
              <w:bottom w:val="nil"/>
              <w:right w:val="nil"/>
            </w:tcBorders>
          </w:tcPr>
          <w:p>
            <w:pPr>
              <w:pStyle w:val="TableParagraph"/>
              <w:spacing w:line="275" w:lineRule="exact"/>
              <w:ind w:left="307" w:right="267"/>
              <w:jc w:val="center"/>
              <w:rPr>
                <w:sz w:val="24"/>
              </w:rPr>
            </w:pPr>
            <w:r>
              <w:rPr>
                <w:sz w:val="24"/>
              </w:rPr>
              <w:t>0.58</w:t>
            </w:r>
          </w:p>
        </w:tc>
        <w:tc>
          <w:tcPr>
            <w:tcW w:w="1437" w:type="dxa"/>
            <w:tcBorders>
              <w:top w:val="nil"/>
              <w:left w:val="nil"/>
              <w:bottom w:val="nil"/>
              <w:right w:val="nil"/>
            </w:tcBorders>
          </w:tcPr>
          <w:p>
            <w:pPr>
              <w:pStyle w:val="TableParagraph"/>
              <w:spacing w:line="275" w:lineRule="exact"/>
              <w:ind w:left="267" w:right="371"/>
              <w:jc w:val="center"/>
              <w:rPr>
                <w:sz w:val="24"/>
              </w:rPr>
            </w:pPr>
            <w:r>
              <w:rPr>
                <w:sz w:val="24"/>
              </w:rPr>
              <w:t>0.83</w:t>
            </w:r>
          </w:p>
        </w:tc>
        <w:tc>
          <w:tcPr>
            <w:tcW w:w="1649" w:type="dxa"/>
            <w:tcBorders>
              <w:top w:val="nil"/>
              <w:left w:val="nil"/>
              <w:bottom w:val="nil"/>
              <w:right w:val="nil"/>
            </w:tcBorders>
          </w:tcPr>
          <w:p>
            <w:pPr>
              <w:pStyle w:val="TableParagraph"/>
              <w:spacing w:line="275" w:lineRule="exact"/>
              <w:ind w:left="379" w:right="433"/>
              <w:jc w:val="center"/>
              <w:rPr>
                <w:sz w:val="24"/>
              </w:rPr>
            </w:pPr>
            <w:r>
              <w:rPr>
                <w:sz w:val="24"/>
              </w:rPr>
              <w:t>1.27</w:t>
            </w:r>
          </w:p>
        </w:tc>
      </w:tr>
      <w:tr>
        <w:trPr>
          <w:trHeight w:val="300" w:hRule="exact"/>
        </w:trPr>
        <w:tc>
          <w:tcPr>
            <w:tcW w:w="710" w:type="dxa"/>
            <w:tcBorders>
              <w:top w:val="nil"/>
              <w:left w:val="nil"/>
              <w:bottom w:val="nil"/>
              <w:right w:val="nil"/>
            </w:tcBorders>
          </w:tcPr>
          <w:p>
            <w:pPr>
              <w:pStyle w:val="TableParagraph"/>
              <w:spacing w:line="275" w:lineRule="exact"/>
              <w:ind w:left="48" w:right="86"/>
              <w:jc w:val="center"/>
              <w:rPr>
                <w:sz w:val="24"/>
              </w:rPr>
            </w:pPr>
            <w:r>
              <w:rPr>
                <w:sz w:val="24"/>
              </w:rPr>
              <w:t>Trigo</w:t>
            </w:r>
          </w:p>
        </w:tc>
        <w:tc>
          <w:tcPr>
            <w:tcW w:w="734" w:type="dxa"/>
            <w:tcBorders>
              <w:top w:val="nil"/>
              <w:left w:val="nil"/>
              <w:bottom w:val="nil"/>
              <w:right w:val="nil"/>
            </w:tcBorders>
          </w:tcPr>
          <w:p>
            <w:pPr>
              <w:pStyle w:val="TableParagraph"/>
              <w:spacing w:line="275" w:lineRule="exact"/>
              <w:ind w:left="129"/>
              <w:jc w:val="left"/>
              <w:rPr>
                <w:sz w:val="24"/>
              </w:rPr>
            </w:pPr>
            <w:r>
              <w:rPr>
                <w:w w:val="99"/>
                <w:sz w:val="24"/>
              </w:rPr>
              <w:t>P</w:t>
            </w:r>
          </w:p>
        </w:tc>
        <w:tc>
          <w:tcPr>
            <w:tcW w:w="1528" w:type="dxa"/>
            <w:tcBorders>
              <w:top w:val="nil"/>
              <w:left w:val="nil"/>
              <w:bottom w:val="nil"/>
              <w:right w:val="nil"/>
            </w:tcBorders>
          </w:tcPr>
          <w:p>
            <w:pPr/>
          </w:p>
        </w:tc>
        <w:tc>
          <w:tcPr>
            <w:tcW w:w="1451" w:type="dxa"/>
            <w:tcBorders>
              <w:top w:val="nil"/>
              <w:left w:val="nil"/>
              <w:bottom w:val="nil"/>
              <w:right w:val="nil"/>
            </w:tcBorders>
          </w:tcPr>
          <w:p>
            <w:pPr>
              <w:pStyle w:val="TableParagraph"/>
              <w:spacing w:line="275" w:lineRule="exact"/>
              <w:ind w:left="335" w:right="307"/>
              <w:jc w:val="center"/>
              <w:rPr>
                <w:sz w:val="24"/>
              </w:rPr>
            </w:pPr>
            <w:r>
              <w:rPr>
                <w:sz w:val="24"/>
              </w:rPr>
              <w:t>1.13</w:t>
            </w:r>
          </w:p>
        </w:tc>
        <w:tc>
          <w:tcPr>
            <w:tcW w:w="1331" w:type="dxa"/>
            <w:tcBorders>
              <w:top w:val="nil"/>
              <w:left w:val="nil"/>
              <w:bottom w:val="nil"/>
              <w:right w:val="nil"/>
            </w:tcBorders>
          </w:tcPr>
          <w:p>
            <w:pPr>
              <w:pStyle w:val="TableParagraph"/>
              <w:spacing w:line="275" w:lineRule="exact"/>
              <w:ind w:left="307" w:right="267"/>
              <w:jc w:val="center"/>
              <w:rPr>
                <w:sz w:val="24"/>
              </w:rPr>
            </w:pPr>
            <w:r>
              <w:rPr>
                <w:sz w:val="24"/>
              </w:rPr>
              <w:t>0.68</w:t>
            </w:r>
          </w:p>
        </w:tc>
        <w:tc>
          <w:tcPr>
            <w:tcW w:w="1437" w:type="dxa"/>
            <w:tcBorders>
              <w:top w:val="nil"/>
              <w:left w:val="nil"/>
              <w:bottom w:val="nil"/>
              <w:right w:val="nil"/>
            </w:tcBorders>
          </w:tcPr>
          <w:p>
            <w:pPr>
              <w:pStyle w:val="TableParagraph"/>
              <w:spacing w:line="275" w:lineRule="exact"/>
              <w:ind w:left="267" w:right="371"/>
              <w:jc w:val="center"/>
              <w:rPr>
                <w:sz w:val="24"/>
              </w:rPr>
            </w:pPr>
            <w:r>
              <w:rPr>
                <w:sz w:val="24"/>
              </w:rPr>
              <w:t>0.68</w:t>
            </w:r>
          </w:p>
        </w:tc>
        <w:tc>
          <w:tcPr>
            <w:tcW w:w="1649" w:type="dxa"/>
            <w:tcBorders>
              <w:top w:val="nil"/>
              <w:left w:val="nil"/>
              <w:bottom w:val="nil"/>
              <w:right w:val="nil"/>
            </w:tcBorders>
          </w:tcPr>
          <w:p>
            <w:pPr>
              <w:pStyle w:val="TableParagraph"/>
              <w:spacing w:line="275" w:lineRule="exact"/>
              <w:ind w:left="379" w:right="433"/>
              <w:jc w:val="center"/>
              <w:rPr>
                <w:sz w:val="24"/>
              </w:rPr>
            </w:pPr>
            <w:r>
              <w:rPr>
                <w:sz w:val="24"/>
              </w:rPr>
              <w:t>0.55</w:t>
            </w:r>
          </w:p>
        </w:tc>
      </w:tr>
      <w:tr>
        <w:trPr>
          <w:trHeight w:val="300" w:hRule="exact"/>
        </w:trPr>
        <w:tc>
          <w:tcPr>
            <w:tcW w:w="710" w:type="dxa"/>
            <w:tcBorders>
              <w:top w:val="nil"/>
              <w:left w:val="nil"/>
              <w:bottom w:val="nil"/>
              <w:right w:val="nil"/>
            </w:tcBorders>
          </w:tcPr>
          <w:p>
            <w:pPr>
              <w:pStyle w:val="TableParagraph"/>
              <w:spacing w:line="275" w:lineRule="exact"/>
              <w:ind w:left="48" w:right="48"/>
              <w:jc w:val="center"/>
              <w:rPr>
                <w:sz w:val="24"/>
              </w:rPr>
            </w:pPr>
            <w:r>
              <w:rPr>
                <w:sz w:val="24"/>
              </w:rPr>
              <w:t>Sorgo</w:t>
            </w:r>
          </w:p>
        </w:tc>
        <w:tc>
          <w:tcPr>
            <w:tcW w:w="734" w:type="dxa"/>
            <w:tcBorders>
              <w:top w:val="nil"/>
              <w:left w:val="nil"/>
              <w:bottom w:val="nil"/>
              <w:right w:val="nil"/>
            </w:tcBorders>
          </w:tcPr>
          <w:p>
            <w:pPr>
              <w:pStyle w:val="TableParagraph"/>
              <w:spacing w:line="275" w:lineRule="exact"/>
              <w:ind w:left="110"/>
              <w:jc w:val="left"/>
              <w:rPr>
                <w:sz w:val="24"/>
              </w:rPr>
            </w:pPr>
            <w:r>
              <w:rPr>
                <w:w w:val="99"/>
                <w:sz w:val="24"/>
              </w:rPr>
              <w:t>P</w:t>
            </w:r>
          </w:p>
        </w:tc>
        <w:tc>
          <w:tcPr>
            <w:tcW w:w="1528" w:type="dxa"/>
            <w:tcBorders>
              <w:top w:val="nil"/>
              <w:left w:val="nil"/>
              <w:bottom w:val="nil"/>
              <w:right w:val="nil"/>
            </w:tcBorders>
          </w:tcPr>
          <w:p>
            <w:pPr/>
          </w:p>
        </w:tc>
        <w:tc>
          <w:tcPr>
            <w:tcW w:w="1451" w:type="dxa"/>
            <w:tcBorders>
              <w:top w:val="nil"/>
              <w:left w:val="nil"/>
              <w:bottom w:val="nil"/>
              <w:right w:val="nil"/>
            </w:tcBorders>
          </w:tcPr>
          <w:p>
            <w:pPr/>
          </w:p>
        </w:tc>
        <w:tc>
          <w:tcPr>
            <w:tcW w:w="1331" w:type="dxa"/>
            <w:tcBorders>
              <w:top w:val="nil"/>
              <w:left w:val="nil"/>
              <w:bottom w:val="nil"/>
              <w:right w:val="nil"/>
            </w:tcBorders>
          </w:tcPr>
          <w:p>
            <w:pPr>
              <w:pStyle w:val="TableParagraph"/>
              <w:spacing w:line="275" w:lineRule="exact"/>
              <w:ind w:left="307" w:right="267"/>
              <w:jc w:val="center"/>
              <w:rPr>
                <w:sz w:val="24"/>
              </w:rPr>
            </w:pPr>
            <w:r>
              <w:rPr>
                <w:sz w:val="24"/>
              </w:rPr>
              <w:t>0.72</w:t>
            </w:r>
          </w:p>
        </w:tc>
        <w:tc>
          <w:tcPr>
            <w:tcW w:w="1437" w:type="dxa"/>
            <w:tcBorders>
              <w:top w:val="nil"/>
              <w:left w:val="nil"/>
              <w:bottom w:val="nil"/>
              <w:right w:val="nil"/>
            </w:tcBorders>
          </w:tcPr>
          <w:p>
            <w:pPr>
              <w:pStyle w:val="TableParagraph"/>
              <w:spacing w:line="275" w:lineRule="exact"/>
              <w:ind w:left="267" w:right="371"/>
              <w:jc w:val="center"/>
              <w:rPr>
                <w:sz w:val="24"/>
              </w:rPr>
            </w:pPr>
            <w:r>
              <w:rPr>
                <w:sz w:val="24"/>
              </w:rPr>
              <w:t>0.70</w:t>
            </w:r>
          </w:p>
        </w:tc>
        <w:tc>
          <w:tcPr>
            <w:tcW w:w="1649" w:type="dxa"/>
            <w:tcBorders>
              <w:top w:val="nil"/>
              <w:left w:val="nil"/>
              <w:bottom w:val="nil"/>
              <w:right w:val="nil"/>
            </w:tcBorders>
          </w:tcPr>
          <w:p>
            <w:pPr>
              <w:pStyle w:val="TableParagraph"/>
              <w:spacing w:line="275" w:lineRule="exact"/>
              <w:ind w:left="379" w:right="433"/>
              <w:jc w:val="center"/>
              <w:rPr>
                <w:sz w:val="24"/>
              </w:rPr>
            </w:pPr>
            <w:r>
              <w:rPr>
                <w:sz w:val="24"/>
              </w:rPr>
              <w:t>0.93</w:t>
            </w:r>
          </w:p>
        </w:tc>
      </w:tr>
      <w:tr>
        <w:trPr>
          <w:trHeight w:val="300" w:hRule="exact"/>
        </w:trPr>
        <w:tc>
          <w:tcPr>
            <w:tcW w:w="710" w:type="dxa"/>
            <w:tcBorders>
              <w:top w:val="nil"/>
              <w:left w:val="nil"/>
              <w:bottom w:val="nil"/>
              <w:right w:val="nil"/>
            </w:tcBorders>
          </w:tcPr>
          <w:p>
            <w:pPr>
              <w:pStyle w:val="TableParagraph"/>
              <w:spacing w:line="275" w:lineRule="exact"/>
              <w:ind w:left="11" w:right="87"/>
              <w:jc w:val="center"/>
              <w:rPr>
                <w:sz w:val="24"/>
              </w:rPr>
            </w:pPr>
            <w:r>
              <w:rPr>
                <w:sz w:val="24"/>
              </w:rPr>
              <w:t>Maíz</w:t>
            </w:r>
          </w:p>
        </w:tc>
        <w:tc>
          <w:tcPr>
            <w:tcW w:w="734" w:type="dxa"/>
            <w:tcBorders>
              <w:top w:val="nil"/>
              <w:left w:val="nil"/>
              <w:bottom w:val="nil"/>
              <w:right w:val="nil"/>
            </w:tcBorders>
          </w:tcPr>
          <w:p>
            <w:pPr>
              <w:pStyle w:val="TableParagraph"/>
              <w:spacing w:line="275" w:lineRule="exact"/>
              <w:ind w:left="93"/>
              <w:jc w:val="left"/>
              <w:rPr>
                <w:sz w:val="24"/>
              </w:rPr>
            </w:pPr>
            <w:r>
              <w:rPr>
                <w:sz w:val="24"/>
              </w:rPr>
              <w:t>R</w:t>
            </w:r>
          </w:p>
        </w:tc>
        <w:tc>
          <w:tcPr>
            <w:tcW w:w="1528" w:type="dxa"/>
            <w:tcBorders>
              <w:top w:val="nil"/>
              <w:left w:val="nil"/>
              <w:bottom w:val="nil"/>
              <w:right w:val="nil"/>
            </w:tcBorders>
          </w:tcPr>
          <w:p>
            <w:pPr/>
          </w:p>
        </w:tc>
        <w:tc>
          <w:tcPr>
            <w:tcW w:w="1451" w:type="dxa"/>
            <w:tcBorders>
              <w:top w:val="nil"/>
              <w:left w:val="nil"/>
              <w:bottom w:val="nil"/>
              <w:right w:val="nil"/>
            </w:tcBorders>
          </w:tcPr>
          <w:p>
            <w:pPr/>
          </w:p>
        </w:tc>
        <w:tc>
          <w:tcPr>
            <w:tcW w:w="1331" w:type="dxa"/>
            <w:tcBorders>
              <w:top w:val="nil"/>
              <w:left w:val="nil"/>
              <w:bottom w:val="nil"/>
              <w:right w:val="nil"/>
            </w:tcBorders>
          </w:tcPr>
          <w:p>
            <w:pPr/>
          </w:p>
        </w:tc>
        <w:tc>
          <w:tcPr>
            <w:tcW w:w="1437" w:type="dxa"/>
            <w:tcBorders>
              <w:top w:val="nil"/>
              <w:left w:val="nil"/>
              <w:bottom w:val="nil"/>
              <w:right w:val="nil"/>
            </w:tcBorders>
          </w:tcPr>
          <w:p>
            <w:pPr>
              <w:pStyle w:val="TableParagraph"/>
              <w:spacing w:line="275" w:lineRule="exact"/>
              <w:ind w:left="267" w:right="371"/>
              <w:jc w:val="center"/>
              <w:rPr>
                <w:sz w:val="24"/>
              </w:rPr>
            </w:pPr>
            <w:r>
              <w:rPr>
                <w:sz w:val="24"/>
              </w:rPr>
              <w:t>1.55</w:t>
            </w:r>
          </w:p>
        </w:tc>
        <w:tc>
          <w:tcPr>
            <w:tcW w:w="1649" w:type="dxa"/>
            <w:tcBorders>
              <w:top w:val="nil"/>
              <w:left w:val="nil"/>
              <w:bottom w:val="nil"/>
              <w:right w:val="nil"/>
            </w:tcBorders>
          </w:tcPr>
          <w:p>
            <w:pPr>
              <w:pStyle w:val="TableParagraph"/>
              <w:spacing w:line="275" w:lineRule="exact"/>
              <w:ind w:left="379" w:right="433"/>
              <w:jc w:val="center"/>
              <w:rPr>
                <w:sz w:val="24"/>
              </w:rPr>
            </w:pPr>
            <w:r>
              <w:rPr>
                <w:sz w:val="24"/>
              </w:rPr>
              <w:t>0.37</w:t>
            </w:r>
          </w:p>
        </w:tc>
      </w:tr>
      <w:tr>
        <w:trPr>
          <w:trHeight w:val="305" w:hRule="exact"/>
        </w:trPr>
        <w:tc>
          <w:tcPr>
            <w:tcW w:w="710" w:type="dxa"/>
            <w:tcBorders>
              <w:top w:val="nil"/>
              <w:left w:val="nil"/>
              <w:right w:val="nil"/>
            </w:tcBorders>
          </w:tcPr>
          <w:p>
            <w:pPr>
              <w:pStyle w:val="TableParagraph"/>
              <w:spacing w:line="275" w:lineRule="exact"/>
              <w:ind w:left="48" w:right="86"/>
              <w:jc w:val="center"/>
              <w:rPr>
                <w:sz w:val="24"/>
              </w:rPr>
            </w:pPr>
            <w:r>
              <w:rPr>
                <w:sz w:val="24"/>
              </w:rPr>
              <w:t>Trigo</w:t>
            </w:r>
          </w:p>
        </w:tc>
        <w:tc>
          <w:tcPr>
            <w:tcW w:w="734" w:type="dxa"/>
            <w:tcBorders>
              <w:top w:val="nil"/>
              <w:left w:val="nil"/>
              <w:right w:val="nil"/>
            </w:tcBorders>
          </w:tcPr>
          <w:p>
            <w:pPr>
              <w:pStyle w:val="TableParagraph"/>
              <w:spacing w:line="275" w:lineRule="exact"/>
              <w:ind w:left="69"/>
              <w:jc w:val="left"/>
              <w:rPr>
                <w:sz w:val="24"/>
              </w:rPr>
            </w:pPr>
            <w:r>
              <w:rPr>
                <w:sz w:val="24"/>
              </w:rPr>
              <w:t>R</w:t>
            </w:r>
          </w:p>
        </w:tc>
        <w:tc>
          <w:tcPr>
            <w:tcW w:w="1528" w:type="dxa"/>
            <w:tcBorders>
              <w:top w:val="nil"/>
              <w:left w:val="nil"/>
              <w:right w:val="nil"/>
            </w:tcBorders>
          </w:tcPr>
          <w:p>
            <w:pPr/>
          </w:p>
        </w:tc>
        <w:tc>
          <w:tcPr>
            <w:tcW w:w="1451" w:type="dxa"/>
            <w:tcBorders>
              <w:top w:val="nil"/>
              <w:left w:val="nil"/>
              <w:right w:val="nil"/>
            </w:tcBorders>
          </w:tcPr>
          <w:p>
            <w:pPr/>
          </w:p>
        </w:tc>
        <w:tc>
          <w:tcPr>
            <w:tcW w:w="1331" w:type="dxa"/>
            <w:tcBorders>
              <w:top w:val="nil"/>
              <w:left w:val="nil"/>
              <w:right w:val="nil"/>
            </w:tcBorders>
          </w:tcPr>
          <w:p>
            <w:pPr/>
          </w:p>
        </w:tc>
        <w:tc>
          <w:tcPr>
            <w:tcW w:w="1437" w:type="dxa"/>
            <w:tcBorders>
              <w:top w:val="nil"/>
              <w:left w:val="nil"/>
              <w:right w:val="nil"/>
            </w:tcBorders>
          </w:tcPr>
          <w:p>
            <w:pPr/>
          </w:p>
        </w:tc>
        <w:tc>
          <w:tcPr>
            <w:tcW w:w="1649" w:type="dxa"/>
            <w:tcBorders>
              <w:top w:val="nil"/>
              <w:left w:val="nil"/>
              <w:right w:val="nil"/>
            </w:tcBorders>
          </w:tcPr>
          <w:p>
            <w:pPr>
              <w:pStyle w:val="TableParagraph"/>
              <w:spacing w:line="275" w:lineRule="exact"/>
              <w:ind w:left="379" w:right="433"/>
              <w:jc w:val="center"/>
              <w:rPr>
                <w:sz w:val="24"/>
              </w:rPr>
            </w:pPr>
            <w:r>
              <w:rPr>
                <w:sz w:val="24"/>
              </w:rPr>
              <w:t>1.29</w:t>
            </w:r>
          </w:p>
        </w:tc>
      </w:tr>
    </w:tbl>
    <w:p>
      <w:pPr>
        <w:pStyle w:val="BodyText"/>
        <w:spacing w:line="249" w:lineRule="exact"/>
        <w:ind w:left="171"/>
      </w:pPr>
      <w:r>
        <w:rPr/>
        <w:t>*No se rechaza Ho porque en todos los casos la prueba estadística tiene un valor menor al</w:t>
      </w:r>
    </w:p>
    <w:p>
      <w:pPr>
        <w:pStyle w:val="BodyText"/>
        <w:ind w:left="171"/>
      </w:pPr>
      <w:r>
        <w:rPr/>
        <w:t>valor crítico.</w:t>
      </w:r>
    </w:p>
    <w:p>
      <w:pPr>
        <w:spacing w:after="0"/>
        <w:sectPr>
          <w:pgSz w:w="12240" w:h="15840"/>
          <w:pgMar w:header="0" w:footer="657" w:top="1360" w:bottom="840" w:left="1600" w:right="1580"/>
        </w:sectPr>
      </w:pPr>
    </w:p>
    <w:p>
      <w:pPr>
        <w:pStyle w:val="Heading1"/>
        <w:ind w:left="282"/>
        <w:jc w:val="left"/>
      </w:pPr>
      <w:r>
        <w:rPr/>
        <w:t>Anexo 3</w:t>
      </w:r>
    </w:p>
    <w:p>
      <w:pPr>
        <w:pStyle w:val="BodyText"/>
        <w:rPr>
          <w:b/>
          <w:sz w:val="20"/>
        </w:rPr>
      </w:pPr>
    </w:p>
    <w:p>
      <w:pPr>
        <w:pStyle w:val="BodyText"/>
        <w:rPr>
          <w:b/>
          <w:sz w:val="20"/>
        </w:rPr>
      </w:pPr>
    </w:p>
    <w:p>
      <w:pPr>
        <w:pStyle w:val="BodyText"/>
        <w:spacing w:before="4"/>
        <w:rPr>
          <w:b/>
          <w:sz w:val="26"/>
        </w:rPr>
      </w:pPr>
      <w:r>
        <w:rPr/>
        <w:drawing>
          <wp:anchor distT="0" distB="0" distL="0" distR="0" allowOverlap="1" layoutInCell="1" locked="0" behindDoc="0" simplePos="0" relativeHeight="7648">
            <wp:simplePos x="0" y="0"/>
            <wp:positionH relativeFrom="page">
              <wp:posOffset>972311</wp:posOffset>
            </wp:positionH>
            <wp:positionV relativeFrom="paragraph">
              <wp:posOffset>217464</wp:posOffset>
            </wp:positionV>
            <wp:extent cx="5551849" cy="6131052"/>
            <wp:effectExtent l="0" t="0" r="0" b="0"/>
            <wp:wrapTopAndBottom/>
            <wp:docPr id="15" name="image148.jpeg" descr=""/>
            <wp:cNvGraphicFramePr>
              <a:graphicFrameLocks noChangeAspect="1"/>
            </wp:cNvGraphicFramePr>
            <a:graphic>
              <a:graphicData uri="http://schemas.openxmlformats.org/drawingml/2006/picture">
                <pic:pic>
                  <pic:nvPicPr>
                    <pic:cNvPr id="16" name="image148.jpeg"/>
                    <pic:cNvPicPr/>
                  </pic:nvPicPr>
                  <pic:blipFill>
                    <a:blip r:embed="rId214" cstate="print"/>
                    <a:stretch>
                      <a:fillRect/>
                    </a:stretch>
                  </pic:blipFill>
                  <pic:spPr>
                    <a:xfrm>
                      <a:off x="0" y="0"/>
                      <a:ext cx="5551849" cy="6131052"/>
                    </a:xfrm>
                    <a:prstGeom prst="rect">
                      <a:avLst/>
                    </a:prstGeom>
                  </pic:spPr>
                </pic:pic>
              </a:graphicData>
            </a:graphic>
          </wp:anchor>
        </w:drawing>
      </w:r>
    </w:p>
    <w:p>
      <w:pPr>
        <w:spacing w:after="0"/>
        <w:rPr>
          <w:sz w:val="26"/>
        </w:rPr>
        <w:sectPr>
          <w:pgSz w:w="12240" w:h="15840"/>
          <w:pgMar w:header="0" w:footer="657" w:top="1360" w:bottom="840" w:left="1420" w:right="1660"/>
        </w:sectPr>
      </w:pPr>
    </w:p>
    <w:p>
      <w:pPr>
        <w:pStyle w:val="Heading1"/>
        <w:ind w:right="120"/>
        <w:jc w:val="left"/>
      </w:pPr>
      <w:r>
        <w:rPr/>
        <w:t>Anexo 4</w:t>
      </w:r>
    </w:p>
    <w:p>
      <w:pPr>
        <w:pStyle w:val="BodyText"/>
        <w:rPr>
          <w:b/>
          <w:sz w:val="20"/>
        </w:rPr>
      </w:pPr>
    </w:p>
    <w:p>
      <w:pPr>
        <w:pStyle w:val="BodyText"/>
        <w:rPr>
          <w:b/>
          <w:sz w:val="20"/>
        </w:rPr>
      </w:pPr>
    </w:p>
    <w:p>
      <w:pPr>
        <w:pStyle w:val="BodyText"/>
        <w:rPr>
          <w:b/>
          <w:sz w:val="20"/>
        </w:rPr>
      </w:pPr>
    </w:p>
    <w:p>
      <w:pPr>
        <w:pStyle w:val="BodyText"/>
        <w:spacing w:before="6"/>
        <w:rPr>
          <w:b/>
          <w:sz w:val="19"/>
        </w:rPr>
      </w:pPr>
      <w:r>
        <w:rPr/>
        <w:drawing>
          <wp:anchor distT="0" distB="0" distL="0" distR="0" allowOverlap="1" layoutInCell="1" locked="0" behindDoc="0" simplePos="0" relativeHeight="7672">
            <wp:simplePos x="0" y="0"/>
            <wp:positionH relativeFrom="page">
              <wp:posOffset>1080516</wp:posOffset>
            </wp:positionH>
            <wp:positionV relativeFrom="paragraph">
              <wp:posOffset>167478</wp:posOffset>
            </wp:positionV>
            <wp:extent cx="5571134" cy="7223759"/>
            <wp:effectExtent l="0" t="0" r="0" b="0"/>
            <wp:wrapTopAndBottom/>
            <wp:docPr id="17" name="image149.jpeg" descr=""/>
            <wp:cNvGraphicFramePr>
              <a:graphicFrameLocks noChangeAspect="1"/>
            </wp:cNvGraphicFramePr>
            <a:graphic>
              <a:graphicData uri="http://schemas.openxmlformats.org/drawingml/2006/picture">
                <pic:pic>
                  <pic:nvPicPr>
                    <pic:cNvPr id="18" name="image149.jpeg"/>
                    <pic:cNvPicPr/>
                  </pic:nvPicPr>
                  <pic:blipFill>
                    <a:blip r:embed="rId216" cstate="print"/>
                    <a:stretch>
                      <a:fillRect/>
                    </a:stretch>
                  </pic:blipFill>
                  <pic:spPr>
                    <a:xfrm>
                      <a:off x="0" y="0"/>
                      <a:ext cx="5571134" cy="7223759"/>
                    </a:xfrm>
                    <a:prstGeom prst="rect">
                      <a:avLst/>
                    </a:prstGeom>
                  </pic:spPr>
                </pic:pic>
              </a:graphicData>
            </a:graphic>
          </wp:anchor>
        </w:drawing>
      </w:r>
    </w:p>
    <w:p>
      <w:pPr>
        <w:spacing w:after="0"/>
        <w:rPr>
          <w:sz w:val="19"/>
        </w:rPr>
        <w:sectPr>
          <w:footerReference w:type="default" r:id="rId215"/>
          <w:pgSz w:w="12240" w:h="15840"/>
          <w:pgMar w:footer="657" w:header="0" w:top="1360" w:bottom="840" w:left="1600" w:right="1640"/>
          <w:pgNumType w:start="230"/>
        </w:sectPr>
      </w:pPr>
    </w:p>
    <w:p>
      <w:pPr>
        <w:spacing w:before="55"/>
        <w:ind w:left="102" w:right="0" w:firstLine="0"/>
        <w:jc w:val="both"/>
        <w:rPr>
          <w:b/>
          <w:sz w:val="24"/>
        </w:rPr>
      </w:pPr>
      <w:r>
        <w:rPr>
          <w:b/>
          <w:sz w:val="24"/>
        </w:rPr>
        <w:t>Anexo 5</w:t>
      </w:r>
    </w:p>
    <w:p>
      <w:pPr>
        <w:pStyle w:val="BodyText"/>
        <w:rPr>
          <w:b/>
        </w:rPr>
      </w:pPr>
    </w:p>
    <w:p>
      <w:pPr>
        <w:pStyle w:val="BodyText"/>
        <w:rPr>
          <w:b/>
        </w:rPr>
      </w:pPr>
    </w:p>
    <w:p>
      <w:pPr>
        <w:pStyle w:val="BodyText"/>
        <w:spacing w:before="5"/>
        <w:rPr>
          <w:b/>
          <w:sz w:val="34"/>
        </w:rPr>
      </w:pPr>
    </w:p>
    <w:p>
      <w:pPr>
        <w:pStyle w:val="BodyText"/>
        <w:spacing w:line="535" w:lineRule="auto"/>
        <w:ind w:left="102" w:right="3199"/>
      </w:pPr>
      <w:r>
        <w:rPr/>
        <w:t>Tropical Animal Health and Production (2014) 46: 235-240 DOI 10.1007/s11250-013-0482-4</w:t>
      </w:r>
    </w:p>
    <w:p>
      <w:pPr>
        <w:pStyle w:val="BodyText"/>
        <w:spacing w:before="11"/>
        <w:ind w:left="102"/>
        <w:jc w:val="both"/>
      </w:pPr>
      <w:r>
        <w:rPr>
          <w:color w:val="121312"/>
        </w:rPr>
        <w:t>Accepted: 23 September 2013 /Published online: 6 October 2013</w:t>
      </w:r>
    </w:p>
    <w:p>
      <w:pPr>
        <w:pStyle w:val="BodyText"/>
        <w:spacing w:before="1"/>
        <w:rPr>
          <w:sz w:val="28"/>
        </w:rPr>
      </w:pPr>
    </w:p>
    <w:p>
      <w:pPr>
        <w:pStyle w:val="BodyText"/>
        <w:ind w:left="102"/>
        <w:jc w:val="both"/>
      </w:pPr>
      <w:r>
        <w:rPr>
          <w:position w:val="9"/>
          <w:sz w:val="16"/>
        </w:rPr>
        <w:t>©</w:t>
      </w:r>
      <w:r>
        <w:rPr/>
        <w:t>Springer Science + Business Media Dordrecht 2013</w:t>
      </w:r>
    </w:p>
    <w:p>
      <w:pPr>
        <w:pStyle w:val="BodyText"/>
        <w:rPr>
          <w:sz w:val="26"/>
        </w:rPr>
      </w:pPr>
    </w:p>
    <w:p>
      <w:pPr>
        <w:pStyle w:val="BodyText"/>
        <w:rPr>
          <w:sz w:val="26"/>
        </w:rPr>
      </w:pPr>
    </w:p>
    <w:p>
      <w:pPr>
        <w:pStyle w:val="BodyText"/>
        <w:spacing w:before="1"/>
        <w:rPr>
          <w:sz w:val="31"/>
        </w:rPr>
      </w:pPr>
    </w:p>
    <w:p>
      <w:pPr>
        <w:pStyle w:val="Heading1"/>
        <w:spacing w:before="0"/>
      </w:pPr>
      <w:r>
        <w:rPr/>
        <w:t>Abstract</w:t>
      </w:r>
    </w:p>
    <w:p>
      <w:pPr>
        <w:pStyle w:val="BodyText"/>
        <w:rPr>
          <w:b/>
        </w:rPr>
      </w:pPr>
    </w:p>
    <w:p>
      <w:pPr>
        <w:pStyle w:val="BodyText"/>
        <w:rPr>
          <w:b/>
        </w:rPr>
      </w:pPr>
    </w:p>
    <w:p>
      <w:pPr>
        <w:pStyle w:val="BodyText"/>
        <w:spacing w:before="5"/>
        <w:rPr>
          <w:b/>
          <w:sz w:val="20"/>
        </w:rPr>
      </w:pPr>
    </w:p>
    <w:p>
      <w:pPr>
        <w:pStyle w:val="BodyText"/>
        <w:spacing w:line="360" w:lineRule="auto"/>
        <w:ind w:left="102" w:right="115"/>
        <w:jc w:val="both"/>
      </w:pPr>
      <w:r>
        <w:rPr/>
        <w:t>The objective of this work was to determine the effect of family labour on the profitability and</w:t>
      </w:r>
      <w:r>
        <w:rPr>
          <w:spacing w:val="-16"/>
        </w:rPr>
        <w:t> </w:t>
      </w:r>
      <w:r>
        <w:rPr/>
        <w:t>competitiveness</w:t>
      </w:r>
      <w:r>
        <w:rPr>
          <w:spacing w:val="-15"/>
        </w:rPr>
        <w:t> </w:t>
      </w:r>
      <w:r>
        <w:rPr/>
        <w:t>of</w:t>
      </w:r>
      <w:r>
        <w:rPr>
          <w:spacing w:val="-17"/>
        </w:rPr>
        <w:t> </w:t>
      </w:r>
      <w:r>
        <w:rPr/>
        <w:t>small-scale</w:t>
      </w:r>
      <w:r>
        <w:rPr>
          <w:spacing w:val="-16"/>
        </w:rPr>
        <w:t> </w:t>
      </w:r>
      <w:r>
        <w:rPr/>
        <w:t>dairy</w:t>
      </w:r>
      <w:r>
        <w:rPr>
          <w:spacing w:val="-21"/>
        </w:rPr>
        <w:t> </w:t>
      </w:r>
      <w:r>
        <w:rPr/>
        <w:t>farms</w:t>
      </w:r>
      <w:r>
        <w:rPr>
          <w:spacing w:val="-16"/>
        </w:rPr>
        <w:t> </w:t>
      </w:r>
      <w:r>
        <w:rPr/>
        <w:t>in</w:t>
      </w:r>
      <w:r>
        <w:rPr>
          <w:spacing w:val="-15"/>
        </w:rPr>
        <w:t> </w:t>
      </w:r>
      <w:r>
        <w:rPr/>
        <w:t>the</w:t>
      </w:r>
      <w:r>
        <w:rPr>
          <w:spacing w:val="-16"/>
        </w:rPr>
        <w:t> </w:t>
      </w:r>
      <w:r>
        <w:rPr/>
        <w:t>highlands</w:t>
      </w:r>
      <w:r>
        <w:rPr>
          <w:spacing w:val="-16"/>
        </w:rPr>
        <w:t> </w:t>
      </w:r>
      <w:r>
        <w:rPr/>
        <w:t>of</w:t>
      </w:r>
      <w:r>
        <w:rPr>
          <w:spacing w:val="-17"/>
        </w:rPr>
        <w:t> </w:t>
      </w:r>
      <w:r>
        <w:rPr/>
        <w:t>Central</w:t>
      </w:r>
      <w:r>
        <w:rPr>
          <w:spacing w:val="-13"/>
        </w:rPr>
        <w:t> </w:t>
      </w:r>
      <w:r>
        <w:rPr/>
        <w:t>Mexico.</w:t>
      </w:r>
      <w:r>
        <w:rPr>
          <w:spacing w:val="-16"/>
        </w:rPr>
        <w:t> </w:t>
      </w:r>
      <w:r>
        <w:rPr/>
        <w:t>Economic data from 37 farms were analysed from a stratified statistical sampling with a Neyman assignment. Three strata were defined taking herd size as criterion. Stratum 1: herds from 3 to</w:t>
      </w:r>
      <w:r>
        <w:rPr>
          <w:spacing w:val="-6"/>
        </w:rPr>
        <w:t> </w:t>
      </w:r>
      <w:r>
        <w:rPr/>
        <w:t>9</w:t>
      </w:r>
      <w:r>
        <w:rPr>
          <w:spacing w:val="-6"/>
        </w:rPr>
        <w:t> </w:t>
      </w:r>
      <w:r>
        <w:rPr/>
        <w:t>cows</w:t>
      </w:r>
      <w:r>
        <w:rPr>
          <w:spacing w:val="-7"/>
        </w:rPr>
        <w:t> </w:t>
      </w:r>
      <w:r>
        <w:rPr/>
        <w:t>plus</w:t>
      </w:r>
      <w:r>
        <w:rPr>
          <w:spacing w:val="-6"/>
        </w:rPr>
        <w:t> </w:t>
      </w:r>
      <w:r>
        <w:rPr/>
        <w:t>replacements,</w:t>
      </w:r>
      <w:r>
        <w:rPr>
          <w:spacing w:val="-6"/>
        </w:rPr>
        <w:t> </w:t>
      </w:r>
      <w:r>
        <w:rPr/>
        <w:t>Stratum</w:t>
      </w:r>
      <w:r>
        <w:rPr>
          <w:spacing w:val="-6"/>
        </w:rPr>
        <w:t> </w:t>
      </w:r>
      <w:r>
        <w:rPr/>
        <w:t>2:</w:t>
      </w:r>
      <w:r>
        <w:rPr>
          <w:spacing w:val="-6"/>
        </w:rPr>
        <w:t> </w:t>
      </w:r>
      <w:r>
        <w:rPr/>
        <w:t>herds</w:t>
      </w:r>
      <w:r>
        <w:rPr>
          <w:spacing w:val="-7"/>
        </w:rPr>
        <w:t> </w:t>
      </w:r>
      <w:r>
        <w:rPr/>
        <w:t>from</w:t>
      </w:r>
      <w:r>
        <w:rPr>
          <w:spacing w:val="-6"/>
        </w:rPr>
        <w:t> </w:t>
      </w:r>
      <w:r>
        <w:rPr/>
        <w:t>10</w:t>
      </w:r>
      <w:r>
        <w:rPr>
          <w:spacing w:val="-6"/>
        </w:rPr>
        <w:t> </w:t>
      </w:r>
      <w:r>
        <w:rPr/>
        <w:t>to</w:t>
      </w:r>
      <w:r>
        <w:rPr>
          <w:spacing w:val="-6"/>
        </w:rPr>
        <w:t> </w:t>
      </w:r>
      <w:r>
        <w:rPr/>
        <w:t>19</w:t>
      </w:r>
      <w:r>
        <w:rPr>
          <w:spacing w:val="-6"/>
        </w:rPr>
        <w:t> </w:t>
      </w:r>
      <w:r>
        <w:rPr/>
        <w:t>cows</w:t>
      </w:r>
      <w:r>
        <w:rPr>
          <w:spacing w:val="-7"/>
        </w:rPr>
        <w:t> </w:t>
      </w:r>
      <w:r>
        <w:rPr/>
        <w:t>and</w:t>
      </w:r>
      <w:r>
        <w:rPr>
          <w:spacing w:val="-6"/>
        </w:rPr>
        <w:t> </w:t>
      </w:r>
      <w:r>
        <w:rPr/>
        <w:t>Stratum</w:t>
      </w:r>
      <w:r>
        <w:rPr>
          <w:spacing w:val="-6"/>
        </w:rPr>
        <w:t> </w:t>
      </w:r>
      <w:r>
        <w:rPr/>
        <w:t>3:</w:t>
      </w:r>
      <w:r>
        <w:rPr>
          <w:spacing w:val="-6"/>
        </w:rPr>
        <w:t> </w:t>
      </w:r>
      <w:r>
        <w:rPr/>
        <w:t>herds</w:t>
      </w:r>
      <w:r>
        <w:rPr>
          <w:spacing w:val="-7"/>
        </w:rPr>
        <w:t> </w:t>
      </w:r>
      <w:r>
        <w:rPr/>
        <w:t>from 20 to 30 cows. The policy analysis matrix was used as the method to determine profitability and competitiveness. The coefficient of private profitability (CPP) when the economic cost of family labour is included in the cost structure was 8.0 %, 31.0 % and 46.0 %. When the economic cost of family labour is not included, CPP increase to 47.0 %, 57.0 % and 66.0 % for</w:t>
      </w:r>
      <w:r>
        <w:rPr>
          <w:spacing w:val="-13"/>
        </w:rPr>
        <w:t> </w:t>
      </w:r>
      <w:r>
        <w:rPr/>
        <w:t>each</w:t>
      </w:r>
      <w:r>
        <w:rPr>
          <w:spacing w:val="-9"/>
        </w:rPr>
        <w:t> </w:t>
      </w:r>
      <w:r>
        <w:rPr/>
        <w:t>strata,</w:t>
      </w:r>
      <w:r>
        <w:rPr>
          <w:spacing w:val="-9"/>
        </w:rPr>
        <w:t> </w:t>
      </w:r>
      <w:r>
        <w:rPr/>
        <w:t>respectively.</w:t>
      </w:r>
      <w:r>
        <w:rPr>
          <w:spacing w:val="-11"/>
        </w:rPr>
        <w:t> </w:t>
      </w:r>
      <w:r>
        <w:rPr/>
        <w:t>The</w:t>
      </w:r>
      <w:r>
        <w:rPr>
          <w:spacing w:val="-12"/>
        </w:rPr>
        <w:t> </w:t>
      </w:r>
      <w:r>
        <w:rPr/>
        <w:t>private</w:t>
      </w:r>
      <w:r>
        <w:rPr>
          <w:spacing w:val="-9"/>
        </w:rPr>
        <w:t> </w:t>
      </w:r>
      <w:r>
        <w:rPr/>
        <w:t>cost</w:t>
      </w:r>
      <w:r>
        <w:rPr>
          <w:spacing w:val="-10"/>
        </w:rPr>
        <w:t> </w:t>
      </w:r>
      <w:r>
        <w:rPr/>
        <w:t>ratio</w:t>
      </w:r>
      <w:r>
        <w:rPr>
          <w:spacing w:val="-11"/>
        </w:rPr>
        <w:t> </w:t>
      </w:r>
      <w:r>
        <w:rPr/>
        <w:t>(PCR)</w:t>
      </w:r>
      <w:r>
        <w:rPr>
          <w:spacing w:val="-12"/>
        </w:rPr>
        <w:t> </w:t>
      </w:r>
      <w:r>
        <w:rPr/>
        <w:t>when</w:t>
      </w:r>
      <w:r>
        <w:rPr>
          <w:spacing w:val="-11"/>
        </w:rPr>
        <w:t> </w:t>
      </w:r>
      <w:r>
        <w:rPr/>
        <w:t>family</w:t>
      </w:r>
      <w:r>
        <w:rPr>
          <w:spacing w:val="-16"/>
        </w:rPr>
        <w:t> </w:t>
      </w:r>
      <w:r>
        <w:rPr/>
        <w:t>labour</w:t>
      </w:r>
      <w:r>
        <w:rPr>
          <w:spacing w:val="-10"/>
        </w:rPr>
        <w:t> </w:t>
      </w:r>
      <w:r>
        <w:rPr/>
        <w:t>is</w:t>
      </w:r>
      <w:r>
        <w:rPr>
          <w:spacing w:val="-10"/>
        </w:rPr>
        <w:t> </w:t>
      </w:r>
      <w:r>
        <w:rPr/>
        <w:t>included</w:t>
      </w:r>
      <w:r>
        <w:rPr>
          <w:spacing w:val="-9"/>
        </w:rPr>
        <w:t> </w:t>
      </w:r>
      <w:r>
        <w:rPr/>
        <w:t>was 0.79, 0.51 and 0.42 for strata 1, 2 and 3, respectively. When family labour is not included, the PCR was 0.07, 0.25 and 0.26. Net profit per litre of milk including family labour was US$0.03 l-1 for Stratum 1, US$0.09 for Stratum 2 and US$0.12 l-1 for Stratum 3; but increased to $0.12, 0.14 and 0.15, respectively, when the economic cost of family labour is not included. It is concluded that family labour is a crucial factor in the profitability and competitiveness of small-scale dairy</w:t>
      </w:r>
      <w:r>
        <w:rPr>
          <w:spacing w:val="-9"/>
        </w:rPr>
        <w:t> </w:t>
      </w:r>
      <w:r>
        <w:rPr/>
        <w:t>production.</w:t>
      </w:r>
    </w:p>
    <w:p>
      <w:pPr>
        <w:pStyle w:val="BodyText"/>
        <w:tabs>
          <w:tab w:pos="1546" w:val="left" w:leader="none"/>
          <w:tab w:pos="2993" w:val="left" w:leader="none"/>
          <w:tab w:pos="3808" w:val="left" w:leader="none"/>
          <w:tab w:pos="4957" w:val="left" w:leader="none"/>
          <w:tab w:pos="6297" w:val="left" w:leader="none"/>
          <w:tab w:pos="7724" w:val="left" w:leader="none"/>
        </w:tabs>
        <w:spacing w:line="360" w:lineRule="auto" w:before="126"/>
        <w:ind w:left="102" w:right="117"/>
      </w:pPr>
      <w:r>
        <w:rPr>
          <w:b/>
        </w:rPr>
        <w:t>Keywords:</w:t>
        <w:tab/>
      </w:r>
      <w:r>
        <w:rPr/>
        <w:t>Small-scale</w:t>
        <w:tab/>
        <w:t>dairy</w:t>
        <w:tab/>
        <w:t>systems,</w:t>
        <w:tab/>
        <w:t>Peri-urban</w:t>
        <w:tab/>
        <w:t>production,</w:t>
        <w:tab/>
      </w:r>
      <w:r>
        <w:rPr>
          <w:spacing w:val="-1"/>
        </w:rPr>
        <w:t>Profitability, </w:t>
      </w:r>
      <w:r>
        <w:rPr/>
        <w:t>Competitiveness,</w:t>
      </w:r>
      <w:r>
        <w:rPr>
          <w:spacing w:val="-5"/>
        </w:rPr>
        <w:t> </w:t>
      </w:r>
      <w:r>
        <w:rPr/>
        <w:t>Mexico.</w:t>
      </w:r>
    </w:p>
    <w:p>
      <w:pPr>
        <w:spacing w:after="0" w:line="360" w:lineRule="auto"/>
        <w:sectPr>
          <w:pgSz w:w="12240" w:h="15840"/>
          <w:pgMar w:header="0" w:footer="657" w:top="1360" w:bottom="840" w:left="1600" w:right="1580"/>
        </w:sectPr>
      </w:pPr>
    </w:p>
    <w:p>
      <w:pPr>
        <w:pStyle w:val="Heading1"/>
        <w:jc w:val="left"/>
      </w:pPr>
      <w:r>
        <w:rPr/>
        <w:t>Anexo 6</w:t>
      </w:r>
    </w:p>
    <w:p>
      <w:pPr>
        <w:pStyle w:val="BodyText"/>
        <w:rPr>
          <w:b/>
          <w:sz w:val="20"/>
        </w:rPr>
      </w:pPr>
    </w:p>
    <w:p>
      <w:pPr>
        <w:pStyle w:val="BodyText"/>
        <w:rPr>
          <w:b/>
          <w:sz w:val="20"/>
        </w:rPr>
      </w:pPr>
    </w:p>
    <w:p>
      <w:pPr>
        <w:pStyle w:val="BodyText"/>
        <w:rPr>
          <w:b/>
          <w:sz w:val="20"/>
        </w:rPr>
      </w:pPr>
    </w:p>
    <w:p>
      <w:pPr>
        <w:pStyle w:val="BodyText"/>
        <w:spacing w:before="6"/>
        <w:rPr>
          <w:b/>
          <w:sz w:val="19"/>
        </w:rPr>
      </w:pPr>
      <w:r>
        <w:rPr/>
        <w:drawing>
          <wp:anchor distT="0" distB="0" distL="0" distR="0" allowOverlap="1" layoutInCell="1" locked="0" behindDoc="0" simplePos="0" relativeHeight="7696">
            <wp:simplePos x="0" y="0"/>
            <wp:positionH relativeFrom="page">
              <wp:posOffset>1080516</wp:posOffset>
            </wp:positionH>
            <wp:positionV relativeFrom="paragraph">
              <wp:posOffset>167477</wp:posOffset>
            </wp:positionV>
            <wp:extent cx="5426555" cy="6955250"/>
            <wp:effectExtent l="0" t="0" r="0" b="0"/>
            <wp:wrapTopAndBottom/>
            <wp:docPr id="19" name="image150.jpeg" descr=""/>
            <wp:cNvGraphicFramePr>
              <a:graphicFrameLocks noChangeAspect="1"/>
            </wp:cNvGraphicFramePr>
            <a:graphic>
              <a:graphicData uri="http://schemas.openxmlformats.org/drawingml/2006/picture">
                <pic:pic>
                  <pic:nvPicPr>
                    <pic:cNvPr id="20" name="image150.jpeg"/>
                    <pic:cNvPicPr/>
                  </pic:nvPicPr>
                  <pic:blipFill>
                    <a:blip r:embed="rId217" cstate="print"/>
                    <a:stretch>
                      <a:fillRect/>
                    </a:stretch>
                  </pic:blipFill>
                  <pic:spPr>
                    <a:xfrm>
                      <a:off x="0" y="0"/>
                      <a:ext cx="5426555" cy="6955250"/>
                    </a:xfrm>
                    <a:prstGeom prst="rect">
                      <a:avLst/>
                    </a:prstGeom>
                  </pic:spPr>
                </pic:pic>
              </a:graphicData>
            </a:graphic>
          </wp:anchor>
        </w:drawing>
      </w:r>
    </w:p>
    <w:p>
      <w:pPr>
        <w:spacing w:after="0"/>
        <w:rPr>
          <w:sz w:val="19"/>
        </w:rPr>
        <w:sectPr>
          <w:pgSz w:w="12240" w:h="15840"/>
          <w:pgMar w:header="0" w:footer="657" w:top="1360" w:bottom="840" w:left="1600" w:right="1660"/>
        </w:sectPr>
      </w:pPr>
    </w:p>
    <w:p>
      <w:pPr>
        <w:spacing w:before="55"/>
        <w:ind w:left="102" w:right="0" w:firstLine="0"/>
        <w:jc w:val="left"/>
        <w:rPr>
          <w:b/>
          <w:sz w:val="24"/>
        </w:rPr>
      </w:pPr>
      <w:r>
        <w:rPr>
          <w:b/>
          <w:sz w:val="24"/>
        </w:rPr>
        <w:t>Anexo 7</w:t>
      </w:r>
    </w:p>
    <w:p>
      <w:pPr>
        <w:pStyle w:val="BodyText"/>
        <w:rPr>
          <w:b/>
        </w:rPr>
      </w:pPr>
    </w:p>
    <w:p>
      <w:pPr>
        <w:pStyle w:val="BodyText"/>
        <w:rPr>
          <w:b/>
        </w:rPr>
      </w:pPr>
    </w:p>
    <w:p>
      <w:pPr>
        <w:pStyle w:val="BodyText"/>
        <w:spacing w:before="11"/>
        <w:rPr>
          <w:b/>
          <w:sz w:val="22"/>
        </w:rPr>
      </w:pPr>
    </w:p>
    <w:p>
      <w:pPr>
        <w:spacing w:before="0"/>
        <w:ind w:left="102" w:right="0" w:firstLine="0"/>
        <w:jc w:val="left"/>
        <w:rPr>
          <w:b/>
          <w:sz w:val="24"/>
        </w:rPr>
      </w:pPr>
      <w:r>
        <w:rPr>
          <w:b/>
          <w:sz w:val="24"/>
        </w:rPr>
        <w:t>Resumen de publicaciones complementarias</w:t>
      </w:r>
    </w:p>
    <w:p>
      <w:pPr>
        <w:pStyle w:val="BodyText"/>
        <w:rPr>
          <w:b/>
        </w:rPr>
      </w:pPr>
    </w:p>
    <w:p>
      <w:pPr>
        <w:pStyle w:val="BodyText"/>
        <w:rPr>
          <w:b/>
        </w:rPr>
      </w:pPr>
    </w:p>
    <w:p>
      <w:pPr>
        <w:pStyle w:val="BodyText"/>
        <w:spacing w:before="8"/>
        <w:rPr>
          <w:b/>
          <w:sz w:val="22"/>
        </w:rPr>
      </w:pPr>
    </w:p>
    <w:p>
      <w:pPr>
        <w:spacing w:before="0"/>
        <w:ind w:left="102" w:right="0" w:firstLine="0"/>
        <w:jc w:val="left"/>
        <w:rPr>
          <w:b/>
          <w:sz w:val="24"/>
        </w:rPr>
      </w:pPr>
      <w:r>
        <w:rPr>
          <w:b/>
          <w:sz w:val="24"/>
        </w:rPr>
        <w:t>Congresos</w:t>
      </w:r>
    </w:p>
    <w:p>
      <w:pPr>
        <w:pStyle w:val="BodyText"/>
        <w:rPr>
          <w:b/>
          <w:sz w:val="29"/>
        </w:rPr>
      </w:pPr>
    </w:p>
    <w:p>
      <w:pPr>
        <w:pStyle w:val="BodyText"/>
        <w:spacing w:line="360" w:lineRule="auto"/>
        <w:ind w:left="461" w:right="120" w:hanging="360"/>
        <w:jc w:val="both"/>
      </w:pPr>
      <w:r>
        <w:rPr/>
        <w:drawing>
          <wp:inline distT="0" distB="0" distL="0" distR="0">
            <wp:extent cx="126365" cy="126366"/>
            <wp:effectExtent l="0" t="0" r="0" b="0"/>
            <wp:docPr id="21" name="image151.png" descr=""/>
            <wp:cNvGraphicFramePr>
              <a:graphicFrameLocks noChangeAspect="1"/>
            </wp:cNvGraphicFramePr>
            <a:graphic>
              <a:graphicData uri="http://schemas.openxmlformats.org/drawingml/2006/picture">
                <pic:pic>
                  <pic:nvPicPr>
                    <pic:cNvPr id="22" name="image151.png"/>
                    <pic:cNvPicPr/>
                  </pic:nvPicPr>
                  <pic:blipFill>
                    <a:blip r:embed="rId218" cstate="print"/>
                    <a:stretch>
                      <a:fillRect/>
                    </a:stretch>
                  </pic:blipFill>
                  <pic:spPr>
                    <a:xfrm>
                      <a:off x="0" y="0"/>
                      <a:ext cx="126365" cy="126366"/>
                    </a:xfrm>
                    <a:prstGeom prst="rect">
                      <a:avLst/>
                    </a:prstGeom>
                  </pic:spPr>
                </pic:pic>
              </a:graphicData>
            </a:graphic>
          </wp:inline>
        </w:drawing>
      </w:r>
      <w:r>
        <w:rPr/>
      </w:r>
      <w:r>
        <w:rPr>
          <w:sz w:val="20"/>
        </w:rPr>
        <w:t>  </w:t>
      </w:r>
      <w:r>
        <w:rPr>
          <w:b/>
          <w:u w:val="thick"/>
        </w:rPr>
        <w:t>Rodolfo Rogelio Posadas-Domínguez</w:t>
      </w:r>
      <w:r>
        <w:rPr/>
        <w:t>, Nicolás Callejas Juárez, Carlos Manuel Arriaga Jordán, Francisco Ernesto Martínez Castañeda. 2013. Viabilidad económica de los sistemas lecheros de pequeña escala y el papel de la mano de obra familiar: panorama económico 2010-2019. 14to Congreso Nacional de Investigación Socioeconómica y Ambiental de la Producción Pecuaria. Toluca, Estado de México. 16-18</w:t>
      </w:r>
      <w:r>
        <w:rPr>
          <w:spacing w:val="-12"/>
        </w:rPr>
        <w:t> </w:t>
      </w:r>
      <w:r>
        <w:rPr/>
        <w:t>octubre.</w:t>
      </w:r>
    </w:p>
    <w:p>
      <w:pPr>
        <w:pStyle w:val="BodyText"/>
        <w:spacing w:line="360" w:lineRule="auto" w:before="205"/>
        <w:ind w:left="461" w:right="116" w:hanging="360"/>
        <w:jc w:val="both"/>
      </w:pPr>
      <w:r>
        <w:rPr/>
        <w:drawing>
          <wp:inline distT="0" distB="0" distL="0" distR="0">
            <wp:extent cx="126365" cy="126364"/>
            <wp:effectExtent l="0" t="0" r="0" b="0"/>
            <wp:docPr id="23" name="image151.png" descr=""/>
            <wp:cNvGraphicFramePr>
              <a:graphicFrameLocks noChangeAspect="1"/>
            </wp:cNvGraphicFramePr>
            <a:graphic>
              <a:graphicData uri="http://schemas.openxmlformats.org/drawingml/2006/picture">
                <pic:pic>
                  <pic:nvPicPr>
                    <pic:cNvPr id="24" name="image151.png"/>
                    <pic:cNvPicPr/>
                  </pic:nvPicPr>
                  <pic:blipFill>
                    <a:blip r:embed="rId218" cstate="print"/>
                    <a:stretch>
                      <a:fillRect/>
                    </a:stretch>
                  </pic:blipFill>
                  <pic:spPr>
                    <a:xfrm>
                      <a:off x="0" y="0"/>
                      <a:ext cx="126365" cy="126364"/>
                    </a:xfrm>
                    <a:prstGeom prst="rect">
                      <a:avLst/>
                    </a:prstGeom>
                  </pic:spPr>
                </pic:pic>
              </a:graphicData>
            </a:graphic>
          </wp:inline>
        </w:drawing>
      </w:r>
      <w:r>
        <w:rPr/>
      </w:r>
      <w:r>
        <w:rPr>
          <w:sz w:val="20"/>
        </w:rPr>
        <w:t>  </w:t>
      </w:r>
      <w:r>
        <w:rPr>
          <w:b/>
          <w:u w:val="thick"/>
        </w:rPr>
        <w:t>Rodolfo</w:t>
      </w:r>
      <w:r>
        <w:rPr>
          <w:b/>
          <w:spacing w:val="-16"/>
          <w:u w:val="thick"/>
        </w:rPr>
        <w:t> </w:t>
      </w:r>
      <w:r>
        <w:rPr>
          <w:b/>
          <w:u w:val="thick"/>
        </w:rPr>
        <w:t>Rogelio</w:t>
      </w:r>
      <w:r>
        <w:rPr>
          <w:b/>
          <w:spacing w:val="-16"/>
          <w:u w:val="thick"/>
        </w:rPr>
        <w:t> </w:t>
      </w:r>
      <w:r>
        <w:rPr>
          <w:b/>
          <w:u w:val="thick"/>
        </w:rPr>
        <w:t>Posadas-Domínguez</w:t>
      </w:r>
      <w:r>
        <w:rPr/>
        <w:t>,</w:t>
      </w:r>
      <w:r>
        <w:rPr>
          <w:spacing w:val="-16"/>
        </w:rPr>
        <w:t> </w:t>
      </w:r>
      <w:r>
        <w:rPr/>
        <w:t>Jesús</w:t>
      </w:r>
      <w:r>
        <w:rPr>
          <w:spacing w:val="-15"/>
        </w:rPr>
        <w:t> </w:t>
      </w:r>
      <w:r>
        <w:rPr/>
        <w:t>Armando</w:t>
      </w:r>
      <w:r>
        <w:rPr>
          <w:spacing w:val="-16"/>
        </w:rPr>
        <w:t> </w:t>
      </w:r>
      <w:r>
        <w:rPr/>
        <w:t>Salinas</w:t>
      </w:r>
      <w:r>
        <w:rPr>
          <w:spacing w:val="-16"/>
        </w:rPr>
        <w:t> </w:t>
      </w:r>
      <w:r>
        <w:rPr/>
        <w:t>Martínez,</w:t>
      </w:r>
      <w:r>
        <w:rPr>
          <w:spacing w:val="-16"/>
        </w:rPr>
        <w:t> </w:t>
      </w:r>
      <w:r>
        <w:rPr/>
        <w:t>Carlos</w:t>
      </w:r>
      <w:r>
        <w:rPr>
          <w:spacing w:val="-16"/>
        </w:rPr>
        <w:t> </w:t>
      </w:r>
      <w:r>
        <w:rPr/>
        <w:t>Manuel Arriaga Jordán, Nicolás Callejas Juárez, Francisco Ernesto Martínez Castañeda. 2012. Competitividad y rentabilidad privada en la lechería de pequeña escala. 13er Congreso Nacional de Investigación Socioeconómica y Ambiental de la Producción Pecuaria. 18</w:t>
      </w:r>
      <w:r>
        <w:rPr>
          <w:spacing w:val="-39"/>
        </w:rPr>
        <w:t> </w:t>
      </w:r>
      <w:r>
        <w:rPr/>
        <w:t>y 19 de octubre. Puebla,</w:t>
      </w:r>
      <w:r>
        <w:rPr>
          <w:spacing w:val="-4"/>
        </w:rPr>
        <w:t> </w:t>
      </w:r>
      <w:r>
        <w:rPr/>
        <w:t>México.</w:t>
      </w:r>
    </w:p>
    <w:p>
      <w:pPr>
        <w:pStyle w:val="BodyText"/>
        <w:spacing w:line="360" w:lineRule="auto" w:before="206"/>
        <w:ind w:left="461" w:right="114" w:hanging="360"/>
        <w:jc w:val="both"/>
      </w:pPr>
      <w:r>
        <w:rPr/>
        <w:drawing>
          <wp:inline distT="0" distB="0" distL="0" distR="0">
            <wp:extent cx="126365" cy="126364"/>
            <wp:effectExtent l="0" t="0" r="0" b="0"/>
            <wp:docPr id="25" name="image151.png" descr=""/>
            <wp:cNvGraphicFramePr>
              <a:graphicFrameLocks noChangeAspect="1"/>
            </wp:cNvGraphicFramePr>
            <a:graphic>
              <a:graphicData uri="http://schemas.openxmlformats.org/drawingml/2006/picture">
                <pic:pic>
                  <pic:nvPicPr>
                    <pic:cNvPr id="26" name="image151.png"/>
                    <pic:cNvPicPr/>
                  </pic:nvPicPr>
                  <pic:blipFill>
                    <a:blip r:embed="rId218" cstate="print"/>
                    <a:stretch>
                      <a:fillRect/>
                    </a:stretch>
                  </pic:blipFill>
                  <pic:spPr>
                    <a:xfrm>
                      <a:off x="0" y="0"/>
                      <a:ext cx="126365" cy="126364"/>
                    </a:xfrm>
                    <a:prstGeom prst="rect">
                      <a:avLst/>
                    </a:prstGeom>
                  </pic:spPr>
                </pic:pic>
              </a:graphicData>
            </a:graphic>
          </wp:inline>
        </w:drawing>
      </w:r>
      <w:r>
        <w:rPr/>
      </w:r>
      <w:r>
        <w:rPr>
          <w:sz w:val="20"/>
        </w:rPr>
        <w:t>  </w:t>
      </w:r>
      <w:r>
        <w:rPr/>
        <w:t>Salinas Martínez Jesús Armando, </w:t>
      </w:r>
      <w:r>
        <w:rPr>
          <w:b/>
          <w:u w:val="thick"/>
        </w:rPr>
        <w:t>Posadas-Domínguez Rodolfo Rogelio</w:t>
      </w:r>
      <w:r>
        <w:rPr/>
        <w:t>, Peñuelas- Rivas Claudia Giovanna, Espinoza Ortega Angélica, Martínez Castañeda Francisco Ernesto.</w:t>
      </w:r>
      <w:r>
        <w:rPr>
          <w:spacing w:val="-9"/>
        </w:rPr>
        <w:t> </w:t>
      </w:r>
      <w:r>
        <w:rPr/>
        <w:t>2012.</w:t>
      </w:r>
      <w:r>
        <w:rPr>
          <w:spacing w:val="-10"/>
        </w:rPr>
        <w:t> </w:t>
      </w:r>
      <w:r>
        <w:rPr/>
        <w:t>Análisis</w:t>
      </w:r>
      <w:r>
        <w:rPr>
          <w:spacing w:val="-9"/>
        </w:rPr>
        <w:t> </w:t>
      </w:r>
      <w:r>
        <w:rPr/>
        <w:t>de</w:t>
      </w:r>
      <w:r>
        <w:rPr>
          <w:spacing w:val="-11"/>
        </w:rPr>
        <w:t> </w:t>
      </w:r>
      <w:r>
        <w:rPr/>
        <w:t>las</w:t>
      </w:r>
      <w:r>
        <w:rPr>
          <w:spacing w:val="-10"/>
        </w:rPr>
        <w:t> </w:t>
      </w:r>
      <w:r>
        <w:rPr/>
        <w:t>estrategias</w:t>
      </w:r>
      <w:r>
        <w:rPr>
          <w:spacing w:val="-10"/>
        </w:rPr>
        <w:t> </w:t>
      </w:r>
      <w:r>
        <w:rPr/>
        <w:t>de</w:t>
      </w:r>
      <w:r>
        <w:rPr>
          <w:spacing w:val="-11"/>
        </w:rPr>
        <w:t> </w:t>
      </w:r>
      <w:r>
        <w:rPr/>
        <w:t>producción</w:t>
      </w:r>
      <w:r>
        <w:rPr>
          <w:spacing w:val="-9"/>
        </w:rPr>
        <w:t> </w:t>
      </w:r>
      <w:r>
        <w:rPr/>
        <w:t>como</w:t>
      </w:r>
      <w:r>
        <w:rPr>
          <w:spacing w:val="-9"/>
        </w:rPr>
        <w:t> </w:t>
      </w:r>
      <w:r>
        <w:rPr/>
        <w:t>elemento</w:t>
      </w:r>
      <w:r>
        <w:rPr>
          <w:spacing w:val="-9"/>
        </w:rPr>
        <w:t> </w:t>
      </w:r>
      <w:r>
        <w:rPr/>
        <w:t>de</w:t>
      </w:r>
      <w:r>
        <w:rPr>
          <w:spacing w:val="-8"/>
        </w:rPr>
        <w:t> </w:t>
      </w:r>
      <w:r>
        <w:rPr/>
        <w:t>sostenibilidad económica de los sistemas lecheros periurbanos de pequeña escala. 13er Congreso Nacional de Investigación Socioeconómica y Ambiental de la Producción Pecuaria.</w:t>
      </w:r>
      <w:r>
        <w:rPr>
          <w:spacing w:val="-41"/>
        </w:rPr>
        <w:t> </w:t>
      </w:r>
      <w:r>
        <w:rPr/>
        <w:t>18 y 19 de octubre. Puebla,</w:t>
      </w:r>
      <w:r>
        <w:rPr>
          <w:spacing w:val="-4"/>
        </w:rPr>
        <w:t> </w:t>
      </w:r>
      <w:r>
        <w:rPr/>
        <w:t>México.</w:t>
      </w:r>
    </w:p>
    <w:p>
      <w:pPr>
        <w:pStyle w:val="BodyText"/>
        <w:spacing w:line="360" w:lineRule="auto" w:before="205"/>
        <w:ind w:left="461" w:right="114" w:hanging="360"/>
        <w:jc w:val="both"/>
      </w:pPr>
      <w:r>
        <w:rPr/>
        <w:drawing>
          <wp:inline distT="0" distB="0" distL="0" distR="0">
            <wp:extent cx="126365" cy="126366"/>
            <wp:effectExtent l="0" t="0" r="0" b="0"/>
            <wp:docPr id="27" name="image151.png" descr=""/>
            <wp:cNvGraphicFramePr>
              <a:graphicFrameLocks noChangeAspect="1"/>
            </wp:cNvGraphicFramePr>
            <a:graphic>
              <a:graphicData uri="http://schemas.openxmlformats.org/drawingml/2006/picture">
                <pic:pic>
                  <pic:nvPicPr>
                    <pic:cNvPr id="28" name="image151.png"/>
                    <pic:cNvPicPr/>
                  </pic:nvPicPr>
                  <pic:blipFill>
                    <a:blip r:embed="rId218" cstate="print"/>
                    <a:stretch>
                      <a:fillRect/>
                    </a:stretch>
                  </pic:blipFill>
                  <pic:spPr>
                    <a:xfrm>
                      <a:off x="0" y="0"/>
                      <a:ext cx="126365" cy="126366"/>
                    </a:xfrm>
                    <a:prstGeom prst="rect">
                      <a:avLst/>
                    </a:prstGeom>
                  </pic:spPr>
                </pic:pic>
              </a:graphicData>
            </a:graphic>
          </wp:inline>
        </w:drawing>
      </w:r>
      <w:r>
        <w:rPr/>
      </w:r>
      <w:r>
        <w:rPr>
          <w:sz w:val="20"/>
        </w:rPr>
        <w:t>  </w:t>
      </w:r>
      <w:r>
        <w:rPr/>
        <w:t>Jesús Armando Salinas-Martínez, </w:t>
      </w:r>
      <w:r>
        <w:rPr>
          <w:b/>
          <w:u w:val="thick"/>
        </w:rPr>
        <w:t>Rodolfo Rogelio Posadas-Domínguez</w:t>
      </w:r>
      <w:r>
        <w:rPr/>
        <w:t>, Claudia Giovanna Peñuelas-Rivas, Angélica Espinoza-Ortega, José Herrera-Haro, Martínez- Castañeda Francisco Ernesto. 2011. Reevaluación económica, costos de producción, margen de utilidad y punto de equilibrio de la lechería periurbana. 3er Congreso Internacional y 12do Nacional de Investigación Socioeconómica y Ambiental de la Producción Pecuaria. Morelia, Michoacán. 17-20 de</w:t>
      </w:r>
      <w:r>
        <w:rPr>
          <w:spacing w:val="-8"/>
        </w:rPr>
        <w:t> </w:t>
      </w:r>
      <w:r>
        <w:rPr/>
        <w:t>mayo.</w:t>
      </w:r>
    </w:p>
    <w:p>
      <w:pPr>
        <w:spacing w:after="0" w:line="360" w:lineRule="auto"/>
        <w:jc w:val="both"/>
        <w:sectPr>
          <w:pgSz w:w="12240" w:h="15840"/>
          <w:pgMar w:header="0" w:footer="657" w:top="1360" w:bottom="840" w:left="1600" w:right="1580"/>
        </w:sectPr>
      </w:pPr>
    </w:p>
    <w:p>
      <w:pPr>
        <w:pStyle w:val="Heading1"/>
        <w:jc w:val="left"/>
      </w:pPr>
      <w:r>
        <w:rPr/>
        <w:t>Conferencias</w:t>
      </w:r>
    </w:p>
    <w:p>
      <w:pPr>
        <w:pStyle w:val="BodyText"/>
        <w:rPr>
          <w:b/>
          <w:sz w:val="29"/>
        </w:rPr>
      </w:pPr>
    </w:p>
    <w:p>
      <w:pPr>
        <w:spacing w:line="360" w:lineRule="auto" w:before="0"/>
        <w:ind w:left="461" w:right="120" w:hanging="360"/>
        <w:jc w:val="both"/>
        <w:rPr>
          <w:sz w:val="24"/>
        </w:rPr>
      </w:pPr>
      <w:r>
        <w:rPr/>
        <w:drawing>
          <wp:inline distT="0" distB="0" distL="0" distR="0">
            <wp:extent cx="126365" cy="126365"/>
            <wp:effectExtent l="0" t="0" r="0" b="0"/>
            <wp:docPr id="29" name="image151.png" descr=""/>
            <wp:cNvGraphicFramePr>
              <a:graphicFrameLocks noChangeAspect="1"/>
            </wp:cNvGraphicFramePr>
            <a:graphic>
              <a:graphicData uri="http://schemas.openxmlformats.org/drawingml/2006/picture">
                <pic:pic>
                  <pic:nvPicPr>
                    <pic:cNvPr id="30" name="image151.png"/>
                    <pic:cNvPicPr/>
                  </pic:nvPicPr>
                  <pic:blipFill>
                    <a:blip r:embed="rId218" cstate="print"/>
                    <a:stretch>
                      <a:fillRect/>
                    </a:stretch>
                  </pic:blipFill>
                  <pic:spPr>
                    <a:xfrm>
                      <a:off x="0" y="0"/>
                      <a:ext cx="126365" cy="126365"/>
                    </a:xfrm>
                    <a:prstGeom prst="rect">
                      <a:avLst/>
                    </a:prstGeom>
                  </pic:spPr>
                </pic:pic>
              </a:graphicData>
            </a:graphic>
          </wp:inline>
        </w:drawing>
      </w:r>
      <w:r>
        <w:rPr/>
      </w:r>
      <w:r>
        <w:rPr>
          <w:sz w:val="20"/>
        </w:rPr>
        <w:t>  </w:t>
      </w:r>
      <w:r>
        <w:rPr>
          <w:sz w:val="24"/>
        </w:rPr>
        <w:t>Analysis of the economic and financial viability of smallholder dairy systems in central Mexico. </w:t>
      </w:r>
      <w:r>
        <w:rPr>
          <w:b/>
          <w:sz w:val="24"/>
        </w:rPr>
        <w:t>College of Agricultural and Life Sciences. Department of Dairy Science. University of Wisconsin-Madison</w:t>
      </w:r>
      <w:r>
        <w:rPr>
          <w:sz w:val="24"/>
        </w:rPr>
        <w:t>. 6 de noviembre de</w:t>
      </w:r>
      <w:r>
        <w:rPr>
          <w:spacing w:val="-7"/>
          <w:sz w:val="24"/>
        </w:rPr>
        <w:t> </w:t>
      </w:r>
      <w:r>
        <w:rPr>
          <w:sz w:val="24"/>
        </w:rPr>
        <w:t>2013.</w:t>
      </w:r>
    </w:p>
    <w:p>
      <w:pPr>
        <w:spacing w:line="360" w:lineRule="auto" w:before="205"/>
        <w:ind w:left="461" w:right="117" w:hanging="360"/>
        <w:jc w:val="both"/>
        <w:rPr>
          <w:sz w:val="24"/>
        </w:rPr>
      </w:pPr>
      <w:r>
        <w:rPr/>
        <w:drawing>
          <wp:inline distT="0" distB="0" distL="0" distR="0">
            <wp:extent cx="126365" cy="126365"/>
            <wp:effectExtent l="0" t="0" r="0" b="0"/>
            <wp:docPr id="31" name="image151.png" descr=""/>
            <wp:cNvGraphicFramePr>
              <a:graphicFrameLocks noChangeAspect="1"/>
            </wp:cNvGraphicFramePr>
            <a:graphic>
              <a:graphicData uri="http://schemas.openxmlformats.org/drawingml/2006/picture">
                <pic:pic>
                  <pic:nvPicPr>
                    <pic:cNvPr id="32" name="image151.png"/>
                    <pic:cNvPicPr/>
                  </pic:nvPicPr>
                  <pic:blipFill>
                    <a:blip r:embed="rId218" cstate="print"/>
                    <a:stretch>
                      <a:fillRect/>
                    </a:stretch>
                  </pic:blipFill>
                  <pic:spPr>
                    <a:xfrm>
                      <a:off x="0" y="0"/>
                      <a:ext cx="126365" cy="126365"/>
                    </a:xfrm>
                    <a:prstGeom prst="rect">
                      <a:avLst/>
                    </a:prstGeom>
                  </pic:spPr>
                </pic:pic>
              </a:graphicData>
            </a:graphic>
          </wp:inline>
        </w:drawing>
      </w:r>
      <w:r>
        <w:rPr/>
      </w:r>
      <w:r>
        <w:rPr>
          <w:sz w:val="20"/>
        </w:rPr>
        <w:t>  </w:t>
      </w:r>
      <w:r>
        <w:rPr>
          <w:sz w:val="24"/>
        </w:rPr>
        <w:t>Viabilidad económica y financiera de los sistemas lecheros de pequeña escala y el papel de la mano de obra familiar: panorama económico 2010-2019. 14to </w:t>
      </w:r>
      <w:r>
        <w:rPr>
          <w:b/>
          <w:sz w:val="24"/>
        </w:rPr>
        <w:t>Congreso Nacional de Investigación Socioeconómica y Ambiental de la Producción Pecuaria</w:t>
      </w:r>
      <w:r>
        <w:rPr>
          <w:sz w:val="24"/>
        </w:rPr>
        <w:t>. Toluca, Estado de México. 17 de octubre de</w:t>
      </w:r>
      <w:r>
        <w:rPr>
          <w:spacing w:val="-9"/>
          <w:sz w:val="24"/>
        </w:rPr>
        <w:t> </w:t>
      </w:r>
      <w:r>
        <w:rPr>
          <w:sz w:val="24"/>
        </w:rPr>
        <w:t>2013.</w:t>
      </w:r>
    </w:p>
    <w:p>
      <w:pPr>
        <w:spacing w:line="360" w:lineRule="auto" w:before="206"/>
        <w:ind w:left="461" w:right="120" w:hanging="360"/>
        <w:jc w:val="both"/>
        <w:rPr>
          <w:sz w:val="24"/>
        </w:rPr>
      </w:pPr>
      <w:r>
        <w:rPr/>
        <w:drawing>
          <wp:inline distT="0" distB="0" distL="0" distR="0">
            <wp:extent cx="126365" cy="126365"/>
            <wp:effectExtent l="0" t="0" r="0" b="0"/>
            <wp:docPr id="33" name="image151.png" descr=""/>
            <wp:cNvGraphicFramePr>
              <a:graphicFrameLocks noChangeAspect="1"/>
            </wp:cNvGraphicFramePr>
            <a:graphic>
              <a:graphicData uri="http://schemas.openxmlformats.org/drawingml/2006/picture">
                <pic:pic>
                  <pic:nvPicPr>
                    <pic:cNvPr id="34" name="image151.png"/>
                    <pic:cNvPicPr/>
                  </pic:nvPicPr>
                  <pic:blipFill>
                    <a:blip r:embed="rId218" cstate="print"/>
                    <a:stretch>
                      <a:fillRect/>
                    </a:stretch>
                  </pic:blipFill>
                  <pic:spPr>
                    <a:xfrm>
                      <a:off x="0" y="0"/>
                      <a:ext cx="126365" cy="126365"/>
                    </a:xfrm>
                    <a:prstGeom prst="rect">
                      <a:avLst/>
                    </a:prstGeom>
                  </pic:spPr>
                </pic:pic>
              </a:graphicData>
            </a:graphic>
          </wp:inline>
        </w:drawing>
      </w:r>
      <w:r>
        <w:rPr/>
      </w:r>
      <w:r>
        <w:rPr>
          <w:sz w:val="20"/>
        </w:rPr>
        <w:t>  </w:t>
      </w:r>
      <w:r>
        <w:rPr>
          <w:sz w:val="24"/>
        </w:rPr>
        <w:t>Competitividad y rentabilidad privada en la lechería de pequeña escala. </w:t>
      </w:r>
      <w:r>
        <w:rPr>
          <w:b/>
          <w:sz w:val="24"/>
        </w:rPr>
        <w:t>13er Congreso Nacional de Investigación Socioeconómica y Ambiental de la Producción Pecuaria. Puebla</w:t>
      </w:r>
      <w:r>
        <w:rPr>
          <w:sz w:val="24"/>
        </w:rPr>
        <w:t>, México. 19 de octubre de</w:t>
      </w:r>
      <w:r>
        <w:rPr>
          <w:spacing w:val="-10"/>
          <w:sz w:val="24"/>
        </w:rPr>
        <w:t> </w:t>
      </w:r>
      <w:r>
        <w:rPr>
          <w:sz w:val="24"/>
        </w:rPr>
        <w:t>2012.</w:t>
      </w:r>
    </w:p>
    <w:p>
      <w:pPr>
        <w:pStyle w:val="BodyText"/>
      </w:pPr>
    </w:p>
    <w:p>
      <w:pPr>
        <w:pStyle w:val="BodyText"/>
      </w:pPr>
    </w:p>
    <w:p>
      <w:pPr>
        <w:pStyle w:val="BodyText"/>
        <w:spacing w:before="3"/>
        <w:rPr>
          <w:sz w:val="23"/>
        </w:rPr>
      </w:pPr>
    </w:p>
    <w:p>
      <w:pPr>
        <w:pStyle w:val="Heading1"/>
        <w:spacing w:before="0"/>
        <w:jc w:val="left"/>
      </w:pPr>
      <w:r>
        <w:rPr/>
        <w:t>Estancias</w:t>
      </w:r>
    </w:p>
    <w:p>
      <w:pPr>
        <w:pStyle w:val="BodyText"/>
        <w:rPr>
          <w:b/>
          <w:sz w:val="29"/>
        </w:rPr>
      </w:pPr>
    </w:p>
    <w:p>
      <w:pPr>
        <w:spacing w:line="360" w:lineRule="auto" w:before="0"/>
        <w:ind w:left="461" w:right="118" w:hanging="360"/>
        <w:jc w:val="both"/>
        <w:rPr>
          <w:sz w:val="24"/>
        </w:rPr>
      </w:pPr>
      <w:r>
        <w:rPr/>
        <w:drawing>
          <wp:inline distT="0" distB="0" distL="0" distR="0">
            <wp:extent cx="126365" cy="126364"/>
            <wp:effectExtent l="0" t="0" r="0" b="0"/>
            <wp:docPr id="35" name="image151.png" descr=""/>
            <wp:cNvGraphicFramePr>
              <a:graphicFrameLocks noChangeAspect="1"/>
            </wp:cNvGraphicFramePr>
            <a:graphic>
              <a:graphicData uri="http://schemas.openxmlformats.org/drawingml/2006/picture">
                <pic:pic>
                  <pic:nvPicPr>
                    <pic:cNvPr id="36" name="image151.png"/>
                    <pic:cNvPicPr/>
                  </pic:nvPicPr>
                  <pic:blipFill>
                    <a:blip r:embed="rId218" cstate="print"/>
                    <a:stretch>
                      <a:fillRect/>
                    </a:stretch>
                  </pic:blipFill>
                  <pic:spPr>
                    <a:xfrm>
                      <a:off x="0" y="0"/>
                      <a:ext cx="126365" cy="126364"/>
                    </a:xfrm>
                    <a:prstGeom prst="rect">
                      <a:avLst/>
                    </a:prstGeom>
                  </pic:spPr>
                </pic:pic>
              </a:graphicData>
            </a:graphic>
          </wp:inline>
        </w:drawing>
      </w:r>
      <w:r>
        <w:rPr/>
      </w:r>
      <w:r>
        <w:rPr>
          <w:sz w:val="20"/>
        </w:rPr>
        <w:t>  </w:t>
      </w:r>
      <w:r>
        <w:rPr>
          <w:sz w:val="24"/>
        </w:rPr>
        <w:t>Estancia en el </w:t>
      </w:r>
      <w:r>
        <w:rPr>
          <w:b/>
          <w:sz w:val="24"/>
        </w:rPr>
        <w:t>College of Agricultural and Life Sciences. Department of Dairy Science. University of Wisconsin-Madison</w:t>
      </w:r>
      <w:r>
        <w:rPr>
          <w:sz w:val="24"/>
        </w:rPr>
        <w:t>. Con el propósito de vinculación de proyectos de investigación. 3-9 de noviembre de</w:t>
      </w:r>
      <w:r>
        <w:rPr>
          <w:spacing w:val="-7"/>
          <w:sz w:val="24"/>
        </w:rPr>
        <w:t> </w:t>
      </w:r>
      <w:r>
        <w:rPr>
          <w:sz w:val="24"/>
        </w:rPr>
        <w:t>2013.</w:t>
      </w:r>
    </w:p>
    <w:p>
      <w:pPr>
        <w:spacing w:line="357" w:lineRule="auto" w:before="205"/>
        <w:ind w:left="461" w:right="117" w:hanging="360"/>
        <w:jc w:val="both"/>
        <w:rPr>
          <w:sz w:val="24"/>
        </w:rPr>
      </w:pPr>
      <w:r>
        <w:rPr/>
        <w:drawing>
          <wp:inline distT="0" distB="0" distL="0" distR="0">
            <wp:extent cx="126365" cy="126364"/>
            <wp:effectExtent l="0" t="0" r="0" b="0"/>
            <wp:docPr id="37" name="image151.png" descr=""/>
            <wp:cNvGraphicFramePr>
              <a:graphicFrameLocks noChangeAspect="1"/>
            </wp:cNvGraphicFramePr>
            <a:graphic>
              <a:graphicData uri="http://schemas.openxmlformats.org/drawingml/2006/picture">
                <pic:pic>
                  <pic:nvPicPr>
                    <pic:cNvPr id="38" name="image151.png"/>
                    <pic:cNvPicPr/>
                  </pic:nvPicPr>
                  <pic:blipFill>
                    <a:blip r:embed="rId218" cstate="print"/>
                    <a:stretch>
                      <a:fillRect/>
                    </a:stretch>
                  </pic:blipFill>
                  <pic:spPr>
                    <a:xfrm>
                      <a:off x="0" y="0"/>
                      <a:ext cx="126365" cy="126364"/>
                    </a:xfrm>
                    <a:prstGeom prst="rect">
                      <a:avLst/>
                    </a:prstGeom>
                  </pic:spPr>
                </pic:pic>
              </a:graphicData>
            </a:graphic>
          </wp:inline>
        </w:drawing>
      </w:r>
      <w:r>
        <w:rPr/>
      </w:r>
      <w:r>
        <w:rPr>
          <w:sz w:val="20"/>
        </w:rPr>
        <w:t>  </w:t>
      </w:r>
      <w:r>
        <w:rPr>
          <w:sz w:val="24"/>
        </w:rPr>
        <w:t>Estancia en la </w:t>
      </w:r>
      <w:r>
        <w:rPr>
          <w:b/>
          <w:sz w:val="24"/>
        </w:rPr>
        <w:t>Universidad Autónoma de Chihuahua</w:t>
      </w:r>
      <w:r>
        <w:rPr>
          <w:sz w:val="24"/>
        </w:rPr>
        <w:t>. </w:t>
      </w:r>
      <w:r>
        <w:rPr>
          <w:b/>
          <w:sz w:val="24"/>
        </w:rPr>
        <w:t>Facultad de Zootecnia y Ecología, División de Posgrado</w:t>
      </w:r>
      <w:r>
        <w:rPr>
          <w:sz w:val="24"/>
        </w:rPr>
        <w:t>. Con el propósito del manejo de software y análisis de resultados en sistemas lecheros de pequeña escala. Con Simulation Econometrics to Analyze Risk (Simetar)</w:t>
      </w:r>
      <w:r>
        <w:rPr>
          <w:position w:val="9"/>
          <w:sz w:val="16"/>
        </w:rPr>
        <w:t>© </w:t>
      </w:r>
      <w:r>
        <w:rPr>
          <w:sz w:val="24"/>
        </w:rPr>
        <w:t>y Simulación econométrica y análisis de riesgo (MexSim)</w:t>
      </w:r>
      <w:r>
        <w:rPr>
          <w:position w:val="9"/>
          <w:sz w:val="16"/>
        </w:rPr>
        <w:t>©</w:t>
      </w:r>
      <w:r>
        <w:rPr>
          <w:sz w:val="24"/>
        </w:rPr>
        <w:t>. </w:t>
      </w:r>
      <w:r>
        <w:rPr>
          <w:spacing w:val="-3"/>
          <w:sz w:val="24"/>
        </w:rPr>
        <w:t>23 </w:t>
      </w:r>
      <w:r>
        <w:rPr>
          <w:sz w:val="24"/>
        </w:rPr>
        <w:t>de septiembre al 07 de noviembre de</w:t>
      </w:r>
      <w:r>
        <w:rPr>
          <w:spacing w:val="-5"/>
          <w:sz w:val="24"/>
        </w:rPr>
        <w:t> </w:t>
      </w:r>
      <w:r>
        <w:rPr>
          <w:sz w:val="24"/>
        </w:rPr>
        <w:t>2012.</w:t>
      </w:r>
    </w:p>
    <w:p>
      <w:pPr>
        <w:spacing w:line="352" w:lineRule="auto" w:before="208"/>
        <w:ind w:left="461" w:right="117" w:hanging="360"/>
        <w:jc w:val="both"/>
        <w:rPr>
          <w:sz w:val="24"/>
        </w:rPr>
      </w:pPr>
      <w:r>
        <w:rPr/>
        <w:drawing>
          <wp:inline distT="0" distB="0" distL="0" distR="0">
            <wp:extent cx="126365" cy="126998"/>
            <wp:effectExtent l="0" t="0" r="0" b="0"/>
            <wp:docPr id="39" name="image151.png" descr=""/>
            <wp:cNvGraphicFramePr>
              <a:graphicFrameLocks noChangeAspect="1"/>
            </wp:cNvGraphicFramePr>
            <a:graphic>
              <a:graphicData uri="http://schemas.openxmlformats.org/drawingml/2006/picture">
                <pic:pic>
                  <pic:nvPicPr>
                    <pic:cNvPr id="40" name="image151.png"/>
                    <pic:cNvPicPr/>
                  </pic:nvPicPr>
                  <pic:blipFill>
                    <a:blip r:embed="rId218" cstate="print"/>
                    <a:stretch>
                      <a:fillRect/>
                    </a:stretch>
                  </pic:blipFill>
                  <pic:spPr>
                    <a:xfrm>
                      <a:off x="0" y="0"/>
                      <a:ext cx="126365" cy="126998"/>
                    </a:xfrm>
                    <a:prstGeom prst="rect">
                      <a:avLst/>
                    </a:prstGeom>
                  </pic:spPr>
                </pic:pic>
              </a:graphicData>
            </a:graphic>
          </wp:inline>
        </w:drawing>
      </w:r>
      <w:r>
        <w:rPr/>
      </w:r>
      <w:r>
        <w:rPr>
          <w:sz w:val="20"/>
        </w:rPr>
        <w:t>  </w:t>
      </w:r>
      <w:r>
        <w:rPr>
          <w:sz w:val="24"/>
        </w:rPr>
        <w:t>Estancia en la </w:t>
      </w:r>
      <w:r>
        <w:rPr>
          <w:b/>
          <w:sz w:val="24"/>
        </w:rPr>
        <w:t>Universidad Autónoma de Chihuahua</w:t>
      </w:r>
      <w:r>
        <w:rPr>
          <w:sz w:val="24"/>
        </w:rPr>
        <w:t>. </w:t>
      </w:r>
      <w:r>
        <w:rPr>
          <w:b/>
          <w:sz w:val="24"/>
        </w:rPr>
        <w:t>Facultad de Zootecnia y Ecología, División de Posgrado</w:t>
      </w:r>
      <w:r>
        <w:rPr>
          <w:sz w:val="24"/>
        </w:rPr>
        <w:t>. Con el propósito del manejo de software: Simulación econométrica y análisis de riesgo (MexSim)</w:t>
      </w:r>
      <w:r>
        <w:rPr>
          <w:position w:val="9"/>
          <w:sz w:val="16"/>
        </w:rPr>
        <w:t>©</w:t>
      </w:r>
      <w:r>
        <w:rPr>
          <w:sz w:val="24"/>
        </w:rPr>
        <w:t>.  04-14 de septiembre de</w:t>
      </w:r>
      <w:r>
        <w:rPr>
          <w:spacing w:val="-29"/>
          <w:sz w:val="24"/>
        </w:rPr>
        <w:t> </w:t>
      </w:r>
      <w:r>
        <w:rPr>
          <w:sz w:val="24"/>
        </w:rPr>
        <w:t>2011.</w:t>
      </w:r>
    </w:p>
    <w:sectPr>
      <w:pgSz w:w="12240" w:h="15840"/>
      <w:pgMar w:header="0" w:footer="657" w:top="1360" w:bottom="8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76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type id="_x0000_t202" o:spt="202" coordsize="21600,21600" path="m,l,21600r21600,l21600,xe">
          <v:stroke joinstyle="miter"/>
          <v:path gradientshapeok="t" o:connecttype="rect"/>
        </v:shapetype>
        <v:shape style="position:absolute;margin-left:297.690002pt;margin-top:750.559998pt;width:16.650pt;height:13.05pt;mso-position-horizontal-relative:page;mso-position-vertical-relative:page;z-index:-462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32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30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28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23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2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18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13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11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08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04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01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99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1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94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192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89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1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71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6.609985pt;margin-top:750.559998pt;width:18.95pt;height:13.05pt;mso-position-horizontal-relative:page;mso-position-vertical-relative:page;z-index:-462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xvii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84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1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80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75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70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65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60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56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51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46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41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66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301.170013pt;margin-top:750.559998pt;width:9.6pt;height:13.05pt;mso-position-horizontal-relative:page;mso-position-vertical-relative:page;z-index:-462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36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32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27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22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117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5.649994pt;margin-top:750.559998pt;width:20.75pt;height:13.05pt;mso-position-horizontal-relative:page;mso-position-vertical-relative:page;z-index:-461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61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59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568"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520"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49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472"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424"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9.410004pt;margin-top:750.559998pt;width:13.3pt;height:13.05pt;mso-position-horizontal-relative:page;mso-position-vertical-relative:page;z-index:-46240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40002pt;margin-top:746.159973pt;width:435.5pt;height:21pt;mso-position-horizontal-relative:page;mso-position-vertical-relative:page;z-index:-462376" coordorigin="1769,14923" coordsize="8710,420">
          <v:line style="position:absolute" from="1778,15132" to="10468,15132" stroked="true" strokeweight=".96pt" strokecolor="#808080"/>
          <v:shape style="position:absolute;left:5708;top:14946;width:824;height:375" coordorigin="5708,14946" coordsize="824,375" path="m6469,14946l5771,14946,5747,14951,5727,14964,5713,14984,5708,15008,5708,15258,5713,15282,5727,15302,5747,15315,5771,15320,6469,15320,6493,15315,6513,15302,6527,15282,6532,15258,6532,15008,6527,14984,6513,14964,6493,14951,6469,14946xe" filled="true" fillcolor="#ffffff" stroked="false">
            <v:path arrowok="t"/>
            <v:fill type="solid"/>
          </v:shape>
          <v:shape style="position:absolute;left:5686;top:14923;width:108;height:420" type="#_x0000_t75" stroked="false">
            <v:imagedata r:id="rId1" o:title=""/>
          </v:shape>
          <v:shape style="position:absolute;left:6446;top:14923;width:108;height:420" type="#_x0000_t75" stroked="false">
            <v:imagedata r:id="rId2" o:title=""/>
          </v:shape>
          <w10:wrap type="none"/>
        </v:group>
      </w:pict>
    </w:r>
    <w:r>
      <w:rPr/>
      <w:pict>
        <v:shape style="position:absolute;margin-left:298.410004pt;margin-top:750.559998pt;width:15.3pt;height:13.05pt;mso-position-horizontal-relative:page;mso-position-vertical-relative:page;z-index:-462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1"/>
      <w:numFmt w:val="decimal"/>
      <w:lvlText w:val="%1."/>
      <w:lvlJc w:val="left"/>
      <w:pPr>
        <w:ind w:left="469"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14" w:hanging="360"/>
      </w:pPr>
      <w:rPr>
        <w:rFonts w:hint="default"/>
      </w:rPr>
    </w:lvl>
    <w:lvl w:ilvl="2">
      <w:start w:val="1"/>
      <w:numFmt w:val="bullet"/>
      <w:lvlText w:val="•"/>
      <w:lvlJc w:val="left"/>
      <w:pPr>
        <w:ind w:left="2168" w:hanging="360"/>
      </w:pPr>
      <w:rPr>
        <w:rFonts w:hint="default"/>
      </w:rPr>
    </w:lvl>
    <w:lvl w:ilvl="3">
      <w:start w:val="1"/>
      <w:numFmt w:val="bullet"/>
      <w:lvlText w:val="•"/>
      <w:lvlJc w:val="left"/>
      <w:pPr>
        <w:ind w:left="3022" w:hanging="360"/>
      </w:pPr>
      <w:rPr>
        <w:rFonts w:hint="default"/>
      </w:rPr>
    </w:lvl>
    <w:lvl w:ilvl="4">
      <w:start w:val="1"/>
      <w:numFmt w:val="bullet"/>
      <w:lvlText w:val="•"/>
      <w:lvlJc w:val="left"/>
      <w:pPr>
        <w:ind w:left="3876" w:hanging="360"/>
      </w:pPr>
      <w:rPr>
        <w:rFonts w:hint="default"/>
      </w:rPr>
    </w:lvl>
    <w:lvl w:ilvl="5">
      <w:start w:val="1"/>
      <w:numFmt w:val="bullet"/>
      <w:lvlText w:val="•"/>
      <w:lvlJc w:val="left"/>
      <w:pPr>
        <w:ind w:left="4730" w:hanging="360"/>
      </w:pPr>
      <w:rPr>
        <w:rFonts w:hint="default"/>
      </w:rPr>
    </w:lvl>
    <w:lvl w:ilvl="6">
      <w:start w:val="1"/>
      <w:numFmt w:val="bullet"/>
      <w:lvlText w:val="•"/>
      <w:lvlJc w:val="left"/>
      <w:pPr>
        <w:ind w:left="5584"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92" w:hanging="360"/>
      </w:pPr>
      <w:rPr>
        <w:rFonts w:hint="default"/>
      </w:rPr>
    </w:lvl>
  </w:abstractNum>
  <w:abstractNum w:abstractNumId="28">
    <w:multiLevelType w:val="hybridMultilevel"/>
    <w:lvl w:ilvl="0">
      <w:start w:val="6"/>
      <w:numFmt w:val="decimal"/>
      <w:lvlText w:val="%1"/>
      <w:lvlJc w:val="left"/>
      <w:pPr>
        <w:ind w:left="102" w:hanging="360"/>
        <w:jc w:val="left"/>
      </w:pPr>
      <w:rPr>
        <w:rFonts w:hint="default"/>
      </w:rPr>
    </w:lvl>
    <w:lvl w:ilvl="1">
      <w:start w:val="8"/>
      <w:numFmt w:val="decimal"/>
      <w:lvlText w:val="%1.%2"/>
      <w:lvlJc w:val="left"/>
      <w:pPr>
        <w:ind w:left="10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b/>
        <w:bCs/>
        <w:i/>
        <w:spacing w:val="-1"/>
        <w:w w:val="99"/>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27">
    <w:multiLevelType w:val="hybridMultilevel"/>
    <w:lvl w:ilvl="0">
      <w:start w:val="6"/>
      <w:numFmt w:val="decimal"/>
      <w:lvlText w:val="%1"/>
      <w:lvlJc w:val="left"/>
      <w:pPr>
        <w:ind w:left="482" w:hanging="360"/>
        <w:jc w:val="left"/>
      </w:pPr>
      <w:rPr>
        <w:rFonts w:hint="default"/>
      </w:rPr>
    </w:lvl>
    <w:lvl w:ilvl="1">
      <w:start w:val="7"/>
      <w:numFmt w:val="decimal"/>
      <w:lvlText w:val="%1.%2"/>
      <w:lvlJc w:val="left"/>
      <w:pPr>
        <w:ind w:left="48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i/>
        <w:spacing w:val="-2"/>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26">
    <w:multiLevelType w:val="hybridMultilevel"/>
    <w:lvl w:ilvl="0">
      <w:start w:val="6"/>
      <w:numFmt w:val="decimal"/>
      <w:lvlText w:val="%1"/>
      <w:lvlJc w:val="left"/>
      <w:pPr>
        <w:ind w:left="462" w:hanging="360"/>
        <w:jc w:val="left"/>
      </w:pPr>
      <w:rPr>
        <w:rFonts w:hint="default"/>
      </w:rPr>
    </w:lvl>
    <w:lvl w:ilvl="1">
      <w:start w:val="4"/>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i/>
        <w:spacing w:val="-2"/>
        <w:w w:val="99"/>
        <w:sz w:val="24"/>
        <w:szCs w:val="24"/>
      </w:rPr>
    </w:lvl>
    <w:lvl w:ilvl="3">
      <w:start w:val="1"/>
      <w:numFmt w:val="bullet"/>
      <w:lvlText w:val="•"/>
      <w:lvlJc w:val="left"/>
      <w:pPr>
        <w:ind w:left="1710" w:hanging="540"/>
      </w:pPr>
      <w:rPr>
        <w:rFonts w:hint="default"/>
      </w:rPr>
    </w:lvl>
    <w:lvl w:ilvl="4">
      <w:start w:val="1"/>
      <w:numFmt w:val="bullet"/>
      <w:lvlText w:val="•"/>
      <w:lvlJc w:val="left"/>
      <w:pPr>
        <w:ind w:left="2760" w:hanging="540"/>
      </w:pPr>
      <w:rPr>
        <w:rFonts w:hint="default"/>
      </w:rPr>
    </w:lvl>
    <w:lvl w:ilvl="5">
      <w:start w:val="1"/>
      <w:numFmt w:val="bullet"/>
      <w:lvlText w:val="•"/>
      <w:lvlJc w:val="left"/>
      <w:pPr>
        <w:ind w:left="3810" w:hanging="540"/>
      </w:pPr>
      <w:rPr>
        <w:rFonts w:hint="default"/>
      </w:rPr>
    </w:lvl>
    <w:lvl w:ilvl="6">
      <w:start w:val="1"/>
      <w:numFmt w:val="bullet"/>
      <w:lvlText w:val="•"/>
      <w:lvlJc w:val="left"/>
      <w:pPr>
        <w:ind w:left="4860" w:hanging="540"/>
      </w:pPr>
      <w:rPr>
        <w:rFonts w:hint="default"/>
      </w:rPr>
    </w:lvl>
    <w:lvl w:ilvl="7">
      <w:start w:val="1"/>
      <w:numFmt w:val="bullet"/>
      <w:lvlText w:val="•"/>
      <w:lvlJc w:val="left"/>
      <w:pPr>
        <w:ind w:left="5910" w:hanging="540"/>
      </w:pPr>
      <w:rPr>
        <w:rFonts w:hint="default"/>
      </w:rPr>
    </w:lvl>
    <w:lvl w:ilvl="8">
      <w:start w:val="1"/>
      <w:numFmt w:val="bullet"/>
      <w:lvlText w:val="•"/>
      <w:lvlJc w:val="left"/>
      <w:pPr>
        <w:ind w:left="6960" w:hanging="540"/>
      </w:pPr>
      <w:rPr>
        <w:rFonts w:hint="default"/>
      </w:rPr>
    </w:lvl>
  </w:abstractNum>
  <w:abstractNum w:abstractNumId="25">
    <w:multiLevelType w:val="hybridMultilevel"/>
    <w:lvl w:ilvl="0">
      <w:start w:val="6"/>
      <w:numFmt w:val="decimal"/>
      <w:lvlText w:val="%1"/>
      <w:lvlJc w:val="left"/>
      <w:pPr>
        <w:ind w:left="462" w:hanging="360"/>
        <w:jc w:val="left"/>
      </w:pPr>
      <w:rPr>
        <w:rFonts w:hint="default"/>
      </w:rPr>
    </w:lvl>
    <w:lvl w:ilvl="1">
      <w:start w:val="1"/>
      <w:numFmt w:val="decimal"/>
      <w:lvlText w:val="%1.%2"/>
      <w:lvlJc w:val="left"/>
      <w:pPr>
        <w:ind w:left="462" w:hanging="360"/>
        <w:jc w:val="right"/>
      </w:pPr>
      <w:rPr>
        <w:rFonts w:hint="default" w:ascii="Times New Roman" w:hAnsi="Times New Roman" w:eastAsia="Times New Roman" w:cs="Times New Roman"/>
        <w:b/>
        <w:bCs/>
        <w:w w:val="100"/>
        <w:sz w:val="24"/>
        <w:szCs w:val="24"/>
      </w:rPr>
    </w:lvl>
    <w:lvl w:ilvl="2">
      <w:start w:val="1"/>
      <w:numFmt w:val="bullet"/>
      <w:lvlText w:val="•"/>
      <w:lvlJc w:val="left"/>
      <w:pPr>
        <w:ind w:left="1575" w:hanging="360"/>
      </w:pPr>
      <w:rPr>
        <w:rFonts w:hint="default"/>
      </w:rPr>
    </w:lvl>
    <w:lvl w:ilvl="3">
      <w:start w:val="1"/>
      <w:numFmt w:val="bullet"/>
      <w:lvlText w:val="•"/>
      <w:lvlJc w:val="left"/>
      <w:pPr>
        <w:ind w:left="2511" w:hanging="360"/>
      </w:pPr>
      <w:rPr>
        <w:rFonts w:hint="default"/>
      </w:rPr>
    </w:lvl>
    <w:lvl w:ilvl="4">
      <w:start w:val="1"/>
      <w:numFmt w:val="bullet"/>
      <w:lvlText w:val="•"/>
      <w:lvlJc w:val="left"/>
      <w:pPr>
        <w:ind w:left="3446" w:hanging="360"/>
      </w:pPr>
      <w:rPr>
        <w:rFonts w:hint="default"/>
      </w:rPr>
    </w:lvl>
    <w:lvl w:ilvl="5">
      <w:start w:val="1"/>
      <w:numFmt w:val="bullet"/>
      <w:lvlText w:val="•"/>
      <w:lvlJc w:val="left"/>
      <w:pPr>
        <w:ind w:left="4382" w:hanging="360"/>
      </w:pPr>
      <w:rPr>
        <w:rFonts w:hint="default"/>
      </w:rPr>
    </w:lvl>
    <w:lvl w:ilvl="6">
      <w:start w:val="1"/>
      <w:numFmt w:val="bullet"/>
      <w:lvlText w:val="•"/>
      <w:lvlJc w:val="left"/>
      <w:pPr>
        <w:ind w:left="5317" w:hanging="360"/>
      </w:pPr>
      <w:rPr>
        <w:rFonts w:hint="default"/>
      </w:rPr>
    </w:lvl>
    <w:lvl w:ilvl="7">
      <w:start w:val="1"/>
      <w:numFmt w:val="bullet"/>
      <w:lvlText w:val="•"/>
      <w:lvlJc w:val="left"/>
      <w:pPr>
        <w:ind w:left="6253" w:hanging="360"/>
      </w:pPr>
      <w:rPr>
        <w:rFonts w:hint="default"/>
      </w:rPr>
    </w:lvl>
    <w:lvl w:ilvl="8">
      <w:start w:val="1"/>
      <w:numFmt w:val="bullet"/>
      <w:lvlText w:val="•"/>
      <w:lvlJc w:val="left"/>
      <w:pPr>
        <w:ind w:left="7188" w:hanging="360"/>
      </w:pPr>
      <w:rPr>
        <w:rFonts w:hint="default"/>
      </w:rPr>
    </w:lvl>
  </w:abstractNum>
  <w:abstractNum w:abstractNumId="24">
    <w:multiLevelType w:val="hybridMultilevel"/>
    <w:lvl w:ilvl="0">
      <w:start w:val="2"/>
      <w:numFmt w:val="decimal"/>
      <w:lvlText w:val="%1"/>
      <w:lvlJc w:val="left"/>
      <w:pPr>
        <w:ind w:left="522" w:hanging="420"/>
        <w:jc w:val="left"/>
      </w:pPr>
      <w:rPr>
        <w:rFonts w:hint="default"/>
      </w:rPr>
    </w:lvl>
    <w:lvl w:ilvl="1">
      <w:start w:val="6"/>
      <w:numFmt w:val="decimal"/>
      <w:lvlText w:val="%1.%2."/>
      <w:lvlJc w:val="left"/>
      <w:pPr>
        <w:ind w:left="522" w:hanging="420"/>
        <w:jc w:val="left"/>
      </w:pPr>
      <w:rPr>
        <w:rFonts w:hint="default" w:ascii="Times New Roman" w:hAnsi="Times New Roman" w:eastAsia="Times New Roman" w:cs="Times New Roman"/>
        <w:i/>
        <w:spacing w:val="-1"/>
        <w:w w:val="99"/>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23">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522" w:hanging="420"/>
        <w:jc w:val="left"/>
      </w:pPr>
      <w:rPr>
        <w:rFonts w:hint="default" w:ascii="Times New Roman" w:hAnsi="Times New Roman" w:eastAsia="Times New Roman" w:cs="Times New Roman"/>
        <w:i/>
        <w:spacing w:val="-1"/>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i/>
        <w:spacing w:val="-2"/>
        <w:w w:val="100"/>
        <w:sz w:val="24"/>
        <w:szCs w:val="24"/>
      </w:rPr>
    </w:lvl>
    <w:lvl w:ilvl="3">
      <w:start w:val="1"/>
      <w:numFmt w:val="bullet"/>
      <w:lvlText w:val="•"/>
      <w:lvlJc w:val="left"/>
      <w:pPr>
        <w:ind w:left="1742" w:hanging="600"/>
      </w:pPr>
      <w:rPr>
        <w:rFonts w:hint="default"/>
      </w:rPr>
    </w:lvl>
    <w:lvl w:ilvl="4">
      <w:start w:val="1"/>
      <w:numFmt w:val="bullet"/>
      <w:lvlText w:val="•"/>
      <w:lvlJc w:val="left"/>
      <w:pPr>
        <w:ind w:left="2785" w:hanging="600"/>
      </w:pPr>
      <w:rPr>
        <w:rFonts w:hint="default"/>
      </w:rPr>
    </w:lvl>
    <w:lvl w:ilvl="5">
      <w:start w:val="1"/>
      <w:numFmt w:val="bullet"/>
      <w:lvlText w:val="•"/>
      <w:lvlJc w:val="left"/>
      <w:pPr>
        <w:ind w:left="3827" w:hanging="600"/>
      </w:pPr>
      <w:rPr>
        <w:rFonts w:hint="default"/>
      </w:rPr>
    </w:lvl>
    <w:lvl w:ilvl="6">
      <w:start w:val="1"/>
      <w:numFmt w:val="bullet"/>
      <w:lvlText w:val="•"/>
      <w:lvlJc w:val="left"/>
      <w:pPr>
        <w:ind w:left="4870" w:hanging="600"/>
      </w:pPr>
      <w:rPr>
        <w:rFonts w:hint="default"/>
      </w:rPr>
    </w:lvl>
    <w:lvl w:ilvl="7">
      <w:start w:val="1"/>
      <w:numFmt w:val="bullet"/>
      <w:lvlText w:val="•"/>
      <w:lvlJc w:val="left"/>
      <w:pPr>
        <w:ind w:left="5912" w:hanging="600"/>
      </w:pPr>
      <w:rPr>
        <w:rFonts w:hint="default"/>
      </w:rPr>
    </w:lvl>
    <w:lvl w:ilvl="8">
      <w:start w:val="1"/>
      <w:numFmt w:val="bullet"/>
      <w:lvlText w:val="•"/>
      <w:lvlJc w:val="left"/>
      <w:pPr>
        <w:ind w:left="6955" w:hanging="600"/>
      </w:pPr>
      <w:rPr>
        <w:rFonts w:hint="default"/>
      </w:rPr>
    </w:lvl>
  </w:abstractNum>
  <w:abstractNum w:abstractNumId="22">
    <w:multiLevelType w:val="hybridMultilevel"/>
    <w:lvl w:ilvl="0">
      <w:start w:val="5"/>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1">
    <w:multiLevelType w:val="hybridMultilevel"/>
    <w:lvl w:ilvl="0">
      <w:start w:val="4"/>
      <w:numFmt w:val="decimal"/>
      <w:lvlText w:val="%1"/>
      <w:lvlJc w:val="left"/>
      <w:pPr>
        <w:ind w:left="662" w:hanging="540"/>
        <w:jc w:val="left"/>
      </w:pPr>
      <w:rPr>
        <w:rFonts w:hint="default"/>
      </w:rPr>
    </w:lvl>
    <w:lvl w:ilvl="1">
      <w:start w:val="6"/>
      <w:numFmt w:val="decimal"/>
      <w:lvlText w:val="%1.%2"/>
      <w:lvlJc w:val="left"/>
      <w:pPr>
        <w:ind w:left="662" w:hanging="540"/>
        <w:jc w:val="left"/>
      </w:pPr>
      <w:rPr>
        <w:rFonts w:hint="default"/>
      </w:rPr>
    </w:lvl>
    <w:lvl w:ilvl="2">
      <w:start w:val="2"/>
      <w:numFmt w:val="decimal"/>
      <w:lvlText w:val="%1.%2.%3"/>
      <w:lvlJc w:val="left"/>
      <w:pPr>
        <w:ind w:left="662" w:hanging="540"/>
        <w:jc w:val="left"/>
      </w:pPr>
      <w:rPr>
        <w:rFonts w:hint="default" w:ascii="Times New Roman" w:hAnsi="Times New Roman" w:eastAsia="Times New Roman" w:cs="Times New Roman"/>
        <w:b/>
        <w:bCs/>
        <w:i/>
        <w:spacing w:val="-2"/>
        <w:w w:val="99"/>
        <w:sz w:val="24"/>
        <w:szCs w:val="24"/>
      </w:rPr>
    </w:lvl>
    <w:lvl w:ilvl="3">
      <w:start w:val="1"/>
      <w:numFmt w:val="lowerRoman"/>
      <w:lvlText w:val="%4."/>
      <w:lvlJc w:val="left"/>
      <w:pPr>
        <w:ind w:left="1202" w:hanging="720"/>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3826" w:hanging="720"/>
      </w:pPr>
      <w:rPr>
        <w:rFonts w:hint="default"/>
      </w:rPr>
    </w:lvl>
    <w:lvl w:ilvl="5">
      <w:start w:val="1"/>
      <w:numFmt w:val="bullet"/>
      <w:lvlText w:val="•"/>
      <w:lvlJc w:val="left"/>
      <w:pPr>
        <w:ind w:left="4702" w:hanging="720"/>
      </w:pPr>
      <w:rPr>
        <w:rFonts w:hint="default"/>
      </w:rPr>
    </w:lvl>
    <w:lvl w:ilvl="6">
      <w:start w:val="1"/>
      <w:numFmt w:val="bullet"/>
      <w:lvlText w:val="•"/>
      <w:lvlJc w:val="left"/>
      <w:pPr>
        <w:ind w:left="5577" w:hanging="720"/>
      </w:pPr>
      <w:rPr>
        <w:rFonts w:hint="default"/>
      </w:rPr>
    </w:lvl>
    <w:lvl w:ilvl="7">
      <w:start w:val="1"/>
      <w:numFmt w:val="bullet"/>
      <w:lvlText w:val="•"/>
      <w:lvlJc w:val="left"/>
      <w:pPr>
        <w:ind w:left="6453" w:hanging="720"/>
      </w:pPr>
      <w:rPr>
        <w:rFonts w:hint="default"/>
      </w:rPr>
    </w:lvl>
    <w:lvl w:ilvl="8">
      <w:start w:val="1"/>
      <w:numFmt w:val="bullet"/>
      <w:lvlText w:val="•"/>
      <w:lvlJc w:val="left"/>
      <w:pPr>
        <w:ind w:left="7328" w:hanging="720"/>
      </w:pPr>
      <w:rPr>
        <w:rFonts w:hint="default"/>
      </w:rPr>
    </w:lvl>
  </w:abstractNum>
  <w:abstractNum w:abstractNumId="20">
    <w:multiLevelType w:val="hybridMultilevel"/>
    <w:lvl w:ilvl="0">
      <w:start w:val="40"/>
      <w:numFmt w:val="decimal"/>
      <w:lvlText w:val="%1)"/>
      <w:lvlJc w:val="left"/>
      <w:pPr>
        <w:ind w:left="102" w:hanging="380"/>
        <w:jc w:val="right"/>
      </w:pPr>
      <w:rPr>
        <w:rFonts w:hint="default" w:ascii="Times New Roman" w:hAnsi="Times New Roman" w:eastAsia="Times New Roman" w:cs="Times New Roman"/>
        <w:w w:val="100"/>
        <w:position w:val="2"/>
        <w:sz w:val="24"/>
        <w:szCs w:val="24"/>
      </w:rPr>
    </w:lvl>
    <w:lvl w:ilvl="1">
      <w:start w:val="1"/>
      <w:numFmt w:val="bullet"/>
      <w:lvlText w:val="•"/>
      <w:lvlJc w:val="left"/>
      <w:pPr>
        <w:ind w:left="996" w:hanging="380"/>
      </w:pPr>
      <w:rPr>
        <w:rFonts w:hint="default"/>
      </w:rPr>
    </w:lvl>
    <w:lvl w:ilvl="2">
      <w:start w:val="1"/>
      <w:numFmt w:val="bullet"/>
      <w:lvlText w:val="•"/>
      <w:lvlJc w:val="left"/>
      <w:pPr>
        <w:ind w:left="1892" w:hanging="380"/>
      </w:pPr>
      <w:rPr>
        <w:rFonts w:hint="default"/>
      </w:rPr>
    </w:lvl>
    <w:lvl w:ilvl="3">
      <w:start w:val="1"/>
      <w:numFmt w:val="bullet"/>
      <w:lvlText w:val="•"/>
      <w:lvlJc w:val="left"/>
      <w:pPr>
        <w:ind w:left="2788" w:hanging="380"/>
      </w:pPr>
      <w:rPr>
        <w:rFonts w:hint="default"/>
      </w:rPr>
    </w:lvl>
    <w:lvl w:ilvl="4">
      <w:start w:val="1"/>
      <w:numFmt w:val="bullet"/>
      <w:lvlText w:val="•"/>
      <w:lvlJc w:val="left"/>
      <w:pPr>
        <w:ind w:left="3684" w:hanging="380"/>
      </w:pPr>
      <w:rPr>
        <w:rFonts w:hint="default"/>
      </w:rPr>
    </w:lvl>
    <w:lvl w:ilvl="5">
      <w:start w:val="1"/>
      <w:numFmt w:val="bullet"/>
      <w:lvlText w:val="•"/>
      <w:lvlJc w:val="left"/>
      <w:pPr>
        <w:ind w:left="4580" w:hanging="380"/>
      </w:pPr>
      <w:rPr>
        <w:rFonts w:hint="default"/>
      </w:rPr>
    </w:lvl>
    <w:lvl w:ilvl="6">
      <w:start w:val="1"/>
      <w:numFmt w:val="bullet"/>
      <w:lvlText w:val="•"/>
      <w:lvlJc w:val="left"/>
      <w:pPr>
        <w:ind w:left="5476" w:hanging="380"/>
      </w:pPr>
      <w:rPr>
        <w:rFonts w:hint="default"/>
      </w:rPr>
    </w:lvl>
    <w:lvl w:ilvl="7">
      <w:start w:val="1"/>
      <w:numFmt w:val="bullet"/>
      <w:lvlText w:val="•"/>
      <w:lvlJc w:val="left"/>
      <w:pPr>
        <w:ind w:left="6372" w:hanging="380"/>
      </w:pPr>
      <w:rPr>
        <w:rFonts w:hint="default"/>
      </w:rPr>
    </w:lvl>
    <w:lvl w:ilvl="8">
      <w:start w:val="1"/>
      <w:numFmt w:val="bullet"/>
      <w:lvlText w:val="•"/>
      <w:lvlJc w:val="left"/>
      <w:pPr>
        <w:ind w:left="7268" w:hanging="380"/>
      </w:pPr>
      <w:rPr>
        <w:rFonts w:hint="default"/>
      </w:rPr>
    </w:lvl>
  </w:abstractNum>
  <w:abstractNum w:abstractNumId="19">
    <w:multiLevelType w:val="hybridMultilevel"/>
    <w:lvl w:ilvl="0">
      <w:start w:val="4"/>
      <w:numFmt w:val="decimal"/>
      <w:lvlText w:val="%1"/>
      <w:lvlJc w:val="left"/>
      <w:pPr>
        <w:ind w:left="822" w:hanging="720"/>
        <w:jc w:val="left"/>
      </w:pPr>
      <w:rPr>
        <w:rFonts w:hint="default"/>
      </w:rPr>
    </w:lvl>
    <w:lvl w:ilvl="1">
      <w:start w:val="5"/>
      <w:numFmt w:val="decimal"/>
      <w:lvlText w:val="%1.%2"/>
      <w:lvlJc w:val="left"/>
      <w:pPr>
        <w:ind w:left="822" w:hanging="720"/>
        <w:jc w:val="left"/>
      </w:pPr>
      <w:rPr>
        <w:rFonts w:hint="default"/>
      </w:rPr>
    </w:lvl>
    <w:lvl w:ilvl="2">
      <w:start w:val="5"/>
      <w:numFmt w:val="decimal"/>
      <w:lvlText w:val="%1.%2.%3"/>
      <w:lvlJc w:val="left"/>
      <w:pPr>
        <w:ind w:left="822" w:hanging="720"/>
        <w:jc w:val="left"/>
      </w:pPr>
      <w:rPr>
        <w:rFonts w:hint="default"/>
      </w:rPr>
    </w:lvl>
    <w:lvl w:ilvl="3">
      <w:start w:val="1"/>
      <w:numFmt w:val="decimal"/>
      <w:lvlText w:val="%1.%2.%3.%4"/>
      <w:lvlJc w:val="left"/>
      <w:pPr>
        <w:ind w:left="822" w:hanging="720"/>
        <w:jc w:val="left"/>
      </w:pPr>
      <w:rPr>
        <w:rFonts w:hint="default" w:ascii="Times New Roman" w:hAnsi="Times New Roman" w:eastAsia="Times New Roman" w:cs="Times New Roman"/>
        <w:b/>
        <w:bCs/>
        <w:i/>
        <w:w w:val="100"/>
        <w:sz w:val="24"/>
        <w:szCs w:val="24"/>
      </w:rPr>
    </w:lvl>
    <w:lvl w:ilvl="4">
      <w:start w:val="1"/>
      <w:numFmt w:val="bullet"/>
      <w:lvlText w:val="•"/>
      <w:lvlJc w:val="left"/>
      <w:pPr>
        <w:ind w:left="4116" w:hanging="720"/>
      </w:pPr>
      <w:rPr>
        <w:rFonts w:hint="default"/>
      </w:rPr>
    </w:lvl>
    <w:lvl w:ilvl="5">
      <w:start w:val="1"/>
      <w:numFmt w:val="bullet"/>
      <w:lvlText w:val="•"/>
      <w:lvlJc w:val="left"/>
      <w:pPr>
        <w:ind w:left="4940" w:hanging="720"/>
      </w:pPr>
      <w:rPr>
        <w:rFonts w:hint="default"/>
      </w:rPr>
    </w:lvl>
    <w:lvl w:ilvl="6">
      <w:start w:val="1"/>
      <w:numFmt w:val="bullet"/>
      <w:lvlText w:val="•"/>
      <w:lvlJc w:val="left"/>
      <w:pPr>
        <w:ind w:left="5764" w:hanging="720"/>
      </w:pPr>
      <w:rPr>
        <w:rFonts w:hint="default"/>
      </w:rPr>
    </w:lvl>
    <w:lvl w:ilvl="7">
      <w:start w:val="1"/>
      <w:numFmt w:val="bullet"/>
      <w:lvlText w:val="•"/>
      <w:lvlJc w:val="left"/>
      <w:pPr>
        <w:ind w:left="6588" w:hanging="720"/>
      </w:pPr>
      <w:rPr>
        <w:rFonts w:hint="default"/>
      </w:rPr>
    </w:lvl>
    <w:lvl w:ilvl="8">
      <w:start w:val="1"/>
      <w:numFmt w:val="bullet"/>
      <w:lvlText w:val="•"/>
      <w:lvlJc w:val="left"/>
      <w:pPr>
        <w:ind w:left="7412" w:hanging="720"/>
      </w:pPr>
      <w:rPr>
        <w:rFonts w:hint="default"/>
      </w:rPr>
    </w:lvl>
  </w:abstractNum>
  <w:abstractNum w:abstractNumId="18">
    <w:multiLevelType w:val="hybridMultilevel"/>
    <w:lvl w:ilvl="0">
      <w:start w:val="29"/>
      <w:numFmt w:val="decimal"/>
      <w:lvlText w:val="%1)"/>
      <w:lvlJc w:val="left"/>
      <w:pPr>
        <w:ind w:left="481" w:hanging="380"/>
        <w:jc w:val="left"/>
      </w:pPr>
      <w:rPr>
        <w:rFonts w:hint="default" w:ascii="Times New Roman" w:hAnsi="Times New Roman" w:eastAsia="Times New Roman" w:cs="Times New Roman"/>
        <w:w w:val="100"/>
        <w:position w:val="2"/>
        <w:sz w:val="24"/>
        <w:szCs w:val="24"/>
      </w:rPr>
    </w:lvl>
    <w:lvl w:ilvl="1">
      <w:start w:val="1"/>
      <w:numFmt w:val="bullet"/>
      <w:lvlText w:val="•"/>
      <w:lvlJc w:val="left"/>
      <w:pPr>
        <w:ind w:left="1338" w:hanging="380"/>
      </w:pPr>
      <w:rPr>
        <w:rFonts w:hint="default"/>
      </w:rPr>
    </w:lvl>
    <w:lvl w:ilvl="2">
      <w:start w:val="1"/>
      <w:numFmt w:val="bullet"/>
      <w:lvlText w:val="•"/>
      <w:lvlJc w:val="left"/>
      <w:pPr>
        <w:ind w:left="2196" w:hanging="380"/>
      </w:pPr>
      <w:rPr>
        <w:rFonts w:hint="default"/>
      </w:rPr>
    </w:lvl>
    <w:lvl w:ilvl="3">
      <w:start w:val="1"/>
      <w:numFmt w:val="bullet"/>
      <w:lvlText w:val="•"/>
      <w:lvlJc w:val="left"/>
      <w:pPr>
        <w:ind w:left="3054" w:hanging="380"/>
      </w:pPr>
      <w:rPr>
        <w:rFonts w:hint="default"/>
      </w:rPr>
    </w:lvl>
    <w:lvl w:ilvl="4">
      <w:start w:val="1"/>
      <w:numFmt w:val="bullet"/>
      <w:lvlText w:val="•"/>
      <w:lvlJc w:val="left"/>
      <w:pPr>
        <w:ind w:left="3912" w:hanging="380"/>
      </w:pPr>
      <w:rPr>
        <w:rFonts w:hint="default"/>
      </w:rPr>
    </w:lvl>
    <w:lvl w:ilvl="5">
      <w:start w:val="1"/>
      <w:numFmt w:val="bullet"/>
      <w:lvlText w:val="•"/>
      <w:lvlJc w:val="left"/>
      <w:pPr>
        <w:ind w:left="4770" w:hanging="380"/>
      </w:pPr>
      <w:rPr>
        <w:rFonts w:hint="default"/>
      </w:rPr>
    </w:lvl>
    <w:lvl w:ilvl="6">
      <w:start w:val="1"/>
      <w:numFmt w:val="bullet"/>
      <w:lvlText w:val="•"/>
      <w:lvlJc w:val="left"/>
      <w:pPr>
        <w:ind w:left="5628" w:hanging="380"/>
      </w:pPr>
      <w:rPr>
        <w:rFonts w:hint="default"/>
      </w:rPr>
    </w:lvl>
    <w:lvl w:ilvl="7">
      <w:start w:val="1"/>
      <w:numFmt w:val="bullet"/>
      <w:lvlText w:val="•"/>
      <w:lvlJc w:val="left"/>
      <w:pPr>
        <w:ind w:left="6486" w:hanging="380"/>
      </w:pPr>
      <w:rPr>
        <w:rFonts w:hint="default"/>
      </w:rPr>
    </w:lvl>
    <w:lvl w:ilvl="8">
      <w:start w:val="1"/>
      <w:numFmt w:val="bullet"/>
      <w:lvlText w:val="•"/>
      <w:lvlJc w:val="left"/>
      <w:pPr>
        <w:ind w:left="7344" w:hanging="380"/>
      </w:pPr>
      <w:rPr>
        <w:rFonts w:hint="default"/>
      </w:rPr>
    </w:lvl>
  </w:abstractNum>
  <w:abstractNum w:abstractNumId="17">
    <w:multiLevelType w:val="hybridMultilevel"/>
    <w:lvl w:ilvl="0">
      <w:start w:val="4"/>
      <w:numFmt w:val="decimal"/>
      <w:lvlText w:val="%1"/>
      <w:lvlJc w:val="left"/>
      <w:pPr>
        <w:ind w:left="462" w:hanging="360"/>
        <w:jc w:val="left"/>
      </w:pPr>
      <w:rPr>
        <w:rFonts w:hint="default"/>
      </w:rPr>
    </w:lvl>
    <w:lvl w:ilvl="1">
      <w:start w:val="5"/>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i/>
        <w:w w:val="100"/>
        <w:sz w:val="24"/>
        <w:szCs w:val="24"/>
      </w:rPr>
    </w:lvl>
    <w:lvl w:ilvl="3">
      <w:start w:val="1"/>
      <w:numFmt w:val="bullet"/>
      <w:lvlText w:val="•"/>
      <w:lvlJc w:val="left"/>
      <w:pPr>
        <w:ind w:left="2526" w:hanging="540"/>
      </w:pPr>
      <w:rPr>
        <w:rFonts w:hint="default"/>
      </w:rPr>
    </w:lvl>
    <w:lvl w:ilvl="4">
      <w:start w:val="1"/>
      <w:numFmt w:val="bullet"/>
      <w:lvlText w:val="•"/>
      <w:lvlJc w:val="left"/>
      <w:pPr>
        <w:ind w:left="3460" w:hanging="540"/>
      </w:pPr>
      <w:rPr>
        <w:rFonts w:hint="default"/>
      </w:rPr>
    </w:lvl>
    <w:lvl w:ilvl="5">
      <w:start w:val="1"/>
      <w:numFmt w:val="bullet"/>
      <w:lvlText w:val="•"/>
      <w:lvlJc w:val="left"/>
      <w:pPr>
        <w:ind w:left="4393" w:hanging="540"/>
      </w:pPr>
      <w:rPr>
        <w:rFonts w:hint="default"/>
      </w:rPr>
    </w:lvl>
    <w:lvl w:ilvl="6">
      <w:start w:val="1"/>
      <w:numFmt w:val="bullet"/>
      <w:lvlText w:val="•"/>
      <w:lvlJc w:val="left"/>
      <w:pPr>
        <w:ind w:left="5326" w:hanging="540"/>
      </w:pPr>
      <w:rPr>
        <w:rFonts w:hint="default"/>
      </w:rPr>
    </w:lvl>
    <w:lvl w:ilvl="7">
      <w:start w:val="1"/>
      <w:numFmt w:val="bullet"/>
      <w:lvlText w:val="•"/>
      <w:lvlJc w:val="left"/>
      <w:pPr>
        <w:ind w:left="6260" w:hanging="540"/>
      </w:pPr>
      <w:rPr>
        <w:rFonts w:hint="default"/>
      </w:rPr>
    </w:lvl>
    <w:lvl w:ilvl="8">
      <w:start w:val="1"/>
      <w:numFmt w:val="bullet"/>
      <w:lvlText w:val="•"/>
      <w:lvlJc w:val="left"/>
      <w:pPr>
        <w:ind w:left="7193" w:hanging="540"/>
      </w:pPr>
      <w:rPr>
        <w:rFonts w:hint="default"/>
      </w:rPr>
    </w:lvl>
  </w:abstractNum>
  <w:abstractNum w:abstractNumId="16">
    <w:multiLevelType w:val="hybridMultilevel"/>
    <w:lvl w:ilvl="0">
      <w:start w:val="4"/>
      <w:numFmt w:val="decimal"/>
      <w:lvlText w:val="%1"/>
      <w:lvlJc w:val="left"/>
      <w:pPr>
        <w:ind w:left="642" w:hanging="540"/>
        <w:jc w:val="left"/>
      </w:pPr>
      <w:rPr>
        <w:rFonts w:hint="default"/>
      </w:rPr>
    </w:lvl>
    <w:lvl w:ilvl="1">
      <w:start w:val="4"/>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i/>
        <w:w w:val="100"/>
        <w:sz w:val="24"/>
        <w:szCs w:val="24"/>
      </w:rPr>
    </w:lvl>
    <w:lvl w:ilvl="3">
      <w:start w:val="1"/>
      <w:numFmt w:val="decimal"/>
      <w:lvlText w:val="%1.%2.%3.%4"/>
      <w:lvlJc w:val="left"/>
      <w:pPr>
        <w:ind w:left="824" w:hanging="723"/>
        <w:jc w:val="left"/>
      </w:pPr>
      <w:rPr>
        <w:rFonts w:hint="default" w:ascii="Times New Roman" w:hAnsi="Times New Roman" w:eastAsia="Times New Roman" w:cs="Times New Roman"/>
        <w:b/>
        <w:bCs/>
        <w:i/>
        <w:spacing w:val="-1"/>
        <w:w w:val="100"/>
        <w:sz w:val="24"/>
        <w:szCs w:val="24"/>
      </w:rPr>
    </w:lvl>
    <w:lvl w:ilvl="4">
      <w:start w:val="1"/>
      <w:numFmt w:val="bullet"/>
      <w:lvlText w:val="•"/>
      <w:lvlJc w:val="left"/>
      <w:pPr>
        <w:ind w:left="3560" w:hanging="723"/>
      </w:pPr>
      <w:rPr>
        <w:rFonts w:hint="default"/>
      </w:rPr>
    </w:lvl>
    <w:lvl w:ilvl="5">
      <w:start w:val="1"/>
      <w:numFmt w:val="bullet"/>
      <w:lvlText w:val="•"/>
      <w:lvlJc w:val="left"/>
      <w:pPr>
        <w:ind w:left="4473" w:hanging="723"/>
      </w:pPr>
      <w:rPr>
        <w:rFonts w:hint="default"/>
      </w:rPr>
    </w:lvl>
    <w:lvl w:ilvl="6">
      <w:start w:val="1"/>
      <w:numFmt w:val="bullet"/>
      <w:lvlText w:val="•"/>
      <w:lvlJc w:val="left"/>
      <w:pPr>
        <w:ind w:left="5386" w:hanging="723"/>
      </w:pPr>
      <w:rPr>
        <w:rFonts w:hint="default"/>
      </w:rPr>
    </w:lvl>
    <w:lvl w:ilvl="7">
      <w:start w:val="1"/>
      <w:numFmt w:val="bullet"/>
      <w:lvlText w:val="•"/>
      <w:lvlJc w:val="left"/>
      <w:pPr>
        <w:ind w:left="6300" w:hanging="723"/>
      </w:pPr>
      <w:rPr>
        <w:rFonts w:hint="default"/>
      </w:rPr>
    </w:lvl>
    <w:lvl w:ilvl="8">
      <w:start w:val="1"/>
      <w:numFmt w:val="bullet"/>
      <w:lvlText w:val="•"/>
      <w:lvlJc w:val="left"/>
      <w:pPr>
        <w:ind w:left="7213" w:hanging="723"/>
      </w:pPr>
      <w:rPr>
        <w:rFonts w:hint="default"/>
      </w:rPr>
    </w:lvl>
  </w:abstractNum>
  <w:abstractNum w:abstractNumId="15">
    <w:multiLevelType w:val="hybridMultilevel"/>
    <w:lvl w:ilvl="0">
      <w:start w:val="5"/>
      <w:numFmt w:val="decimal"/>
      <w:lvlText w:val="%1)"/>
      <w:lvlJc w:val="left"/>
      <w:pPr>
        <w:ind w:left="361" w:hanging="260"/>
        <w:jc w:val="right"/>
      </w:pPr>
      <w:rPr>
        <w:rFonts w:hint="default" w:ascii="Times New Roman" w:hAnsi="Times New Roman" w:eastAsia="Times New Roman" w:cs="Times New Roman"/>
        <w:w w:val="99"/>
        <w:sz w:val="24"/>
        <w:szCs w:val="24"/>
      </w:rPr>
    </w:lvl>
    <w:lvl w:ilvl="1">
      <w:start w:val="1"/>
      <w:numFmt w:val="bullet"/>
      <w:lvlText w:val="•"/>
      <w:lvlJc w:val="left"/>
      <w:pPr>
        <w:ind w:left="1228" w:hanging="260"/>
      </w:pPr>
      <w:rPr>
        <w:rFonts w:hint="default"/>
      </w:rPr>
    </w:lvl>
    <w:lvl w:ilvl="2">
      <w:start w:val="1"/>
      <w:numFmt w:val="bullet"/>
      <w:lvlText w:val="•"/>
      <w:lvlJc w:val="left"/>
      <w:pPr>
        <w:ind w:left="2096" w:hanging="260"/>
      </w:pPr>
      <w:rPr>
        <w:rFonts w:hint="default"/>
      </w:rPr>
    </w:lvl>
    <w:lvl w:ilvl="3">
      <w:start w:val="1"/>
      <w:numFmt w:val="bullet"/>
      <w:lvlText w:val="•"/>
      <w:lvlJc w:val="left"/>
      <w:pPr>
        <w:ind w:left="2964" w:hanging="260"/>
      </w:pPr>
      <w:rPr>
        <w:rFonts w:hint="default"/>
      </w:rPr>
    </w:lvl>
    <w:lvl w:ilvl="4">
      <w:start w:val="1"/>
      <w:numFmt w:val="bullet"/>
      <w:lvlText w:val="•"/>
      <w:lvlJc w:val="left"/>
      <w:pPr>
        <w:ind w:left="3832" w:hanging="260"/>
      </w:pPr>
      <w:rPr>
        <w:rFonts w:hint="default"/>
      </w:rPr>
    </w:lvl>
    <w:lvl w:ilvl="5">
      <w:start w:val="1"/>
      <w:numFmt w:val="bullet"/>
      <w:lvlText w:val="•"/>
      <w:lvlJc w:val="left"/>
      <w:pPr>
        <w:ind w:left="4700" w:hanging="260"/>
      </w:pPr>
      <w:rPr>
        <w:rFonts w:hint="default"/>
      </w:rPr>
    </w:lvl>
    <w:lvl w:ilvl="6">
      <w:start w:val="1"/>
      <w:numFmt w:val="bullet"/>
      <w:lvlText w:val="•"/>
      <w:lvlJc w:val="left"/>
      <w:pPr>
        <w:ind w:left="5568" w:hanging="260"/>
      </w:pPr>
      <w:rPr>
        <w:rFonts w:hint="default"/>
      </w:rPr>
    </w:lvl>
    <w:lvl w:ilvl="7">
      <w:start w:val="1"/>
      <w:numFmt w:val="bullet"/>
      <w:lvlText w:val="•"/>
      <w:lvlJc w:val="left"/>
      <w:pPr>
        <w:ind w:left="6436" w:hanging="260"/>
      </w:pPr>
      <w:rPr>
        <w:rFonts w:hint="default"/>
      </w:rPr>
    </w:lvl>
    <w:lvl w:ilvl="8">
      <w:start w:val="1"/>
      <w:numFmt w:val="bullet"/>
      <w:lvlText w:val="•"/>
      <w:lvlJc w:val="left"/>
      <w:pPr>
        <w:ind w:left="7304" w:hanging="260"/>
      </w:pPr>
      <w:rPr>
        <w:rFonts w:hint="default"/>
      </w:rPr>
    </w:lvl>
  </w:abstractNum>
  <w:abstractNum w:abstractNumId="14">
    <w:multiLevelType w:val="hybridMultilevel"/>
    <w:lvl w:ilvl="0">
      <w:start w:val="4"/>
      <w:numFmt w:val="decimal"/>
      <w:lvlText w:val="%1"/>
      <w:lvlJc w:val="left"/>
      <w:pPr>
        <w:ind w:left="48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1435" w:hanging="360"/>
      </w:pPr>
      <w:rPr>
        <w:rFonts w:hint="default"/>
      </w:rPr>
    </w:lvl>
    <w:lvl w:ilvl="3">
      <w:start w:val="1"/>
      <w:numFmt w:val="bullet"/>
      <w:lvlText w:val="•"/>
      <w:lvlJc w:val="left"/>
      <w:pPr>
        <w:ind w:left="2391" w:hanging="360"/>
      </w:pPr>
      <w:rPr>
        <w:rFonts w:hint="default"/>
      </w:rPr>
    </w:lvl>
    <w:lvl w:ilvl="4">
      <w:start w:val="1"/>
      <w:numFmt w:val="bullet"/>
      <w:lvlText w:val="•"/>
      <w:lvlJc w:val="left"/>
      <w:pPr>
        <w:ind w:left="3346" w:hanging="360"/>
      </w:pPr>
      <w:rPr>
        <w:rFonts w:hint="default"/>
      </w:rPr>
    </w:lvl>
    <w:lvl w:ilvl="5">
      <w:start w:val="1"/>
      <w:numFmt w:val="bullet"/>
      <w:lvlText w:val="•"/>
      <w:lvlJc w:val="left"/>
      <w:pPr>
        <w:ind w:left="4302" w:hanging="360"/>
      </w:pPr>
      <w:rPr>
        <w:rFonts w:hint="default"/>
      </w:rPr>
    </w:lvl>
    <w:lvl w:ilvl="6">
      <w:start w:val="1"/>
      <w:numFmt w:val="bullet"/>
      <w:lvlText w:val="•"/>
      <w:lvlJc w:val="left"/>
      <w:pPr>
        <w:ind w:left="5257" w:hanging="360"/>
      </w:pPr>
      <w:rPr>
        <w:rFonts w:hint="default"/>
      </w:rPr>
    </w:lvl>
    <w:lvl w:ilvl="7">
      <w:start w:val="1"/>
      <w:numFmt w:val="bullet"/>
      <w:lvlText w:val="•"/>
      <w:lvlJc w:val="left"/>
      <w:pPr>
        <w:ind w:left="6213" w:hanging="360"/>
      </w:pPr>
      <w:rPr>
        <w:rFonts w:hint="default"/>
      </w:rPr>
    </w:lvl>
    <w:lvl w:ilvl="8">
      <w:start w:val="1"/>
      <w:numFmt w:val="bullet"/>
      <w:lvlText w:val="•"/>
      <w:lvlJc w:val="left"/>
      <w:pPr>
        <w:ind w:left="7168" w:hanging="360"/>
      </w:pPr>
      <w:rPr>
        <w:rFonts w:hint="default"/>
      </w:rPr>
    </w:lvl>
  </w:abstractNum>
  <w:abstractNum w:abstractNumId="13">
    <w:multiLevelType w:val="hybridMultilevel"/>
    <w:lvl w:ilvl="0">
      <w:start w:val="3"/>
      <w:numFmt w:val="decimal"/>
      <w:lvlText w:val="%1"/>
      <w:lvlJc w:val="left"/>
      <w:pPr>
        <w:ind w:left="462" w:hanging="360"/>
        <w:jc w:val="left"/>
      </w:pPr>
      <w:rPr>
        <w:rFonts w:hint="default"/>
      </w:rPr>
    </w:lvl>
    <w:lvl w:ilvl="1">
      <w:start w:val="2"/>
      <w:numFmt w:val="decimal"/>
      <w:lvlText w:val="%1.%2"/>
      <w:lvlJc w:val="left"/>
      <w:pPr>
        <w:ind w:left="462" w:hanging="360"/>
        <w:jc w:val="right"/>
      </w:pPr>
      <w:rPr>
        <w:rFonts w:hint="default"/>
        <w:b/>
        <w:bCs/>
        <w:w w:val="100"/>
      </w:rPr>
    </w:lvl>
    <w:lvl w:ilvl="2">
      <w:start w:val="1"/>
      <w:numFmt w:val="decimal"/>
      <w:lvlText w:val="%3)"/>
      <w:lvlJc w:val="left"/>
      <w:pPr>
        <w:ind w:left="822" w:hanging="360"/>
        <w:jc w:val="left"/>
      </w:pPr>
      <w:rPr>
        <w:rFonts w:hint="default" w:ascii="Times New Roman" w:hAnsi="Times New Roman" w:eastAsia="Times New Roman" w:cs="Times New Roman"/>
        <w:spacing w:val="-20"/>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2">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i/>
        <w:spacing w:val="-3"/>
        <w:w w:val="99"/>
        <w:sz w:val="24"/>
        <w:szCs w:val="24"/>
      </w:rPr>
    </w:lvl>
    <w:lvl w:ilvl="3">
      <w:start w:val="1"/>
      <w:numFmt w:val="decimal"/>
      <w:lvlText w:val="%4."/>
      <w:lvlJc w:val="left"/>
      <w:pPr>
        <w:ind w:left="822" w:hanging="360"/>
        <w:jc w:val="left"/>
      </w:pPr>
      <w:rPr>
        <w:rFonts w:hint="default" w:ascii="Times New Roman" w:hAnsi="Times New Roman" w:eastAsia="Times New Roman" w:cs="Times New Roman"/>
        <w:spacing w:val="-18"/>
        <w:w w:val="99"/>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1">
    <w:multiLevelType w:val="hybridMultilevel"/>
    <w:lvl w:ilvl="0">
      <w:start w:val="2"/>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0">
    <w:multiLevelType w:val="hybridMultilevel"/>
    <w:lvl w:ilvl="0">
      <w:start w:val="2"/>
      <w:numFmt w:val="decimal"/>
      <w:lvlText w:val="%1"/>
      <w:lvlJc w:val="left"/>
      <w:pPr>
        <w:ind w:left="662" w:hanging="540"/>
        <w:jc w:val="left"/>
      </w:pPr>
      <w:rPr>
        <w:rFonts w:hint="default"/>
      </w:rPr>
    </w:lvl>
    <w:lvl w:ilvl="1">
      <w:start w:val="2"/>
      <w:numFmt w:val="decimal"/>
      <w:lvlText w:val="%1.%2"/>
      <w:lvlJc w:val="left"/>
      <w:pPr>
        <w:ind w:left="662" w:hanging="540"/>
        <w:jc w:val="left"/>
      </w:pPr>
      <w:rPr>
        <w:rFonts w:hint="default"/>
      </w:rPr>
    </w:lvl>
    <w:lvl w:ilvl="2">
      <w:start w:val="4"/>
      <w:numFmt w:val="decimal"/>
      <w:lvlText w:val="%1.%2.%3"/>
      <w:lvlJc w:val="left"/>
      <w:pPr>
        <w:ind w:left="662" w:hanging="540"/>
        <w:jc w:val="left"/>
      </w:pPr>
      <w:rPr>
        <w:rFonts w:hint="default" w:ascii="Times New Roman" w:hAnsi="Times New Roman" w:eastAsia="Times New Roman" w:cs="Times New Roman"/>
        <w:b/>
        <w:bCs/>
        <w:i/>
        <w:w w:val="100"/>
        <w:sz w:val="24"/>
        <w:szCs w:val="24"/>
      </w:rPr>
    </w:lvl>
    <w:lvl w:ilvl="3">
      <w:start w:val="1"/>
      <w:numFmt w:val="bullet"/>
      <w:lvlText w:val="•"/>
      <w:lvlJc w:val="left"/>
      <w:pPr>
        <w:ind w:left="3186" w:hanging="540"/>
      </w:pPr>
      <w:rPr>
        <w:rFonts w:hint="default"/>
      </w:rPr>
    </w:lvl>
    <w:lvl w:ilvl="4">
      <w:start w:val="1"/>
      <w:numFmt w:val="bullet"/>
      <w:lvlText w:val="•"/>
      <w:lvlJc w:val="left"/>
      <w:pPr>
        <w:ind w:left="4028" w:hanging="540"/>
      </w:pPr>
      <w:rPr>
        <w:rFonts w:hint="default"/>
      </w:rPr>
    </w:lvl>
    <w:lvl w:ilvl="5">
      <w:start w:val="1"/>
      <w:numFmt w:val="bullet"/>
      <w:lvlText w:val="•"/>
      <w:lvlJc w:val="left"/>
      <w:pPr>
        <w:ind w:left="4870" w:hanging="540"/>
      </w:pPr>
      <w:rPr>
        <w:rFonts w:hint="default"/>
      </w:rPr>
    </w:lvl>
    <w:lvl w:ilvl="6">
      <w:start w:val="1"/>
      <w:numFmt w:val="bullet"/>
      <w:lvlText w:val="•"/>
      <w:lvlJc w:val="left"/>
      <w:pPr>
        <w:ind w:left="5712" w:hanging="540"/>
      </w:pPr>
      <w:rPr>
        <w:rFonts w:hint="default"/>
      </w:rPr>
    </w:lvl>
    <w:lvl w:ilvl="7">
      <w:start w:val="1"/>
      <w:numFmt w:val="bullet"/>
      <w:lvlText w:val="•"/>
      <w:lvlJc w:val="left"/>
      <w:pPr>
        <w:ind w:left="6554" w:hanging="540"/>
      </w:pPr>
      <w:rPr>
        <w:rFonts w:hint="default"/>
      </w:rPr>
    </w:lvl>
    <w:lvl w:ilvl="8">
      <w:start w:val="1"/>
      <w:numFmt w:val="bullet"/>
      <w:lvlText w:val="•"/>
      <w:lvlJc w:val="left"/>
      <w:pPr>
        <w:ind w:left="7396" w:hanging="540"/>
      </w:pPr>
      <w:rPr>
        <w:rFonts w:hint="default"/>
      </w:rPr>
    </w:lvl>
  </w:abstractNum>
  <w:abstractNum w:abstractNumId="9">
    <w:multiLevelType w:val="hybridMultilevel"/>
    <w:lvl w:ilvl="0">
      <w:start w:val="2"/>
      <w:numFmt w:val="decimal"/>
      <w:lvlText w:val="%1"/>
      <w:lvlJc w:val="left"/>
      <w:pPr>
        <w:ind w:left="642" w:hanging="540"/>
        <w:jc w:val="left"/>
      </w:pPr>
      <w:rPr>
        <w:rFonts w:hint="default"/>
      </w:rPr>
    </w:lvl>
    <w:lvl w:ilvl="1">
      <w:start w:val="2"/>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i/>
        <w:w w:val="100"/>
        <w:sz w:val="24"/>
        <w:szCs w:val="24"/>
      </w:rPr>
    </w:lvl>
    <w:lvl w:ilvl="3">
      <w:start w:val="1"/>
      <w:numFmt w:val="bullet"/>
      <w:lvlText w:val="•"/>
      <w:lvlJc w:val="left"/>
      <w:pPr>
        <w:ind w:left="3166" w:hanging="540"/>
      </w:pPr>
      <w:rPr>
        <w:rFonts w:hint="default"/>
      </w:rPr>
    </w:lvl>
    <w:lvl w:ilvl="4">
      <w:start w:val="1"/>
      <w:numFmt w:val="bullet"/>
      <w:lvlText w:val="•"/>
      <w:lvlJc w:val="left"/>
      <w:pPr>
        <w:ind w:left="4008" w:hanging="540"/>
      </w:pPr>
      <w:rPr>
        <w:rFonts w:hint="default"/>
      </w:rPr>
    </w:lvl>
    <w:lvl w:ilvl="5">
      <w:start w:val="1"/>
      <w:numFmt w:val="bullet"/>
      <w:lvlText w:val="•"/>
      <w:lvlJc w:val="left"/>
      <w:pPr>
        <w:ind w:left="4850" w:hanging="540"/>
      </w:pPr>
      <w:rPr>
        <w:rFonts w:hint="default"/>
      </w:rPr>
    </w:lvl>
    <w:lvl w:ilvl="6">
      <w:start w:val="1"/>
      <w:numFmt w:val="bullet"/>
      <w:lvlText w:val="•"/>
      <w:lvlJc w:val="left"/>
      <w:pPr>
        <w:ind w:left="5692" w:hanging="540"/>
      </w:pPr>
      <w:rPr>
        <w:rFonts w:hint="default"/>
      </w:rPr>
    </w:lvl>
    <w:lvl w:ilvl="7">
      <w:start w:val="1"/>
      <w:numFmt w:val="bullet"/>
      <w:lvlText w:val="•"/>
      <w:lvlJc w:val="left"/>
      <w:pPr>
        <w:ind w:left="6534" w:hanging="540"/>
      </w:pPr>
      <w:rPr>
        <w:rFonts w:hint="default"/>
      </w:rPr>
    </w:lvl>
    <w:lvl w:ilvl="8">
      <w:start w:val="1"/>
      <w:numFmt w:val="bullet"/>
      <w:lvlText w:val="•"/>
      <w:lvlJc w:val="left"/>
      <w:pPr>
        <w:ind w:left="7376" w:hanging="540"/>
      </w:pPr>
      <w:rPr>
        <w:rFonts w:hint="default"/>
      </w:rPr>
    </w:lvl>
  </w:abstractNum>
  <w:abstractNum w:abstractNumId="8">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i/>
        <w:w w:val="100"/>
        <w:sz w:val="24"/>
        <w:szCs w:val="24"/>
      </w:rPr>
    </w:lvl>
    <w:lvl w:ilvl="3">
      <w:start w:val="1"/>
      <w:numFmt w:val="decimal"/>
      <w:lvlText w:val="%4)"/>
      <w:lvlJc w:val="left"/>
      <w:pPr>
        <w:ind w:left="842" w:hanging="360"/>
        <w:jc w:val="left"/>
      </w:pPr>
      <w:rPr>
        <w:rFonts w:hint="default" w:ascii="Times New Roman" w:hAnsi="Times New Roman" w:eastAsia="Times New Roman" w:cs="Times New Roman"/>
        <w:spacing w:val="-20"/>
        <w:w w:val="99"/>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7">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822" w:hanging="36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270" w:hanging="360"/>
      </w:pPr>
      <w:rPr>
        <w:rFonts w:hint="default"/>
      </w:rPr>
    </w:lvl>
    <w:lvl w:ilvl="4">
      <w:start w:val="1"/>
      <w:numFmt w:val="bullet"/>
      <w:lvlText w:val="•"/>
      <w:lvlJc w:val="left"/>
      <w:pPr>
        <w:ind w:left="3240" w:hanging="360"/>
      </w:pPr>
      <w:rPr>
        <w:rFonts w:hint="default"/>
      </w:rPr>
    </w:lvl>
    <w:lvl w:ilvl="5">
      <w:start w:val="1"/>
      <w:numFmt w:val="bullet"/>
      <w:lvlText w:val="•"/>
      <w:lvlJc w:val="left"/>
      <w:pPr>
        <w:ind w:left="4210" w:hanging="360"/>
      </w:pPr>
      <w:rPr>
        <w:rFonts w:hint="default"/>
      </w:rPr>
    </w:lvl>
    <w:lvl w:ilvl="6">
      <w:start w:val="1"/>
      <w:numFmt w:val="bullet"/>
      <w:lvlText w:val="•"/>
      <w:lvlJc w:val="left"/>
      <w:pPr>
        <w:ind w:left="5180" w:hanging="360"/>
      </w:pPr>
      <w:rPr>
        <w:rFonts w:hint="default"/>
      </w:rPr>
    </w:lvl>
    <w:lvl w:ilvl="7">
      <w:start w:val="1"/>
      <w:numFmt w:val="bullet"/>
      <w:lvlText w:val="•"/>
      <w:lvlJc w:val="left"/>
      <w:pPr>
        <w:ind w:left="6150" w:hanging="360"/>
      </w:pPr>
      <w:rPr>
        <w:rFonts w:hint="default"/>
      </w:rPr>
    </w:lvl>
    <w:lvl w:ilvl="8">
      <w:start w:val="1"/>
      <w:numFmt w:val="bullet"/>
      <w:lvlText w:val="•"/>
      <w:lvlJc w:val="left"/>
      <w:pPr>
        <w:ind w:left="7120" w:hanging="360"/>
      </w:pPr>
      <w:rPr>
        <w:rFonts w:hint="default"/>
      </w:rPr>
    </w:lvl>
  </w:abstractNum>
  <w:abstractNum w:abstractNumId="6">
    <w:multiLevelType w:val="hybridMultilevel"/>
    <w:lvl w:ilvl="0">
      <w:start w:val="6"/>
      <w:numFmt w:val="decimal"/>
      <w:lvlText w:val="%1"/>
      <w:lvlJc w:val="left"/>
      <w:pPr>
        <w:ind w:left="831" w:hanging="720"/>
        <w:jc w:val="left"/>
      </w:pPr>
      <w:rPr>
        <w:rFonts w:hint="default"/>
      </w:rPr>
    </w:lvl>
    <w:lvl w:ilvl="1">
      <w:start w:val="5"/>
      <w:numFmt w:val="decimal"/>
      <w:lvlText w:val="%1.%2"/>
      <w:lvlJc w:val="left"/>
      <w:pPr>
        <w:ind w:left="831" w:hanging="7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831" w:hanging="720"/>
        <w:jc w:val="left"/>
      </w:pPr>
      <w:rPr>
        <w:rFonts w:hint="default"/>
        <w:i/>
        <w:spacing w:val="-3"/>
        <w:w w:val="99"/>
      </w:rPr>
    </w:lvl>
    <w:lvl w:ilvl="3">
      <w:start w:val="1"/>
      <w:numFmt w:val="bullet"/>
      <w:lvlText w:val="•"/>
      <w:lvlJc w:val="left"/>
      <w:pPr>
        <w:ind w:left="3264" w:hanging="720"/>
      </w:pPr>
      <w:rPr>
        <w:rFonts w:hint="default"/>
      </w:rPr>
    </w:lvl>
    <w:lvl w:ilvl="4">
      <w:start w:val="1"/>
      <w:numFmt w:val="bullet"/>
      <w:lvlText w:val="•"/>
      <w:lvlJc w:val="left"/>
      <w:pPr>
        <w:ind w:left="4072" w:hanging="720"/>
      </w:pPr>
      <w:rPr>
        <w:rFonts w:hint="default"/>
      </w:rPr>
    </w:lvl>
    <w:lvl w:ilvl="5">
      <w:start w:val="1"/>
      <w:numFmt w:val="bullet"/>
      <w:lvlText w:val="•"/>
      <w:lvlJc w:val="left"/>
      <w:pPr>
        <w:ind w:left="4880" w:hanging="720"/>
      </w:pPr>
      <w:rPr>
        <w:rFonts w:hint="default"/>
      </w:rPr>
    </w:lvl>
    <w:lvl w:ilvl="6">
      <w:start w:val="1"/>
      <w:numFmt w:val="bullet"/>
      <w:lvlText w:val="•"/>
      <w:lvlJc w:val="left"/>
      <w:pPr>
        <w:ind w:left="5688" w:hanging="720"/>
      </w:pPr>
      <w:rPr>
        <w:rFonts w:hint="default"/>
      </w:rPr>
    </w:lvl>
    <w:lvl w:ilvl="7">
      <w:start w:val="1"/>
      <w:numFmt w:val="bullet"/>
      <w:lvlText w:val="•"/>
      <w:lvlJc w:val="left"/>
      <w:pPr>
        <w:ind w:left="6496" w:hanging="720"/>
      </w:pPr>
      <w:rPr>
        <w:rFonts w:hint="default"/>
      </w:rPr>
    </w:lvl>
    <w:lvl w:ilvl="8">
      <w:start w:val="1"/>
      <w:numFmt w:val="bullet"/>
      <w:lvlText w:val="•"/>
      <w:lvlJc w:val="left"/>
      <w:pPr>
        <w:ind w:left="7304" w:hanging="720"/>
      </w:pPr>
      <w:rPr>
        <w:rFonts w:hint="default"/>
      </w:rPr>
    </w:lvl>
  </w:abstractNum>
  <w:abstractNum w:abstractNumId="5">
    <w:multiLevelType w:val="hybridMultilevel"/>
    <w:lvl w:ilvl="0">
      <w:start w:val="6"/>
      <w:numFmt w:val="decimal"/>
      <w:lvlText w:val="%1"/>
      <w:lvlJc w:val="left"/>
      <w:pPr>
        <w:ind w:left="831" w:hanging="720"/>
        <w:jc w:val="left"/>
      </w:pPr>
      <w:rPr>
        <w:rFonts w:hint="default"/>
      </w:rPr>
    </w:lvl>
    <w:lvl w:ilvl="1">
      <w:start w:val="1"/>
      <w:numFmt w:val="decimal"/>
      <w:lvlText w:val="%1.%2"/>
      <w:lvlJc w:val="left"/>
      <w:pPr>
        <w:ind w:left="831" w:hanging="72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456" w:hanging="720"/>
      </w:pPr>
      <w:rPr>
        <w:rFonts w:hint="default"/>
      </w:rPr>
    </w:lvl>
    <w:lvl w:ilvl="3">
      <w:start w:val="1"/>
      <w:numFmt w:val="bullet"/>
      <w:lvlText w:val="•"/>
      <w:lvlJc w:val="left"/>
      <w:pPr>
        <w:ind w:left="3264" w:hanging="720"/>
      </w:pPr>
      <w:rPr>
        <w:rFonts w:hint="default"/>
      </w:rPr>
    </w:lvl>
    <w:lvl w:ilvl="4">
      <w:start w:val="1"/>
      <w:numFmt w:val="bullet"/>
      <w:lvlText w:val="•"/>
      <w:lvlJc w:val="left"/>
      <w:pPr>
        <w:ind w:left="4072" w:hanging="720"/>
      </w:pPr>
      <w:rPr>
        <w:rFonts w:hint="default"/>
      </w:rPr>
    </w:lvl>
    <w:lvl w:ilvl="5">
      <w:start w:val="1"/>
      <w:numFmt w:val="bullet"/>
      <w:lvlText w:val="•"/>
      <w:lvlJc w:val="left"/>
      <w:pPr>
        <w:ind w:left="4880" w:hanging="720"/>
      </w:pPr>
      <w:rPr>
        <w:rFonts w:hint="default"/>
      </w:rPr>
    </w:lvl>
    <w:lvl w:ilvl="6">
      <w:start w:val="1"/>
      <w:numFmt w:val="bullet"/>
      <w:lvlText w:val="•"/>
      <w:lvlJc w:val="left"/>
      <w:pPr>
        <w:ind w:left="5688" w:hanging="720"/>
      </w:pPr>
      <w:rPr>
        <w:rFonts w:hint="default"/>
      </w:rPr>
    </w:lvl>
    <w:lvl w:ilvl="7">
      <w:start w:val="1"/>
      <w:numFmt w:val="bullet"/>
      <w:lvlText w:val="•"/>
      <w:lvlJc w:val="left"/>
      <w:pPr>
        <w:ind w:left="6496" w:hanging="720"/>
      </w:pPr>
      <w:rPr>
        <w:rFonts w:hint="default"/>
      </w:rPr>
    </w:lvl>
    <w:lvl w:ilvl="8">
      <w:start w:val="1"/>
      <w:numFmt w:val="bullet"/>
      <w:lvlText w:val="•"/>
      <w:lvlJc w:val="left"/>
      <w:pPr>
        <w:ind w:left="7304" w:hanging="720"/>
      </w:pPr>
      <w:rPr>
        <w:rFonts w:hint="default"/>
      </w:rPr>
    </w:lvl>
  </w:abstractNum>
  <w:abstractNum w:abstractNumId="4">
    <w:multiLevelType w:val="hybridMultilevel"/>
    <w:lvl w:ilvl="0">
      <w:start w:val="5"/>
      <w:numFmt w:val="decimal"/>
      <w:lvlText w:val="%1"/>
      <w:lvlJc w:val="left"/>
      <w:pPr>
        <w:ind w:left="891" w:hanging="780"/>
        <w:jc w:val="left"/>
      </w:pPr>
      <w:rPr>
        <w:rFonts w:hint="default"/>
      </w:rPr>
    </w:lvl>
    <w:lvl w:ilvl="1">
      <w:start w:val="1"/>
      <w:numFmt w:val="decimal"/>
      <w:lvlText w:val="%1.%2"/>
      <w:lvlJc w:val="left"/>
      <w:pPr>
        <w:ind w:left="891" w:hanging="78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504" w:hanging="780"/>
      </w:pPr>
      <w:rPr>
        <w:rFonts w:hint="default"/>
      </w:rPr>
    </w:lvl>
    <w:lvl w:ilvl="3">
      <w:start w:val="1"/>
      <w:numFmt w:val="bullet"/>
      <w:lvlText w:val="•"/>
      <w:lvlJc w:val="left"/>
      <w:pPr>
        <w:ind w:left="3306" w:hanging="780"/>
      </w:pPr>
      <w:rPr>
        <w:rFonts w:hint="default"/>
      </w:rPr>
    </w:lvl>
    <w:lvl w:ilvl="4">
      <w:start w:val="1"/>
      <w:numFmt w:val="bullet"/>
      <w:lvlText w:val="•"/>
      <w:lvlJc w:val="left"/>
      <w:pPr>
        <w:ind w:left="4108" w:hanging="780"/>
      </w:pPr>
      <w:rPr>
        <w:rFonts w:hint="default"/>
      </w:rPr>
    </w:lvl>
    <w:lvl w:ilvl="5">
      <w:start w:val="1"/>
      <w:numFmt w:val="bullet"/>
      <w:lvlText w:val="•"/>
      <w:lvlJc w:val="left"/>
      <w:pPr>
        <w:ind w:left="4910" w:hanging="780"/>
      </w:pPr>
      <w:rPr>
        <w:rFonts w:hint="default"/>
      </w:rPr>
    </w:lvl>
    <w:lvl w:ilvl="6">
      <w:start w:val="1"/>
      <w:numFmt w:val="bullet"/>
      <w:lvlText w:val="•"/>
      <w:lvlJc w:val="left"/>
      <w:pPr>
        <w:ind w:left="5712" w:hanging="780"/>
      </w:pPr>
      <w:rPr>
        <w:rFonts w:hint="default"/>
      </w:rPr>
    </w:lvl>
    <w:lvl w:ilvl="7">
      <w:start w:val="1"/>
      <w:numFmt w:val="bullet"/>
      <w:lvlText w:val="•"/>
      <w:lvlJc w:val="left"/>
      <w:pPr>
        <w:ind w:left="6514" w:hanging="780"/>
      </w:pPr>
      <w:rPr>
        <w:rFonts w:hint="default"/>
      </w:rPr>
    </w:lvl>
    <w:lvl w:ilvl="8">
      <w:start w:val="1"/>
      <w:numFmt w:val="bullet"/>
      <w:lvlText w:val="•"/>
      <w:lvlJc w:val="left"/>
      <w:pPr>
        <w:ind w:left="7316" w:hanging="780"/>
      </w:pPr>
      <w:rPr>
        <w:rFonts w:hint="default"/>
      </w:rPr>
    </w:lvl>
  </w:abstractNum>
  <w:abstractNum w:abstractNumId="3">
    <w:multiLevelType w:val="hybridMultilevel"/>
    <w:lvl w:ilvl="0">
      <w:start w:val="4"/>
      <w:numFmt w:val="decimal"/>
      <w:lvlText w:val="%1"/>
      <w:lvlJc w:val="left"/>
      <w:pPr>
        <w:ind w:left="831" w:hanging="720"/>
        <w:jc w:val="left"/>
      </w:pPr>
      <w:rPr>
        <w:rFonts w:hint="default"/>
      </w:rPr>
    </w:lvl>
    <w:lvl w:ilvl="1">
      <w:start w:val="6"/>
      <w:numFmt w:val="decimal"/>
      <w:lvlText w:val="%1.%2"/>
      <w:lvlJc w:val="left"/>
      <w:pPr>
        <w:ind w:left="831" w:hanging="720"/>
        <w:jc w:val="left"/>
      </w:pPr>
      <w:rPr>
        <w:rFonts w:hint="default"/>
      </w:rPr>
    </w:lvl>
    <w:lvl w:ilvl="2">
      <w:start w:val="1"/>
      <w:numFmt w:val="decimal"/>
      <w:lvlText w:val="%1.%2.%3"/>
      <w:lvlJc w:val="left"/>
      <w:pPr>
        <w:ind w:left="831" w:hanging="720"/>
        <w:jc w:val="left"/>
      </w:pPr>
      <w:rPr>
        <w:rFonts w:hint="default" w:ascii="Times New Roman" w:hAnsi="Times New Roman" w:eastAsia="Times New Roman" w:cs="Times New Roman"/>
        <w:i/>
        <w:spacing w:val="-1"/>
        <w:w w:val="99"/>
        <w:sz w:val="24"/>
        <w:szCs w:val="24"/>
      </w:rPr>
    </w:lvl>
    <w:lvl w:ilvl="3">
      <w:start w:val="1"/>
      <w:numFmt w:val="bullet"/>
      <w:lvlText w:val="•"/>
      <w:lvlJc w:val="left"/>
      <w:pPr>
        <w:ind w:left="3264" w:hanging="720"/>
      </w:pPr>
      <w:rPr>
        <w:rFonts w:hint="default"/>
      </w:rPr>
    </w:lvl>
    <w:lvl w:ilvl="4">
      <w:start w:val="1"/>
      <w:numFmt w:val="bullet"/>
      <w:lvlText w:val="•"/>
      <w:lvlJc w:val="left"/>
      <w:pPr>
        <w:ind w:left="4072" w:hanging="720"/>
      </w:pPr>
      <w:rPr>
        <w:rFonts w:hint="default"/>
      </w:rPr>
    </w:lvl>
    <w:lvl w:ilvl="5">
      <w:start w:val="1"/>
      <w:numFmt w:val="bullet"/>
      <w:lvlText w:val="•"/>
      <w:lvlJc w:val="left"/>
      <w:pPr>
        <w:ind w:left="4880" w:hanging="720"/>
      </w:pPr>
      <w:rPr>
        <w:rFonts w:hint="default"/>
      </w:rPr>
    </w:lvl>
    <w:lvl w:ilvl="6">
      <w:start w:val="1"/>
      <w:numFmt w:val="bullet"/>
      <w:lvlText w:val="•"/>
      <w:lvlJc w:val="left"/>
      <w:pPr>
        <w:ind w:left="5688" w:hanging="720"/>
      </w:pPr>
      <w:rPr>
        <w:rFonts w:hint="default"/>
      </w:rPr>
    </w:lvl>
    <w:lvl w:ilvl="7">
      <w:start w:val="1"/>
      <w:numFmt w:val="bullet"/>
      <w:lvlText w:val="•"/>
      <w:lvlJc w:val="left"/>
      <w:pPr>
        <w:ind w:left="6496" w:hanging="720"/>
      </w:pPr>
      <w:rPr>
        <w:rFonts w:hint="default"/>
      </w:rPr>
    </w:lvl>
    <w:lvl w:ilvl="8">
      <w:start w:val="1"/>
      <w:numFmt w:val="bullet"/>
      <w:lvlText w:val="•"/>
      <w:lvlJc w:val="left"/>
      <w:pPr>
        <w:ind w:left="7304" w:hanging="720"/>
      </w:pPr>
      <w:rPr>
        <w:rFonts w:hint="default"/>
      </w:rPr>
    </w:lvl>
  </w:abstractNum>
  <w:abstractNum w:abstractNumId="2">
    <w:multiLevelType w:val="hybridMultilevel"/>
    <w:lvl w:ilvl="0">
      <w:start w:val="4"/>
      <w:numFmt w:val="decimal"/>
      <w:lvlText w:val="%1"/>
      <w:lvlJc w:val="left"/>
      <w:pPr>
        <w:ind w:left="891" w:hanging="780"/>
        <w:jc w:val="left"/>
      </w:pPr>
      <w:rPr>
        <w:rFonts w:hint="default"/>
      </w:rPr>
    </w:lvl>
    <w:lvl w:ilvl="1">
      <w:start w:val="2"/>
      <w:numFmt w:val="decimal"/>
      <w:lvlText w:val="%1.%2"/>
      <w:lvlJc w:val="left"/>
      <w:pPr>
        <w:ind w:left="891" w:hanging="78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891" w:hanging="780"/>
        <w:jc w:val="left"/>
      </w:pPr>
      <w:rPr>
        <w:rFonts w:hint="default" w:ascii="Times New Roman" w:hAnsi="Times New Roman" w:eastAsia="Times New Roman" w:cs="Times New Roman"/>
        <w:i/>
        <w:spacing w:val="-3"/>
        <w:w w:val="99"/>
        <w:sz w:val="24"/>
        <w:szCs w:val="24"/>
      </w:rPr>
    </w:lvl>
    <w:lvl w:ilvl="3">
      <w:start w:val="4"/>
      <w:numFmt w:val="decimal"/>
      <w:lvlText w:val="%1.%2.%3.%4"/>
      <w:lvlJc w:val="left"/>
      <w:pPr>
        <w:ind w:left="891" w:hanging="780"/>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4108" w:hanging="780"/>
      </w:pPr>
      <w:rPr>
        <w:rFonts w:hint="default"/>
      </w:rPr>
    </w:lvl>
    <w:lvl w:ilvl="5">
      <w:start w:val="1"/>
      <w:numFmt w:val="bullet"/>
      <w:lvlText w:val="•"/>
      <w:lvlJc w:val="left"/>
      <w:pPr>
        <w:ind w:left="4910" w:hanging="780"/>
      </w:pPr>
      <w:rPr>
        <w:rFonts w:hint="default"/>
      </w:rPr>
    </w:lvl>
    <w:lvl w:ilvl="6">
      <w:start w:val="1"/>
      <w:numFmt w:val="bullet"/>
      <w:lvlText w:val="•"/>
      <w:lvlJc w:val="left"/>
      <w:pPr>
        <w:ind w:left="5712" w:hanging="780"/>
      </w:pPr>
      <w:rPr>
        <w:rFonts w:hint="default"/>
      </w:rPr>
    </w:lvl>
    <w:lvl w:ilvl="7">
      <w:start w:val="1"/>
      <w:numFmt w:val="bullet"/>
      <w:lvlText w:val="•"/>
      <w:lvlJc w:val="left"/>
      <w:pPr>
        <w:ind w:left="6514" w:hanging="780"/>
      </w:pPr>
      <w:rPr>
        <w:rFonts w:hint="default"/>
      </w:rPr>
    </w:lvl>
    <w:lvl w:ilvl="8">
      <w:start w:val="1"/>
      <w:numFmt w:val="bullet"/>
      <w:lvlText w:val="•"/>
      <w:lvlJc w:val="left"/>
      <w:pPr>
        <w:ind w:left="7316" w:hanging="780"/>
      </w:pPr>
      <w:rPr>
        <w:rFonts w:hint="default"/>
      </w:rPr>
    </w:lvl>
  </w:abstractNum>
  <w:abstractNum w:abstractNumId="1">
    <w:multiLevelType w:val="hybridMultilevel"/>
    <w:lvl w:ilvl="0">
      <w:start w:val="3"/>
      <w:numFmt w:val="decimal"/>
      <w:lvlText w:val="%1"/>
      <w:lvlJc w:val="left"/>
      <w:pPr>
        <w:ind w:left="891" w:hanging="780"/>
        <w:jc w:val="left"/>
      </w:pPr>
      <w:rPr>
        <w:rFonts w:hint="default"/>
      </w:rPr>
    </w:lvl>
    <w:lvl w:ilvl="1">
      <w:start w:val="8"/>
      <w:numFmt w:val="decimal"/>
      <w:lvlText w:val="%1.%2"/>
      <w:lvlJc w:val="left"/>
      <w:pPr>
        <w:ind w:left="891" w:hanging="78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504" w:hanging="780"/>
      </w:pPr>
      <w:rPr>
        <w:rFonts w:hint="default"/>
      </w:rPr>
    </w:lvl>
    <w:lvl w:ilvl="3">
      <w:start w:val="1"/>
      <w:numFmt w:val="bullet"/>
      <w:lvlText w:val="•"/>
      <w:lvlJc w:val="left"/>
      <w:pPr>
        <w:ind w:left="3306" w:hanging="780"/>
      </w:pPr>
      <w:rPr>
        <w:rFonts w:hint="default"/>
      </w:rPr>
    </w:lvl>
    <w:lvl w:ilvl="4">
      <w:start w:val="1"/>
      <w:numFmt w:val="bullet"/>
      <w:lvlText w:val="•"/>
      <w:lvlJc w:val="left"/>
      <w:pPr>
        <w:ind w:left="4108" w:hanging="780"/>
      </w:pPr>
      <w:rPr>
        <w:rFonts w:hint="default"/>
      </w:rPr>
    </w:lvl>
    <w:lvl w:ilvl="5">
      <w:start w:val="1"/>
      <w:numFmt w:val="bullet"/>
      <w:lvlText w:val="•"/>
      <w:lvlJc w:val="left"/>
      <w:pPr>
        <w:ind w:left="4910" w:hanging="780"/>
      </w:pPr>
      <w:rPr>
        <w:rFonts w:hint="default"/>
      </w:rPr>
    </w:lvl>
    <w:lvl w:ilvl="6">
      <w:start w:val="1"/>
      <w:numFmt w:val="bullet"/>
      <w:lvlText w:val="•"/>
      <w:lvlJc w:val="left"/>
      <w:pPr>
        <w:ind w:left="5712" w:hanging="780"/>
      </w:pPr>
      <w:rPr>
        <w:rFonts w:hint="default"/>
      </w:rPr>
    </w:lvl>
    <w:lvl w:ilvl="7">
      <w:start w:val="1"/>
      <w:numFmt w:val="bullet"/>
      <w:lvlText w:val="•"/>
      <w:lvlJc w:val="left"/>
      <w:pPr>
        <w:ind w:left="6514" w:hanging="780"/>
      </w:pPr>
      <w:rPr>
        <w:rFonts w:hint="default"/>
      </w:rPr>
    </w:lvl>
    <w:lvl w:ilvl="8">
      <w:start w:val="1"/>
      <w:numFmt w:val="bullet"/>
      <w:lvlText w:val="•"/>
      <w:lvlJc w:val="left"/>
      <w:pPr>
        <w:ind w:left="7316" w:hanging="780"/>
      </w:pPr>
      <w:rPr>
        <w:rFonts w:hint="default"/>
      </w:rPr>
    </w:lvl>
  </w:abstractNum>
  <w:abstractNum w:abstractNumId="0">
    <w:multiLevelType w:val="hybridMultilevel"/>
    <w:lvl w:ilvl="0">
      <w:start w:val="2"/>
      <w:numFmt w:val="decimal"/>
      <w:lvlText w:val="%1"/>
      <w:lvlJc w:val="left"/>
      <w:pPr>
        <w:ind w:left="891" w:hanging="780"/>
        <w:jc w:val="left"/>
      </w:pPr>
      <w:rPr>
        <w:rFonts w:hint="default"/>
      </w:rPr>
    </w:lvl>
    <w:lvl w:ilvl="1">
      <w:start w:val="1"/>
      <w:numFmt w:val="decimal"/>
      <w:lvlText w:val="%1.%2"/>
      <w:lvlJc w:val="left"/>
      <w:pPr>
        <w:ind w:left="891" w:hanging="780"/>
        <w:jc w:val="left"/>
      </w:pPr>
      <w:rPr>
        <w:rFonts w:hint="default" w:ascii="Times New Roman" w:hAnsi="Times New Roman" w:eastAsia="Times New Roman" w:cs="Times New Roman"/>
        <w:spacing w:val="-2"/>
        <w:w w:val="100"/>
        <w:sz w:val="24"/>
        <w:szCs w:val="24"/>
      </w:rPr>
    </w:lvl>
    <w:lvl w:ilvl="2">
      <w:start w:val="1"/>
      <w:numFmt w:val="bullet"/>
      <w:lvlText w:val="•"/>
      <w:lvlJc w:val="left"/>
      <w:pPr>
        <w:ind w:left="2536" w:hanging="780"/>
      </w:pPr>
      <w:rPr>
        <w:rFonts w:hint="default"/>
      </w:rPr>
    </w:lvl>
    <w:lvl w:ilvl="3">
      <w:start w:val="1"/>
      <w:numFmt w:val="bullet"/>
      <w:lvlText w:val="•"/>
      <w:lvlJc w:val="left"/>
      <w:pPr>
        <w:ind w:left="3354" w:hanging="780"/>
      </w:pPr>
      <w:rPr>
        <w:rFonts w:hint="default"/>
      </w:rPr>
    </w:lvl>
    <w:lvl w:ilvl="4">
      <w:start w:val="1"/>
      <w:numFmt w:val="bullet"/>
      <w:lvlText w:val="•"/>
      <w:lvlJc w:val="left"/>
      <w:pPr>
        <w:ind w:left="4172" w:hanging="780"/>
      </w:pPr>
      <w:rPr>
        <w:rFonts w:hint="default"/>
      </w:rPr>
    </w:lvl>
    <w:lvl w:ilvl="5">
      <w:start w:val="1"/>
      <w:numFmt w:val="bullet"/>
      <w:lvlText w:val="•"/>
      <w:lvlJc w:val="left"/>
      <w:pPr>
        <w:ind w:left="4990" w:hanging="780"/>
      </w:pPr>
      <w:rPr>
        <w:rFonts w:hint="default"/>
      </w:rPr>
    </w:lvl>
    <w:lvl w:ilvl="6">
      <w:start w:val="1"/>
      <w:numFmt w:val="bullet"/>
      <w:lvlText w:val="•"/>
      <w:lvlJc w:val="left"/>
      <w:pPr>
        <w:ind w:left="5808" w:hanging="780"/>
      </w:pPr>
      <w:rPr>
        <w:rFonts w:hint="default"/>
      </w:rPr>
    </w:lvl>
    <w:lvl w:ilvl="7">
      <w:start w:val="1"/>
      <w:numFmt w:val="bullet"/>
      <w:lvlText w:val="•"/>
      <w:lvlJc w:val="left"/>
      <w:pPr>
        <w:ind w:left="6626" w:hanging="780"/>
      </w:pPr>
      <w:rPr>
        <w:rFonts w:hint="default"/>
      </w:rPr>
    </w:lvl>
    <w:lvl w:ilvl="8">
      <w:start w:val="1"/>
      <w:numFmt w:val="bullet"/>
      <w:lvlText w:val="•"/>
      <w:lvlJc w:val="left"/>
      <w:pPr>
        <w:ind w:left="7444" w:hanging="780"/>
      </w:pPr>
      <w:rPr>
        <w:rFonts w:hint="default"/>
      </w:rPr>
    </w:lvl>
  </w:abstract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43"/>
      <w:ind w:left="111"/>
    </w:pPr>
    <w:rPr>
      <w:rFonts w:ascii="Times New Roman" w:hAnsi="Times New Roman" w:eastAsia="Times New Roman" w:cs="Times New Roman"/>
      <w:b/>
      <w:bCs/>
      <w:sz w:val="24"/>
      <w:szCs w:val="24"/>
    </w:rPr>
  </w:style>
  <w:style w:styleId="TOC2" w:type="paragraph">
    <w:name w:val="TOC 2"/>
    <w:basedOn w:val="Normal"/>
    <w:uiPriority w:val="1"/>
    <w:qFormat/>
    <w:pPr>
      <w:spacing w:before="338"/>
      <w:ind w:left="891" w:hanging="780"/>
    </w:pPr>
    <w:rPr>
      <w:rFonts w:ascii="Times New Roman" w:hAnsi="Times New Roman" w:eastAsia="Times New Roman" w:cs="Times New Roman"/>
      <w:sz w:val="24"/>
      <w:szCs w:val="24"/>
    </w:rPr>
  </w:style>
  <w:style w:styleId="TOC3" w:type="paragraph">
    <w:name w:val="TOC 3"/>
    <w:basedOn w:val="Normal"/>
    <w:uiPriority w:val="1"/>
    <w:qFormat/>
    <w:pPr>
      <w:spacing w:before="8"/>
      <w:ind w:left="831" w:hanging="780"/>
    </w:pPr>
    <w:rPr>
      <w:rFonts w:ascii="Times New Roman" w:hAnsi="Times New Roman" w:eastAsia="Times New Roman" w:cs="Times New Roman"/>
      <w:i/>
      <w:sz w:val="24"/>
      <w:szCs w:val="24"/>
    </w:rPr>
  </w:style>
  <w:style w:styleId="TOC4" w:type="paragraph">
    <w:name w:val="TOC 4"/>
    <w:basedOn w:val="Normal"/>
    <w:uiPriority w:val="1"/>
    <w:qFormat/>
    <w:pPr>
      <w:spacing w:before="338"/>
      <w:ind w:left="111"/>
    </w:pPr>
    <w:rPr>
      <w:rFonts w:ascii="Times New Roman" w:hAnsi="Times New Roman" w:eastAsia="Times New Roman" w:cs="Times New Roman"/>
      <w:b/>
      <w:bCs/>
      <w:i/>
    </w:rPr>
  </w:style>
  <w:style w:styleId="TOC5" w:type="paragraph">
    <w:name w:val="TOC 5"/>
    <w:basedOn w:val="Normal"/>
    <w:uiPriority w:val="1"/>
    <w:qFormat/>
    <w:pPr>
      <w:spacing w:before="199"/>
      <w:ind w:left="891"/>
    </w:pPr>
    <w:rPr>
      <w:rFonts w:ascii="Times New Roman" w:hAnsi="Times New Roman" w:eastAsia="Times New Roman" w:cs="Times New Roman"/>
      <w:sz w:val="24"/>
      <w:szCs w:val="24"/>
    </w:rPr>
  </w:style>
  <w:style w:styleId="TOC6" w:type="paragraph">
    <w:name w:val="TOC 6"/>
    <w:basedOn w:val="Normal"/>
    <w:uiPriority w:val="1"/>
    <w:qFormat/>
    <w:pPr>
      <w:spacing w:before="202"/>
      <w:ind w:left="891"/>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5"/>
      <w:ind w:left="102"/>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48"/>
      <w:ind w:left="642" w:hanging="540"/>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831" w:hanging="360"/>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footer" Target="footer6.xml"/><Relationship Id="rId41" Type="http://schemas.openxmlformats.org/officeDocument/2006/relationships/footer" Target="footer7.xml"/><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image" Target="media/image57.png"/><Relationship Id="rId67" Type="http://schemas.openxmlformats.org/officeDocument/2006/relationships/image" Target="media/image58.png"/><Relationship Id="rId68" Type="http://schemas.openxmlformats.org/officeDocument/2006/relationships/image" Target="media/image59.png"/><Relationship Id="rId69" Type="http://schemas.openxmlformats.org/officeDocument/2006/relationships/image" Target="media/image60.png"/><Relationship Id="rId70" Type="http://schemas.openxmlformats.org/officeDocument/2006/relationships/image" Target="media/image61.png"/><Relationship Id="rId71" Type="http://schemas.openxmlformats.org/officeDocument/2006/relationships/image" Target="media/image62.png"/><Relationship Id="rId72" Type="http://schemas.openxmlformats.org/officeDocument/2006/relationships/image" Target="media/image63.png"/><Relationship Id="rId73" Type="http://schemas.openxmlformats.org/officeDocument/2006/relationships/image" Target="media/image64.png"/><Relationship Id="rId74" Type="http://schemas.openxmlformats.org/officeDocument/2006/relationships/footer" Target="footer8.xml"/><Relationship Id="rId75" Type="http://schemas.openxmlformats.org/officeDocument/2006/relationships/footer" Target="footer9.xml"/><Relationship Id="rId76" Type="http://schemas.openxmlformats.org/officeDocument/2006/relationships/image" Target="media/image65.png"/><Relationship Id="rId77" Type="http://schemas.openxmlformats.org/officeDocument/2006/relationships/image" Target="media/image66.png"/><Relationship Id="rId78" Type="http://schemas.openxmlformats.org/officeDocument/2006/relationships/image" Target="media/image67.png"/><Relationship Id="rId79" Type="http://schemas.openxmlformats.org/officeDocument/2006/relationships/image" Target="media/image68.png"/><Relationship Id="rId80" Type="http://schemas.openxmlformats.org/officeDocument/2006/relationships/footer" Target="footer10.xml"/><Relationship Id="rId81" Type="http://schemas.openxmlformats.org/officeDocument/2006/relationships/footer" Target="footer11.xml"/><Relationship Id="rId82" Type="http://schemas.openxmlformats.org/officeDocument/2006/relationships/image" Target="media/image69.png"/><Relationship Id="rId83" Type="http://schemas.openxmlformats.org/officeDocument/2006/relationships/footer" Target="footer12.xml"/><Relationship Id="rId84" Type="http://schemas.openxmlformats.org/officeDocument/2006/relationships/footer" Target="footer13.xml"/><Relationship Id="rId85" Type="http://schemas.openxmlformats.org/officeDocument/2006/relationships/footer" Target="footer14.xml"/><Relationship Id="rId86" Type="http://schemas.openxmlformats.org/officeDocument/2006/relationships/footer" Target="footer15.xml"/><Relationship Id="rId87" Type="http://schemas.openxmlformats.org/officeDocument/2006/relationships/image" Target="media/image70.png"/><Relationship Id="rId88" Type="http://schemas.openxmlformats.org/officeDocument/2006/relationships/image" Target="media/image71.png"/><Relationship Id="rId89" Type="http://schemas.openxmlformats.org/officeDocument/2006/relationships/image" Target="media/image72.png"/><Relationship Id="rId90" Type="http://schemas.openxmlformats.org/officeDocument/2006/relationships/image" Target="media/image73.png"/><Relationship Id="rId91" Type="http://schemas.openxmlformats.org/officeDocument/2006/relationships/image" Target="media/image74.png"/><Relationship Id="rId92" Type="http://schemas.openxmlformats.org/officeDocument/2006/relationships/image" Target="media/image75.png"/><Relationship Id="rId93" Type="http://schemas.openxmlformats.org/officeDocument/2006/relationships/image" Target="media/image76.png"/><Relationship Id="rId94" Type="http://schemas.openxmlformats.org/officeDocument/2006/relationships/image" Target="media/image77.png"/><Relationship Id="rId95" Type="http://schemas.openxmlformats.org/officeDocument/2006/relationships/image" Target="media/image78.png"/><Relationship Id="rId96" Type="http://schemas.openxmlformats.org/officeDocument/2006/relationships/image" Target="media/image79.png"/><Relationship Id="rId97" Type="http://schemas.openxmlformats.org/officeDocument/2006/relationships/image" Target="media/image80.png"/><Relationship Id="rId98" Type="http://schemas.openxmlformats.org/officeDocument/2006/relationships/image" Target="media/image81.png"/><Relationship Id="rId99" Type="http://schemas.openxmlformats.org/officeDocument/2006/relationships/image" Target="media/image82.png"/><Relationship Id="rId100" Type="http://schemas.openxmlformats.org/officeDocument/2006/relationships/image" Target="media/image83.png"/><Relationship Id="rId101" Type="http://schemas.openxmlformats.org/officeDocument/2006/relationships/footer" Target="footer16.xml"/><Relationship Id="rId102" Type="http://schemas.openxmlformats.org/officeDocument/2006/relationships/footer" Target="footer17.xml"/><Relationship Id="rId103" Type="http://schemas.openxmlformats.org/officeDocument/2006/relationships/footer" Target="footer18.xml"/><Relationship Id="rId104" Type="http://schemas.openxmlformats.org/officeDocument/2006/relationships/footer" Target="footer19.xml"/><Relationship Id="rId105" Type="http://schemas.openxmlformats.org/officeDocument/2006/relationships/hyperlink" Target="mailto:femartinezc@uaemex.mx" TargetMode="External"/><Relationship Id="rId106" Type="http://schemas.openxmlformats.org/officeDocument/2006/relationships/hyperlink" Target="mailto:fernestom@yahoo.com.mx" TargetMode="External"/><Relationship Id="rId107" Type="http://schemas.openxmlformats.org/officeDocument/2006/relationships/footer" Target="footer20.xml"/><Relationship Id="rId108" Type="http://schemas.openxmlformats.org/officeDocument/2006/relationships/footer" Target="footer21.xml"/><Relationship Id="rId109" Type="http://schemas.openxmlformats.org/officeDocument/2006/relationships/hyperlink" Target="http://www.canilec.org.mx/prod_leche.html" TargetMode="External"/><Relationship Id="rId110" Type="http://schemas.openxmlformats.org/officeDocument/2006/relationships/hyperlink" Target="http://www.canilec.org.mx/inf_general.html" TargetMode="External"/><Relationship Id="rId111" Type="http://schemas.openxmlformats.org/officeDocument/2006/relationships/hyperlink" Target="http://www.siap.gob.mx/index.php?option=com_wrapper&amp;amp;view=wrapper&amp;amp;Itemid=369" TargetMode="External"/><Relationship Id="rId112" Type="http://schemas.openxmlformats.org/officeDocument/2006/relationships/hyperlink" Target="http://www.campomexicano.gob.mx/portal_siap/Integracion/EstadisticaDerivada/In" TargetMode="External"/><Relationship Id="rId113" Type="http://schemas.openxmlformats.org/officeDocument/2006/relationships/footer" Target="footer22.xml"/><Relationship Id="rId114" Type="http://schemas.openxmlformats.org/officeDocument/2006/relationships/footer" Target="footer23.xml"/><Relationship Id="rId115" Type="http://schemas.openxmlformats.org/officeDocument/2006/relationships/hyperlink" Target="http://www.financierarural.gob.mx/informacionsectorrural/Documents/SAGARPA/PerspectivaLeche2005.pdf" TargetMode="External"/><Relationship Id="rId116" Type="http://schemas.openxmlformats.org/officeDocument/2006/relationships/footer" Target="footer24.xml"/><Relationship Id="rId117" Type="http://schemas.openxmlformats.org/officeDocument/2006/relationships/hyperlink" Target="http://unpan1.un.org/intradoc/groups/public/documents/icap/unpan033253.pdf" TargetMode="External"/><Relationship Id="rId118" Type="http://schemas.openxmlformats.org/officeDocument/2006/relationships/hyperlink" Target="http://www.mag.go.cr/bibliotecavirtual/a00304.pdf" TargetMode="External"/><Relationship Id="rId119" Type="http://schemas.openxmlformats.org/officeDocument/2006/relationships/hyperlink" Target="http://www.fao.org/ag/againfo/programmes/en/pplpi/docarc/wp3.pdf" TargetMode="External"/><Relationship Id="rId120" Type="http://schemas.openxmlformats.org/officeDocument/2006/relationships/hyperlink" Target="http://www.fao.org/docrep/012/i1522e/i1522e00.pdf" TargetMode="External"/><Relationship Id="rId121" Type="http://schemas.openxmlformats.org/officeDocument/2006/relationships/hyperlink" Target="http://www.ifpri.org/sites/default/files/publications/gsspwp12.pdf" TargetMode="External"/><Relationship Id="rId122" Type="http://schemas.openxmlformats.org/officeDocument/2006/relationships/hyperlink" Target="http://www.Mapserver.inegi.org.mx/rnng/index.cfm" TargetMode="External"/><Relationship Id="rId123" Type="http://schemas.openxmlformats.org/officeDocument/2006/relationships/footer" Target="footer25.xml"/><Relationship Id="rId124" Type="http://schemas.openxmlformats.org/officeDocument/2006/relationships/hyperlink" Target="http://www.campomexicano.gob.mx/portal_siap/Integracion/EstadisticaDerivada/InformaciondeMercados/Mercados/modelos/Indicadoresbasicos2009.pdf" TargetMode="External"/><Relationship Id="rId125" Type="http://schemas.openxmlformats.org/officeDocument/2006/relationships/footer" Target="footer26.xml"/><Relationship Id="rId126" Type="http://schemas.openxmlformats.org/officeDocument/2006/relationships/image" Target="media/image84.png"/><Relationship Id="rId127" Type="http://schemas.openxmlformats.org/officeDocument/2006/relationships/image" Target="media/image85.png"/><Relationship Id="rId128" Type="http://schemas.openxmlformats.org/officeDocument/2006/relationships/image" Target="media/image86.png"/><Relationship Id="rId129" Type="http://schemas.openxmlformats.org/officeDocument/2006/relationships/image" Target="media/image87.png"/><Relationship Id="rId130" Type="http://schemas.openxmlformats.org/officeDocument/2006/relationships/image" Target="media/image88.png"/><Relationship Id="rId131" Type="http://schemas.openxmlformats.org/officeDocument/2006/relationships/image" Target="media/image89.png"/><Relationship Id="rId132" Type="http://schemas.openxmlformats.org/officeDocument/2006/relationships/image" Target="media/image90.png"/><Relationship Id="rId133" Type="http://schemas.openxmlformats.org/officeDocument/2006/relationships/image" Target="media/image91.png"/><Relationship Id="rId134" Type="http://schemas.openxmlformats.org/officeDocument/2006/relationships/image" Target="media/image92.png"/><Relationship Id="rId135" Type="http://schemas.openxmlformats.org/officeDocument/2006/relationships/image" Target="media/image93.png"/><Relationship Id="rId136" Type="http://schemas.openxmlformats.org/officeDocument/2006/relationships/image" Target="media/image94.png"/><Relationship Id="rId137" Type="http://schemas.openxmlformats.org/officeDocument/2006/relationships/image" Target="media/image95.png"/><Relationship Id="rId138" Type="http://schemas.openxmlformats.org/officeDocument/2006/relationships/image" Target="media/image96.png"/><Relationship Id="rId139" Type="http://schemas.openxmlformats.org/officeDocument/2006/relationships/image" Target="media/image97.png"/><Relationship Id="rId140" Type="http://schemas.openxmlformats.org/officeDocument/2006/relationships/image" Target="media/image98.png"/><Relationship Id="rId141" Type="http://schemas.openxmlformats.org/officeDocument/2006/relationships/image" Target="media/image99.png"/><Relationship Id="rId142" Type="http://schemas.openxmlformats.org/officeDocument/2006/relationships/image" Target="media/image100.png"/><Relationship Id="rId143" Type="http://schemas.openxmlformats.org/officeDocument/2006/relationships/image" Target="media/image101.png"/><Relationship Id="rId144" Type="http://schemas.openxmlformats.org/officeDocument/2006/relationships/image" Target="media/image102.png"/><Relationship Id="rId145" Type="http://schemas.openxmlformats.org/officeDocument/2006/relationships/image" Target="media/image103.png"/><Relationship Id="rId146" Type="http://schemas.openxmlformats.org/officeDocument/2006/relationships/image" Target="media/image104.png"/><Relationship Id="rId147" Type="http://schemas.openxmlformats.org/officeDocument/2006/relationships/hyperlink" Target="http://www.contaduriayadministracionunam.com.mx/userFiles/app/pp_11012013.pdf" TargetMode="External"/><Relationship Id="rId148" Type="http://schemas.openxmlformats.org/officeDocument/2006/relationships/hyperlink" Target="http://www.sagarpa.gob.mx/agronegocios/Documents/INFORME%20FINAL%20U" TargetMode="External"/><Relationship Id="rId149" Type="http://schemas.openxmlformats.org/officeDocument/2006/relationships/footer" Target="footer27.xml"/><Relationship Id="rId150" Type="http://schemas.openxmlformats.org/officeDocument/2006/relationships/hyperlink" Target="http://www.siap.gob.mx/index.php?option=com_wrapper&amp;amp;view=wrapper&amp;amp;Itemid=372" TargetMode="External"/><Relationship Id="rId151" Type="http://schemas.openxmlformats.org/officeDocument/2006/relationships/hyperlink" Target="http://www.fao.org/ag/againfo/programmes/en/pplpi/docarc/wp44_1.pdf" TargetMode="External"/><Relationship Id="rId152" Type="http://schemas.openxmlformats.org/officeDocument/2006/relationships/footer" Target="footer28.xml"/><Relationship Id="rId153" Type="http://schemas.openxmlformats.org/officeDocument/2006/relationships/footer" Target="footer29.xml"/><Relationship Id="rId154" Type="http://schemas.openxmlformats.org/officeDocument/2006/relationships/hyperlink" Target="http://www.mapserver.inegi.org/" TargetMode="External"/><Relationship Id="rId155" Type="http://schemas.openxmlformats.org/officeDocument/2006/relationships/hyperlink" Target="http://www.sagarpa.gob.mx/agronegocios/Documents/EBespa%C3%B1ol300909.pdf" TargetMode="External"/><Relationship Id="rId156" Type="http://schemas.openxmlformats.org/officeDocument/2006/relationships/hyperlink" Target="http://www.siap.gob.mx/index.php?option=com_wrapper&amp;amp;view=wrapper&amp;amp;Itemid=373" TargetMode="External"/><Relationship Id="rId157" Type="http://schemas.openxmlformats.org/officeDocument/2006/relationships/hyperlink" Target="http://www.lrrd.org/lrrd22/7/uddi22122.htm" TargetMode="External"/><Relationship Id="rId158" Type="http://schemas.openxmlformats.org/officeDocument/2006/relationships/footer" Target="footer30.xml"/><Relationship Id="rId159" Type="http://schemas.openxmlformats.org/officeDocument/2006/relationships/image" Target="media/image105.png"/><Relationship Id="rId160" Type="http://schemas.openxmlformats.org/officeDocument/2006/relationships/image" Target="media/image106.png"/><Relationship Id="rId161" Type="http://schemas.openxmlformats.org/officeDocument/2006/relationships/image" Target="media/image107.png"/><Relationship Id="rId162" Type="http://schemas.openxmlformats.org/officeDocument/2006/relationships/image" Target="media/image108.png"/><Relationship Id="rId163" Type="http://schemas.openxmlformats.org/officeDocument/2006/relationships/image" Target="media/image109.png"/><Relationship Id="rId164" Type="http://schemas.openxmlformats.org/officeDocument/2006/relationships/image" Target="media/image110.png"/><Relationship Id="rId165" Type="http://schemas.openxmlformats.org/officeDocument/2006/relationships/image" Target="media/image111.png"/><Relationship Id="rId166" Type="http://schemas.openxmlformats.org/officeDocument/2006/relationships/image" Target="media/image112.png"/><Relationship Id="rId167" Type="http://schemas.openxmlformats.org/officeDocument/2006/relationships/image" Target="media/image113.png"/><Relationship Id="rId168" Type="http://schemas.openxmlformats.org/officeDocument/2006/relationships/image" Target="media/image114.png"/><Relationship Id="rId169" Type="http://schemas.openxmlformats.org/officeDocument/2006/relationships/image" Target="media/image115.png"/><Relationship Id="rId170" Type="http://schemas.openxmlformats.org/officeDocument/2006/relationships/image" Target="media/image116.png"/><Relationship Id="rId171" Type="http://schemas.openxmlformats.org/officeDocument/2006/relationships/image" Target="media/image117.png"/><Relationship Id="rId172" Type="http://schemas.openxmlformats.org/officeDocument/2006/relationships/image" Target="media/image118.png"/><Relationship Id="rId173" Type="http://schemas.openxmlformats.org/officeDocument/2006/relationships/image" Target="media/image119.png"/><Relationship Id="rId174" Type="http://schemas.openxmlformats.org/officeDocument/2006/relationships/image" Target="media/image120.png"/><Relationship Id="rId175" Type="http://schemas.openxmlformats.org/officeDocument/2006/relationships/image" Target="media/image121.png"/><Relationship Id="rId176" Type="http://schemas.openxmlformats.org/officeDocument/2006/relationships/image" Target="media/image122.png"/><Relationship Id="rId177" Type="http://schemas.openxmlformats.org/officeDocument/2006/relationships/image" Target="media/image123.png"/><Relationship Id="rId178" Type="http://schemas.openxmlformats.org/officeDocument/2006/relationships/image" Target="media/image124.png"/><Relationship Id="rId179" Type="http://schemas.openxmlformats.org/officeDocument/2006/relationships/image" Target="media/image125.png"/><Relationship Id="rId180" Type="http://schemas.openxmlformats.org/officeDocument/2006/relationships/image" Target="media/image126.png"/><Relationship Id="rId181" Type="http://schemas.openxmlformats.org/officeDocument/2006/relationships/image" Target="media/image127.png"/><Relationship Id="rId182" Type="http://schemas.openxmlformats.org/officeDocument/2006/relationships/image" Target="media/image128.png"/><Relationship Id="rId183" Type="http://schemas.openxmlformats.org/officeDocument/2006/relationships/image" Target="media/image129.png"/><Relationship Id="rId184" Type="http://schemas.openxmlformats.org/officeDocument/2006/relationships/image" Target="media/image130.png"/><Relationship Id="rId185" Type="http://schemas.openxmlformats.org/officeDocument/2006/relationships/image" Target="media/image131.png"/><Relationship Id="rId186" Type="http://schemas.openxmlformats.org/officeDocument/2006/relationships/image" Target="media/image132.png"/><Relationship Id="rId187" Type="http://schemas.openxmlformats.org/officeDocument/2006/relationships/image" Target="media/image133.png"/><Relationship Id="rId188" Type="http://schemas.openxmlformats.org/officeDocument/2006/relationships/image" Target="media/image134.png"/><Relationship Id="rId189" Type="http://schemas.openxmlformats.org/officeDocument/2006/relationships/image" Target="media/image135.png"/><Relationship Id="rId190" Type="http://schemas.openxmlformats.org/officeDocument/2006/relationships/image" Target="media/image136.png"/><Relationship Id="rId191" Type="http://schemas.openxmlformats.org/officeDocument/2006/relationships/image" Target="media/image137.png"/><Relationship Id="rId192" Type="http://schemas.openxmlformats.org/officeDocument/2006/relationships/image" Target="media/image138.png"/><Relationship Id="rId193" Type="http://schemas.openxmlformats.org/officeDocument/2006/relationships/image" Target="media/image139.png"/><Relationship Id="rId194" Type="http://schemas.openxmlformats.org/officeDocument/2006/relationships/image" Target="media/image140.png"/><Relationship Id="rId195" Type="http://schemas.openxmlformats.org/officeDocument/2006/relationships/image" Target="media/image141.png"/><Relationship Id="rId196" Type="http://schemas.openxmlformats.org/officeDocument/2006/relationships/image" Target="media/image142.png"/><Relationship Id="rId197" Type="http://schemas.openxmlformats.org/officeDocument/2006/relationships/image" Target="media/image143.png"/><Relationship Id="rId198" Type="http://schemas.openxmlformats.org/officeDocument/2006/relationships/image" Target="media/image144.png"/><Relationship Id="rId199" Type="http://schemas.openxmlformats.org/officeDocument/2006/relationships/image" Target="media/image145.png"/><Relationship Id="rId200" Type="http://schemas.openxmlformats.org/officeDocument/2006/relationships/image" Target="media/image146.png"/><Relationship Id="rId201" Type="http://schemas.openxmlformats.org/officeDocument/2006/relationships/image" Target="media/image147.png"/><Relationship Id="rId202" Type="http://schemas.openxmlformats.org/officeDocument/2006/relationships/footer" Target="footer31.xml"/><Relationship Id="rId203" Type="http://schemas.openxmlformats.org/officeDocument/2006/relationships/footer" Target="footer32.xml"/><Relationship Id="rId204" Type="http://schemas.openxmlformats.org/officeDocument/2006/relationships/hyperlink" Target="http://epaa.asu.edu/epaa/v13n35" TargetMode="External"/><Relationship Id="rId205" Type="http://schemas.openxmlformats.org/officeDocument/2006/relationships/hyperlink" Target="http://cec.itam.mx/" TargetMode="External"/><Relationship Id="rId206" Type="http://schemas.openxmlformats.org/officeDocument/2006/relationships/hyperlink" Target="http://dx.doi.org/10.1787/agr_outlook-2011-es" TargetMode="External"/><Relationship Id="rId207" Type="http://schemas.openxmlformats.org/officeDocument/2006/relationships/hyperlink" Target="http://www.sagarpa.gob.mx/Dgg" TargetMode="External"/><Relationship Id="rId208" Type="http://schemas.openxmlformats.org/officeDocument/2006/relationships/footer" Target="footer33.xml"/><Relationship Id="rId209" Type="http://schemas.openxmlformats.org/officeDocument/2006/relationships/hyperlink" Target="http://www.financierarural.gob.mx/informacionsectorrural/Documents/SAGARPA/Perspectivas-Largo-Plazo-2011-2020.pdf" TargetMode="External"/><Relationship Id="rId210" Type="http://schemas.openxmlformats.org/officeDocument/2006/relationships/hyperlink" Target="http://www.economia.gob.mx/files/comunidad_negocios/industria_comercio/inf" TargetMode="External"/><Relationship Id="rId211" Type="http://schemas.openxmlformats.org/officeDocument/2006/relationships/hyperlink" Target="http://www.siap.gob.mx/" TargetMode="External"/><Relationship Id="rId212" Type="http://schemas.openxmlformats.org/officeDocument/2006/relationships/hyperlink" Target="http://www.siap.gob.mx/wp-" TargetMode="External"/><Relationship Id="rId213" Type="http://schemas.openxmlformats.org/officeDocument/2006/relationships/hyperlink" Target="http://www.eumed.net/ce/2010a/" TargetMode="External"/><Relationship Id="rId214" Type="http://schemas.openxmlformats.org/officeDocument/2006/relationships/image" Target="media/image148.jpeg"/><Relationship Id="rId215" Type="http://schemas.openxmlformats.org/officeDocument/2006/relationships/footer" Target="footer34.xml"/><Relationship Id="rId216" Type="http://schemas.openxmlformats.org/officeDocument/2006/relationships/image" Target="media/image149.jpeg"/><Relationship Id="rId217" Type="http://schemas.openxmlformats.org/officeDocument/2006/relationships/image" Target="media/image150.jpeg"/><Relationship Id="rId218" Type="http://schemas.openxmlformats.org/officeDocument/2006/relationships/image" Target="media/image151.png"/><Relationship Id="rId21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2017-05-23T21:20:47Z</dcterms:created>
  <dcterms:modified xsi:type="dcterms:W3CDTF">2017-05-23T21:20:47Z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