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Default Extension="jpeg" ContentType="image/jpeg"/>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Heading1"/>
        <w:spacing w:before="188"/>
        <w:ind w:left="2123"/>
      </w:pPr>
      <w:r>
        <w:rPr/>
        <w:drawing>
          <wp:anchor distT="0" distB="0" distL="0" distR="0" allowOverlap="1" layoutInCell="1" locked="0" behindDoc="0" simplePos="0" relativeHeight="0">
            <wp:simplePos x="0" y="0"/>
            <wp:positionH relativeFrom="page">
              <wp:posOffset>685800</wp:posOffset>
            </wp:positionH>
            <wp:positionV relativeFrom="paragraph">
              <wp:posOffset>-399899</wp:posOffset>
            </wp:positionV>
            <wp:extent cx="1143000" cy="1018031"/>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143000" cy="1018031"/>
                    </a:xfrm>
                    <a:prstGeom prst="rect">
                      <a:avLst/>
                    </a:prstGeom>
                  </pic:spPr>
                </pic:pic>
              </a:graphicData>
            </a:graphic>
          </wp:anchor>
        </w:drawing>
      </w:r>
      <w:r>
        <w:rPr/>
        <w:t>UNIVERSIDAD AUTÓNOMA DEL ESTADO DE MÉXICO</w:t>
      </w:r>
    </w:p>
    <w:p>
      <w:pPr>
        <w:pStyle w:val="BodyText"/>
        <w:rPr>
          <w:b/>
          <w:sz w:val="28"/>
        </w:rPr>
      </w:pPr>
    </w:p>
    <w:p>
      <w:pPr>
        <w:pStyle w:val="BodyText"/>
        <w:rPr>
          <w:b/>
          <w:sz w:val="28"/>
        </w:rPr>
      </w:pPr>
    </w:p>
    <w:p>
      <w:pPr>
        <w:pStyle w:val="Heading2"/>
        <w:spacing w:line="398" w:lineRule="auto" w:before="0"/>
        <w:ind w:left="3744" w:right="1472" w:hanging="1064"/>
      </w:pPr>
      <w:r>
        <w:rPr/>
        <w:t>DOCTORADO EN CIENCIAS AGROPECUARIAS Y RECURSOS NATURALES</w:t>
      </w:r>
    </w:p>
    <w:p>
      <w:pPr>
        <w:pStyle w:val="BodyText"/>
        <w:rPr>
          <w:b/>
        </w:rPr>
      </w:pPr>
    </w:p>
    <w:p>
      <w:pPr>
        <w:pStyle w:val="BodyText"/>
        <w:rPr>
          <w:b/>
        </w:rPr>
      </w:pPr>
    </w:p>
    <w:p>
      <w:pPr>
        <w:pStyle w:val="BodyText"/>
        <w:rPr>
          <w:b/>
        </w:rPr>
      </w:pPr>
    </w:p>
    <w:p>
      <w:pPr>
        <w:spacing w:line="398" w:lineRule="auto" w:before="191"/>
        <w:ind w:left="2231" w:right="1628" w:hanging="3"/>
        <w:jc w:val="center"/>
        <w:rPr>
          <w:b/>
          <w:sz w:val="24"/>
        </w:rPr>
      </w:pPr>
      <w:r>
        <w:rPr>
          <w:b/>
          <w:i/>
          <w:sz w:val="24"/>
        </w:rPr>
        <w:t>Avibacterium paragallinarum: </w:t>
      </w:r>
      <w:r>
        <w:rPr>
          <w:b/>
          <w:sz w:val="24"/>
        </w:rPr>
        <w:t>protección, tipificación y filogenia de aislamientos de América.</w:t>
      </w:r>
    </w:p>
    <w:p>
      <w:pPr>
        <w:pStyle w:val="BodyText"/>
        <w:rPr>
          <w:b/>
        </w:rPr>
      </w:pPr>
    </w:p>
    <w:p>
      <w:pPr>
        <w:pStyle w:val="BodyText"/>
        <w:rPr>
          <w:b/>
        </w:rPr>
      </w:pPr>
    </w:p>
    <w:p>
      <w:pPr>
        <w:pStyle w:val="BodyText"/>
        <w:spacing w:before="10"/>
        <w:rPr>
          <w:b/>
          <w:sz w:val="31"/>
        </w:rPr>
      </w:pPr>
    </w:p>
    <w:p>
      <w:pPr>
        <w:spacing w:before="0"/>
        <w:ind w:left="4204" w:right="3606" w:firstLine="0"/>
        <w:jc w:val="center"/>
        <w:rPr>
          <w:b/>
          <w:sz w:val="32"/>
        </w:rPr>
      </w:pPr>
      <w:r>
        <w:rPr>
          <w:b/>
          <w:sz w:val="32"/>
        </w:rPr>
        <w:t>TESIS</w:t>
      </w:r>
    </w:p>
    <w:p>
      <w:pPr>
        <w:pStyle w:val="BodyText"/>
        <w:rPr>
          <w:b/>
          <w:sz w:val="32"/>
        </w:rPr>
      </w:pPr>
    </w:p>
    <w:p>
      <w:pPr>
        <w:pStyle w:val="BodyText"/>
        <w:spacing w:before="1"/>
        <w:rPr>
          <w:b/>
          <w:sz w:val="33"/>
        </w:rPr>
      </w:pPr>
    </w:p>
    <w:p>
      <w:pPr>
        <w:pStyle w:val="BodyText"/>
        <w:spacing w:line="396" w:lineRule="auto"/>
        <w:ind w:left="1912" w:right="1311" w:hanging="1"/>
        <w:jc w:val="center"/>
      </w:pPr>
      <w:r>
        <w:rPr/>
        <w:t>QUE PARA OBTENER EL GRADO DE DOCTOR EN CIENCIAS AGROPECUARIAS Y RECURSOS NATURALES</w:t>
      </w:r>
    </w:p>
    <w:p>
      <w:pPr>
        <w:pStyle w:val="BodyText"/>
      </w:pPr>
    </w:p>
    <w:p>
      <w:pPr>
        <w:pStyle w:val="BodyText"/>
      </w:pPr>
    </w:p>
    <w:p>
      <w:pPr>
        <w:pStyle w:val="BodyText"/>
        <w:spacing w:before="5"/>
        <w:rPr>
          <w:sz w:val="32"/>
        </w:rPr>
      </w:pPr>
    </w:p>
    <w:p>
      <w:pPr>
        <w:pStyle w:val="BodyText"/>
        <w:ind w:left="4205" w:right="3606"/>
        <w:jc w:val="center"/>
      </w:pPr>
      <w:r>
        <w:rPr/>
        <w:t>P R E S E N T A:</w:t>
      </w:r>
    </w:p>
    <w:p>
      <w:pPr>
        <w:pStyle w:val="Heading2"/>
        <w:spacing w:before="180"/>
        <w:ind w:left="2898"/>
      </w:pPr>
      <w:r>
        <w:rPr/>
        <w:t>M. en C. VLADIMIR MORALES ERASTO</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1"/>
        <w:rPr>
          <w:b/>
          <w:sz w:val="31"/>
        </w:rPr>
      </w:pPr>
    </w:p>
    <w:p>
      <w:pPr>
        <w:pStyle w:val="BodyText"/>
        <w:spacing w:before="1"/>
        <w:ind w:left="1941"/>
      </w:pPr>
      <w:r>
        <w:rPr/>
        <w:t>El Cerrillo Piedras Blancas, Toluca, Estado de México. Diciembre, 2015</w:t>
      </w:r>
    </w:p>
    <w:p>
      <w:pPr>
        <w:spacing w:after="0"/>
        <w:sectPr>
          <w:type w:val="continuous"/>
          <w:pgSz w:w="12240" w:h="15840"/>
          <w:pgMar w:top="1500" w:bottom="280" w:left="98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6"/>
        </w:rPr>
      </w:pPr>
    </w:p>
    <w:p>
      <w:pPr>
        <w:pStyle w:val="Heading1"/>
        <w:spacing w:before="66"/>
      </w:pPr>
      <w:r>
        <w:rPr/>
        <w:drawing>
          <wp:anchor distT="0" distB="0" distL="0" distR="0" allowOverlap="1" layoutInCell="1" locked="0" behindDoc="0" simplePos="0" relativeHeight="1048">
            <wp:simplePos x="0" y="0"/>
            <wp:positionH relativeFrom="page">
              <wp:posOffset>733044</wp:posOffset>
            </wp:positionH>
            <wp:positionV relativeFrom="paragraph">
              <wp:posOffset>-402693</wp:posOffset>
            </wp:positionV>
            <wp:extent cx="1143000" cy="1018031"/>
            <wp:effectExtent l="0" t="0" r="0" b="0"/>
            <wp:wrapNone/>
            <wp:docPr id="3" name="image1.png" descr=""/>
            <wp:cNvGraphicFramePr>
              <a:graphicFrameLocks noChangeAspect="1"/>
            </wp:cNvGraphicFramePr>
            <a:graphic>
              <a:graphicData uri="http://schemas.openxmlformats.org/drawingml/2006/picture">
                <pic:pic>
                  <pic:nvPicPr>
                    <pic:cNvPr id="4" name="image1.png"/>
                    <pic:cNvPicPr/>
                  </pic:nvPicPr>
                  <pic:blipFill>
                    <a:blip r:embed="rId5" cstate="print"/>
                    <a:stretch>
                      <a:fillRect/>
                    </a:stretch>
                  </pic:blipFill>
                  <pic:spPr>
                    <a:xfrm>
                      <a:off x="0" y="0"/>
                      <a:ext cx="1143000" cy="1018031"/>
                    </a:xfrm>
                    <a:prstGeom prst="rect">
                      <a:avLst/>
                    </a:prstGeom>
                  </pic:spPr>
                </pic:pic>
              </a:graphicData>
            </a:graphic>
          </wp:anchor>
        </w:drawing>
      </w:r>
      <w:r>
        <w:rPr/>
        <w:t>UNIVERSIDAD AUTÓNOMA DEL ESTADO DE MÉXICO</w:t>
      </w:r>
    </w:p>
    <w:p>
      <w:pPr>
        <w:pStyle w:val="BodyText"/>
        <w:rPr>
          <w:b/>
          <w:sz w:val="28"/>
        </w:rPr>
      </w:pPr>
    </w:p>
    <w:p>
      <w:pPr>
        <w:pStyle w:val="BodyText"/>
        <w:rPr>
          <w:b/>
          <w:sz w:val="28"/>
        </w:rPr>
      </w:pPr>
    </w:p>
    <w:p>
      <w:pPr>
        <w:pStyle w:val="Heading2"/>
        <w:spacing w:line="398" w:lineRule="auto" w:before="0"/>
        <w:ind w:left="2466" w:right="1728"/>
        <w:jc w:val="center"/>
      </w:pPr>
      <w:r>
        <w:rPr/>
        <w:t>DOCTORADO EN CIENCIAS AGROPECUARIAS Y RECURSOS NATURALES</w:t>
      </w:r>
    </w:p>
    <w:p>
      <w:pPr>
        <w:pStyle w:val="BodyText"/>
        <w:rPr>
          <w:b/>
        </w:rPr>
      </w:pPr>
    </w:p>
    <w:p>
      <w:pPr>
        <w:spacing w:line="398" w:lineRule="auto" w:before="186"/>
        <w:ind w:left="2207" w:right="1594" w:hanging="68"/>
        <w:jc w:val="center"/>
        <w:rPr>
          <w:b/>
          <w:sz w:val="24"/>
        </w:rPr>
      </w:pPr>
      <w:r>
        <w:rPr>
          <w:b/>
          <w:i/>
          <w:sz w:val="24"/>
        </w:rPr>
        <w:t>Avibacterium paragallinarum: </w:t>
      </w:r>
      <w:r>
        <w:rPr>
          <w:b/>
          <w:sz w:val="24"/>
        </w:rPr>
        <w:t>protección, tipificación y filogenia de aislamientos de América.</w:t>
      </w:r>
    </w:p>
    <w:p>
      <w:pPr>
        <w:pStyle w:val="BodyText"/>
        <w:rPr>
          <w:b/>
        </w:rPr>
      </w:pPr>
    </w:p>
    <w:p>
      <w:pPr>
        <w:pStyle w:val="Heading2"/>
        <w:spacing w:before="185"/>
        <w:ind w:left="2268" w:right="1728"/>
        <w:jc w:val="center"/>
      </w:pPr>
      <w:r>
        <w:rPr/>
        <w:t>TESIS</w:t>
      </w:r>
    </w:p>
    <w:p>
      <w:pPr>
        <w:pStyle w:val="BodyText"/>
        <w:spacing w:line="398" w:lineRule="auto" w:before="182"/>
        <w:ind w:left="2632" w:right="2090" w:hanging="5"/>
        <w:jc w:val="center"/>
      </w:pPr>
      <w:r>
        <w:rPr/>
        <w:t>Que para obtener el grado de Doctor en Ciencias Agropecuarias y Recursos Naturales</w:t>
      </w:r>
    </w:p>
    <w:p>
      <w:pPr>
        <w:pStyle w:val="BodyText"/>
      </w:pPr>
    </w:p>
    <w:p>
      <w:pPr>
        <w:pStyle w:val="BodyText"/>
      </w:pPr>
    </w:p>
    <w:p>
      <w:pPr>
        <w:pStyle w:val="BodyText"/>
        <w:rPr>
          <w:sz w:val="32"/>
        </w:rPr>
      </w:pPr>
    </w:p>
    <w:p>
      <w:pPr>
        <w:pStyle w:val="BodyText"/>
        <w:ind w:left="2268" w:right="1728"/>
        <w:jc w:val="center"/>
      </w:pPr>
      <w:r>
        <w:rPr/>
        <w:t>PRESENTA:</w:t>
      </w:r>
    </w:p>
    <w:p>
      <w:pPr>
        <w:pStyle w:val="Heading2"/>
        <w:spacing w:before="182"/>
        <w:ind w:left="2838"/>
      </w:pPr>
      <w:r>
        <w:rPr/>
        <w:t>M. en C. VLADIMIR MORALES ERASTO</w:t>
      </w:r>
    </w:p>
    <w:p>
      <w:pPr>
        <w:pStyle w:val="BodyText"/>
        <w:rPr>
          <w:b/>
        </w:rPr>
      </w:pPr>
    </w:p>
    <w:p>
      <w:pPr>
        <w:pStyle w:val="BodyText"/>
        <w:spacing w:before="8"/>
        <w:rPr>
          <w:b/>
          <w:sz w:val="31"/>
        </w:rPr>
      </w:pPr>
    </w:p>
    <w:p>
      <w:pPr>
        <w:spacing w:before="0"/>
        <w:ind w:left="2266" w:right="1728" w:firstLine="0"/>
        <w:jc w:val="center"/>
        <w:rPr>
          <w:b/>
          <w:sz w:val="24"/>
        </w:rPr>
      </w:pPr>
      <w:r>
        <w:rPr>
          <w:b/>
          <w:sz w:val="24"/>
        </w:rPr>
        <w:t>Tutor Académico</w:t>
      </w:r>
    </w:p>
    <w:p>
      <w:pPr>
        <w:pStyle w:val="BodyText"/>
        <w:spacing w:before="180"/>
        <w:ind w:left="2267" w:right="1728"/>
        <w:jc w:val="center"/>
      </w:pPr>
      <w:r>
        <w:rPr/>
        <w:t>Dr. Edgardo Soriano Vargas</w:t>
      </w:r>
    </w:p>
    <w:p>
      <w:pPr>
        <w:pStyle w:val="BodyText"/>
      </w:pPr>
    </w:p>
    <w:p>
      <w:pPr>
        <w:pStyle w:val="BodyText"/>
        <w:spacing w:before="8"/>
        <w:rPr>
          <w:sz w:val="31"/>
        </w:rPr>
      </w:pPr>
    </w:p>
    <w:p>
      <w:pPr>
        <w:pStyle w:val="Heading2"/>
        <w:spacing w:before="0"/>
        <w:ind w:left="2265" w:right="1728"/>
        <w:jc w:val="center"/>
      </w:pPr>
      <w:r>
        <w:rPr/>
        <w:t>Tutores Adjuntos</w:t>
      </w:r>
    </w:p>
    <w:p>
      <w:pPr>
        <w:pStyle w:val="BodyText"/>
        <w:spacing w:line="396" w:lineRule="auto" w:before="183"/>
        <w:ind w:left="3705" w:right="3147" w:firstLine="240"/>
      </w:pPr>
      <w:r>
        <w:rPr/>
        <w:t>Dr. Patrick J. Blackall Dr. Martín Talavera Rojas</w:t>
      </w:r>
    </w:p>
    <w:p>
      <w:pPr>
        <w:pStyle w:val="BodyText"/>
      </w:pPr>
    </w:p>
    <w:p>
      <w:pPr>
        <w:pStyle w:val="BodyText"/>
        <w:spacing w:before="190"/>
        <w:ind w:left="1948"/>
      </w:pPr>
      <w:r>
        <w:rPr/>
        <w:t>El Cerrillo Piedras Blancas, Toluca, Estado de México. Diciembre 2015</w:t>
      </w:r>
    </w:p>
    <w:p>
      <w:pPr>
        <w:spacing w:after="0"/>
        <w:sectPr>
          <w:footerReference w:type="default" r:id="rId6"/>
          <w:pgSz w:w="12240" w:h="15840"/>
          <w:pgMar w:footer="1003" w:header="0" w:top="1500" w:bottom="1200" w:left="1040" w:right="1580"/>
        </w:sectPr>
      </w:pPr>
    </w:p>
    <w:p>
      <w:pPr>
        <w:pStyle w:val="BodyText"/>
        <w:rPr>
          <w:sz w:val="20"/>
        </w:rPr>
      </w:pPr>
    </w:p>
    <w:p>
      <w:pPr>
        <w:pStyle w:val="Heading2"/>
        <w:spacing w:before="193"/>
        <w:ind w:right="118"/>
      </w:pPr>
      <w:bookmarkStart w:name="_TOC_250014" w:id="1"/>
      <w:bookmarkEnd w:id="1"/>
      <w:r>
        <w:rPr/>
        <w:t>RESUMEN</w:t>
      </w:r>
    </w:p>
    <w:p>
      <w:pPr>
        <w:pStyle w:val="BodyText"/>
        <w:spacing w:before="7"/>
        <w:rPr>
          <w:b/>
          <w:sz w:val="25"/>
        </w:rPr>
      </w:pPr>
    </w:p>
    <w:p>
      <w:pPr>
        <w:pStyle w:val="BodyText"/>
        <w:spacing w:line="360" w:lineRule="auto"/>
        <w:ind w:left="102" w:right="114" w:firstLine="566"/>
        <w:jc w:val="both"/>
      </w:pPr>
      <w:r>
        <w:rPr>
          <w:i/>
        </w:rPr>
        <w:t>Avibacterium paragallinarum </w:t>
      </w:r>
      <w:r>
        <w:rPr/>
        <w:t>es el agente causal de la coriza infecciosa, una enfermedad del tracto respiratorio superior que afecta a pollos y gallinas. </w:t>
      </w:r>
      <w:r>
        <w:rPr>
          <w:i/>
        </w:rPr>
        <w:t>Av. </w:t>
      </w:r>
      <w:r>
        <w:rPr>
          <w:i/>
        </w:rPr>
        <w:t>paragallinarum </w:t>
      </w:r>
      <w:r>
        <w:rPr/>
        <w:t>se clasifica serológicamente en nueve serovariedades (A-1, A-2, A- 3, A-4, B-1, C-1, C-2, C-3 y C-4) distribuidas en 3 serogrupos (A, B y C). La distribución de estas serovariedades en el mundo es </w:t>
      </w:r>
      <w:r>
        <w:rPr>
          <w:spacing w:val="3"/>
        </w:rPr>
        <w:t>muy </w:t>
      </w:r>
      <w:r>
        <w:rPr/>
        <w:t>diversa. En México, hasta el año 2002, se habían identificado aislamientos de las serovariedades </w:t>
      </w:r>
      <w:r>
        <w:rPr>
          <w:spacing w:val="2"/>
        </w:rPr>
        <w:t>A-1, </w:t>
      </w:r>
      <w:r>
        <w:rPr/>
        <w:t>A-2, B-1 y C-2. Recientemente, en el año 2011, se identificó la serovariedad C-1 de </w:t>
      </w:r>
      <w:r>
        <w:rPr>
          <w:i/>
        </w:rPr>
        <w:t>Av. paragallinarum </w:t>
      </w:r>
      <w:r>
        <w:rPr/>
        <w:t>en este país. Todos los aislamientos obtenidos procedían  de parvadas inmunizadas contra coriza infecciosa. Con base en lo anterior, se evaluó la protección conferida por bacterinas comerciales frente a un aislamiento de la serovariedad C-1. Se registraron diferencias significativas en la protección conferida por las bacterinas evaluadas, de 25% a 83%, lo cual explicó en parte los brotes observados en campo. Actualmente, la técnica para la tipificación  serológica de aislamientos de </w:t>
      </w:r>
      <w:r>
        <w:rPr>
          <w:i/>
        </w:rPr>
        <w:t>Av. paragallinarum </w:t>
      </w:r>
      <w:r>
        <w:rPr/>
        <w:t>es la inhibición de la hemoaglutinación (IH). PCR múltiple En el presente trabajo se tipificaron 12 cepas de referencia y 69 aislamientos de diferentes serovariedades provenientes de Ecuador, México, Panamá y Perú, serológicamente y mediante una PCR múltiple (mPCR). Tres de 6 (50%) cepas de referencia del serogrupo A, 2 (100%) del serogrupo B y 1 de 4 (25%) de las cepas de referencia del serogrupo C fueron correctamente tipificadas por la mPCR. De manera similar, 16 de 17 aislamientos del serogrupo A, 10 de 12 aislamientos del serogrupo B y 18 de 37 aislamientos del serogrupo C fueron correctamente tipificados mediante la mPCR. Basados en estos resultados, se puede concluir que la mPCR no es recomendada para reemplazar a la prueba de IH para la tipificación de aislamientos de </w:t>
      </w:r>
      <w:r>
        <w:rPr>
          <w:i/>
        </w:rPr>
        <w:t>Av. </w:t>
      </w:r>
      <w:r>
        <w:rPr>
          <w:i/>
        </w:rPr>
        <w:t>paragallinarum</w:t>
      </w:r>
      <w:r>
        <w:rPr/>
        <w:t>. Adicionalmente, en el presente trabajo, se amplificaron y secuenciaron los genes </w:t>
      </w:r>
      <w:r>
        <w:rPr>
          <w:i/>
        </w:rPr>
        <w:t>hag</w:t>
      </w:r>
      <w:r>
        <w:rPr/>
        <w:t>A y 16S rRNA de aislamientos de </w:t>
      </w:r>
      <w:r>
        <w:rPr>
          <w:i/>
        </w:rPr>
        <w:t>Av. paragallinarum </w:t>
      </w:r>
      <w:r>
        <w:rPr/>
        <w:t>de diferentes serovariedades permitiendo establecer la relación filogenética entre aislamientos de Bolivia, Ecuador, México, Panamá y Perú. El análisis filogenético, confirmó que algunos aislamientos de  </w:t>
      </w:r>
      <w:r>
        <w:rPr>
          <w:i/>
        </w:rPr>
        <w:t>Av. paragallinarum </w:t>
      </w:r>
      <w:r>
        <w:rPr/>
        <w:t>de estos países   </w:t>
      </w:r>
      <w:r>
        <w:rPr>
          <w:spacing w:val="45"/>
        </w:rPr>
        <w:t> </w:t>
      </w:r>
      <w:r>
        <w:rPr/>
        <w:t>están</w:t>
      </w:r>
    </w:p>
    <w:p>
      <w:pPr>
        <w:spacing w:after="0" w:line="360" w:lineRule="auto"/>
        <w:jc w:val="both"/>
        <w:sectPr>
          <w:footerReference w:type="default" r:id="rId7"/>
          <w:pgSz w:w="12240" w:h="15840"/>
          <w:pgMar w:footer="1003" w:header="0" w:top="1500" w:bottom="1200" w:left="1600" w:right="1580"/>
          <w:pgNumType w:start="6"/>
        </w:sectPr>
      </w:pPr>
    </w:p>
    <w:p>
      <w:pPr>
        <w:pStyle w:val="BodyText"/>
        <w:spacing w:line="360" w:lineRule="auto" w:before="54"/>
        <w:ind w:left="102" w:right="116"/>
        <w:jc w:val="both"/>
      </w:pPr>
      <w:r>
        <w:rPr/>
        <w:t>relacionados con cepas de referencia previamente informadas. Sin embargo, de manera particular el análisis basado en el gen 16S rRNA permitió la identificación de un genogrupo de aislamientos del continente Americano. En conclusión, el presente estudio muestra la necesidad de seguimiento de brotes de coriza infecciosa para determinar la posible prevalencia o emergencia de serovariedades de </w:t>
      </w:r>
      <w:r>
        <w:rPr>
          <w:i/>
        </w:rPr>
        <w:t>Av. paragallinarum</w:t>
      </w:r>
      <w:r>
        <w:rPr/>
        <w:t>. Asimismo, es necesaria la evalución frecuente de las bacterinas disponibles en un país para explicar los brotes. Es necesario el análisis de más aislamientos de otros países del continente Americano para confirmar el genogrupo identificado.</w:t>
      </w:r>
    </w:p>
    <w:p>
      <w:pPr>
        <w:tabs>
          <w:tab w:pos="2078" w:val="left" w:leader="none"/>
          <w:tab w:pos="3100" w:val="left" w:leader="none"/>
          <w:tab w:pos="4826" w:val="left" w:leader="none"/>
          <w:tab w:pos="6822" w:val="left" w:leader="none"/>
          <w:tab w:pos="7803" w:val="left" w:leader="none"/>
        </w:tabs>
        <w:spacing w:line="362" w:lineRule="auto" w:before="161"/>
        <w:ind w:left="102" w:right="118" w:firstLine="633"/>
        <w:jc w:val="left"/>
        <w:rPr>
          <w:sz w:val="24"/>
        </w:rPr>
      </w:pPr>
      <w:r>
        <w:rPr>
          <w:b/>
          <w:sz w:val="24"/>
        </w:rPr>
        <w:t>Palabras</w:t>
        <w:tab/>
        <w:t>clave:</w:t>
        <w:tab/>
      </w:r>
      <w:r>
        <w:rPr>
          <w:i/>
          <w:sz w:val="24"/>
        </w:rPr>
        <w:t>Avibacterium</w:t>
        <w:tab/>
        <w:t>paragallinarum</w:t>
      </w:r>
      <w:r>
        <w:rPr>
          <w:sz w:val="24"/>
        </w:rPr>
        <w:t>,</w:t>
        <w:tab/>
        <w:t>coriza</w:t>
        <w:tab/>
        <w:t>infecciosa, serovariedad C-1, protección,</w:t>
      </w:r>
      <w:r>
        <w:rPr>
          <w:spacing w:val="-14"/>
          <w:sz w:val="24"/>
        </w:rPr>
        <w:t> </w:t>
      </w:r>
      <w:r>
        <w:rPr>
          <w:sz w:val="24"/>
        </w:rPr>
        <w:t>tipificación.</w:t>
      </w:r>
    </w:p>
    <w:p>
      <w:pPr>
        <w:spacing w:after="0" w:line="362" w:lineRule="auto"/>
        <w:jc w:val="left"/>
        <w:rPr>
          <w:sz w:val="24"/>
        </w:rPr>
        <w:sectPr>
          <w:pgSz w:w="12240" w:h="15840"/>
          <w:pgMar w:header="0" w:footer="1003" w:top="1360" w:bottom="1200" w:left="1600" w:right="1580"/>
        </w:sectPr>
      </w:pPr>
    </w:p>
    <w:p>
      <w:pPr>
        <w:pStyle w:val="Heading2"/>
        <w:ind w:right="118"/>
      </w:pPr>
      <w:bookmarkStart w:name="_TOC_250013" w:id="2"/>
      <w:bookmarkEnd w:id="2"/>
      <w:r>
        <w:rPr/>
        <w:t>SUMMARY</w:t>
      </w:r>
    </w:p>
    <w:p>
      <w:pPr>
        <w:pStyle w:val="BodyText"/>
        <w:spacing w:before="10"/>
        <w:rPr>
          <w:b/>
          <w:sz w:val="25"/>
        </w:rPr>
      </w:pPr>
    </w:p>
    <w:p>
      <w:pPr>
        <w:pStyle w:val="BodyText"/>
        <w:spacing w:line="360" w:lineRule="auto"/>
        <w:ind w:left="102" w:right="114" w:firstLine="566"/>
        <w:jc w:val="both"/>
      </w:pPr>
      <w:r>
        <w:rPr>
          <w:i/>
        </w:rPr>
        <w:t>Avibacterium paragallinarum </w:t>
      </w:r>
      <w:r>
        <w:rPr/>
        <w:t>is the causative agent of the infectious coryza, a disease of the upper tract of chickens. </w:t>
      </w:r>
      <w:r>
        <w:rPr>
          <w:i/>
        </w:rPr>
        <w:t>Avibacterium paragallinarum </w:t>
      </w:r>
      <w:r>
        <w:rPr/>
        <w:t>is classificated serologically in nine serovars (A-1, A-2, A-3, A-4, B-1, C-1, C-2, C-3 and C-4) distributed in three serogroups (A, B and C). The distribution of these serovars in the word is very diversity. In México, until 2002, isolates </w:t>
      </w:r>
      <w:r>
        <w:rPr>
          <w:spacing w:val="2"/>
        </w:rPr>
        <w:t>of </w:t>
      </w:r>
      <w:r>
        <w:rPr/>
        <w:t>the serovars A-1, A-2, B-1 and C-2 were identified. Recently, in 2011, isolates of the serovar C-1 were identified from coryza-vaccinated flocks. In the current study, the protection conferred by commercially available infectious coryza bacterins challenged with a serovar C-1 isolate, significant differences were observed between the evaluated vaccines, the protection percentages ranged between 83% and 25%. Actually, the technique for the serological typing of </w:t>
      </w:r>
      <w:r>
        <w:rPr>
          <w:i/>
        </w:rPr>
        <w:t>Av. paragallinarum </w:t>
      </w:r>
      <w:r>
        <w:rPr/>
        <w:t>isolates is the Inhibition  of Hemoaglutination (IH), however, a recently PCR-multiplex (mPCR) for the serogroups typing was proposed (Sakamoto </w:t>
      </w:r>
      <w:r>
        <w:rPr>
          <w:i/>
        </w:rPr>
        <w:t>et al.</w:t>
      </w:r>
      <w:r>
        <w:rPr/>
        <w:t>, 2012). In the currently study, 12 reference strains and 69 isolates of different serovars from Ecuador, Mexico, Panama and Peru were typified by mPCR. Three of 6 (50%) reference strains of the serogroup A, 2 (100%) of the serogroup B and 1 of 4 (25%) of the serogroup C were correctly typified by the mPCR. Similarly, 16 of 17 serogroup A isolates, 10 of 12 serogroup B isolates and 18 of 37 serogroup C isolates were correctly typified by the mPCR. Based in this findings, the mPCR is not recommended for replace the IH test for the typified of </w:t>
      </w:r>
      <w:r>
        <w:rPr>
          <w:i/>
        </w:rPr>
        <w:t>Av. paragallinarum</w:t>
      </w:r>
      <w:r>
        <w:rPr/>
        <w:t>. In the currently study, the sequencing of the HagA and 16S rRNA genes of </w:t>
      </w:r>
      <w:r>
        <w:rPr>
          <w:i/>
        </w:rPr>
        <w:t>Av. paragallinarum </w:t>
      </w:r>
      <w:r>
        <w:rPr/>
        <w:t>isolates of different serovars allowed to stablish the phylogenetic relationship between  isolates from Bolivia, Ecuador, Mexico, Panama and Peru. The phylogenetic analysis concluded that some </w:t>
      </w:r>
      <w:r>
        <w:rPr>
          <w:i/>
        </w:rPr>
        <w:t>Av. paragallinarum </w:t>
      </w:r>
      <w:r>
        <w:rPr/>
        <w:t>isolates are closely related with reference strains previously reported. Particularly, the analysis of 16S rRNA gene allowed the identification of a genogoup for the isolates from America. In conclusion, the present study shows the need for monitoring outbreaks of the infectious coryza to determine the prevalence or emergence of </w:t>
      </w:r>
      <w:r>
        <w:rPr>
          <w:i/>
        </w:rPr>
        <w:t>Av. paragallinarum </w:t>
      </w:r>
      <w:r>
        <w:rPr/>
        <w:t>serovars. Also, the evaluation of infectious coriza vaccines is necessary for</w:t>
      </w:r>
      <w:r>
        <w:rPr>
          <w:spacing w:val="25"/>
        </w:rPr>
        <w:t> </w:t>
      </w:r>
      <w:r>
        <w:rPr/>
        <w:t>explain</w:t>
      </w:r>
    </w:p>
    <w:p>
      <w:pPr>
        <w:spacing w:after="0" w:line="360" w:lineRule="auto"/>
        <w:jc w:val="both"/>
        <w:sectPr>
          <w:pgSz w:w="12240" w:h="15840"/>
          <w:pgMar w:header="0" w:footer="1003" w:top="1360" w:bottom="1200" w:left="1600" w:right="1580"/>
        </w:sectPr>
      </w:pPr>
    </w:p>
    <w:p>
      <w:pPr>
        <w:pStyle w:val="BodyText"/>
        <w:spacing w:line="362" w:lineRule="auto" w:before="52"/>
        <w:ind w:left="102" w:right="118"/>
      </w:pPr>
      <w:r>
        <w:rPr/>
        <w:t>these outbreaks. The analysis of more </w:t>
      </w:r>
      <w:r>
        <w:rPr>
          <w:i/>
        </w:rPr>
        <w:t>Av. paragallinarum </w:t>
      </w:r>
      <w:r>
        <w:rPr/>
        <w:t>isolates is necessary for confirm the genogroup identified.</w:t>
      </w:r>
    </w:p>
    <w:p>
      <w:pPr>
        <w:tabs>
          <w:tab w:pos="1585" w:val="left" w:leader="none"/>
          <w:tab w:pos="3223" w:val="left" w:leader="none"/>
          <w:tab w:pos="5135" w:val="left" w:leader="none"/>
          <w:tab w:pos="6405" w:val="left" w:leader="none"/>
          <w:tab w:pos="7429" w:val="left" w:leader="none"/>
          <w:tab w:pos="8482" w:val="left" w:leader="none"/>
        </w:tabs>
        <w:spacing w:line="362" w:lineRule="auto" w:before="158"/>
        <w:ind w:left="102" w:right="118" w:firstLine="0"/>
        <w:jc w:val="left"/>
        <w:rPr>
          <w:sz w:val="24"/>
        </w:rPr>
      </w:pPr>
      <w:r>
        <w:rPr>
          <w:b/>
          <w:sz w:val="24"/>
        </w:rPr>
        <w:t>Keywords:</w:t>
        <w:tab/>
      </w:r>
      <w:r>
        <w:rPr>
          <w:i/>
          <w:sz w:val="24"/>
        </w:rPr>
        <w:t>Avibacterium</w:t>
        <w:tab/>
        <w:t>paragallinarum</w:t>
      </w:r>
      <w:r>
        <w:rPr>
          <w:sz w:val="24"/>
        </w:rPr>
        <w:t>,</w:t>
        <w:tab/>
        <w:t>infectious</w:t>
        <w:tab/>
        <w:t>coryza,</w:t>
        <w:tab/>
        <w:t>serovar</w:t>
        <w:tab/>
        <w:t>C-1, protection,</w:t>
      </w:r>
      <w:r>
        <w:rPr>
          <w:spacing w:val="-6"/>
          <w:sz w:val="24"/>
        </w:rPr>
        <w:t> </w:t>
      </w:r>
      <w:r>
        <w:rPr>
          <w:sz w:val="24"/>
        </w:rPr>
        <w:t>typified.</w:t>
      </w:r>
    </w:p>
    <w:p>
      <w:pPr>
        <w:spacing w:after="0" w:line="362" w:lineRule="auto"/>
        <w:jc w:val="left"/>
        <w:rPr>
          <w:sz w:val="24"/>
        </w:rPr>
        <w:sectPr>
          <w:pgSz w:w="12240" w:h="15840"/>
          <w:pgMar w:header="0" w:footer="1003" w:top="1360" w:bottom="1200" w:left="1600" w:right="1580"/>
        </w:sectPr>
      </w:pPr>
    </w:p>
    <w:p>
      <w:pPr>
        <w:pStyle w:val="Heading1"/>
        <w:ind w:left="3660" w:right="3539"/>
        <w:jc w:val="center"/>
      </w:pPr>
      <w:r>
        <w:rPr/>
        <w:t>CONTENIDO</w:t>
      </w:r>
    </w:p>
    <w:p>
      <w:pPr>
        <w:pStyle w:val="BodyText"/>
        <w:rPr>
          <w:b/>
          <w:sz w:val="28"/>
        </w:rPr>
      </w:pPr>
    </w:p>
    <w:p>
      <w:pPr>
        <w:pStyle w:val="BodyText"/>
        <w:rPr>
          <w:b/>
          <w:sz w:val="28"/>
        </w:rPr>
      </w:pPr>
    </w:p>
    <w:p>
      <w:pPr>
        <w:pStyle w:val="BodyText"/>
        <w:spacing w:before="11"/>
        <w:rPr>
          <w:b/>
          <w:sz w:val="41"/>
        </w:rPr>
      </w:pPr>
    </w:p>
    <w:sdt>
      <w:sdtPr>
        <w:docPartObj>
          <w:docPartGallery w:val="Table of Contents"/>
          <w:docPartUnique/>
        </w:docPartObj>
      </w:sdtPr>
      <w:sdtEndPr/>
      <w:sdtContent>
        <w:p>
          <w:pPr>
            <w:pStyle w:val="TOC1"/>
            <w:tabs>
              <w:tab w:pos="7552" w:val="left" w:leader="dot"/>
            </w:tabs>
            <w:spacing w:before="0"/>
            <w:ind w:firstLine="0"/>
          </w:pPr>
          <w:hyperlink w:history="true" w:anchor="_TOC_250014">
            <w:r>
              <w:rPr/>
              <w:t>RESUMEN</w:t>
              <w:tab/>
              <w:t>6</w:t>
            </w:r>
          </w:hyperlink>
        </w:p>
        <w:p>
          <w:pPr>
            <w:pStyle w:val="TOC1"/>
            <w:tabs>
              <w:tab w:pos="7591" w:val="left" w:leader="dot"/>
            </w:tabs>
            <w:spacing w:before="131"/>
            <w:ind w:firstLine="0"/>
          </w:pPr>
          <w:hyperlink w:history="true" w:anchor="_TOC_250013">
            <w:r>
              <w:rPr/>
              <w:t>SUMMARY</w:t>
            </w:r>
            <w:r>
              <w:rPr>
                <w:rFonts w:ascii="Times New Roman"/>
                <w:b w:val="0"/>
              </w:rPr>
              <w:tab/>
            </w:r>
            <w:r>
              <w:rPr/>
              <w:t>8</w:t>
            </w:r>
          </w:hyperlink>
        </w:p>
        <w:p>
          <w:pPr>
            <w:pStyle w:val="TOC1"/>
            <w:numPr>
              <w:ilvl w:val="0"/>
              <w:numId w:val="1"/>
            </w:numPr>
            <w:tabs>
              <w:tab w:pos="296" w:val="left" w:leader="none"/>
              <w:tab w:pos="7631" w:val="left" w:leader="dot"/>
            </w:tabs>
            <w:spacing w:line="240" w:lineRule="auto" w:before="688" w:after="0"/>
            <w:ind w:left="295" w:right="0" w:hanging="193"/>
            <w:jc w:val="left"/>
          </w:pPr>
          <w:hyperlink w:history="true" w:anchor="_TOC_250012">
            <w:r>
              <w:rPr/>
              <w:t>Introducción</w:t>
            </w:r>
            <w:r>
              <w:rPr>
                <w:rFonts w:ascii="Times New Roman" w:hAnsi="Times New Roman"/>
                <w:b w:val="0"/>
              </w:rPr>
              <w:tab/>
            </w:r>
            <w:r>
              <w:rPr/>
              <w:t>12</w:t>
            </w:r>
          </w:hyperlink>
        </w:p>
        <w:p>
          <w:pPr>
            <w:pStyle w:val="TOC1"/>
            <w:numPr>
              <w:ilvl w:val="0"/>
              <w:numId w:val="1"/>
            </w:numPr>
            <w:tabs>
              <w:tab w:pos="361" w:val="left" w:leader="none"/>
              <w:tab w:pos="7621" w:val="left" w:leader="dot"/>
            </w:tabs>
            <w:spacing w:line="240" w:lineRule="auto" w:before="292" w:after="0"/>
            <w:ind w:left="360" w:right="0" w:hanging="258"/>
            <w:jc w:val="left"/>
          </w:pPr>
          <w:hyperlink w:history="true" w:anchor="_TOC_250011">
            <w:r>
              <w:rPr/>
              <w:t>Revisión</w:t>
            </w:r>
            <w:r>
              <w:rPr>
                <w:spacing w:val="-2"/>
              </w:rPr>
              <w:t> </w:t>
            </w:r>
            <w:r>
              <w:rPr/>
              <w:t>de</w:t>
            </w:r>
            <w:r>
              <w:rPr>
                <w:spacing w:val="-4"/>
              </w:rPr>
              <w:t> </w:t>
            </w:r>
            <w:r>
              <w:rPr/>
              <w:t>literatura</w:t>
            </w:r>
            <w:r>
              <w:rPr>
                <w:rFonts w:ascii="Times New Roman" w:hAnsi="Times New Roman"/>
                <w:b w:val="0"/>
              </w:rPr>
              <w:tab/>
            </w:r>
            <w:r>
              <w:rPr/>
              <w:t>15</w:t>
            </w:r>
          </w:hyperlink>
        </w:p>
        <w:p>
          <w:pPr>
            <w:pStyle w:val="TOC1"/>
            <w:numPr>
              <w:ilvl w:val="0"/>
              <w:numId w:val="1"/>
            </w:numPr>
            <w:tabs>
              <w:tab w:pos="423" w:val="left" w:leader="none"/>
              <w:tab w:pos="7667" w:val="left" w:leader="dot"/>
            </w:tabs>
            <w:spacing w:line="240" w:lineRule="auto" w:before="293" w:after="0"/>
            <w:ind w:left="422" w:right="0" w:hanging="320"/>
            <w:jc w:val="left"/>
          </w:pPr>
          <w:hyperlink w:history="true" w:anchor="_TOC_250010">
            <w:r>
              <w:rPr/>
              <w:t>Justificación</w:t>
            </w:r>
            <w:r>
              <w:rPr>
                <w:rFonts w:ascii="Times New Roman" w:hAnsi="Times New Roman"/>
                <w:b w:val="0"/>
              </w:rPr>
              <w:tab/>
            </w:r>
            <w:r>
              <w:rPr/>
              <w:t>21</w:t>
            </w:r>
          </w:hyperlink>
        </w:p>
        <w:p>
          <w:pPr>
            <w:pStyle w:val="TOC1"/>
            <w:numPr>
              <w:ilvl w:val="0"/>
              <w:numId w:val="1"/>
            </w:numPr>
            <w:tabs>
              <w:tab w:pos="450" w:val="left" w:leader="none"/>
              <w:tab w:pos="7657" w:val="left" w:leader="dot"/>
            </w:tabs>
            <w:spacing w:line="240" w:lineRule="auto" w:before="292" w:after="0"/>
            <w:ind w:left="450" w:right="0" w:hanging="348"/>
            <w:jc w:val="left"/>
          </w:pPr>
          <w:hyperlink w:history="true" w:anchor="_TOC_250009">
            <w:r>
              <w:rPr/>
              <w:t>Hipótesis</w:t>
            </w:r>
            <w:r>
              <w:rPr>
                <w:rFonts w:ascii="Times New Roman" w:hAnsi="Times New Roman"/>
                <w:b w:val="0"/>
              </w:rPr>
              <w:tab/>
            </w:r>
            <w:r>
              <w:rPr/>
              <w:t>22</w:t>
            </w:r>
          </w:hyperlink>
        </w:p>
        <w:p>
          <w:pPr>
            <w:pStyle w:val="TOC1"/>
            <w:numPr>
              <w:ilvl w:val="0"/>
              <w:numId w:val="1"/>
            </w:numPr>
            <w:tabs>
              <w:tab w:pos="385" w:val="left" w:leader="none"/>
              <w:tab w:pos="7641" w:val="left" w:leader="dot"/>
            </w:tabs>
            <w:spacing w:line="240" w:lineRule="auto" w:before="292" w:after="0"/>
            <w:ind w:left="385" w:right="0" w:hanging="283"/>
            <w:jc w:val="left"/>
          </w:pPr>
          <w:hyperlink w:history="true" w:anchor="_TOC_250008">
            <w:r>
              <w:rPr/>
              <w:t>Objetivos</w:t>
            </w:r>
            <w:r>
              <w:rPr>
                <w:rFonts w:ascii="Times New Roman"/>
                <w:b w:val="0"/>
              </w:rPr>
              <w:tab/>
            </w:r>
            <w:r>
              <w:rPr/>
              <w:t>23</w:t>
            </w:r>
          </w:hyperlink>
        </w:p>
        <w:p>
          <w:pPr>
            <w:pStyle w:val="TOC1"/>
            <w:numPr>
              <w:ilvl w:val="0"/>
              <w:numId w:val="1"/>
            </w:numPr>
            <w:tabs>
              <w:tab w:pos="450" w:val="left" w:leader="none"/>
            </w:tabs>
            <w:spacing w:line="240" w:lineRule="auto" w:before="292" w:after="0"/>
            <w:ind w:left="449" w:right="0" w:hanging="347"/>
            <w:jc w:val="left"/>
          </w:pPr>
          <w:hyperlink w:history="true" w:anchor="_TOC_250007">
            <w:r>
              <w:rPr/>
              <w:t>Material y</w:t>
            </w:r>
            <w:r>
              <w:rPr>
                <w:spacing w:val="-8"/>
              </w:rPr>
              <w:t> </w:t>
            </w:r>
            <w:r>
              <w:rPr/>
              <w:t>Métodos</w:t>
            </w:r>
          </w:hyperlink>
        </w:p>
        <w:p>
          <w:pPr>
            <w:pStyle w:val="TOC2"/>
            <w:numPr>
              <w:ilvl w:val="0"/>
              <w:numId w:val="2"/>
            </w:numPr>
            <w:tabs>
              <w:tab w:pos="350" w:val="left" w:leader="none"/>
              <w:tab w:pos="7669" w:val="left" w:leader="dot"/>
            </w:tabs>
            <w:spacing w:line="240" w:lineRule="auto" w:before="292" w:after="0"/>
            <w:ind w:left="349" w:right="0" w:hanging="247"/>
            <w:jc w:val="left"/>
          </w:pPr>
          <w:hyperlink w:history="true" w:anchor="_TOC_250006">
            <w:r>
              <w:rPr/>
              <w:t>Protección</w:t>
            </w:r>
            <w:r>
              <w:rPr>
                <w:rFonts w:ascii="Times New Roman" w:hAnsi="Times New Roman"/>
              </w:rPr>
              <w:tab/>
            </w:r>
            <w:r>
              <w:rPr/>
              <w:t>25</w:t>
            </w:r>
          </w:hyperlink>
        </w:p>
        <w:p>
          <w:pPr>
            <w:pStyle w:val="TOC2"/>
            <w:numPr>
              <w:ilvl w:val="0"/>
              <w:numId w:val="2"/>
            </w:numPr>
            <w:tabs>
              <w:tab w:pos="347" w:val="left" w:leader="none"/>
              <w:tab w:pos="7671" w:val="left" w:leader="dot"/>
            </w:tabs>
            <w:spacing w:line="240" w:lineRule="auto" w:before="287" w:after="0"/>
            <w:ind w:left="346" w:right="0" w:hanging="244"/>
            <w:jc w:val="left"/>
          </w:pPr>
          <w:hyperlink w:history="true" w:anchor="_TOC_250005">
            <w:r>
              <w:rPr/>
              <w:t>Tipificación por</w:t>
            </w:r>
            <w:r>
              <w:rPr>
                <w:spacing w:val="-3"/>
              </w:rPr>
              <w:t> </w:t>
            </w:r>
            <w:r>
              <w:rPr/>
              <w:t>PCR</w:t>
            </w:r>
            <w:r>
              <w:rPr>
                <w:spacing w:val="-5"/>
              </w:rPr>
              <w:t> </w:t>
            </w:r>
            <w:r>
              <w:rPr/>
              <w:t>múltiple</w:t>
              <w:tab/>
              <w:t>27</w:t>
            </w:r>
          </w:hyperlink>
        </w:p>
        <w:p>
          <w:pPr>
            <w:pStyle w:val="TOC2"/>
            <w:numPr>
              <w:ilvl w:val="0"/>
              <w:numId w:val="2"/>
            </w:numPr>
            <w:tabs>
              <w:tab w:pos="350" w:val="left" w:leader="none"/>
              <w:tab w:pos="7681" w:val="left" w:leader="dot"/>
            </w:tabs>
            <w:spacing w:line="240" w:lineRule="auto" w:before="290" w:after="0"/>
            <w:ind w:left="349" w:right="0" w:hanging="247"/>
            <w:jc w:val="left"/>
          </w:pPr>
          <w:hyperlink w:history="true" w:anchor="_TOC_250004">
            <w:r>
              <w:rPr/>
              <w:t>Filogenia</w:t>
            </w:r>
            <w:r>
              <w:rPr>
                <w:rFonts w:ascii="Times New Roman"/>
              </w:rPr>
              <w:tab/>
            </w:r>
            <w:r>
              <w:rPr/>
              <w:t>29</w:t>
            </w:r>
          </w:hyperlink>
        </w:p>
        <w:p>
          <w:pPr>
            <w:pStyle w:val="TOC1"/>
            <w:numPr>
              <w:ilvl w:val="0"/>
              <w:numId w:val="1"/>
            </w:numPr>
            <w:tabs>
              <w:tab w:pos="512" w:val="left" w:leader="none"/>
            </w:tabs>
            <w:spacing w:line="240" w:lineRule="auto" w:before="503" w:after="0"/>
            <w:ind w:left="511" w:right="0" w:hanging="409"/>
            <w:jc w:val="left"/>
          </w:pPr>
          <w:hyperlink w:history="true" w:anchor="_TOC_250003">
            <w:r>
              <w:rPr/>
              <w:t>Resultados</w:t>
            </w:r>
          </w:hyperlink>
        </w:p>
        <w:p>
          <w:pPr>
            <w:pStyle w:val="TOC2"/>
            <w:numPr>
              <w:ilvl w:val="0"/>
              <w:numId w:val="3"/>
            </w:numPr>
            <w:tabs>
              <w:tab w:pos="350" w:val="left" w:leader="none"/>
              <w:tab w:pos="7607" w:val="left" w:leader="dot"/>
            </w:tabs>
            <w:spacing w:line="240" w:lineRule="auto" w:before="287" w:after="0"/>
            <w:ind w:left="349" w:right="0" w:hanging="247"/>
            <w:jc w:val="left"/>
          </w:pPr>
          <w:r>
            <w:rPr/>
            <w:t>Protección</w:t>
            <w:tab/>
            <w:t>33</w:t>
          </w:r>
        </w:p>
        <w:p>
          <w:pPr>
            <w:pStyle w:val="TOC2"/>
            <w:numPr>
              <w:ilvl w:val="0"/>
              <w:numId w:val="3"/>
            </w:numPr>
            <w:tabs>
              <w:tab w:pos="347" w:val="left" w:leader="none"/>
              <w:tab w:pos="7607" w:val="left" w:leader="dot"/>
            </w:tabs>
            <w:spacing w:line="240" w:lineRule="auto" w:before="277" w:after="0"/>
            <w:ind w:left="346" w:right="0" w:hanging="244"/>
            <w:jc w:val="left"/>
          </w:pPr>
          <w:r>
            <w:rPr/>
            <w:t>Tipificación</w:t>
            <w:tab/>
            <w:t>37</w:t>
          </w:r>
        </w:p>
        <w:p>
          <w:pPr>
            <w:pStyle w:val="TOC2"/>
            <w:numPr>
              <w:ilvl w:val="0"/>
              <w:numId w:val="3"/>
            </w:numPr>
            <w:tabs>
              <w:tab w:pos="410" w:val="left" w:leader="none"/>
              <w:tab w:pos="7609" w:val="left" w:leader="dot"/>
            </w:tabs>
            <w:spacing w:line="240" w:lineRule="auto" w:before="270" w:after="0"/>
            <w:ind w:left="409" w:right="0" w:hanging="307"/>
            <w:jc w:val="left"/>
          </w:pPr>
          <w:r>
            <w:rPr/>
            <w:t>Filogenia</w:t>
          </w:r>
          <w:r>
            <w:rPr>
              <w:rFonts w:ascii="Times New Roman"/>
            </w:rPr>
            <w:tab/>
          </w:r>
          <w:r>
            <w:rPr/>
            <w:t>43</w:t>
          </w:r>
        </w:p>
        <w:p>
          <w:pPr>
            <w:pStyle w:val="TOC1"/>
            <w:numPr>
              <w:ilvl w:val="0"/>
              <w:numId w:val="1"/>
            </w:numPr>
            <w:tabs>
              <w:tab w:pos="577" w:val="left" w:leader="none"/>
              <w:tab w:pos="7645" w:val="left" w:leader="dot"/>
            </w:tabs>
            <w:spacing w:line="240" w:lineRule="auto" w:before="124" w:after="0"/>
            <w:ind w:left="576" w:right="0" w:hanging="474"/>
            <w:jc w:val="left"/>
          </w:pPr>
          <w:hyperlink w:history="true" w:anchor="_TOC_250002">
            <w:r>
              <w:rPr/>
              <w:t>Discusión</w:t>
            </w:r>
            <w:r>
              <w:rPr>
                <w:spacing w:val="-4"/>
              </w:rPr>
              <w:t> </w:t>
            </w:r>
            <w:r>
              <w:rPr/>
              <w:t>general</w:t>
            </w:r>
            <w:r>
              <w:rPr>
                <w:rFonts w:ascii="Times New Roman" w:hAnsi="Times New Roman"/>
                <w:b w:val="0"/>
              </w:rPr>
              <w:tab/>
            </w:r>
            <w:r>
              <w:rPr/>
              <w:t>47</w:t>
            </w:r>
          </w:hyperlink>
        </w:p>
        <w:p>
          <w:pPr>
            <w:pStyle w:val="TOC1"/>
            <w:numPr>
              <w:ilvl w:val="0"/>
              <w:numId w:val="1"/>
            </w:numPr>
            <w:tabs>
              <w:tab w:pos="450" w:val="left" w:leader="none"/>
              <w:tab w:pos="7605" w:val="left" w:leader="dot"/>
            </w:tabs>
            <w:spacing w:line="240" w:lineRule="auto" w:before="293" w:after="0"/>
            <w:ind w:left="449" w:right="0" w:hanging="347"/>
            <w:jc w:val="left"/>
          </w:pPr>
          <w:hyperlink w:history="true" w:anchor="_TOC_250001">
            <w:r>
              <w:rPr/>
              <w:t>Conclusiones</w:t>
            </w:r>
            <w:r>
              <w:rPr>
                <w:rFonts w:ascii="Times New Roman"/>
                <w:b w:val="0"/>
              </w:rPr>
              <w:tab/>
            </w:r>
            <w:r>
              <w:rPr/>
              <w:t>51</w:t>
            </w:r>
          </w:hyperlink>
        </w:p>
        <w:p>
          <w:pPr>
            <w:pStyle w:val="TOC1"/>
            <w:numPr>
              <w:ilvl w:val="0"/>
              <w:numId w:val="1"/>
            </w:numPr>
            <w:tabs>
              <w:tab w:pos="385" w:val="left" w:leader="none"/>
              <w:tab w:pos="7593" w:val="left" w:leader="dot"/>
            </w:tabs>
            <w:spacing w:line="240" w:lineRule="auto" w:before="292" w:after="0"/>
            <w:ind w:left="385" w:right="0" w:hanging="283"/>
            <w:jc w:val="left"/>
          </w:pPr>
          <w:hyperlink w:history="true" w:anchor="_TOC_250000">
            <w:r>
              <w:rPr/>
              <w:t>Bibliografía</w:t>
            </w:r>
            <w:r>
              <w:rPr>
                <w:rFonts w:ascii="Times New Roman" w:hAnsi="Times New Roman"/>
                <w:b w:val="0"/>
              </w:rPr>
              <w:tab/>
            </w:r>
            <w:r>
              <w:rPr/>
              <w:t>53</w:t>
            </w:r>
          </w:hyperlink>
        </w:p>
      </w:sdtContent>
    </w:sdt>
    <w:p>
      <w:pPr>
        <w:spacing w:after="0" w:line="240" w:lineRule="auto"/>
        <w:jc w:val="left"/>
        <w:sectPr>
          <w:footerReference w:type="default" r:id="rId8"/>
          <w:pgSz w:w="12240" w:h="15840"/>
          <w:pgMar w:footer="1003" w:header="0" w:top="1360" w:bottom="1200" w:left="1600" w:right="1720"/>
        </w:sectPr>
      </w:pPr>
    </w:p>
    <w:p>
      <w:pPr>
        <w:pStyle w:val="Heading2"/>
        <w:ind w:left="2726"/>
      </w:pPr>
      <w:r>
        <w:rPr/>
        <w:t>ÍNDICE DE CUADROS Y FIGURAS</w:t>
      </w:r>
    </w:p>
    <w:p>
      <w:pPr>
        <w:pStyle w:val="BodyText"/>
        <w:rPr>
          <w:b/>
          <w:sz w:val="20"/>
        </w:rPr>
      </w:pPr>
    </w:p>
    <w:p>
      <w:pPr>
        <w:pStyle w:val="BodyText"/>
        <w:rPr>
          <w:b/>
          <w:sz w:val="20"/>
        </w:rPr>
      </w:pPr>
    </w:p>
    <w:p>
      <w:pPr>
        <w:pStyle w:val="BodyText"/>
        <w:rPr>
          <w:b/>
          <w:sz w:val="20"/>
        </w:rPr>
      </w:pPr>
    </w:p>
    <w:p>
      <w:pPr>
        <w:pStyle w:val="BodyText"/>
        <w:spacing w:before="1"/>
        <w:rPr>
          <w:b/>
          <w:sz w:val="16"/>
        </w:rPr>
      </w:pPr>
    </w:p>
    <w:tbl>
      <w:tblPr>
        <w:tblW w:w="0" w:type="auto"/>
        <w:jc w:val="left"/>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92"/>
        <w:gridCol w:w="5827"/>
        <w:gridCol w:w="1375"/>
      </w:tblGrid>
      <w:tr>
        <w:trPr>
          <w:trHeight w:val="422" w:hRule="exact"/>
        </w:trPr>
        <w:tc>
          <w:tcPr>
            <w:tcW w:w="1792" w:type="dxa"/>
            <w:tcBorders>
              <w:left w:val="nil"/>
              <w:right w:val="nil"/>
            </w:tcBorders>
          </w:tcPr>
          <w:p>
            <w:pPr>
              <w:pStyle w:val="TableParagraph"/>
              <w:spacing w:line="274" w:lineRule="exact" w:before="0"/>
              <w:ind w:left="568" w:right="0"/>
              <w:jc w:val="left"/>
              <w:rPr>
                <w:b/>
                <w:sz w:val="24"/>
              </w:rPr>
            </w:pPr>
            <w:r>
              <w:rPr>
                <w:b/>
                <w:sz w:val="24"/>
              </w:rPr>
              <w:t>Cuadro</w:t>
            </w:r>
          </w:p>
        </w:tc>
        <w:tc>
          <w:tcPr>
            <w:tcW w:w="5827" w:type="dxa"/>
            <w:tcBorders>
              <w:left w:val="nil"/>
              <w:right w:val="nil"/>
            </w:tcBorders>
          </w:tcPr>
          <w:p>
            <w:pPr>
              <w:pStyle w:val="TableParagraph"/>
              <w:spacing w:line="274" w:lineRule="exact" w:before="0"/>
              <w:ind w:left="2462" w:right="2418"/>
              <w:rPr>
                <w:b/>
                <w:sz w:val="24"/>
              </w:rPr>
            </w:pPr>
            <w:r>
              <w:rPr>
                <w:b/>
                <w:sz w:val="24"/>
              </w:rPr>
              <w:t>Nombre</w:t>
            </w:r>
          </w:p>
        </w:tc>
        <w:tc>
          <w:tcPr>
            <w:tcW w:w="1375" w:type="dxa"/>
            <w:tcBorders>
              <w:left w:val="nil"/>
              <w:right w:val="nil"/>
            </w:tcBorders>
          </w:tcPr>
          <w:p>
            <w:pPr>
              <w:pStyle w:val="TableParagraph"/>
              <w:spacing w:line="274" w:lineRule="exact" w:before="0"/>
              <w:ind w:left="211" w:right="336"/>
              <w:rPr>
                <w:b/>
                <w:sz w:val="24"/>
              </w:rPr>
            </w:pPr>
            <w:r>
              <w:rPr>
                <w:b/>
                <w:sz w:val="24"/>
              </w:rPr>
              <w:t>Página</w:t>
            </w:r>
          </w:p>
        </w:tc>
      </w:tr>
      <w:tr>
        <w:trPr>
          <w:trHeight w:val="707" w:hRule="exact"/>
        </w:trPr>
        <w:tc>
          <w:tcPr>
            <w:tcW w:w="1792" w:type="dxa"/>
            <w:tcBorders>
              <w:left w:val="nil"/>
              <w:bottom w:val="nil"/>
              <w:right w:val="nil"/>
            </w:tcBorders>
          </w:tcPr>
          <w:p>
            <w:pPr>
              <w:pStyle w:val="TableParagraph"/>
              <w:spacing w:before="10"/>
              <w:ind w:left="0" w:right="0"/>
              <w:jc w:val="left"/>
              <w:rPr>
                <w:b/>
                <w:sz w:val="35"/>
              </w:rPr>
            </w:pPr>
          </w:p>
          <w:p>
            <w:pPr>
              <w:pStyle w:val="TableParagraph"/>
              <w:spacing w:before="1"/>
              <w:ind w:left="470" w:right="0"/>
              <w:jc w:val="left"/>
              <w:rPr>
                <w:b/>
                <w:sz w:val="24"/>
              </w:rPr>
            </w:pPr>
            <w:r>
              <w:rPr>
                <w:b/>
                <w:sz w:val="24"/>
              </w:rPr>
              <w:t>Cuadro 1</w:t>
            </w:r>
          </w:p>
        </w:tc>
        <w:tc>
          <w:tcPr>
            <w:tcW w:w="5827" w:type="dxa"/>
            <w:vMerge w:val="restart"/>
            <w:tcBorders>
              <w:left w:val="nil"/>
              <w:right w:val="nil"/>
            </w:tcBorders>
          </w:tcPr>
          <w:p>
            <w:pPr>
              <w:pStyle w:val="TableParagraph"/>
              <w:spacing w:before="0"/>
              <w:ind w:left="0" w:right="0"/>
              <w:jc w:val="left"/>
              <w:rPr>
                <w:b/>
                <w:sz w:val="24"/>
              </w:rPr>
            </w:pPr>
          </w:p>
          <w:p>
            <w:pPr>
              <w:pStyle w:val="TableParagraph"/>
              <w:spacing w:line="360" w:lineRule="auto" w:before="0"/>
              <w:ind w:left="281" w:right="229"/>
              <w:jc w:val="both"/>
              <w:rPr>
                <w:sz w:val="24"/>
              </w:rPr>
            </w:pPr>
            <w:r>
              <w:rPr>
                <w:sz w:val="24"/>
              </w:rPr>
              <w:t>Identificación, origen, año de aislamiento y serovariedad de los aislamientos de </w:t>
            </w:r>
            <w:r>
              <w:rPr>
                <w:i/>
                <w:sz w:val="24"/>
              </w:rPr>
              <w:t>Av. </w:t>
            </w:r>
            <w:r>
              <w:rPr>
                <w:i/>
                <w:sz w:val="24"/>
              </w:rPr>
              <w:t>paragallinarum </w:t>
            </w:r>
            <w:r>
              <w:rPr>
                <w:sz w:val="24"/>
              </w:rPr>
              <w:t>analizados.</w:t>
            </w:r>
          </w:p>
        </w:tc>
        <w:tc>
          <w:tcPr>
            <w:tcW w:w="1375" w:type="dxa"/>
            <w:tcBorders>
              <w:left w:val="nil"/>
              <w:bottom w:val="nil"/>
              <w:right w:val="nil"/>
            </w:tcBorders>
          </w:tcPr>
          <w:p>
            <w:pPr/>
          </w:p>
        </w:tc>
      </w:tr>
      <w:tr>
        <w:trPr>
          <w:trHeight w:val="1511" w:hRule="exact"/>
        </w:trPr>
        <w:tc>
          <w:tcPr>
            <w:tcW w:w="1792" w:type="dxa"/>
            <w:tcBorders>
              <w:top w:val="nil"/>
              <w:left w:val="nil"/>
              <w:right w:val="nil"/>
            </w:tcBorders>
          </w:tcPr>
          <w:p>
            <w:pPr/>
          </w:p>
        </w:tc>
        <w:tc>
          <w:tcPr>
            <w:tcW w:w="5827" w:type="dxa"/>
            <w:vMerge/>
            <w:tcBorders>
              <w:left w:val="nil"/>
              <w:right w:val="nil"/>
            </w:tcBorders>
          </w:tcPr>
          <w:p>
            <w:pPr/>
          </w:p>
        </w:tc>
        <w:tc>
          <w:tcPr>
            <w:tcW w:w="1375" w:type="dxa"/>
            <w:tcBorders>
              <w:top w:val="nil"/>
              <w:left w:val="nil"/>
              <w:right w:val="nil"/>
            </w:tcBorders>
          </w:tcPr>
          <w:p>
            <w:pPr>
              <w:pStyle w:val="TableParagraph"/>
              <w:spacing w:line="263" w:lineRule="exact" w:before="0"/>
              <w:ind w:left="211" w:right="331"/>
              <w:rPr>
                <w:sz w:val="24"/>
              </w:rPr>
            </w:pPr>
            <w:r>
              <w:rPr>
                <w:sz w:val="24"/>
              </w:rPr>
              <w:t>31</w:t>
            </w:r>
          </w:p>
        </w:tc>
      </w:tr>
      <w:tr>
        <w:trPr>
          <w:trHeight w:val="425" w:hRule="exact"/>
        </w:trPr>
        <w:tc>
          <w:tcPr>
            <w:tcW w:w="1792" w:type="dxa"/>
            <w:tcBorders>
              <w:left w:val="nil"/>
              <w:right w:val="nil"/>
            </w:tcBorders>
          </w:tcPr>
          <w:p>
            <w:pPr>
              <w:pStyle w:val="TableParagraph"/>
              <w:spacing w:before="0"/>
              <w:ind w:left="621" w:right="0"/>
              <w:jc w:val="left"/>
              <w:rPr>
                <w:b/>
                <w:sz w:val="24"/>
              </w:rPr>
            </w:pPr>
            <w:r>
              <w:rPr>
                <w:b/>
                <w:sz w:val="24"/>
              </w:rPr>
              <w:t>Figura</w:t>
            </w:r>
          </w:p>
        </w:tc>
        <w:tc>
          <w:tcPr>
            <w:tcW w:w="5827" w:type="dxa"/>
            <w:tcBorders>
              <w:left w:val="nil"/>
              <w:right w:val="nil"/>
            </w:tcBorders>
          </w:tcPr>
          <w:p>
            <w:pPr/>
          </w:p>
        </w:tc>
        <w:tc>
          <w:tcPr>
            <w:tcW w:w="1375" w:type="dxa"/>
            <w:tcBorders>
              <w:left w:val="nil"/>
              <w:right w:val="nil"/>
            </w:tcBorders>
          </w:tcPr>
          <w:p>
            <w:pPr/>
          </w:p>
        </w:tc>
      </w:tr>
      <w:tr>
        <w:trPr>
          <w:trHeight w:val="775" w:hRule="exact"/>
        </w:trPr>
        <w:tc>
          <w:tcPr>
            <w:tcW w:w="1792" w:type="dxa"/>
            <w:tcBorders>
              <w:left w:val="nil"/>
              <w:bottom w:val="nil"/>
              <w:right w:val="nil"/>
            </w:tcBorders>
          </w:tcPr>
          <w:p>
            <w:pPr>
              <w:pStyle w:val="TableParagraph"/>
              <w:spacing w:before="10"/>
              <w:ind w:left="0" w:right="0"/>
              <w:jc w:val="left"/>
              <w:rPr>
                <w:b/>
                <w:sz w:val="35"/>
              </w:rPr>
            </w:pPr>
          </w:p>
          <w:p>
            <w:pPr>
              <w:pStyle w:val="TableParagraph"/>
              <w:spacing w:before="1"/>
              <w:ind w:left="523" w:right="0"/>
              <w:jc w:val="left"/>
              <w:rPr>
                <w:b/>
                <w:sz w:val="24"/>
              </w:rPr>
            </w:pPr>
            <w:r>
              <w:rPr>
                <w:b/>
                <w:sz w:val="24"/>
              </w:rPr>
              <w:t>Figura 1</w:t>
            </w:r>
          </w:p>
        </w:tc>
        <w:tc>
          <w:tcPr>
            <w:tcW w:w="5827" w:type="dxa"/>
            <w:vMerge w:val="restart"/>
            <w:tcBorders>
              <w:left w:val="nil"/>
              <w:right w:val="nil"/>
            </w:tcBorders>
          </w:tcPr>
          <w:p>
            <w:pPr>
              <w:pStyle w:val="TableParagraph"/>
              <w:spacing w:before="10"/>
              <w:ind w:left="0" w:right="0"/>
              <w:jc w:val="left"/>
              <w:rPr>
                <w:b/>
                <w:sz w:val="35"/>
              </w:rPr>
            </w:pPr>
          </w:p>
          <w:p>
            <w:pPr>
              <w:pStyle w:val="TableParagraph"/>
              <w:spacing w:line="360" w:lineRule="auto" w:before="1"/>
              <w:ind w:left="281" w:right="230"/>
              <w:jc w:val="both"/>
              <w:rPr>
                <w:sz w:val="24"/>
              </w:rPr>
            </w:pPr>
            <w:r>
              <w:rPr>
                <w:sz w:val="24"/>
              </w:rPr>
              <w:t>Árbol filogenético de cepas de referencia y aislamientos de </w:t>
            </w:r>
            <w:r>
              <w:rPr>
                <w:i/>
                <w:sz w:val="24"/>
              </w:rPr>
              <w:t>Av. paragallinarum </w:t>
            </w:r>
            <w:r>
              <w:rPr>
                <w:sz w:val="24"/>
              </w:rPr>
              <w:t>incluidos en  el estudio basados en el análisis de máxima verosimilitud del gen 16S</w:t>
            </w:r>
            <w:r>
              <w:rPr>
                <w:spacing w:val="-9"/>
                <w:sz w:val="24"/>
              </w:rPr>
              <w:t> </w:t>
            </w:r>
            <w:r>
              <w:rPr>
                <w:sz w:val="24"/>
              </w:rPr>
              <w:t>rRNA.</w:t>
            </w:r>
          </w:p>
        </w:tc>
        <w:tc>
          <w:tcPr>
            <w:tcW w:w="1375" w:type="dxa"/>
            <w:tcBorders>
              <w:left w:val="nil"/>
              <w:bottom w:val="nil"/>
              <w:right w:val="nil"/>
            </w:tcBorders>
          </w:tcPr>
          <w:p>
            <w:pPr/>
          </w:p>
        </w:tc>
      </w:tr>
      <w:tr>
        <w:trPr>
          <w:trHeight w:val="1242" w:hRule="exact"/>
        </w:trPr>
        <w:tc>
          <w:tcPr>
            <w:tcW w:w="1792" w:type="dxa"/>
            <w:tcBorders>
              <w:top w:val="nil"/>
              <w:left w:val="nil"/>
              <w:bottom w:val="nil"/>
              <w:right w:val="nil"/>
            </w:tcBorders>
          </w:tcPr>
          <w:p>
            <w:pPr/>
          </w:p>
        </w:tc>
        <w:tc>
          <w:tcPr>
            <w:tcW w:w="5827" w:type="dxa"/>
            <w:vMerge/>
            <w:tcBorders>
              <w:left w:val="nil"/>
              <w:bottom w:val="nil"/>
              <w:right w:val="nil"/>
            </w:tcBorders>
          </w:tcPr>
          <w:p>
            <w:pPr/>
          </w:p>
        </w:tc>
        <w:tc>
          <w:tcPr>
            <w:tcW w:w="1375" w:type="dxa"/>
            <w:tcBorders>
              <w:top w:val="nil"/>
              <w:left w:val="nil"/>
              <w:bottom w:val="nil"/>
              <w:right w:val="nil"/>
            </w:tcBorders>
          </w:tcPr>
          <w:p>
            <w:pPr>
              <w:pStyle w:val="TableParagraph"/>
              <w:spacing w:before="55"/>
              <w:ind w:left="211" w:right="331"/>
              <w:rPr>
                <w:sz w:val="24"/>
              </w:rPr>
            </w:pPr>
            <w:r>
              <w:rPr>
                <w:sz w:val="24"/>
              </w:rPr>
              <w:t>45</w:t>
            </w:r>
          </w:p>
        </w:tc>
      </w:tr>
      <w:tr>
        <w:trPr>
          <w:trHeight w:val="517" w:hRule="exact"/>
        </w:trPr>
        <w:tc>
          <w:tcPr>
            <w:tcW w:w="1792" w:type="dxa"/>
            <w:tcBorders>
              <w:top w:val="nil"/>
              <w:left w:val="nil"/>
              <w:bottom w:val="nil"/>
              <w:right w:val="nil"/>
            </w:tcBorders>
          </w:tcPr>
          <w:p>
            <w:pPr>
              <w:pStyle w:val="TableParagraph"/>
              <w:spacing w:before="57"/>
              <w:ind w:left="523" w:right="0"/>
              <w:jc w:val="left"/>
              <w:rPr>
                <w:b/>
                <w:sz w:val="24"/>
              </w:rPr>
            </w:pPr>
            <w:r>
              <w:rPr>
                <w:b/>
                <w:sz w:val="24"/>
              </w:rPr>
              <w:t>Figura 2</w:t>
            </w:r>
          </w:p>
        </w:tc>
        <w:tc>
          <w:tcPr>
            <w:tcW w:w="5827" w:type="dxa"/>
            <w:vMerge w:val="restart"/>
            <w:tcBorders>
              <w:top w:val="nil"/>
              <w:left w:val="nil"/>
              <w:right w:val="nil"/>
            </w:tcBorders>
          </w:tcPr>
          <w:p>
            <w:pPr>
              <w:pStyle w:val="TableParagraph"/>
              <w:spacing w:line="360" w:lineRule="auto" w:before="57"/>
              <w:ind w:left="281" w:right="228"/>
              <w:jc w:val="both"/>
              <w:rPr>
                <w:sz w:val="24"/>
              </w:rPr>
            </w:pPr>
            <w:r>
              <w:rPr>
                <w:sz w:val="24"/>
              </w:rPr>
              <w:t>Árbol filogenético de cepas de referencia y aislamientos de </w:t>
            </w:r>
            <w:r>
              <w:rPr>
                <w:i/>
                <w:sz w:val="24"/>
              </w:rPr>
              <w:t>Av. paragallinarum </w:t>
            </w:r>
            <w:r>
              <w:rPr>
                <w:sz w:val="24"/>
              </w:rPr>
              <w:t>incluidos en  el estudio basados en el análisis de neighbor- joining de las secuencias del gen</w:t>
            </w:r>
            <w:r>
              <w:rPr>
                <w:spacing w:val="-8"/>
                <w:sz w:val="24"/>
              </w:rPr>
              <w:t> </w:t>
            </w:r>
            <w:r>
              <w:rPr>
                <w:i/>
                <w:sz w:val="24"/>
              </w:rPr>
              <w:t>hag</w:t>
            </w:r>
            <w:r>
              <w:rPr>
                <w:sz w:val="24"/>
              </w:rPr>
              <w:t>A.</w:t>
            </w:r>
          </w:p>
        </w:tc>
        <w:tc>
          <w:tcPr>
            <w:tcW w:w="1375" w:type="dxa"/>
            <w:tcBorders>
              <w:top w:val="nil"/>
              <w:left w:val="nil"/>
              <w:bottom w:val="nil"/>
              <w:right w:val="nil"/>
            </w:tcBorders>
          </w:tcPr>
          <w:p>
            <w:pPr/>
          </w:p>
        </w:tc>
      </w:tr>
      <w:tr>
        <w:trPr>
          <w:trHeight w:val="1203" w:hRule="exact"/>
        </w:trPr>
        <w:tc>
          <w:tcPr>
            <w:tcW w:w="1792" w:type="dxa"/>
            <w:tcBorders>
              <w:top w:val="nil"/>
              <w:left w:val="nil"/>
              <w:right w:val="nil"/>
            </w:tcBorders>
          </w:tcPr>
          <w:p>
            <w:pPr/>
          </w:p>
        </w:tc>
        <w:tc>
          <w:tcPr>
            <w:tcW w:w="5827" w:type="dxa"/>
            <w:vMerge/>
            <w:tcBorders>
              <w:left w:val="nil"/>
              <w:right w:val="nil"/>
            </w:tcBorders>
          </w:tcPr>
          <w:p>
            <w:pPr/>
          </w:p>
        </w:tc>
        <w:tc>
          <w:tcPr>
            <w:tcW w:w="1375" w:type="dxa"/>
            <w:tcBorders>
              <w:top w:val="nil"/>
              <w:left w:val="nil"/>
              <w:right w:val="nil"/>
            </w:tcBorders>
          </w:tcPr>
          <w:p>
            <w:pPr>
              <w:pStyle w:val="TableParagraph"/>
              <w:spacing w:before="159"/>
              <w:ind w:left="211" w:right="331"/>
              <w:rPr>
                <w:sz w:val="24"/>
              </w:rPr>
            </w:pPr>
            <w:r>
              <w:rPr>
                <w:sz w:val="24"/>
              </w:rPr>
              <w:t>46</w:t>
            </w:r>
          </w:p>
        </w:tc>
      </w:tr>
    </w:tbl>
    <w:p>
      <w:pPr>
        <w:spacing w:after="0"/>
        <w:rPr>
          <w:sz w:val="24"/>
        </w:rPr>
        <w:sectPr>
          <w:footerReference w:type="default" r:id="rId9"/>
          <w:pgSz w:w="12240" w:h="15840"/>
          <w:pgMar w:footer="1003" w:header="0" w:top="1360" w:bottom="1200" w:left="1460" w:right="1560"/>
          <w:pgNumType w:start="11"/>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0"/>
        <w:rPr>
          <w:b/>
          <w:sz w:val="15"/>
        </w:rPr>
      </w:pPr>
    </w:p>
    <w:p>
      <w:pPr>
        <w:pStyle w:val="Heading2"/>
        <w:numPr>
          <w:ilvl w:val="1"/>
          <w:numId w:val="1"/>
        </w:numPr>
        <w:tabs>
          <w:tab w:pos="4007" w:val="left" w:leader="none"/>
          <w:tab w:pos="4008" w:val="left" w:leader="none"/>
        </w:tabs>
        <w:spacing w:line="240" w:lineRule="auto" w:before="70" w:after="0"/>
        <w:ind w:left="4007" w:right="0" w:hanging="720"/>
        <w:jc w:val="left"/>
      </w:pPr>
      <w:bookmarkStart w:name="_TOC_250012" w:id="3"/>
      <w:bookmarkEnd w:id="3"/>
      <w:r>
        <w:rPr/>
        <w:t>INTRODUCCIÓN</w:t>
      </w:r>
    </w:p>
    <w:p>
      <w:pPr>
        <w:spacing w:after="0" w:line="240" w:lineRule="auto"/>
        <w:jc w:val="left"/>
        <w:sectPr>
          <w:pgSz w:w="12240" w:h="15840"/>
          <w:pgMar w:header="0" w:footer="1003" w:top="1500" w:bottom="1200" w:left="1720" w:right="1720"/>
        </w:sectPr>
      </w:pPr>
    </w:p>
    <w:p>
      <w:pPr>
        <w:pStyle w:val="BodyText"/>
        <w:spacing w:line="360" w:lineRule="auto" w:before="52"/>
        <w:ind w:left="102" w:right="112" w:firstLine="707"/>
        <w:jc w:val="both"/>
      </w:pPr>
      <w:r>
        <w:rPr>
          <w:i/>
        </w:rPr>
        <w:t>Avibacterium paragallinarum </w:t>
      </w:r>
      <w:r>
        <w:rPr/>
        <w:t>es el agente etiológico de la coriza infecciosa, una enfermedad del tracto respiratorio superior de pollos y gallinas (</w:t>
      </w:r>
      <w:r>
        <w:rPr>
          <w:i/>
        </w:rPr>
        <w:t>Gallus gallus</w:t>
      </w:r>
      <w:r>
        <w:rPr/>
        <w:t>). La enfermedad se caracteriza por producir descarga nasal, inflamación facial y estornudos, lo que ocasiona pérdidas en la producción avícola (Blackall y Soriano, 2013). A la fecha, se reconocen 9 serovariedades (A-1, A-2, A-3, A-4, B-1, C-1, C- 2, C-3 y C-4) distribuidas en tres serogrupos (A, B y C) (Blackall </w:t>
      </w:r>
      <w:r>
        <w:rPr>
          <w:i/>
        </w:rPr>
        <w:t>et al.</w:t>
      </w:r>
      <w:r>
        <w:rPr/>
        <w:t>, 1990). La distribución de estas serovariedades en el mundo es muy diversa. En México se han identificado aislamientos de </w:t>
      </w:r>
      <w:r>
        <w:rPr>
          <w:i/>
        </w:rPr>
        <w:t>Av. paragallinarum </w:t>
      </w:r>
      <w:r>
        <w:rPr/>
        <w:t>de las serovariedades A-1, A- 2, B-1 y C-2 (Soriano </w:t>
      </w:r>
      <w:r>
        <w:rPr>
          <w:i/>
        </w:rPr>
        <w:t>et al.</w:t>
      </w:r>
      <w:r>
        <w:rPr/>
        <w:t>, 2002). En el año 2011, se identificaron brotes de coriza infecciosa donde aislamientos de </w:t>
      </w:r>
      <w:r>
        <w:rPr>
          <w:i/>
        </w:rPr>
        <w:t>Av. paragallinarum </w:t>
      </w:r>
      <w:r>
        <w:rPr/>
        <w:t>de la serovariedad C-1 fueron identificados a partir de parvadas inmunizadas contra coriza infecciosa (Morales-Erasto </w:t>
      </w:r>
      <w:r>
        <w:rPr>
          <w:i/>
        </w:rPr>
        <w:t>et al.</w:t>
      </w:r>
      <w:r>
        <w:rPr/>
        <w:t>,</w:t>
      </w:r>
      <w:r>
        <w:rPr>
          <w:spacing w:val="-8"/>
        </w:rPr>
        <w:t> </w:t>
      </w:r>
      <w:r>
        <w:rPr/>
        <w:t>2011).</w:t>
      </w:r>
    </w:p>
    <w:p>
      <w:pPr>
        <w:pStyle w:val="BodyText"/>
        <w:spacing w:line="360" w:lineRule="auto" w:before="166"/>
        <w:ind w:left="102" w:right="115" w:firstLine="707"/>
        <w:jc w:val="both"/>
      </w:pPr>
      <w:r>
        <w:rPr/>
        <w:t>La mejor manera de prevenir la coriza infecciosa es mediante la bacterinización de parvadas susceptibles. Actualmente, en el mercado se encuentran disponibles bacterinas bivalentes (que incluyen aislamientos o cepas de referencia de los serogrupos A y C) y bacterinas trivalentes (que incluyen aislamientos o cepas de referencia de los serogrupos A, B y C) (Fernández </w:t>
      </w:r>
      <w:r>
        <w:rPr>
          <w:i/>
        </w:rPr>
        <w:t>et al.</w:t>
      </w:r>
      <w:r>
        <w:rPr/>
        <w:t>, 2005). La eficacia de las bacterinas contra coriza infecciosa se evalúa mediante la infección experimental de parvadas inmunizadas y la evaluación de la protección conferida. En el presente trabajo, se evaluó la protección conferida por bacterinas trivalentes comerciales frente a un aislamiento de la serovariedad C-1 de </w:t>
      </w:r>
      <w:r>
        <w:rPr>
          <w:i/>
        </w:rPr>
        <w:t>Av. </w:t>
      </w:r>
      <w:r>
        <w:rPr>
          <w:i/>
        </w:rPr>
        <w:t>paragallinarum</w:t>
      </w:r>
      <w:r>
        <w:rPr/>
        <w:t>. Una protección al menos del 70% conferida por una bacterina contra la coriza infecciosa y al desafío homólogo, no es diferente estadísticamente a una protección de 80% a 100% (Fernández </w:t>
      </w:r>
      <w:r>
        <w:rPr>
          <w:i/>
        </w:rPr>
        <w:t>et al</w:t>
      </w:r>
      <w:r>
        <w:rPr/>
        <w:t>., 2005; Soriano </w:t>
      </w:r>
      <w:r>
        <w:rPr>
          <w:i/>
        </w:rPr>
        <w:t>et al</w:t>
      </w:r>
      <w:r>
        <w:rPr/>
        <w:t>., 2004).</w:t>
      </w:r>
    </w:p>
    <w:p>
      <w:pPr>
        <w:pStyle w:val="BodyText"/>
        <w:spacing w:line="360" w:lineRule="auto" w:before="163"/>
        <w:ind w:left="102" w:right="115" w:firstLine="707"/>
        <w:jc w:val="both"/>
      </w:pPr>
      <w:r>
        <w:rPr/>
        <w:t>La asignación de serogrupos y serovariedades de </w:t>
      </w:r>
      <w:r>
        <w:rPr>
          <w:i/>
        </w:rPr>
        <w:t>Av. paragallinarum</w:t>
      </w:r>
      <w:r>
        <w:rPr/>
        <w:t>, se lleva a cabo mediante dos esquemas, el esquema de Page que fue originalmente desarrollado para la prueba de aglutinación en placa que reconoce 3 serovariedades (A, B y C) (Page, 1962). Posteriormente, se desarrolló otro esquema de serotipificación propuesto por Kume </w:t>
      </w:r>
      <w:r>
        <w:rPr>
          <w:i/>
        </w:rPr>
        <w:t>et al. </w:t>
      </w:r>
      <w:r>
        <w:rPr/>
        <w:t>(1983), y modificado por Blackall </w:t>
      </w:r>
      <w:r>
        <w:rPr>
          <w:i/>
        </w:rPr>
        <w:t>et al. </w:t>
      </w:r>
      <w:r>
        <w:rPr/>
        <w:t>(1990), reconociendo 9 serovariedades: A-1, A-2, A-3, A-4, B-1, C-1,</w:t>
      </w:r>
    </w:p>
    <w:p>
      <w:pPr>
        <w:spacing w:after="0" w:line="360" w:lineRule="auto"/>
        <w:jc w:val="both"/>
        <w:sectPr>
          <w:pgSz w:w="12240" w:h="15840"/>
          <w:pgMar w:header="0" w:footer="1003" w:top="1360" w:bottom="1200" w:left="1600" w:right="1580"/>
        </w:sectPr>
      </w:pPr>
    </w:p>
    <w:p>
      <w:pPr>
        <w:pStyle w:val="BodyText"/>
        <w:spacing w:line="360" w:lineRule="auto" w:before="54"/>
        <w:ind w:left="102" w:right="116"/>
        <w:jc w:val="both"/>
      </w:pPr>
      <w:r>
        <w:rPr/>
        <w:t>C-2, C-3 y C-4. La tipificación por ambos esquemas es complicada y requiere la producción de antígenos y antisueros específicos para las cepas de referencia de cada una de las serovariedades (Sakamoto </w:t>
      </w:r>
      <w:r>
        <w:rPr>
          <w:i/>
        </w:rPr>
        <w:t>et al.</w:t>
      </w:r>
      <w:r>
        <w:rPr/>
        <w:t>, 2012). Recientemente, se propuso una PCR múltiple para la tipificación, la cual permite el reconocimiento de los serogrupos A, B y C. En el presente estudio, se empleó esta PCR-múltiple para la tipificación de aislamientos de diferentes países de América.</w:t>
      </w:r>
    </w:p>
    <w:p>
      <w:pPr>
        <w:pStyle w:val="BodyText"/>
        <w:spacing w:line="360" w:lineRule="auto" w:before="163"/>
        <w:ind w:left="102" w:right="115" w:firstLine="707"/>
        <w:jc w:val="both"/>
      </w:pPr>
      <w:r>
        <w:rPr/>
        <w:t>Asimismo, la genotipificación permite establecer la diversidad genética y relación filogenética entre microorganismos. Para el caso de </w:t>
      </w:r>
      <w:r>
        <w:rPr>
          <w:i/>
        </w:rPr>
        <w:t>Av. paragallinarum</w:t>
      </w:r>
      <w:r>
        <w:rPr/>
        <w:t>, el gen </w:t>
      </w:r>
      <w:r>
        <w:rPr>
          <w:i/>
        </w:rPr>
        <w:t>hag</w:t>
      </w:r>
      <w:r>
        <w:rPr/>
        <w:t>A que codifica para la hemoaglutinina de la bacteria y el gen 16S rRNA han sido utilizados para establecer la relación filogenética de aislamientos de la serovariedad C-1 provenientes de México y Ecuador (García-Sánchez </w:t>
      </w:r>
      <w:r>
        <w:rPr>
          <w:i/>
        </w:rPr>
        <w:t>et al.</w:t>
      </w:r>
      <w:r>
        <w:rPr/>
        <w:t>,  2014). En el presente trabajo, se analizaron las secuencias de los genes </w:t>
      </w:r>
      <w:r>
        <w:rPr>
          <w:i/>
        </w:rPr>
        <w:t>hag</w:t>
      </w:r>
      <w:r>
        <w:rPr/>
        <w:t>A y 16S rRNA de 11 cepas de referencia y 48 aislamientos provenientes de Bolivia (2 aislamientos), Ecuador (19 aislamientos), México (9 aislamientos), Panamá (2 aislamientos) y Perú (16</w:t>
      </w:r>
      <w:r>
        <w:rPr>
          <w:spacing w:val="-8"/>
        </w:rPr>
        <w:t> </w:t>
      </w:r>
      <w:r>
        <w:rPr/>
        <w:t>aislamientos).</w:t>
      </w:r>
    </w:p>
    <w:p>
      <w:pPr>
        <w:pStyle w:val="BodyText"/>
        <w:spacing w:line="360" w:lineRule="auto" w:before="163"/>
        <w:ind w:left="102" w:right="115" w:firstLine="707"/>
        <w:jc w:val="both"/>
      </w:pPr>
      <w:r>
        <w:rPr/>
        <w:t>El objetivo de este trabajo fue evaluar la protección conferida por bacterinas comerciales frente a un aislamiento de la serovariedad C-1. Asimismo, la tipificación de aislamientos por la técnica de PCR múltiple y establecer la relación filogenética basada en los genes </w:t>
      </w:r>
      <w:r>
        <w:rPr>
          <w:i/>
        </w:rPr>
        <w:t>hag</w:t>
      </w:r>
      <w:r>
        <w:rPr/>
        <w:t>A y 16S rRNA de aislamientos de </w:t>
      </w:r>
      <w:r>
        <w:rPr>
          <w:i/>
        </w:rPr>
        <w:t>Av. </w:t>
      </w:r>
      <w:r>
        <w:rPr>
          <w:i/>
        </w:rPr>
        <w:t>paragallinarum </w:t>
      </w:r>
      <w:r>
        <w:rPr/>
        <w:t>de América.</w:t>
      </w:r>
    </w:p>
    <w:p>
      <w:pPr>
        <w:spacing w:after="0" w:line="360" w:lineRule="auto"/>
        <w:jc w:val="both"/>
        <w:sectPr>
          <w:pgSz w:w="12240" w:h="15840"/>
          <w:pgMar w:header="0" w:footer="1003" w:top="1360" w:bottom="120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5"/>
        </w:rPr>
      </w:pPr>
    </w:p>
    <w:p>
      <w:pPr>
        <w:pStyle w:val="Heading2"/>
        <w:numPr>
          <w:ilvl w:val="1"/>
          <w:numId w:val="1"/>
        </w:numPr>
        <w:tabs>
          <w:tab w:pos="2964" w:val="left" w:leader="none"/>
        </w:tabs>
        <w:spacing w:line="240" w:lineRule="auto" w:before="70" w:after="0"/>
        <w:ind w:left="2963" w:right="0" w:hanging="269"/>
        <w:jc w:val="left"/>
      </w:pPr>
      <w:bookmarkStart w:name="_TOC_250011" w:id="4"/>
      <w:r>
        <w:rPr/>
        <w:t>REVISIÓN DE</w:t>
      </w:r>
      <w:r>
        <w:rPr>
          <w:spacing w:val="-9"/>
        </w:rPr>
        <w:t> </w:t>
      </w:r>
      <w:bookmarkEnd w:id="4"/>
      <w:r>
        <w:rPr/>
        <w:t>LITERATURA</w:t>
      </w:r>
    </w:p>
    <w:p>
      <w:pPr>
        <w:spacing w:after="0" w:line="240" w:lineRule="auto"/>
        <w:jc w:val="left"/>
        <w:sectPr>
          <w:pgSz w:w="12240" w:h="15840"/>
          <w:pgMar w:header="0" w:footer="1003" w:top="1500" w:bottom="1200" w:left="1720" w:right="1720"/>
        </w:sectPr>
      </w:pPr>
    </w:p>
    <w:p>
      <w:pPr>
        <w:pStyle w:val="BodyText"/>
        <w:spacing w:line="360" w:lineRule="auto" w:before="52"/>
        <w:ind w:left="102" w:right="116" w:firstLine="566"/>
        <w:jc w:val="both"/>
      </w:pPr>
      <w:r>
        <w:rPr>
          <w:i/>
        </w:rPr>
        <w:t>Avibacterium paragallinarum </w:t>
      </w:r>
      <w:r>
        <w:rPr/>
        <w:t>es una bacteria Gram-negativa perteneciente a la familia </w:t>
      </w:r>
      <w:r>
        <w:rPr>
          <w:i/>
        </w:rPr>
        <w:t>Pasturellaceae </w:t>
      </w:r>
      <w:r>
        <w:rPr/>
        <w:t>y es el agente causal de la coriza infecciosa, una enfermedad del tracto respiratorio superior de pollos y gallinas (</w:t>
      </w:r>
      <w:r>
        <w:rPr>
          <w:i/>
        </w:rPr>
        <w:t>Gallus gallus</w:t>
      </w:r>
      <w:r>
        <w:rPr/>
        <w:t>). La enfermedad se caracteriza por producir descarga nasal, inflamación facial y estornudos. Las pérdidas que ocasiona en la avicultura se deben a la disminución en la producción de huevo (10% a 40%), retraso en el crecimiento, pérdida de peso y predisposición a enfermedad respiratoria crónica complicada (Blackall y Soriano,</w:t>
      </w:r>
      <w:r>
        <w:rPr>
          <w:spacing w:val="-7"/>
        </w:rPr>
        <w:t> </w:t>
      </w:r>
      <w:r>
        <w:rPr/>
        <w:t>2013).</w:t>
      </w:r>
    </w:p>
    <w:p>
      <w:pPr>
        <w:pStyle w:val="BodyText"/>
      </w:pPr>
    </w:p>
    <w:p>
      <w:pPr>
        <w:pStyle w:val="BodyText"/>
      </w:pPr>
    </w:p>
    <w:p>
      <w:pPr>
        <w:pStyle w:val="Heading2"/>
        <w:spacing w:before="186"/>
        <w:ind w:left="668" w:right="118"/>
      </w:pPr>
      <w:r>
        <w:rPr/>
        <w:t>Clasificación serológica</w:t>
      </w:r>
    </w:p>
    <w:p>
      <w:pPr>
        <w:pStyle w:val="BodyText"/>
        <w:spacing w:before="7"/>
        <w:rPr>
          <w:b/>
          <w:sz w:val="25"/>
        </w:rPr>
      </w:pPr>
    </w:p>
    <w:p>
      <w:pPr>
        <w:pStyle w:val="BodyText"/>
        <w:spacing w:line="360" w:lineRule="auto"/>
        <w:ind w:left="102" w:right="115" w:firstLine="566"/>
        <w:jc w:val="both"/>
      </w:pPr>
      <w:r>
        <w:rPr/>
        <w:t>Existen dos esquemas relacionados para la serotipificación de </w:t>
      </w:r>
      <w:r>
        <w:rPr>
          <w:i/>
        </w:rPr>
        <w:t>Av. </w:t>
      </w:r>
      <w:r>
        <w:rPr>
          <w:i/>
        </w:rPr>
        <w:t>paragallinarum </w:t>
      </w:r>
      <w:r>
        <w:rPr/>
        <w:t>basados en la hemoaglutinina de la bacteria. El esquema de Page, originalmente desarrollado en la prueba de aglutinación en placa con tres serovariedades: A, B y C (Page, 1962). El esquema de Kume basado en la prueba de inhibición de la hemoaglutinación (IH) con nueve serovariedades: A-1, A-2, A-3, A-4, B-1, C-1, C-2, C-3 y C-4, distribuidas en tres serogrupos: A, B y C (Blackall </w:t>
      </w:r>
      <w:r>
        <w:rPr>
          <w:i/>
        </w:rPr>
        <w:t>et </w:t>
      </w:r>
      <w:r>
        <w:rPr>
          <w:i/>
        </w:rPr>
        <w:t>al.</w:t>
      </w:r>
      <w:r>
        <w:rPr/>
        <w:t>, 1990).</w:t>
      </w:r>
    </w:p>
    <w:p>
      <w:pPr>
        <w:pStyle w:val="BodyText"/>
        <w:spacing w:line="360" w:lineRule="auto" w:before="166"/>
        <w:ind w:left="102" w:right="115" w:firstLine="566"/>
        <w:jc w:val="both"/>
      </w:pPr>
      <w:r>
        <w:rPr/>
        <w:t>La distribución de las serovariedades en el mundo es muy diversa. En América, se han identificado aislamientos de la serovariedad B-1 en Panamá (Calderon </w:t>
      </w:r>
      <w:r>
        <w:rPr>
          <w:i/>
        </w:rPr>
        <w:t>et al.</w:t>
      </w:r>
      <w:r>
        <w:rPr/>
        <w:t>, 2010). Posteriormente, en Ecuador, las serovariedades A-3, B-1 y C-1, han sido identificadas (Cabrera </w:t>
      </w:r>
      <w:r>
        <w:rPr>
          <w:i/>
        </w:rPr>
        <w:t>et al.</w:t>
      </w:r>
      <w:r>
        <w:rPr/>
        <w:t>, 2011). Aislamientos de </w:t>
      </w:r>
      <w:r>
        <w:rPr>
          <w:i/>
        </w:rPr>
        <w:t>Av. </w:t>
      </w:r>
      <w:r>
        <w:rPr>
          <w:i/>
        </w:rPr>
        <w:t>paragallinarum </w:t>
      </w:r>
      <w:r>
        <w:rPr/>
        <w:t>de las serovariedades A-1, A-2, B-1 y C-2, han sido identificadas  en México (Soriano </w:t>
      </w:r>
      <w:r>
        <w:rPr>
          <w:i/>
        </w:rPr>
        <w:t>et al.</w:t>
      </w:r>
      <w:r>
        <w:rPr/>
        <w:t>, 2001). Adicionalmente, en 2011, Morales-Erasto </w:t>
      </w:r>
      <w:r>
        <w:rPr>
          <w:i/>
        </w:rPr>
        <w:t>et al. </w:t>
      </w:r>
      <w:r>
        <w:rPr/>
        <w:t>(2011), identificaron aislamientos de la serovariedad C-1 a partir de parvadas inmunizadas contra coriza infecciosa en los estados de Jalisco y</w:t>
      </w:r>
      <w:r>
        <w:rPr>
          <w:spacing w:val="-20"/>
        </w:rPr>
        <w:t> </w:t>
      </w:r>
      <w:r>
        <w:rPr/>
        <w:t>Puebla.</w:t>
      </w:r>
    </w:p>
    <w:p>
      <w:pPr>
        <w:pStyle w:val="BodyText"/>
        <w:spacing w:line="360" w:lineRule="auto" w:before="163"/>
        <w:ind w:left="102" w:right="116" w:firstLine="566"/>
        <w:jc w:val="both"/>
      </w:pPr>
      <w:r>
        <w:rPr/>
        <w:t>La hemoaglutinina es el principal componente relacionado con la patogenicidad e inmunogenicidad de </w:t>
      </w:r>
      <w:r>
        <w:rPr>
          <w:i/>
        </w:rPr>
        <w:t>Av. paragallinarum</w:t>
      </w:r>
      <w:r>
        <w:rPr/>
        <w:t>. Un estudio previo, demostró que aislamientos mutantes carentes de hemoaglutinina no son patogénicos,  ni  inmunogénicos  (Yamaguchi </w:t>
      </w:r>
      <w:r>
        <w:rPr>
          <w:spacing w:val="53"/>
        </w:rPr>
        <w:t> </w:t>
      </w:r>
      <w:r>
        <w:rPr>
          <w:i/>
        </w:rPr>
        <w:t>et  al.,  </w:t>
      </w:r>
      <w:r>
        <w:rPr/>
        <w:t>1993).  Por  lo  tanto,  la</w:t>
      </w:r>
    </w:p>
    <w:p>
      <w:pPr>
        <w:spacing w:after="0" w:line="360" w:lineRule="auto"/>
        <w:jc w:val="both"/>
        <w:sectPr>
          <w:pgSz w:w="12240" w:h="15840"/>
          <w:pgMar w:header="0" w:footer="1003" w:top="1360" w:bottom="1200" w:left="1600" w:right="1580"/>
        </w:sectPr>
      </w:pPr>
    </w:p>
    <w:p>
      <w:pPr>
        <w:pStyle w:val="BodyText"/>
        <w:spacing w:line="360" w:lineRule="auto" w:before="52"/>
        <w:ind w:left="102" w:right="117"/>
        <w:jc w:val="both"/>
      </w:pPr>
      <w:r>
        <w:rPr/>
        <w:t>serotipificación de hemoaglutininas de aislamientos de </w:t>
      </w:r>
      <w:r>
        <w:rPr>
          <w:i/>
        </w:rPr>
        <w:t>Av. paragallinarum </w:t>
      </w:r>
      <w:r>
        <w:rPr/>
        <w:t>es importante para conferir inmunidad en aves frente a ciertos aislamientos de cierta serovariedad. Soriano </w:t>
      </w:r>
      <w:r>
        <w:rPr>
          <w:i/>
        </w:rPr>
        <w:t>et al. </w:t>
      </w:r>
      <w:r>
        <w:rPr/>
        <w:t>(2004), identificaron protección cruzada entre aislamientos pertenecientes al mismo serogrupo confirmando así que los tres serogrupos, representan 3 distintos inmunovares, sugiriendo que la identificación de serovariedades presentes en ciertas áreas y la protección conferida por ciertas cepas, es importante para la selección de cepas vacunales.</w:t>
      </w:r>
    </w:p>
    <w:p>
      <w:pPr>
        <w:pStyle w:val="BodyText"/>
      </w:pPr>
    </w:p>
    <w:p>
      <w:pPr>
        <w:pStyle w:val="BodyText"/>
      </w:pPr>
    </w:p>
    <w:p>
      <w:pPr>
        <w:pStyle w:val="Heading2"/>
        <w:spacing w:before="188"/>
        <w:ind w:left="668" w:right="118"/>
      </w:pPr>
      <w:r>
        <w:rPr/>
        <w:t>Evaluación de la protección.</w:t>
      </w:r>
    </w:p>
    <w:p>
      <w:pPr>
        <w:pStyle w:val="BodyText"/>
        <w:spacing w:before="7"/>
        <w:rPr>
          <w:b/>
          <w:sz w:val="25"/>
        </w:rPr>
      </w:pPr>
    </w:p>
    <w:p>
      <w:pPr>
        <w:pStyle w:val="BodyText"/>
        <w:spacing w:line="360" w:lineRule="auto"/>
        <w:ind w:left="102" w:right="115" w:firstLine="566"/>
        <w:jc w:val="both"/>
      </w:pPr>
      <w:r>
        <w:rPr/>
        <w:t>La inmunización de parvadas susceptibles empleando bacterinas de </w:t>
      </w:r>
      <w:r>
        <w:rPr>
          <w:i/>
        </w:rPr>
        <w:t>Av. </w:t>
      </w:r>
      <w:r>
        <w:rPr>
          <w:i/>
        </w:rPr>
        <w:t>paragallinarum </w:t>
      </w:r>
      <w:r>
        <w:rPr/>
        <w:t>es la mejor estrategia para la prevención de la coriza infecciosa. Como ya se mencionó previamente, la hemoaglutinina es el principal componente relacionado con la inmunogenicidad y por lo tanto en la protección de </w:t>
      </w:r>
      <w:r>
        <w:rPr>
          <w:i/>
        </w:rPr>
        <w:t>Av. </w:t>
      </w:r>
      <w:r>
        <w:rPr>
          <w:i/>
        </w:rPr>
        <w:t>paragallinarum </w:t>
      </w:r>
      <w:r>
        <w:rPr/>
        <w:t>(Yamaguchi </w:t>
      </w:r>
      <w:r>
        <w:rPr>
          <w:i/>
        </w:rPr>
        <w:t>et al., </w:t>
      </w:r>
      <w:r>
        <w:rPr/>
        <w:t>1993).</w:t>
      </w:r>
    </w:p>
    <w:p>
      <w:pPr>
        <w:pStyle w:val="BodyText"/>
        <w:spacing w:line="360" w:lineRule="auto" w:before="166"/>
        <w:ind w:left="102" w:right="116" w:firstLine="566"/>
        <w:jc w:val="both"/>
      </w:pPr>
      <w:r>
        <w:rPr/>
        <w:t>La disponibilidad de bacterinas en el mercado está basada en las serovariedades existentes en ciertas zonas geográficas. De esta manera, en el mercado existen bacterinas bivalentes que contienen bacterias inactivadas de los serogrupos A y C; y bacterinas trivalentes que contienen bacterias inactivadas de los serogrupos A, B y C. Se sugiere que en lugares con aislamientos circulantes del serogrupo B, las bacterinas trivalentes sean emleadas (Fernández </w:t>
      </w:r>
      <w:r>
        <w:rPr>
          <w:i/>
        </w:rPr>
        <w:t>et al.</w:t>
      </w:r>
      <w:r>
        <w:rPr/>
        <w:t>, 2005; Jacobs </w:t>
      </w:r>
      <w:r>
        <w:rPr>
          <w:i/>
        </w:rPr>
        <w:t>et al.</w:t>
      </w:r>
      <w:r>
        <w:rPr/>
        <w:t>, 1992).</w:t>
      </w:r>
    </w:p>
    <w:p>
      <w:pPr>
        <w:pStyle w:val="BodyText"/>
        <w:spacing w:line="360" w:lineRule="auto" w:before="166"/>
        <w:ind w:left="102" w:right="116" w:firstLine="566"/>
        <w:jc w:val="both"/>
      </w:pPr>
      <w:r>
        <w:rPr/>
        <w:t>La determinación de anticuerpos y la determinación de la protección mediante una prueba de desafío en aves son los métodos más usados para la evaluación de la eficacia de bacterinas de </w:t>
      </w:r>
      <w:r>
        <w:rPr>
          <w:i/>
        </w:rPr>
        <w:t>Av. paragallinarum </w:t>
      </w:r>
      <w:r>
        <w:rPr/>
        <w:t>(García </w:t>
      </w:r>
      <w:r>
        <w:rPr>
          <w:i/>
        </w:rPr>
        <w:t>et al. </w:t>
      </w:r>
      <w:r>
        <w:rPr/>
        <w:t>2008; Chukiatsiri </w:t>
      </w:r>
      <w:r>
        <w:rPr>
          <w:i/>
        </w:rPr>
        <w:t>et al.</w:t>
      </w:r>
      <w:r>
        <w:rPr/>
        <w:t>, 2009). Los anticuerpos IH están estrechamente relacionados con la protección en </w:t>
      </w:r>
      <w:r>
        <w:rPr>
          <w:i/>
        </w:rPr>
        <w:t>Av. paragallinarum </w:t>
      </w:r>
      <w:r>
        <w:rPr/>
        <w:t>(Kume </w:t>
      </w:r>
      <w:r>
        <w:rPr>
          <w:i/>
        </w:rPr>
        <w:t>et al.</w:t>
      </w:r>
      <w:r>
        <w:rPr/>
        <w:t>,</w:t>
      </w:r>
      <w:r>
        <w:rPr>
          <w:spacing w:val="-15"/>
        </w:rPr>
        <w:t> </w:t>
      </w:r>
      <w:r>
        <w:rPr/>
        <w:t>1984).</w:t>
      </w:r>
    </w:p>
    <w:p>
      <w:pPr>
        <w:pStyle w:val="BodyText"/>
        <w:spacing w:line="360" w:lineRule="auto" w:before="166"/>
        <w:ind w:left="102" w:right="115" w:firstLine="566"/>
        <w:jc w:val="both"/>
      </w:pPr>
      <w:r>
        <w:rPr/>
        <w:t>La prueba de desafío en aves utilizada para la evaluación de la protección, consiste en la inmunización de aves susceptibles a </w:t>
      </w:r>
      <w:r>
        <w:rPr>
          <w:i/>
        </w:rPr>
        <w:t>Av. paragallinarum </w:t>
      </w:r>
      <w:r>
        <w:rPr/>
        <w:t>y posteriormente la inoculación con un cultivo vivo de </w:t>
      </w:r>
      <w:r>
        <w:rPr>
          <w:i/>
        </w:rPr>
        <w:t>Av. paragallinarum</w:t>
      </w:r>
      <w:r>
        <w:rPr/>
        <w:t>, incluyendo</w:t>
      </w:r>
    </w:p>
    <w:p>
      <w:pPr>
        <w:spacing w:after="0" w:line="360" w:lineRule="auto"/>
        <w:jc w:val="both"/>
        <w:sectPr>
          <w:pgSz w:w="12240" w:h="15840"/>
          <w:pgMar w:header="0" w:footer="1003" w:top="1360" w:bottom="1200" w:left="1600" w:right="1580"/>
        </w:sectPr>
      </w:pPr>
    </w:p>
    <w:p>
      <w:pPr>
        <w:pStyle w:val="BodyText"/>
        <w:spacing w:line="360" w:lineRule="auto" w:before="54"/>
        <w:ind w:left="102" w:right="115"/>
        <w:jc w:val="both"/>
      </w:pPr>
      <w:r>
        <w:rPr/>
        <w:t>aves inmunizadas y aves sin inmunización (grupo control). Las aves se evalúan durante 7 días y posteriormente se realiza el cultivo a partir del seno infraorbitario. Un ave es considerada protegida si no presentó signos clínicos durante el periodo de evaluación y es negativa al cultivo bacteriológico de </w:t>
      </w:r>
      <w:r>
        <w:rPr>
          <w:i/>
        </w:rPr>
        <w:t>Av. paragallinarum </w:t>
      </w:r>
      <w:r>
        <w:rPr/>
        <w:t>(Soriano </w:t>
      </w:r>
      <w:r>
        <w:rPr>
          <w:i/>
        </w:rPr>
        <w:t>et al.</w:t>
      </w:r>
      <w:r>
        <w:rPr/>
        <w:t>, 2004). Una protección al menos del 70% conferida por una bacterina contra la coriza infecciosa y al desafío homólogo, no es diferente estadísticamente a una protección de 80% a 100% (Fernández </w:t>
      </w:r>
      <w:r>
        <w:rPr>
          <w:i/>
        </w:rPr>
        <w:t>et al</w:t>
      </w:r>
      <w:r>
        <w:rPr/>
        <w:t>., 2005; Soriano </w:t>
      </w:r>
      <w:r>
        <w:rPr>
          <w:i/>
        </w:rPr>
        <w:t>et al</w:t>
      </w:r>
      <w:r>
        <w:rPr/>
        <w:t>.,</w:t>
      </w:r>
      <w:r>
        <w:rPr>
          <w:spacing w:val="-10"/>
        </w:rPr>
        <w:t> </w:t>
      </w:r>
      <w:r>
        <w:rPr/>
        <w:t>2004).</w:t>
      </w:r>
    </w:p>
    <w:p>
      <w:pPr>
        <w:pStyle w:val="BodyText"/>
        <w:spacing w:line="360" w:lineRule="auto" w:before="166"/>
        <w:ind w:left="102" w:right="115" w:firstLine="566"/>
        <w:jc w:val="both"/>
      </w:pPr>
      <w:r>
        <w:rPr/>
        <w:t>El nivel de anticuerpos inhibidores de la hemoaglutinación, está estrechamente relacionado con los niveles de protección observados (Takagi </w:t>
      </w:r>
      <w:r>
        <w:rPr>
          <w:i/>
        </w:rPr>
        <w:t>et  </w:t>
      </w:r>
      <w:r>
        <w:rPr>
          <w:i/>
        </w:rPr>
        <w:t>al.</w:t>
      </w:r>
      <w:r>
        <w:rPr/>
        <w:t>, 1991). Sin embargo, García </w:t>
      </w:r>
      <w:r>
        <w:rPr>
          <w:i/>
        </w:rPr>
        <w:t>et al. </w:t>
      </w:r>
      <w:r>
        <w:rPr/>
        <w:t>(2008), no detectaron títulos de anticuerpos IH en aves bacterinizadas en una sola ocasión, y al </w:t>
      </w:r>
      <w:r>
        <w:rPr>
          <w:spacing w:val="3"/>
        </w:rPr>
        <w:t>ser </w:t>
      </w:r>
      <w:r>
        <w:rPr/>
        <w:t>desafiadas se observó al menos un 70% de protección al desafío, sugiriendo que la prueba de desafío en aves inmunizadas, es la técnica más adecuada para la evaluación de bacterinas de coriza</w:t>
      </w:r>
      <w:r>
        <w:rPr>
          <w:spacing w:val="-7"/>
        </w:rPr>
        <w:t> </w:t>
      </w:r>
      <w:r>
        <w:rPr/>
        <w:t>infecciosa.</w:t>
      </w:r>
    </w:p>
    <w:p>
      <w:pPr>
        <w:pStyle w:val="BodyText"/>
      </w:pPr>
    </w:p>
    <w:p>
      <w:pPr>
        <w:pStyle w:val="BodyText"/>
      </w:pPr>
    </w:p>
    <w:p>
      <w:pPr>
        <w:pStyle w:val="Heading2"/>
        <w:spacing w:before="185"/>
        <w:ind w:left="668" w:right="118"/>
      </w:pPr>
      <w:r>
        <w:rPr/>
        <w:t>Tipificación por PCR múltiple</w:t>
      </w:r>
    </w:p>
    <w:p>
      <w:pPr>
        <w:pStyle w:val="BodyText"/>
        <w:spacing w:before="10"/>
        <w:rPr>
          <w:b/>
          <w:sz w:val="25"/>
        </w:rPr>
      </w:pPr>
    </w:p>
    <w:p>
      <w:pPr>
        <w:pStyle w:val="BodyText"/>
        <w:spacing w:line="360" w:lineRule="auto"/>
        <w:ind w:left="102" w:right="115" w:firstLine="566"/>
        <w:jc w:val="both"/>
      </w:pPr>
      <w:r>
        <w:rPr/>
        <w:t>Como ya se mencionó previamente, la serotipificación de aislamientos mediante la técnica de IH de </w:t>
      </w:r>
      <w:r>
        <w:rPr>
          <w:i/>
        </w:rPr>
        <w:t>Av. paragallinarum </w:t>
      </w:r>
      <w:r>
        <w:rPr/>
        <w:t>es importante para conocer las serovariedades presentes en ciertas zonas geográficas. Sin embargo, la técnica  de IH, requiere de la disponibilidad de los 9 antígenos y antisueros de referencia, así como de eritrocitos fijados, lo que vuelve complicado el procedimiento (Sakamoto et al., 2012). Basado en este principio, Sakamoto </w:t>
      </w:r>
      <w:r>
        <w:rPr>
          <w:i/>
        </w:rPr>
        <w:t>et al. </w:t>
      </w:r>
      <w:r>
        <w:rPr/>
        <w:t>(2012), desarrollaron una PCR múltiple para la identificación de los serogrupos de </w:t>
      </w:r>
      <w:r>
        <w:rPr>
          <w:i/>
        </w:rPr>
        <w:t>Av. </w:t>
      </w:r>
      <w:r>
        <w:rPr>
          <w:i/>
        </w:rPr>
        <w:t>paragallinarum</w:t>
      </w:r>
      <w:r>
        <w:rPr/>
        <w:t>.</w:t>
      </w:r>
    </w:p>
    <w:p>
      <w:pPr>
        <w:pStyle w:val="BodyText"/>
        <w:spacing w:line="360" w:lineRule="auto" w:before="163"/>
        <w:ind w:left="102" w:right="115" w:firstLine="566"/>
        <w:jc w:val="both"/>
        <w:rPr>
          <w:i/>
        </w:rPr>
      </w:pPr>
      <w:r>
        <w:rPr/>
        <w:t>Para el desarrollo de esta PCR múltiple , Noro </w:t>
      </w:r>
      <w:r>
        <w:rPr>
          <w:i/>
        </w:rPr>
        <w:t>et al. </w:t>
      </w:r>
      <w:r>
        <w:rPr/>
        <w:t>(2007) y Noro </w:t>
      </w:r>
      <w:r>
        <w:rPr>
          <w:i/>
        </w:rPr>
        <w:t>et al. </w:t>
      </w:r>
      <w:r>
        <w:rPr/>
        <w:t>(2008), reportaron los genes que codifican para la hemoaglutinina de </w:t>
      </w:r>
      <w:r>
        <w:rPr>
          <w:i/>
        </w:rPr>
        <w:t>Av. </w:t>
      </w:r>
      <w:r>
        <w:rPr>
          <w:i/>
        </w:rPr>
        <w:t>paragallinarum</w:t>
      </w:r>
      <w:r>
        <w:rPr/>
        <w:t>. La proteína (de 210 kDa) tiene propiedades hemoaglutinantes, induce</w:t>
      </w:r>
      <w:r>
        <w:rPr>
          <w:spacing w:val="56"/>
        </w:rPr>
        <w:t> </w:t>
      </w:r>
      <w:r>
        <w:rPr/>
        <w:t>anticuerpos</w:t>
      </w:r>
      <w:r>
        <w:rPr>
          <w:spacing w:val="56"/>
        </w:rPr>
        <w:t> </w:t>
      </w:r>
      <w:r>
        <w:rPr/>
        <w:t>IH</w:t>
      </w:r>
      <w:r>
        <w:rPr>
          <w:spacing w:val="59"/>
        </w:rPr>
        <w:t> </w:t>
      </w:r>
      <w:r>
        <w:rPr/>
        <w:t>y</w:t>
      </w:r>
      <w:r>
        <w:rPr>
          <w:spacing w:val="56"/>
        </w:rPr>
        <w:t> </w:t>
      </w:r>
      <w:r>
        <w:rPr/>
        <w:t>confiere</w:t>
      </w:r>
      <w:r>
        <w:rPr>
          <w:spacing w:val="58"/>
        </w:rPr>
        <w:t> </w:t>
      </w:r>
      <w:r>
        <w:rPr/>
        <w:t>protección</w:t>
      </w:r>
      <w:r>
        <w:rPr>
          <w:spacing w:val="59"/>
        </w:rPr>
        <w:t> </w:t>
      </w:r>
      <w:r>
        <w:rPr/>
        <w:t>en</w:t>
      </w:r>
      <w:r>
        <w:rPr>
          <w:spacing w:val="57"/>
        </w:rPr>
        <w:t> </w:t>
      </w:r>
      <w:r>
        <w:rPr/>
        <w:t>aves</w:t>
      </w:r>
      <w:r>
        <w:rPr>
          <w:spacing w:val="58"/>
        </w:rPr>
        <w:t> </w:t>
      </w:r>
      <w:r>
        <w:rPr/>
        <w:t>SPF</w:t>
      </w:r>
      <w:r>
        <w:rPr>
          <w:spacing w:val="58"/>
        </w:rPr>
        <w:t> </w:t>
      </w:r>
      <w:r>
        <w:rPr/>
        <w:t>(del</w:t>
      </w:r>
      <w:r>
        <w:rPr>
          <w:spacing w:val="55"/>
        </w:rPr>
        <w:t> </w:t>
      </w:r>
      <w:r>
        <w:rPr/>
        <w:t>inglés:</w:t>
      </w:r>
      <w:r>
        <w:rPr>
          <w:spacing w:val="65"/>
        </w:rPr>
        <w:t> </w:t>
      </w:r>
      <w:r>
        <w:rPr>
          <w:i/>
        </w:rPr>
        <w:t>Specific</w:t>
      </w:r>
    </w:p>
    <w:p>
      <w:pPr>
        <w:spacing w:after="0" w:line="360" w:lineRule="auto"/>
        <w:jc w:val="both"/>
        <w:sectPr>
          <w:pgSz w:w="12240" w:h="15840"/>
          <w:pgMar w:header="0" w:footer="1003" w:top="1360" w:bottom="1200" w:left="1600" w:right="1580"/>
        </w:sectPr>
      </w:pPr>
    </w:p>
    <w:p>
      <w:pPr>
        <w:pStyle w:val="BodyText"/>
        <w:spacing w:line="360" w:lineRule="auto" w:before="52"/>
        <w:ind w:left="102" w:right="116"/>
        <w:jc w:val="both"/>
      </w:pPr>
      <w:r>
        <w:rPr>
          <w:i/>
        </w:rPr>
        <w:t>Patogen Free</w:t>
      </w:r>
      <w:r>
        <w:rPr/>
        <w:t>) para las serovariedades A y C. Basados en estas secuencias de aproximadamente 5,157 pb, Sakamoto </w:t>
      </w:r>
      <w:r>
        <w:rPr>
          <w:i/>
        </w:rPr>
        <w:t>et al. </w:t>
      </w:r>
      <w:r>
        <w:rPr/>
        <w:t>(2012) diseñaron una PCR-múltiple que permite la tipificación de aislamientos de </w:t>
      </w:r>
      <w:r>
        <w:rPr>
          <w:i/>
        </w:rPr>
        <w:t>Av. paragallinarum</w:t>
      </w:r>
      <w:r>
        <w:rPr/>
        <w:t>. El diseño de la PCR múltiple, se basó en el gen </w:t>
      </w:r>
      <w:r>
        <w:rPr>
          <w:i/>
        </w:rPr>
        <w:t>HMT</w:t>
      </w:r>
      <w:r>
        <w:rPr/>
        <w:t>p210 de 5 cepas del serogrupo A (221, 083, W, Georgia y Germany); 2 cepas del serogrupo B (Spross y 0222); y 3 cepas del serogrupo C (53-47, Modesto y HK-1). En el presente estudio, esta PCR múltiple fue evaluada con cepas de referencia de las 9 serovariedades reportadas y aislamientos de América.</w:t>
      </w:r>
    </w:p>
    <w:p>
      <w:pPr>
        <w:pStyle w:val="BodyText"/>
      </w:pPr>
    </w:p>
    <w:p>
      <w:pPr>
        <w:pStyle w:val="BodyText"/>
      </w:pPr>
    </w:p>
    <w:p>
      <w:pPr>
        <w:pStyle w:val="Heading2"/>
        <w:spacing w:before="186"/>
        <w:jc w:val="both"/>
      </w:pPr>
      <w:r>
        <w:rPr/>
        <w:t>Filogenia.</w:t>
      </w:r>
    </w:p>
    <w:p>
      <w:pPr>
        <w:pStyle w:val="BodyText"/>
        <w:spacing w:before="10"/>
        <w:rPr>
          <w:b/>
          <w:sz w:val="25"/>
        </w:rPr>
      </w:pPr>
    </w:p>
    <w:p>
      <w:pPr>
        <w:pStyle w:val="BodyText"/>
        <w:spacing w:line="360" w:lineRule="auto"/>
        <w:ind w:left="102" w:right="113" w:firstLine="566"/>
        <w:jc w:val="both"/>
      </w:pPr>
      <w:r>
        <w:rPr/>
        <w:t>Los análisis filogenéticos basados en la secuencias del gen 16S rRNA, permitieron clasificar bacterias antes denominadas </w:t>
      </w:r>
      <w:r>
        <w:rPr>
          <w:i/>
        </w:rPr>
        <w:t>Haemophilus paragallinarum, </w:t>
      </w:r>
      <w:r>
        <w:rPr>
          <w:i/>
        </w:rPr>
        <w:t>Pasteurella gallinarum, Pasteurella avium </w:t>
      </w:r>
      <w:r>
        <w:rPr/>
        <w:t>y </w:t>
      </w:r>
      <w:r>
        <w:rPr>
          <w:i/>
        </w:rPr>
        <w:t>Pasteurella volantium </w:t>
      </w:r>
      <w:r>
        <w:rPr/>
        <w:t>dentro de un nuevo género, denominado </w:t>
      </w:r>
      <w:r>
        <w:rPr>
          <w:i/>
        </w:rPr>
        <w:t>Avibacterium </w:t>
      </w:r>
      <w:r>
        <w:rPr/>
        <w:t>(Blackall </w:t>
      </w:r>
      <w:r>
        <w:rPr>
          <w:i/>
        </w:rPr>
        <w:t>et al.</w:t>
      </w:r>
      <w:r>
        <w:rPr/>
        <w:t>, 2005). De este modo, </w:t>
      </w:r>
      <w:r>
        <w:rPr>
          <w:i/>
        </w:rPr>
        <w:t>Avibacterium paragallinarum </w:t>
      </w:r>
      <w:r>
        <w:rPr/>
        <w:t>y bacterias relacionadas pueden ser identificadas y clasificadas genotípicamente mediante el gen 16S rRNA (Blackall </w:t>
      </w:r>
      <w:r>
        <w:rPr>
          <w:i/>
        </w:rPr>
        <w:t>et al.</w:t>
      </w:r>
      <w:r>
        <w:rPr/>
        <w:t>, 2005). Christensen </w:t>
      </w:r>
      <w:r>
        <w:rPr>
          <w:i/>
        </w:rPr>
        <w:t>et al. </w:t>
      </w:r>
      <w:r>
        <w:rPr/>
        <w:t>(2004) al realizar análisis filogenéticos comparativos entre genes </w:t>
      </w:r>
      <w:r>
        <w:rPr>
          <w:i/>
        </w:rPr>
        <w:t>housekeeping </w:t>
      </w:r>
      <w:r>
        <w:rPr/>
        <w:t>y el gen 16S rRNA, sugieren que los análisis filogenéticos derivados del uso del gen 16S rRNA tienen una mayor congruencia con la filogenia basada en el genoma completo y pudiera ser adecuado para análisis filogenéticos. Acorde a lo anterior, Blackall </w:t>
      </w:r>
      <w:r>
        <w:rPr>
          <w:i/>
        </w:rPr>
        <w:t>et al. </w:t>
      </w:r>
      <w:r>
        <w:rPr/>
        <w:t>(2011), identifican mediante la secuenciación del gen 16S rRNA dos aislamientos con requerimientos especiales de NAD como </w:t>
      </w:r>
      <w:r>
        <w:rPr>
          <w:i/>
        </w:rPr>
        <w:t>Av. </w:t>
      </w:r>
      <w:r>
        <w:rPr>
          <w:i/>
        </w:rPr>
        <w:t>paragallinarum</w:t>
      </w:r>
      <w:r>
        <w:rPr/>
        <w:t>, asimismo, el análisis filogenético de estas secuencias, permitió establecer la relación genética entre estos aislamientos con secuencias del gen 16S rRNA correspondientes a cepas de referencia de </w:t>
      </w:r>
      <w:r>
        <w:rPr>
          <w:i/>
        </w:rPr>
        <w:t>Av. paragallinarum </w:t>
      </w:r>
      <w:r>
        <w:rPr/>
        <w:t>(Blackall </w:t>
      </w:r>
      <w:r>
        <w:rPr>
          <w:i/>
        </w:rPr>
        <w:t>et al.</w:t>
      </w:r>
      <w:r>
        <w:rPr/>
        <w:t>, 2011).</w:t>
      </w:r>
    </w:p>
    <w:p>
      <w:pPr>
        <w:pStyle w:val="BodyText"/>
        <w:spacing w:line="360" w:lineRule="auto" w:before="163"/>
        <w:ind w:left="102" w:right="116" w:firstLine="566"/>
        <w:jc w:val="both"/>
        <w:rPr>
          <w:i/>
        </w:rPr>
      </w:pPr>
      <w:r>
        <w:rPr/>
        <w:t>Hobb </w:t>
      </w:r>
      <w:r>
        <w:rPr>
          <w:i/>
        </w:rPr>
        <w:t>et al. </w:t>
      </w:r>
      <w:r>
        <w:rPr/>
        <w:t>(2002), identificaron una secuencia de un gen que codifica para el antígeno de una hemoaglutinina (</w:t>
      </w:r>
      <w:r>
        <w:rPr>
          <w:i/>
        </w:rPr>
        <w:t>hagA</w:t>
      </w:r>
      <w:r>
        <w:rPr/>
        <w:t>) de 1,026 pares de bases (pb) la cual codifica para una proteína de 39 kDa (HagA), que como ya se mencionó, es el principal   componente   relacionado   con   la   inmunogenicidad   de</w:t>
      </w:r>
      <w:r>
        <w:rPr>
          <w:spacing w:val="51"/>
        </w:rPr>
        <w:t> </w:t>
      </w:r>
      <w:r>
        <w:rPr>
          <w:i/>
        </w:rPr>
        <w:t>Avibacterium</w:t>
      </w:r>
    </w:p>
    <w:p>
      <w:pPr>
        <w:spacing w:after="0" w:line="360" w:lineRule="auto"/>
        <w:jc w:val="both"/>
        <w:sectPr>
          <w:pgSz w:w="12240" w:h="15840"/>
          <w:pgMar w:header="0" w:footer="1003" w:top="1360" w:bottom="1200" w:left="1600" w:right="1580"/>
        </w:sectPr>
      </w:pPr>
    </w:p>
    <w:p>
      <w:pPr>
        <w:pStyle w:val="BodyText"/>
        <w:spacing w:line="360" w:lineRule="auto" w:before="52"/>
        <w:ind w:left="102" w:right="115"/>
        <w:jc w:val="both"/>
      </w:pPr>
      <w:r>
        <w:rPr>
          <w:i/>
        </w:rPr>
        <w:t>paragallinarum</w:t>
      </w:r>
      <w:r>
        <w:rPr/>
        <w:t>, permitió establecer la relación filogenética basada en el gen </w:t>
      </w:r>
      <w:r>
        <w:rPr>
          <w:i/>
        </w:rPr>
        <w:t>hag</w:t>
      </w:r>
      <w:r>
        <w:rPr/>
        <w:t>A de cepas de referencia de </w:t>
      </w:r>
      <w:r>
        <w:rPr>
          <w:i/>
        </w:rPr>
        <w:t>Av. paragallinarum </w:t>
      </w:r>
      <w:r>
        <w:rPr/>
        <w:t>(Hobb </w:t>
      </w:r>
      <w:r>
        <w:rPr>
          <w:i/>
        </w:rPr>
        <w:t>et al.</w:t>
      </w:r>
      <w:r>
        <w:rPr/>
        <w:t>, 2002). García-Sánchez </w:t>
      </w:r>
      <w:r>
        <w:rPr>
          <w:i/>
        </w:rPr>
        <w:t>et al. </w:t>
      </w:r>
      <w:r>
        <w:rPr/>
        <w:t>(2014), realizaron la genotipificación mediante ERIC-PCR y el análisis filogenético basado en los genes 16S rRNA y </w:t>
      </w:r>
      <w:r>
        <w:rPr>
          <w:i/>
        </w:rPr>
        <w:t>hag</w:t>
      </w:r>
      <w:r>
        <w:rPr/>
        <w:t>A de aislamientos de </w:t>
      </w:r>
      <w:r>
        <w:rPr>
          <w:i/>
        </w:rPr>
        <w:t>Av. </w:t>
      </w:r>
      <w:r>
        <w:rPr>
          <w:i/>
        </w:rPr>
        <w:t>paragallinarum </w:t>
      </w:r>
      <w:r>
        <w:rPr/>
        <w:t>de la serovariedad C-1 de México y Ecuador, concluyendo que pudieran tener una relación clonal.</w:t>
      </w:r>
    </w:p>
    <w:p>
      <w:pPr>
        <w:spacing w:after="0" w:line="360" w:lineRule="auto"/>
        <w:jc w:val="both"/>
        <w:sectPr>
          <w:footerReference w:type="default" r:id="rId10"/>
          <w:pgSz w:w="12240" w:h="15840"/>
          <w:pgMar w:footer="1003" w:header="0" w:top="1360" w:bottom="1200" w:left="1600" w:right="1580"/>
        </w:sectPr>
      </w:pPr>
    </w:p>
    <w:p>
      <w:pPr>
        <w:pStyle w:val="Heading2"/>
        <w:numPr>
          <w:ilvl w:val="1"/>
          <w:numId w:val="1"/>
        </w:numPr>
        <w:tabs>
          <w:tab w:pos="3770" w:val="left" w:leader="none"/>
        </w:tabs>
        <w:spacing w:line="240" w:lineRule="auto" w:before="54" w:after="0"/>
        <w:ind w:left="3769" w:right="0" w:hanging="336"/>
        <w:jc w:val="left"/>
      </w:pPr>
      <w:bookmarkStart w:name="_TOC_250010" w:id="5"/>
      <w:bookmarkEnd w:id="5"/>
      <w:r>
        <w:rPr/>
        <w:t>JUSTIFICACIÓN</w:t>
      </w:r>
    </w:p>
    <w:p>
      <w:pPr>
        <w:pStyle w:val="BodyText"/>
        <w:rPr>
          <w:b/>
        </w:rPr>
      </w:pPr>
    </w:p>
    <w:p>
      <w:pPr>
        <w:pStyle w:val="BodyText"/>
        <w:rPr>
          <w:b/>
        </w:rPr>
      </w:pPr>
    </w:p>
    <w:p>
      <w:pPr>
        <w:pStyle w:val="BodyText"/>
        <w:spacing w:before="8"/>
        <w:rPr>
          <w:b/>
          <w:sz w:val="27"/>
        </w:rPr>
      </w:pPr>
    </w:p>
    <w:p>
      <w:pPr>
        <w:pStyle w:val="BodyText"/>
        <w:spacing w:line="360" w:lineRule="auto"/>
        <w:ind w:left="102" w:right="115"/>
        <w:jc w:val="both"/>
      </w:pPr>
      <w:r>
        <w:rPr/>
        <w:t>Con base en el aislamiento de </w:t>
      </w:r>
      <w:r>
        <w:rPr>
          <w:i/>
        </w:rPr>
        <w:t>Avibacterium paragallinarum </w:t>
      </w:r>
      <w:r>
        <w:rPr/>
        <w:t>de la serovariedad C-1 a partir de brotes en parvadas inmunizadas contra coriza infecciosa en México y Ecuador, es indispensable conocer la protección conferida por bacterinas comerciales frente aislamientos de esta serovariedad, a fin de explicar dichos brotes. Asimismo, el uso de nuevas metodologías, como la PCR-múltiple para la identificación de los serogrupos A, B y C, parece una alternativa atractiva, para la tipificación frecuente y masiva de aislamientos. Adicionalmente, el análisis filogenético de aislamientos de América es importante, para la identificación de aislamientos relacionados y de esta manera coadyuvar en el diseño estrategias de prevención y control de la coriza infecciosa en América.</w:t>
      </w:r>
    </w:p>
    <w:p>
      <w:pPr>
        <w:spacing w:after="0" w:line="360" w:lineRule="auto"/>
        <w:jc w:val="both"/>
        <w:sectPr>
          <w:footerReference w:type="default" r:id="rId11"/>
          <w:pgSz w:w="12240" w:h="15840"/>
          <w:pgMar w:footer="1003" w:header="0" w:top="1360" w:bottom="1200" w:left="1600" w:right="1580"/>
          <w:pgNumType w:start="21"/>
        </w:sectPr>
      </w:pPr>
    </w:p>
    <w:p>
      <w:pPr>
        <w:pStyle w:val="BodyText"/>
        <w:rPr>
          <w:sz w:val="20"/>
        </w:rPr>
      </w:pPr>
    </w:p>
    <w:p>
      <w:pPr>
        <w:pStyle w:val="BodyText"/>
        <w:spacing w:before="7"/>
        <w:rPr>
          <w:sz w:val="16"/>
        </w:rPr>
      </w:pPr>
    </w:p>
    <w:p>
      <w:pPr>
        <w:pStyle w:val="Heading2"/>
        <w:numPr>
          <w:ilvl w:val="1"/>
          <w:numId w:val="1"/>
        </w:numPr>
        <w:tabs>
          <w:tab w:pos="4063" w:val="left" w:leader="none"/>
        </w:tabs>
        <w:spacing w:line="240" w:lineRule="auto" w:before="69" w:after="0"/>
        <w:ind w:left="4062" w:right="0" w:hanging="362"/>
        <w:jc w:val="left"/>
      </w:pPr>
      <w:bookmarkStart w:name="_TOC_250009" w:id="6"/>
      <w:bookmarkEnd w:id="6"/>
      <w:r>
        <w:rPr/>
        <w:t>HIPÓTESIS</w:t>
      </w:r>
    </w:p>
    <w:p>
      <w:pPr>
        <w:pStyle w:val="BodyText"/>
        <w:rPr>
          <w:b/>
        </w:rPr>
      </w:pPr>
    </w:p>
    <w:p>
      <w:pPr>
        <w:pStyle w:val="BodyText"/>
        <w:rPr>
          <w:b/>
        </w:rPr>
      </w:pPr>
    </w:p>
    <w:p>
      <w:pPr>
        <w:pStyle w:val="BodyText"/>
        <w:spacing w:before="6"/>
        <w:rPr>
          <w:b/>
          <w:sz w:val="27"/>
        </w:rPr>
      </w:pPr>
    </w:p>
    <w:p>
      <w:pPr>
        <w:pStyle w:val="BodyText"/>
        <w:spacing w:line="360" w:lineRule="auto"/>
        <w:ind w:left="102" w:right="114" w:firstLine="566"/>
        <w:jc w:val="both"/>
      </w:pPr>
      <w:r>
        <w:rPr/>
        <w:t>Con base en el aislamiento de </w:t>
      </w:r>
      <w:r>
        <w:rPr>
          <w:i/>
        </w:rPr>
        <w:t>Av. paragallinarum </w:t>
      </w:r>
      <w:r>
        <w:rPr/>
        <w:t>de la serovariedad C-1 a partir de aves inmunizadas contra la coriza infecciosa, es posible que bacterinas comerciales disponibles en México, confieran menos de 70% de protección al desafío con un aislamiento de la serovariedad C-1 de México.</w:t>
      </w:r>
    </w:p>
    <w:p>
      <w:pPr>
        <w:pStyle w:val="BodyText"/>
        <w:spacing w:line="360" w:lineRule="auto" w:before="161"/>
        <w:ind w:left="102" w:right="114" w:firstLine="566"/>
        <w:jc w:val="both"/>
      </w:pPr>
      <w:r>
        <w:rPr/>
        <w:t>Con base en la prevalencia de los serogrupos A, B y C de </w:t>
      </w:r>
      <w:r>
        <w:rPr>
          <w:i/>
        </w:rPr>
        <w:t>Av. paragallinarum </w:t>
      </w:r>
      <w:r>
        <w:rPr/>
        <w:t>en América, y particularmente de las serovariedades A-1, A-2, A-3, B-1, C-1 y C-2, los aislamientos tipificados serológicamente recientemente en América, pertenezcan a alguna de estas serovariedades mediante la técnica de PCR múltiple.</w:t>
      </w:r>
    </w:p>
    <w:p>
      <w:pPr>
        <w:pStyle w:val="BodyText"/>
        <w:spacing w:line="360" w:lineRule="auto" w:before="163"/>
        <w:ind w:left="102" w:right="116" w:firstLine="566"/>
        <w:jc w:val="both"/>
      </w:pPr>
      <w:r>
        <w:rPr/>
        <w:t>Hasta el momento se conoce que aislamientos de </w:t>
      </w:r>
      <w:r>
        <w:rPr>
          <w:i/>
        </w:rPr>
        <w:t>Av. paragallinarum </w:t>
      </w:r>
      <w:r>
        <w:rPr/>
        <w:t>de la serovariedad C-1 de México y Ecuador tienen una estrecha relación filogenética, pero distantes de la cepa de referencia H-18 de la misma serovariedad de origen Japonés, formando un linaje genético nuevo. Con base en lo anterior, es posible que más aislamientos de América sean incluídos en este genogrupo Americano.</w:t>
      </w:r>
    </w:p>
    <w:p>
      <w:pPr>
        <w:spacing w:after="0" w:line="360" w:lineRule="auto"/>
        <w:jc w:val="both"/>
        <w:sectPr>
          <w:pgSz w:w="12240" w:h="15840"/>
          <w:pgMar w:header="0" w:footer="1003" w:top="1500" w:bottom="1200" w:left="1600" w:right="1580"/>
        </w:sectPr>
      </w:pPr>
    </w:p>
    <w:p>
      <w:pPr>
        <w:pStyle w:val="BodyText"/>
        <w:rPr>
          <w:sz w:val="20"/>
        </w:rPr>
      </w:pPr>
    </w:p>
    <w:p>
      <w:pPr>
        <w:pStyle w:val="BodyText"/>
        <w:spacing w:before="7"/>
        <w:rPr>
          <w:sz w:val="16"/>
        </w:rPr>
      </w:pPr>
    </w:p>
    <w:p>
      <w:pPr>
        <w:pStyle w:val="Heading2"/>
        <w:numPr>
          <w:ilvl w:val="1"/>
          <w:numId w:val="1"/>
        </w:numPr>
        <w:tabs>
          <w:tab w:pos="3981" w:val="left" w:leader="none"/>
        </w:tabs>
        <w:spacing w:line="240" w:lineRule="auto" w:before="69" w:after="0"/>
        <w:ind w:left="3980" w:right="0" w:hanging="295"/>
        <w:jc w:val="left"/>
      </w:pPr>
      <w:bookmarkStart w:name="_TOC_250008" w:id="7"/>
      <w:bookmarkEnd w:id="7"/>
      <w:r>
        <w:rPr/>
        <w:t>OBJETIVOS</w:t>
      </w:r>
    </w:p>
    <w:p>
      <w:pPr>
        <w:pStyle w:val="BodyText"/>
        <w:rPr>
          <w:b/>
          <w:sz w:val="20"/>
        </w:rPr>
      </w:pPr>
    </w:p>
    <w:p>
      <w:pPr>
        <w:pStyle w:val="BodyText"/>
        <w:rPr>
          <w:b/>
          <w:sz w:val="20"/>
        </w:rPr>
      </w:pPr>
    </w:p>
    <w:p>
      <w:pPr>
        <w:pStyle w:val="BodyText"/>
        <w:spacing w:before="8"/>
        <w:rPr>
          <w:b/>
          <w:sz w:val="29"/>
        </w:rPr>
      </w:pPr>
    </w:p>
    <w:p>
      <w:pPr>
        <w:spacing w:before="69"/>
        <w:ind w:left="102" w:right="0" w:firstLine="0"/>
        <w:jc w:val="both"/>
        <w:rPr>
          <w:b/>
          <w:sz w:val="24"/>
        </w:rPr>
      </w:pPr>
      <w:r>
        <w:rPr>
          <w:b/>
          <w:sz w:val="24"/>
        </w:rPr>
        <w:t>Objetivo General</w:t>
      </w:r>
    </w:p>
    <w:p>
      <w:pPr>
        <w:pStyle w:val="BodyText"/>
        <w:spacing w:before="10"/>
        <w:rPr>
          <w:b/>
          <w:sz w:val="25"/>
        </w:rPr>
      </w:pPr>
    </w:p>
    <w:p>
      <w:pPr>
        <w:pStyle w:val="BodyText"/>
        <w:spacing w:line="360" w:lineRule="auto"/>
        <w:ind w:left="102" w:right="116"/>
        <w:jc w:val="both"/>
      </w:pPr>
      <w:r>
        <w:rPr/>
        <w:t>Evaluar la protección conferida por bacterinas comerciales frente a un aislamiento de la serovariedad C-1, tipificar por PCR múltiple y establecer la relación filogenética de aislamientos de </w:t>
      </w:r>
      <w:r>
        <w:rPr>
          <w:i/>
        </w:rPr>
        <w:t>Av. paragallinarum </w:t>
      </w:r>
      <w:r>
        <w:rPr/>
        <w:t>de diferentes orígenes y serovariedades.</w:t>
      </w:r>
    </w:p>
    <w:p>
      <w:pPr>
        <w:pStyle w:val="BodyText"/>
      </w:pPr>
    </w:p>
    <w:p>
      <w:pPr>
        <w:pStyle w:val="BodyText"/>
      </w:pPr>
    </w:p>
    <w:p>
      <w:pPr>
        <w:pStyle w:val="BodyText"/>
      </w:pPr>
    </w:p>
    <w:p>
      <w:pPr>
        <w:pStyle w:val="BodyText"/>
      </w:pPr>
    </w:p>
    <w:p>
      <w:pPr>
        <w:pStyle w:val="Heading2"/>
        <w:spacing w:before="209"/>
        <w:jc w:val="both"/>
      </w:pPr>
      <w:r>
        <w:rPr/>
        <w:t>Objetivos Específicos</w:t>
      </w:r>
    </w:p>
    <w:p>
      <w:pPr>
        <w:pStyle w:val="BodyText"/>
        <w:rPr>
          <w:b/>
        </w:rPr>
      </w:pPr>
    </w:p>
    <w:p>
      <w:pPr>
        <w:pStyle w:val="BodyText"/>
        <w:rPr>
          <w:b/>
        </w:rPr>
      </w:pPr>
    </w:p>
    <w:p>
      <w:pPr>
        <w:pStyle w:val="BodyText"/>
        <w:spacing w:before="8"/>
        <w:rPr>
          <w:b/>
          <w:sz w:val="27"/>
        </w:rPr>
      </w:pPr>
    </w:p>
    <w:p>
      <w:pPr>
        <w:pStyle w:val="ListParagraph"/>
        <w:numPr>
          <w:ilvl w:val="0"/>
          <w:numId w:val="4"/>
        </w:numPr>
        <w:tabs>
          <w:tab w:pos="822" w:val="left" w:leader="none"/>
        </w:tabs>
        <w:spacing w:line="360" w:lineRule="auto" w:before="0" w:after="0"/>
        <w:ind w:left="822" w:right="115" w:hanging="360"/>
        <w:jc w:val="both"/>
        <w:rPr>
          <w:sz w:val="24"/>
        </w:rPr>
      </w:pPr>
      <w:r>
        <w:rPr>
          <w:sz w:val="24"/>
        </w:rPr>
        <w:t>Evaluar la protección conferida por cuatro bacterinas comerciales en aves SPF (del inglés: </w:t>
      </w:r>
      <w:r>
        <w:rPr>
          <w:i/>
          <w:sz w:val="24"/>
        </w:rPr>
        <w:t>Specific Pathogen Free</w:t>
      </w:r>
      <w:r>
        <w:rPr>
          <w:sz w:val="24"/>
        </w:rPr>
        <w:t>) mediante una prueba de desafío controlado frente al aislamiento ESV-135 de la serovariedad C-1 de </w:t>
      </w:r>
      <w:r>
        <w:rPr>
          <w:i/>
          <w:sz w:val="24"/>
        </w:rPr>
        <w:t>Av. </w:t>
      </w:r>
      <w:r>
        <w:rPr>
          <w:i/>
          <w:sz w:val="24"/>
        </w:rPr>
        <w:t>paragallinarum</w:t>
      </w:r>
      <w:r>
        <w:rPr>
          <w:sz w:val="24"/>
        </w:rPr>
        <w:t>.</w:t>
      </w:r>
    </w:p>
    <w:p>
      <w:pPr>
        <w:pStyle w:val="BodyText"/>
      </w:pPr>
    </w:p>
    <w:p>
      <w:pPr>
        <w:pStyle w:val="BodyText"/>
      </w:pPr>
    </w:p>
    <w:p>
      <w:pPr>
        <w:pStyle w:val="ListParagraph"/>
        <w:numPr>
          <w:ilvl w:val="0"/>
          <w:numId w:val="4"/>
        </w:numPr>
        <w:tabs>
          <w:tab w:pos="822" w:val="left" w:leader="none"/>
        </w:tabs>
        <w:spacing w:line="360" w:lineRule="auto" w:before="187" w:after="0"/>
        <w:ind w:left="822" w:right="116" w:hanging="360"/>
        <w:jc w:val="both"/>
        <w:rPr>
          <w:sz w:val="24"/>
        </w:rPr>
      </w:pPr>
      <w:r>
        <w:rPr>
          <w:sz w:val="24"/>
        </w:rPr>
        <w:t>Tipificar cepas de referencia correspondientes a las 9 serovariedades y aislamientos provenientes de Ecuador, México, Panamá y Perú de las serovariedades A-1, A-3, B-1, C-1 y C-2, mediante la técnica de PCR múltiple  previamente</w:t>
      </w:r>
      <w:r>
        <w:rPr>
          <w:spacing w:val="-5"/>
          <w:sz w:val="24"/>
        </w:rPr>
        <w:t> </w:t>
      </w:r>
      <w:r>
        <w:rPr>
          <w:sz w:val="24"/>
        </w:rPr>
        <w:t>reportada.</w:t>
      </w:r>
    </w:p>
    <w:p>
      <w:pPr>
        <w:pStyle w:val="BodyText"/>
      </w:pPr>
    </w:p>
    <w:p>
      <w:pPr>
        <w:pStyle w:val="BodyText"/>
      </w:pPr>
    </w:p>
    <w:p>
      <w:pPr>
        <w:pStyle w:val="ListParagraph"/>
        <w:numPr>
          <w:ilvl w:val="0"/>
          <w:numId w:val="4"/>
        </w:numPr>
        <w:tabs>
          <w:tab w:pos="822" w:val="left" w:leader="none"/>
        </w:tabs>
        <w:spacing w:line="360" w:lineRule="auto" w:before="186" w:after="0"/>
        <w:ind w:left="822" w:right="117" w:hanging="360"/>
        <w:jc w:val="both"/>
        <w:rPr>
          <w:sz w:val="24"/>
        </w:rPr>
      </w:pPr>
      <w:r>
        <w:rPr>
          <w:sz w:val="24"/>
        </w:rPr>
        <w:t>Establecer la relación filogenética basada en los genes </w:t>
      </w:r>
      <w:r>
        <w:rPr>
          <w:i/>
          <w:sz w:val="24"/>
        </w:rPr>
        <w:t>hag</w:t>
      </w:r>
      <w:r>
        <w:rPr>
          <w:sz w:val="24"/>
        </w:rPr>
        <w:t>A y 16S rRNA  de aislamientos de </w:t>
      </w:r>
      <w:r>
        <w:rPr>
          <w:i/>
          <w:sz w:val="24"/>
        </w:rPr>
        <w:t>Av. paragallinarum </w:t>
      </w:r>
      <w:r>
        <w:rPr>
          <w:sz w:val="24"/>
        </w:rPr>
        <w:t>provenientes de Bolivia, Ecuador, México, Panamá y</w:t>
      </w:r>
      <w:r>
        <w:rPr>
          <w:spacing w:val="-12"/>
          <w:sz w:val="24"/>
        </w:rPr>
        <w:t> </w:t>
      </w:r>
      <w:r>
        <w:rPr>
          <w:sz w:val="24"/>
        </w:rPr>
        <w:t>Perú.</w:t>
      </w:r>
    </w:p>
    <w:p>
      <w:pPr>
        <w:spacing w:after="0" w:line="360" w:lineRule="auto"/>
        <w:jc w:val="both"/>
        <w:rPr>
          <w:sz w:val="24"/>
        </w:rPr>
        <w:sectPr>
          <w:pgSz w:w="12240" w:h="15840"/>
          <w:pgMar w:header="0" w:footer="1003" w:top="1500" w:bottom="120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5"/>
        </w:rPr>
      </w:pPr>
    </w:p>
    <w:p>
      <w:pPr>
        <w:pStyle w:val="Heading2"/>
        <w:numPr>
          <w:ilvl w:val="1"/>
          <w:numId w:val="1"/>
        </w:numPr>
        <w:tabs>
          <w:tab w:pos="3209" w:val="left" w:leader="none"/>
        </w:tabs>
        <w:spacing w:line="240" w:lineRule="auto" w:before="70" w:after="0"/>
        <w:ind w:left="3208" w:right="0" w:hanging="363"/>
        <w:jc w:val="left"/>
      </w:pPr>
      <w:bookmarkStart w:name="_TOC_250007" w:id="8"/>
      <w:r>
        <w:rPr/>
        <w:t>MATERIAL Y</w:t>
      </w:r>
      <w:r>
        <w:rPr>
          <w:spacing w:val="-7"/>
        </w:rPr>
        <w:t> </w:t>
      </w:r>
      <w:bookmarkEnd w:id="8"/>
      <w:r>
        <w:rPr/>
        <w:t>MÉTODOS</w:t>
      </w:r>
    </w:p>
    <w:p>
      <w:pPr>
        <w:spacing w:after="0" w:line="240" w:lineRule="auto"/>
        <w:jc w:val="left"/>
        <w:sectPr>
          <w:pgSz w:w="12240" w:h="15840"/>
          <w:pgMar w:header="0" w:footer="1003" w:top="1500" w:bottom="1200" w:left="1720" w:right="1720"/>
        </w:sectPr>
      </w:pPr>
    </w:p>
    <w:p>
      <w:pPr>
        <w:pStyle w:val="Heading2"/>
        <w:numPr>
          <w:ilvl w:val="0"/>
          <w:numId w:val="5"/>
        </w:numPr>
        <w:tabs>
          <w:tab w:pos="822" w:val="left" w:leader="none"/>
        </w:tabs>
        <w:spacing w:line="240" w:lineRule="auto" w:before="54" w:after="0"/>
        <w:ind w:left="822" w:right="0" w:hanging="360"/>
        <w:jc w:val="left"/>
      </w:pPr>
      <w:bookmarkStart w:name="_TOC_250006" w:id="9"/>
      <w:bookmarkEnd w:id="9"/>
      <w:r>
        <w:rPr/>
        <w:t>Protección</w:t>
      </w:r>
    </w:p>
    <w:p>
      <w:pPr>
        <w:pStyle w:val="BodyText"/>
        <w:rPr>
          <w:b/>
        </w:rPr>
      </w:pPr>
    </w:p>
    <w:p>
      <w:pPr>
        <w:pStyle w:val="BodyText"/>
        <w:spacing w:before="9"/>
        <w:rPr>
          <w:b/>
          <w:sz w:val="23"/>
        </w:rPr>
      </w:pPr>
    </w:p>
    <w:p>
      <w:pPr>
        <w:pStyle w:val="BodyText"/>
        <w:spacing w:line="360" w:lineRule="auto"/>
        <w:ind w:left="102" w:right="116" w:firstLine="566"/>
        <w:jc w:val="both"/>
      </w:pPr>
      <w:r>
        <w:rPr>
          <w:b/>
        </w:rPr>
        <w:t>Aislamiento de desafío. </w:t>
      </w:r>
      <w:r>
        <w:rPr/>
        <w:t>El aislamiento ESV-135 de </w:t>
      </w:r>
      <w:r>
        <w:rPr>
          <w:i/>
        </w:rPr>
        <w:t>Av. paragallinarum </w:t>
      </w:r>
      <w:r>
        <w:rPr/>
        <w:t>de la seroveriedad C-1, fue utilizado para evaluar la protección conferida por bacterinas comerciales. El aislamiento fue obtenido del estado de Jalisco en el año 2008. La bacteria fue cultivada en embrión de pollo libre de patógenos específicos (ALPES, Tehuacán, Puebla, México) de 6 días de edad al cual se le determinó el título en UFC´s/ml (Unidades Formadoras de Colonias/mililitro).</w:t>
      </w:r>
    </w:p>
    <w:p>
      <w:pPr>
        <w:pStyle w:val="BodyText"/>
        <w:spacing w:line="360" w:lineRule="auto" w:before="2"/>
        <w:ind w:left="102" w:right="120" w:firstLine="566"/>
        <w:jc w:val="both"/>
      </w:pPr>
      <w:r>
        <w:rPr>
          <w:b/>
        </w:rPr>
        <w:t>Aves. </w:t>
      </w:r>
      <w:r>
        <w:rPr/>
        <w:t>Se utilizaron un total de 98 aves SPF de 6 semanas de edad libres de patógenos específicos (ALPES, Tehuacán, Puebla, México) con agua y alimento a libre acceso.</w:t>
      </w:r>
    </w:p>
    <w:p>
      <w:pPr>
        <w:pStyle w:val="BodyText"/>
        <w:spacing w:line="360" w:lineRule="auto" w:before="5"/>
        <w:ind w:left="102" w:right="115" w:firstLine="566"/>
        <w:jc w:val="both"/>
      </w:pPr>
      <w:r>
        <w:rPr>
          <w:b/>
        </w:rPr>
        <w:t>Grupos experimentales e inmunización. </w:t>
      </w:r>
      <w:r>
        <w:rPr/>
        <w:t>Las aves se dividieron en 5 grupos: un grupo 18 aves: Grupo I; y tres grupos de 20 aves: Grupo II, Grupo III y Grupo IV, fueron inmunizados con bacterinas trivalentes (serogrupos A, B y C) comerciales a las semanas 6 y 9 de edad vía subcutánea con 0.5 ml de acuerdo a las instrucciones de los fabricantes. Adicionalmente, se incluyó un grupo control de 20 aves sin inmunización.</w:t>
      </w:r>
    </w:p>
    <w:p>
      <w:pPr>
        <w:pStyle w:val="BodyText"/>
        <w:spacing w:line="360" w:lineRule="auto" w:before="5"/>
        <w:ind w:left="102" w:right="112" w:firstLine="566"/>
        <w:jc w:val="both"/>
      </w:pPr>
      <w:r>
        <w:rPr>
          <w:b/>
        </w:rPr>
        <w:t>Serología. </w:t>
      </w:r>
      <w:r>
        <w:rPr/>
        <w:t>Se tomaron muestras sanguíneas para pruebas serológicas, 3 días antes de la primera vacunación y 3 días previos al desafío. Se examinó el suero de al menos 17 aves de cada grupo para la determinación de anticuerpos inhibidores de la hemoaglutinación frente a hemoaglutininas de las cepas de referencia H-18 (serovariedad C-1) y Modesto (serovariedad C-2), adicionalmente, se incluyó la hemoaglutinina del aislamiento de desafío  ESV-135 (serovariedad C-</w:t>
      </w:r>
    </w:p>
    <w:p>
      <w:pPr>
        <w:pStyle w:val="BodyText"/>
        <w:spacing w:line="360" w:lineRule="auto" w:before="2"/>
        <w:ind w:left="102" w:right="118"/>
        <w:jc w:val="both"/>
      </w:pPr>
      <w:r>
        <w:rPr/>
        <w:t>1) según el procedimiento reportado (Soriano </w:t>
      </w:r>
      <w:r>
        <w:rPr>
          <w:i/>
        </w:rPr>
        <w:t>et al.</w:t>
      </w:r>
      <w:r>
        <w:rPr/>
        <w:t>, 2004). Brevemente, se realizaron diluciones dobles seriadas de los sueros, posteriormente se adicionaron</w:t>
      </w:r>
    </w:p>
    <w:p>
      <w:pPr>
        <w:pStyle w:val="BodyText"/>
        <w:spacing w:line="360" w:lineRule="auto" w:before="5"/>
        <w:ind w:left="102" w:right="116"/>
        <w:jc w:val="both"/>
      </w:pPr>
      <w:r>
        <w:rPr/>
        <w:t>50 µl de cada hemoaglutinina ajustada a 4 UH y se adicionaron 100 µl de eritrocitos de pollo al 0.75% fijados con glutaraldehído. El título IH fue expresado como el recíproco de la máxima dilución en la cual se observa completa inhibición de la Hemoaglutinación. Para el análisis de los datos, los títulos fueron transformados  a  logaritmo  base  10  y  posteriormente,  las  diferencias     fueron</w:t>
      </w:r>
    </w:p>
    <w:p>
      <w:pPr>
        <w:spacing w:after="0" w:line="360" w:lineRule="auto"/>
        <w:jc w:val="both"/>
        <w:sectPr>
          <w:pgSz w:w="12240" w:h="15840"/>
          <w:pgMar w:header="0" w:footer="1003" w:top="1360" w:bottom="1200" w:left="1600" w:right="1580"/>
        </w:sectPr>
      </w:pPr>
    </w:p>
    <w:p>
      <w:pPr>
        <w:pStyle w:val="BodyText"/>
        <w:spacing w:line="360" w:lineRule="auto" w:before="54"/>
        <w:ind w:left="102" w:right="118"/>
      </w:pPr>
      <w:r>
        <w:rPr/>
        <w:t>analizadas mediante una prueba de Tukey. Los resultados fueron considerados significativos con una probabilidad de </w:t>
      </w:r>
      <w:r>
        <w:rPr>
          <w:i/>
        </w:rPr>
        <w:t>P</w:t>
      </w:r>
      <w:r>
        <w:rPr/>
        <w:t>&lt;0.01.</w:t>
      </w:r>
    </w:p>
    <w:p>
      <w:pPr>
        <w:pStyle w:val="BodyText"/>
        <w:spacing w:line="360" w:lineRule="auto" w:before="5"/>
        <w:ind w:left="102" w:right="115" w:firstLine="566"/>
        <w:jc w:val="both"/>
      </w:pPr>
      <w:r>
        <w:rPr>
          <w:b/>
        </w:rPr>
        <w:t>Desafío. </w:t>
      </w:r>
      <w:r>
        <w:rPr/>
        <w:t>Tres semanas posteriores a la segunda inmunización, el desafío fue realizado inoculando a cada uno de los pollos por instilación nasal con 0.2 ml del cultivo en embrión de pollo (ALPES, Tehuacán, Puebla, México) de </w:t>
      </w:r>
      <w:r>
        <w:rPr>
          <w:i/>
        </w:rPr>
        <w:t>Av. </w:t>
      </w:r>
      <w:r>
        <w:rPr>
          <w:i/>
        </w:rPr>
        <w:t>paragallinarum</w:t>
      </w:r>
      <w:r>
        <w:rPr/>
        <w:t>. La evaluación de las aves se llevó a cabo del día 1 al día 7 posteriores a la inoculación mediante una escala de signos asignada de la siguiente manera: 0, ausencia de signos; 1, exudado nasal o inflamación facial; 2, exudado nasal e inflamación facial moderada; 3, exudado nasal e inflamación  facial severa; 4, exudado nasal e inflamación facial severa con conjuntivitis o inflamación de barbillas (Soriano </w:t>
      </w:r>
      <w:r>
        <w:rPr>
          <w:i/>
        </w:rPr>
        <w:t>et al.</w:t>
      </w:r>
      <w:r>
        <w:rPr/>
        <w:t>, 2004). La eutanasia de los pollos se realizó al día 7 de evaluación y se tomaron muestras bacteriológicas a partir de seno infraorbitario, el cultivo se realizó en agar sangre adicionado con 10% de sangre  de ovino y se sembró una estría de </w:t>
      </w:r>
      <w:r>
        <w:rPr>
          <w:i/>
        </w:rPr>
        <w:t>Staphylococcus aureus </w:t>
      </w:r>
      <w:r>
        <w:rPr/>
        <w:t>como colonia nodriza y a las 24 horas de incubación a 37°C </w:t>
      </w:r>
      <w:r>
        <w:rPr>
          <w:spacing w:val="2"/>
        </w:rPr>
        <w:t>se </w:t>
      </w:r>
      <w:r>
        <w:rPr/>
        <w:t>registró el aislamiento de </w:t>
      </w:r>
      <w:r>
        <w:rPr>
          <w:i/>
        </w:rPr>
        <w:t>Av. </w:t>
      </w:r>
      <w:r>
        <w:rPr>
          <w:i/>
        </w:rPr>
        <w:t>paragallinarum </w:t>
      </w:r>
      <w:r>
        <w:rPr/>
        <w:t>de los pollos. Un pollo fue considerado como protegido si no presentó signos clínicos durante el tiempo de evaluación y fue negativo al aislamiento de </w:t>
      </w:r>
      <w:r>
        <w:rPr>
          <w:i/>
        </w:rPr>
        <w:t>Av. paragallinarum </w:t>
      </w:r>
      <w:r>
        <w:rPr/>
        <w:t>al día 7 posterior a la inoculación (Soriano </w:t>
      </w:r>
      <w:r>
        <w:rPr>
          <w:i/>
        </w:rPr>
        <w:t>et al.</w:t>
      </w:r>
      <w:r>
        <w:rPr/>
        <w:t>, 2004).</w:t>
      </w:r>
    </w:p>
    <w:p>
      <w:pPr>
        <w:pStyle w:val="BodyText"/>
        <w:spacing w:line="360" w:lineRule="auto" w:before="5"/>
        <w:ind w:left="102" w:right="116" w:firstLine="566"/>
        <w:jc w:val="both"/>
      </w:pPr>
      <w:r>
        <w:rPr>
          <w:b/>
        </w:rPr>
        <w:t>Análisis estadísticos. </w:t>
      </w:r>
      <w:r>
        <w:rPr/>
        <w:t>Los porcentajes de protección se compararon por la prueba de Ji-cuadrada (P&lt;0.05) y los signos clínicos de las aves pertenecientes a cada grupo se compararon obteniendo la sumatoria de las evaluaciones diarias de cada una de las aves y dividiéndolas entre el número total de aves del grupo. Las diferencias entre los grupos desafiados fueron analizadas por la prueba de ANOVA y comparadas por la prueba de Bonferroni para variables ordinales, las diferencias fueron consideradas significativas con una probabilidad de P&lt;0.05 (Soriano </w:t>
      </w:r>
      <w:r>
        <w:rPr>
          <w:i/>
        </w:rPr>
        <w:t>et al.</w:t>
      </w:r>
      <w:r>
        <w:rPr/>
        <w:t>,</w:t>
      </w:r>
      <w:r>
        <w:rPr>
          <w:spacing w:val="-8"/>
        </w:rPr>
        <w:t> </w:t>
      </w:r>
      <w:r>
        <w:rPr/>
        <w:t>2004).</w:t>
      </w:r>
    </w:p>
    <w:p>
      <w:pPr>
        <w:spacing w:after="0" w:line="360" w:lineRule="auto"/>
        <w:jc w:val="both"/>
        <w:sectPr>
          <w:pgSz w:w="12240" w:h="15840"/>
          <w:pgMar w:header="0" w:footer="1003" w:top="1360" w:bottom="1200" w:left="1600" w:right="1580"/>
        </w:sectPr>
      </w:pPr>
    </w:p>
    <w:p>
      <w:pPr>
        <w:pStyle w:val="Heading2"/>
        <w:numPr>
          <w:ilvl w:val="0"/>
          <w:numId w:val="5"/>
        </w:numPr>
        <w:tabs>
          <w:tab w:pos="1517" w:val="left" w:leader="none"/>
          <w:tab w:pos="1518" w:val="left" w:leader="none"/>
        </w:tabs>
        <w:spacing w:line="240" w:lineRule="auto" w:before="54" w:after="0"/>
        <w:ind w:left="1518" w:right="0" w:hanging="850"/>
        <w:jc w:val="left"/>
      </w:pPr>
      <w:bookmarkStart w:name="_TOC_250005" w:id="10"/>
      <w:r>
        <w:rPr/>
        <w:t>Tipificación por PCR</w:t>
      </w:r>
      <w:r>
        <w:rPr>
          <w:spacing w:val="-6"/>
        </w:rPr>
        <w:t> </w:t>
      </w:r>
      <w:bookmarkEnd w:id="10"/>
      <w:r>
        <w:rPr/>
        <w:t>múltiple</w:t>
      </w:r>
    </w:p>
    <w:p>
      <w:pPr>
        <w:pStyle w:val="BodyText"/>
        <w:spacing w:before="10"/>
        <w:rPr>
          <w:b/>
          <w:sz w:val="25"/>
        </w:rPr>
      </w:pPr>
    </w:p>
    <w:p>
      <w:pPr>
        <w:pStyle w:val="BodyText"/>
        <w:spacing w:line="360" w:lineRule="auto"/>
        <w:ind w:left="102" w:right="113" w:firstLine="566"/>
        <w:jc w:val="both"/>
      </w:pPr>
      <w:r>
        <w:rPr>
          <w:b/>
        </w:rPr>
        <w:t>Bacterias</w:t>
      </w:r>
      <w:r>
        <w:rPr/>
        <w:t>. Se incluyeron un total de 12 cepas de referencia de </w:t>
      </w:r>
      <w:r>
        <w:rPr>
          <w:i/>
        </w:rPr>
        <w:t>Av. </w:t>
      </w:r>
      <w:r>
        <w:rPr>
          <w:i/>
        </w:rPr>
        <w:t>paragallinarum</w:t>
      </w:r>
      <w:r>
        <w:rPr/>
        <w:t>: 9 de ellas representando a las 9 serovariedades del esquema de tipificación de Kume (Blackall </w:t>
      </w:r>
      <w:r>
        <w:rPr>
          <w:i/>
        </w:rPr>
        <w:t>et al.</w:t>
      </w:r>
      <w:r>
        <w:rPr/>
        <w:t>, 1990); y 2, del esquema original de tipificación de Page (Page, 1962). Además, la cepa de referencia 11296</w:t>
      </w:r>
      <w:r>
        <w:rPr>
          <w:position w:val="8"/>
          <w:sz w:val="16"/>
        </w:rPr>
        <w:t>T </w:t>
      </w:r>
      <w:r>
        <w:rPr/>
        <w:t>NCTC (del inglés: </w:t>
      </w:r>
      <w:r>
        <w:rPr>
          <w:i/>
        </w:rPr>
        <w:t>National Collection of Type Cultures</w:t>
      </w:r>
      <w:r>
        <w:rPr/>
        <w:t>); 12835</w:t>
      </w:r>
      <w:r>
        <w:rPr>
          <w:position w:val="8"/>
          <w:sz w:val="16"/>
        </w:rPr>
        <w:t>T </w:t>
      </w:r>
      <w:r>
        <w:rPr/>
        <w:t>CCUG (del inglés: </w:t>
      </w:r>
      <w:r>
        <w:rPr>
          <w:i/>
        </w:rPr>
        <w:t>Culture Collection, </w:t>
      </w:r>
      <w:r>
        <w:rPr>
          <w:i/>
        </w:rPr>
        <w:t>University of Göteborg, Suiza</w:t>
      </w:r>
      <w:r>
        <w:rPr/>
        <w:t>); 29545</w:t>
      </w:r>
      <w:r>
        <w:rPr>
          <w:position w:val="8"/>
          <w:sz w:val="16"/>
        </w:rPr>
        <w:t>T </w:t>
      </w:r>
      <w:r>
        <w:rPr/>
        <w:t>ATCC (del inglés: </w:t>
      </w:r>
      <w:r>
        <w:rPr>
          <w:i/>
        </w:rPr>
        <w:t>American Type Culture </w:t>
      </w:r>
      <w:r>
        <w:rPr>
          <w:i/>
        </w:rPr>
        <w:t>Collection</w:t>
      </w:r>
      <w:r>
        <w:rPr/>
        <w:t>). Adicionalmente, se incluyeron 69 aislamientos de </w:t>
      </w:r>
      <w:r>
        <w:rPr>
          <w:i/>
        </w:rPr>
        <w:t>Av. paragallinarum </w:t>
      </w:r>
      <w:r>
        <w:rPr/>
        <w:t>obtenidos de brotes de diferentes brotes de coriza infecciosa y previamente serotipificados por los esquemas de Page y Kume: 26 aislamientos de Ecuador (Cabrera </w:t>
      </w:r>
      <w:r>
        <w:rPr>
          <w:i/>
        </w:rPr>
        <w:t>et al.</w:t>
      </w:r>
      <w:r>
        <w:rPr/>
        <w:t>, 2011), 37 aislamientos de México (Morales-Erasto </w:t>
      </w:r>
      <w:r>
        <w:rPr>
          <w:i/>
        </w:rPr>
        <w:t>et al.</w:t>
      </w:r>
      <w:r>
        <w:rPr/>
        <w:t>, 2011) y 2 aislamientos de Panamá (Calderón </w:t>
      </w:r>
      <w:r>
        <w:rPr>
          <w:i/>
        </w:rPr>
        <w:t>et al.</w:t>
      </w:r>
      <w:r>
        <w:rPr/>
        <w:t>, 2010). Cuatro aislamientos provenientes de Perú, fueron serotipificados en el presente estudio por los esquemas de Page y Kume usando los métodos previamente reportados (Blackall </w:t>
      </w:r>
      <w:r>
        <w:rPr>
          <w:i/>
        </w:rPr>
        <w:t>et al.</w:t>
      </w:r>
      <w:r>
        <w:rPr/>
        <w:t>, 1990; Soriano </w:t>
      </w:r>
      <w:r>
        <w:rPr>
          <w:i/>
        </w:rPr>
        <w:t>et al.</w:t>
      </w:r>
      <w:r>
        <w:rPr/>
        <w:t>,</w:t>
      </w:r>
      <w:r>
        <w:rPr>
          <w:spacing w:val="-4"/>
        </w:rPr>
        <w:t> </w:t>
      </w:r>
      <w:r>
        <w:rPr/>
        <w:t>2001).</w:t>
      </w:r>
    </w:p>
    <w:p>
      <w:pPr>
        <w:pStyle w:val="BodyText"/>
        <w:spacing w:line="360" w:lineRule="auto" w:before="166"/>
        <w:ind w:left="102" w:right="119" w:firstLine="566"/>
        <w:jc w:val="both"/>
      </w:pPr>
      <w:r>
        <w:rPr>
          <w:b/>
        </w:rPr>
        <w:t>Medios de cultivo. </w:t>
      </w:r>
      <w:r>
        <w:rPr/>
        <w:t>Las bacterias fueron mantenidas y propagadas en placas de agar sangre suplementado con 10% de sangre de ovino utilizando una estría  de </w:t>
      </w:r>
      <w:r>
        <w:rPr>
          <w:i/>
        </w:rPr>
        <w:t>Staphylococcus epidermidis </w:t>
      </w:r>
      <w:r>
        <w:rPr/>
        <w:t>como colonia nodriza. Adicionalmente, tubos con caldo infusión cerebro corazón suplementados con 25 µg/ml de NADH (dinucleótido de adenina nicotinamida) y 1% (v/v) de suero equino</w:t>
      </w:r>
      <w:r>
        <w:rPr>
          <w:spacing w:val="-23"/>
        </w:rPr>
        <w:t> </w:t>
      </w:r>
      <w:r>
        <w:rPr/>
        <w:t>inactivado.</w:t>
      </w:r>
    </w:p>
    <w:p>
      <w:pPr>
        <w:pStyle w:val="BodyText"/>
        <w:spacing w:line="360" w:lineRule="auto" w:before="163"/>
        <w:ind w:left="102" w:right="118" w:firstLine="566"/>
        <w:jc w:val="both"/>
      </w:pPr>
      <w:r>
        <w:rPr>
          <w:b/>
        </w:rPr>
        <w:t>Extracción de ADN y PCR. </w:t>
      </w:r>
      <w:r>
        <w:rPr/>
        <w:t>Brevemente, el ADN genómico de cada una de los cultivos de </w:t>
      </w:r>
      <w:r>
        <w:rPr>
          <w:i/>
        </w:rPr>
        <w:t>Av. paragallinarum </w:t>
      </w:r>
      <w:r>
        <w:rPr/>
        <w:t>fue extraído según las indicaciones del fabricante (DNeasy blood &amp; tissue kit, Qiagen, Hilden, Alemania). Las pruebas de PCR múltiple , fueron realizadas según el procedimiento previamente reportado (Sakamoto </w:t>
      </w:r>
      <w:r>
        <w:rPr>
          <w:i/>
        </w:rPr>
        <w:t>et al.</w:t>
      </w:r>
      <w:r>
        <w:rPr/>
        <w:t>, 2012). Las reacciones de PCR contenían un volumen de 25   </w:t>
      </w:r>
      <w:r>
        <w:rPr>
          <w:spacing w:val="34"/>
        </w:rPr>
        <w:t> </w:t>
      </w:r>
      <w:r>
        <w:rPr/>
        <w:t>µl:</w:t>
      </w:r>
    </w:p>
    <w:p>
      <w:pPr>
        <w:pStyle w:val="BodyText"/>
        <w:tabs>
          <w:tab w:pos="5617" w:val="left" w:leader="none"/>
          <w:tab w:pos="6811" w:val="left" w:leader="none"/>
          <w:tab w:pos="8645" w:val="left" w:leader="none"/>
        </w:tabs>
        <w:spacing w:line="360" w:lineRule="auto" w:before="7"/>
        <w:ind w:left="102" w:right="114"/>
        <w:jc w:val="both"/>
      </w:pPr>
      <w:r>
        <w:rPr/>
        <w:t>2.5 </w:t>
      </w:r>
      <w:r>
        <w:rPr>
          <w:spacing w:val="2"/>
        </w:rPr>
        <w:t>µl </w:t>
      </w:r>
      <w:r>
        <w:rPr/>
        <w:t>de buffer 10× para PCR (Invitrogen, Sao Paulo. Brasil), 1.25 unidades de </w:t>
      </w:r>
      <w:r>
        <w:rPr>
          <w:i/>
        </w:rPr>
        <w:t>Taq </w:t>
      </w:r>
      <w:r>
        <w:rPr/>
        <w:t>DNA polimerasa (Invitrogen, Sao Paulo. Brasil), 0.2 mM de cada desoxirribonucleótido trifosfatado (dNTP), 0.2 </w:t>
      </w:r>
      <w:r>
        <w:rPr>
          <w:spacing w:val="2"/>
        </w:rPr>
        <w:t>µM </w:t>
      </w:r>
      <w:r>
        <w:rPr/>
        <w:t>de cada iniciador: ABC forward 5´-GGCTCACAGCTTTATGCAACGAA-3´;</w:t>
        <w:tab/>
        <w:t>A</w:t>
        <w:tab/>
        <w:t>reverse</w:t>
        <w:tab/>
        <w:t>5´- CGCGGGATTGTTGATTTTGTT-3´;  B  reverse</w:t>
      </w:r>
      <w:r>
        <w:rPr>
          <w:spacing w:val="39"/>
        </w:rPr>
        <w:t> </w:t>
      </w:r>
      <w:r>
        <w:rPr/>
        <w:t>5´-GGTGAATTTCACCACACCAC-</w:t>
      </w:r>
    </w:p>
    <w:p>
      <w:pPr>
        <w:spacing w:after="0" w:line="360" w:lineRule="auto"/>
        <w:jc w:val="both"/>
        <w:sectPr>
          <w:pgSz w:w="12240" w:h="15840"/>
          <w:pgMar w:header="0" w:footer="1003" w:top="1360" w:bottom="1200" w:left="1600" w:right="1580"/>
        </w:sectPr>
      </w:pPr>
    </w:p>
    <w:p>
      <w:pPr>
        <w:pStyle w:val="BodyText"/>
        <w:spacing w:line="360" w:lineRule="auto" w:before="54"/>
        <w:ind w:left="102" w:right="117"/>
        <w:jc w:val="both"/>
      </w:pPr>
      <w:r>
        <w:rPr/>
        <w:t>3´; y C reverse 5´-TAATTTTCTTATTCCCAGCATCAATACCAT-3´; y 2 µl de cada DNA extraído. Los ciclos de amplificación constaron de una desnaturalización inicial de 98°C durante 1 minuto; 30 ciclos de 98°C por 10 segundos, 56°C por 10 segundos y 72°C por dos minutos; y una extensión final a 72°C durante 7 minutos (Sakamoto </w:t>
      </w:r>
      <w:r>
        <w:rPr>
          <w:i/>
        </w:rPr>
        <w:t>et al.</w:t>
      </w:r>
      <w:r>
        <w:rPr/>
        <w:t>, 2012). Los productos de PCR fueron visualizados y fotografiados en un gel de agarosa al 2% en luz ultravioleta. Las pruebas de PCR múltiple de todas las cepas de referencia y aislamientos de </w:t>
      </w:r>
      <w:r>
        <w:rPr>
          <w:i/>
        </w:rPr>
        <w:t>Av. paragallinarum </w:t>
      </w:r>
      <w:r>
        <w:rPr/>
        <w:t>del estudio, fueron realizadas en el Centro de Investigación y Estudios Avanzados en Salud Animal-Facultad de Medicina Veterinaria y Zootecnia de la Universidad Autónoma del Estado de México (CIESA-FMVZ-UAEMex) y el laboratorio de biología molecular de la empresa FARVET, SAC, en Perú.</w:t>
      </w:r>
    </w:p>
    <w:p>
      <w:pPr>
        <w:pStyle w:val="BodyText"/>
        <w:spacing w:line="360" w:lineRule="auto" w:before="163"/>
        <w:ind w:left="102" w:right="115" w:firstLine="566"/>
        <w:jc w:val="both"/>
      </w:pPr>
      <w:r>
        <w:rPr>
          <w:b/>
        </w:rPr>
        <w:t>Interpretación de los resultados y análisis estadísticos. </w:t>
      </w:r>
      <w:r>
        <w:rPr/>
        <w:t>La interpretación de los resultados fue realizada de acuerdo a lo descrito previamente (Sakamoto </w:t>
      </w:r>
      <w:r>
        <w:rPr>
          <w:i/>
        </w:rPr>
        <w:t>et </w:t>
      </w:r>
      <w:r>
        <w:rPr>
          <w:i/>
        </w:rPr>
        <w:t>al.</w:t>
      </w:r>
      <w:r>
        <w:rPr/>
        <w:t>, 2012). Los aislamientos y cepas de referencia tipificadas con la PCR múltiple como A, amplificaron un fragmento de ADN de 0.8kb; los aislamientos tipificados como B, un fragmento de 1.1 kb; y los aislamientos tipificados como C, un fragmento de 1.6 kb. Los resultados de tipificación por PCR múltiple fueron comparados con los resultados de tipificación por IH y los datos fueron analizados determinando la sensibilidad, especificidad, valor predictivo positivo (PPV) y valor predictivo negativo (NPV) de las pruebas de PCR múltiple.</w:t>
      </w:r>
    </w:p>
    <w:p>
      <w:pPr>
        <w:spacing w:after="0" w:line="360" w:lineRule="auto"/>
        <w:jc w:val="both"/>
        <w:sectPr>
          <w:pgSz w:w="12240" w:h="15840"/>
          <w:pgMar w:header="0" w:footer="1003" w:top="1360" w:bottom="1200" w:left="1600" w:right="1580"/>
        </w:sectPr>
      </w:pPr>
    </w:p>
    <w:p>
      <w:pPr>
        <w:pStyle w:val="Heading2"/>
        <w:numPr>
          <w:ilvl w:val="0"/>
          <w:numId w:val="5"/>
        </w:numPr>
        <w:tabs>
          <w:tab w:pos="1517" w:val="left" w:leader="none"/>
          <w:tab w:pos="1518" w:val="left" w:leader="none"/>
        </w:tabs>
        <w:spacing w:line="240" w:lineRule="auto" w:before="54" w:after="0"/>
        <w:ind w:left="1518" w:right="0" w:hanging="850"/>
        <w:jc w:val="left"/>
      </w:pPr>
      <w:bookmarkStart w:name="_TOC_250004" w:id="11"/>
      <w:bookmarkEnd w:id="11"/>
      <w:r>
        <w:rPr/>
        <w:t>Filogenia.</w:t>
      </w:r>
    </w:p>
    <w:p>
      <w:pPr>
        <w:pStyle w:val="BodyText"/>
        <w:spacing w:line="360" w:lineRule="auto" w:before="139"/>
        <w:ind w:left="102" w:right="123" w:firstLine="566"/>
        <w:jc w:val="both"/>
      </w:pPr>
      <w:r>
        <w:rPr>
          <w:b/>
        </w:rPr>
        <w:t>Bacterias</w:t>
      </w:r>
      <w:r>
        <w:rPr/>
        <w:t>. La identificación, origen y serovariedad de los aislamientos analizados están representados en el Cuadro 1. Todos los aislamientos, fueron obtenidos a partir de brotes de coriza infecciosa de diferentes granjas.</w:t>
      </w:r>
    </w:p>
    <w:p>
      <w:pPr>
        <w:pStyle w:val="BodyText"/>
        <w:spacing w:line="360" w:lineRule="auto" w:before="2"/>
        <w:ind w:left="102" w:right="117" w:firstLine="566"/>
        <w:jc w:val="both"/>
      </w:pPr>
      <w:r>
        <w:rPr>
          <w:b/>
        </w:rPr>
        <w:t>Mantenimiento y propagación de los aislamientos. </w:t>
      </w:r>
      <w:r>
        <w:rPr/>
        <w:t>Los aislamientos fueron cultivados en embrión de pollo de 6 días de edad (ALPES, Tehuacán, Puebla, México), posteriormente, almacenados en congelación a -85°C hasta su utilización. La recuperación de los aislamientos se realizó en agar sangre suplementado con 10% de sangre de ovino. Posteriormente, las bacterias fueron inoculadas en caldo infusión cerebro corazón suplementado con 0.025% de NADH y 1% de suero inactivado de caballo e incubadas durante 24 horas a 37°C.</w:t>
      </w:r>
    </w:p>
    <w:p>
      <w:pPr>
        <w:pStyle w:val="BodyText"/>
        <w:tabs>
          <w:tab w:pos="6943" w:val="left" w:leader="none"/>
        </w:tabs>
        <w:spacing w:line="360" w:lineRule="auto" w:before="5"/>
        <w:ind w:left="102" w:right="114" w:firstLine="566"/>
        <w:jc w:val="both"/>
      </w:pPr>
      <w:r>
        <w:rPr>
          <w:b/>
        </w:rPr>
        <w:t>Extracción y amplificación de </w:t>
      </w:r>
      <w:r>
        <w:rPr>
          <w:b/>
          <w:spacing w:val="-3"/>
        </w:rPr>
        <w:t>ADN. </w:t>
      </w:r>
      <w:r>
        <w:rPr/>
        <w:t>La extracción de ADN genómico de los aislamientos, fue realizada según las indicaciones del fabricante (DNeasy blood &amp; tissue kit, Qiagen, Hilden, Alemania). La amplificación de los genes </w:t>
      </w:r>
      <w:r>
        <w:rPr>
          <w:i/>
        </w:rPr>
        <w:t>hag</w:t>
      </w:r>
      <w:r>
        <w:rPr/>
        <w:t>A y 16S rRNA, fue realizada con en un volumen de 100 </w:t>
      </w:r>
      <w:r>
        <w:rPr>
          <w:spacing w:val="2"/>
        </w:rPr>
        <w:t>µl </w:t>
      </w:r>
      <w:r>
        <w:rPr/>
        <w:t>con el kit de amplificación Platinum, </w:t>
      </w:r>
      <w:r>
        <w:rPr>
          <w:i/>
        </w:rPr>
        <w:t>Taq </w:t>
      </w:r>
      <w:r>
        <w:rPr/>
        <w:t>DNA Polimerasa de alta fidelidad (Platinum Taq DNA Polymerase High Fidelity, Invitrogen, 11304-011. Sao Paolo, Brazil). Los iniciadores utilizados para la amplificación del gen </w:t>
      </w:r>
      <w:r>
        <w:rPr>
          <w:i/>
        </w:rPr>
        <w:t>hag</w:t>
      </w:r>
      <w:r>
        <w:rPr/>
        <w:t>A fueron los reportados previamente: ha8: 5´- AAGCTTTTATTTTAGATTTATTG-3´</w:t>
        <w:tab/>
        <w:t>y       ha11:      </w:t>
      </w:r>
      <w:r>
        <w:rPr>
          <w:spacing w:val="45"/>
        </w:rPr>
        <w:t> </w:t>
      </w:r>
      <w:r>
        <w:rPr/>
        <w:t>5´-</w:t>
      </w:r>
    </w:p>
    <w:p>
      <w:pPr>
        <w:pStyle w:val="BodyText"/>
        <w:spacing w:line="360" w:lineRule="auto" w:before="2"/>
        <w:ind w:left="102" w:right="114"/>
        <w:jc w:val="both"/>
      </w:pPr>
      <w:r>
        <w:rPr/>
        <w:t>CGCACGGCATTGATATTGTG-3´ (Hobb </w:t>
      </w:r>
      <w:r>
        <w:rPr>
          <w:i/>
        </w:rPr>
        <w:t>et al.</w:t>
      </w:r>
      <w:r>
        <w:rPr/>
        <w:t>, 2002). Para la amplificación del  gen 16S rRNA, se utilizaron los iniciadores universales para este gen, 27f: 5´- AGAGTTTGATCATGGCTCAG-3´   y   1492r:  </w:t>
      </w:r>
      <w:r>
        <w:rPr>
          <w:spacing w:val="57"/>
        </w:rPr>
        <w:t> </w:t>
      </w:r>
      <w:r>
        <w:rPr/>
        <w:t>5´-GGTTACCTTGTTACGACTT-3´.</w:t>
      </w:r>
    </w:p>
    <w:p>
      <w:pPr>
        <w:spacing w:before="0"/>
        <w:ind w:left="102" w:right="0" w:firstLine="0"/>
        <w:jc w:val="both"/>
        <w:rPr>
          <w:sz w:val="24"/>
        </w:rPr>
      </w:pPr>
      <w:r>
        <w:rPr>
          <w:sz w:val="24"/>
        </w:rPr>
        <w:t>(Blackall </w:t>
      </w:r>
      <w:r>
        <w:rPr>
          <w:i/>
          <w:sz w:val="24"/>
        </w:rPr>
        <w:t>et al.</w:t>
      </w:r>
      <w:r>
        <w:rPr>
          <w:sz w:val="24"/>
        </w:rPr>
        <w:t>, 2005)</w:t>
      </w:r>
    </w:p>
    <w:p>
      <w:pPr>
        <w:pStyle w:val="BodyText"/>
        <w:spacing w:line="360" w:lineRule="auto" w:before="141"/>
        <w:ind w:left="102" w:right="119" w:firstLine="566"/>
        <w:jc w:val="both"/>
      </w:pPr>
      <w:r>
        <w:rPr>
          <w:b/>
        </w:rPr>
        <w:t>Secuenciación. </w:t>
      </w:r>
      <w:r>
        <w:rPr/>
        <w:t>Los productos de la amplificación de los genes, fueron visualizados en un gel de agarosa para verificar el tamaño del producto y la concentración aproximada mediante un marcador de peso molecular (High DNA Mass, Invitrogen 10068-013, Sao Paolo, Brazil). Los productos de PCR fueron purificados mediante un kit de purificación (QIAquick Purification Kit, Qiagen, 28104). Las muestras fueron enviadas para secuenciación a Macrogen, Seúl, Corea del Sur, para la secuenciación por el método de secuenciación de Sanger. La  secuenciación  se  solicitó  con  los  iniciadores  previamente     </w:t>
      </w:r>
      <w:r>
        <w:rPr>
          <w:spacing w:val="51"/>
        </w:rPr>
        <w:t> </w:t>
      </w:r>
      <w:r>
        <w:rPr/>
        <w:t>mencionados,</w:t>
      </w:r>
    </w:p>
    <w:p>
      <w:pPr>
        <w:spacing w:after="0" w:line="360" w:lineRule="auto"/>
        <w:jc w:val="both"/>
        <w:sectPr>
          <w:pgSz w:w="12240" w:h="15840"/>
          <w:pgMar w:header="0" w:footer="1003" w:top="1360" w:bottom="1200" w:left="1600" w:right="1580"/>
        </w:sectPr>
      </w:pPr>
    </w:p>
    <w:p>
      <w:pPr>
        <w:pStyle w:val="BodyText"/>
        <w:spacing w:line="360" w:lineRule="auto" w:before="54"/>
        <w:ind w:left="102" w:right="114"/>
        <w:jc w:val="both"/>
      </w:pPr>
      <w:r>
        <w:rPr/>
        <w:t>adicionalmente, para el gen 16S rRNA, se solicitó la secuenciación con iniciadores intermedios diseñados a partir de las secuencias reportadas en GenBank para </w:t>
      </w:r>
      <w:r>
        <w:rPr>
          <w:i/>
        </w:rPr>
        <w:t>Av. </w:t>
      </w:r>
      <w:r>
        <w:rPr>
          <w:i/>
        </w:rPr>
        <w:t>paragallinarum </w:t>
      </w:r>
      <w:r>
        <w:rPr/>
        <w:t>del gen 16S rRNA, dichas secuencias son las siguientes: 16S in F: 5´-GCTAACTCCGTGCCAGCAG-3´  y  16S  in  R: 5´-CTGACGACAGCCATGCAG-</w:t>
      </w:r>
    </w:p>
    <w:p>
      <w:pPr>
        <w:pStyle w:val="BodyText"/>
        <w:spacing w:before="2"/>
        <w:ind w:left="102"/>
        <w:jc w:val="both"/>
      </w:pPr>
      <w:r>
        <w:rPr/>
        <w:t>3´.</w:t>
      </w:r>
    </w:p>
    <w:p>
      <w:pPr>
        <w:pStyle w:val="BodyText"/>
        <w:spacing w:before="1"/>
        <w:rPr>
          <w:sz w:val="26"/>
        </w:rPr>
      </w:pPr>
    </w:p>
    <w:p>
      <w:pPr>
        <w:pStyle w:val="BodyText"/>
        <w:spacing w:line="360" w:lineRule="auto"/>
        <w:ind w:left="102" w:right="115" w:firstLine="566"/>
        <w:jc w:val="both"/>
      </w:pPr>
      <w:r>
        <w:rPr>
          <w:b/>
        </w:rPr>
        <w:t>Análisis filogenético. </w:t>
      </w:r>
      <w:r>
        <w:rPr/>
        <w:t>Las secuencias fueron analizadas con el programa MEGA 5.2 (Tamura </w:t>
      </w:r>
      <w:r>
        <w:rPr>
          <w:i/>
        </w:rPr>
        <w:t>et al.</w:t>
      </w:r>
      <w:r>
        <w:rPr/>
        <w:t>, 2011), un análisis mediante la herramienta BLAST, incluida en GenBank fue realizado con las secuencias analizadas (Altschul </w:t>
      </w:r>
      <w:r>
        <w:rPr>
          <w:i/>
        </w:rPr>
        <w:t>et al.</w:t>
      </w:r>
      <w:r>
        <w:rPr/>
        <w:t>, 1990. El análisis filogenético fue realizado mediante la construcción de un alineamiento múltiple y realizando el análisis por el método de neighbor-joining (Saitou y Nei, 1987) para el gen </w:t>
      </w:r>
      <w:r>
        <w:rPr>
          <w:i/>
        </w:rPr>
        <w:t>hag</w:t>
      </w:r>
      <w:r>
        <w:rPr/>
        <w:t>A (García-Sánchez </w:t>
      </w:r>
      <w:r>
        <w:rPr>
          <w:i/>
        </w:rPr>
        <w:t>et al.</w:t>
      </w:r>
      <w:r>
        <w:rPr/>
        <w:t>, 2014). Para el gen 16S rRNA, se realizó el análisis por el método de máxima verosimilitud (Blackall </w:t>
      </w:r>
      <w:r>
        <w:rPr>
          <w:i/>
        </w:rPr>
        <w:t>et </w:t>
      </w:r>
      <w:r>
        <w:rPr>
          <w:i/>
        </w:rPr>
        <w:t>al. </w:t>
      </w:r>
      <w:r>
        <w:rPr/>
        <w:t>2005) usando el programa MEGA 5.2 (Tamura </w:t>
      </w:r>
      <w:r>
        <w:rPr>
          <w:i/>
        </w:rPr>
        <w:t>et al.</w:t>
      </w:r>
      <w:r>
        <w:rPr/>
        <w:t>, 2011).</w:t>
      </w:r>
    </w:p>
    <w:p>
      <w:pPr>
        <w:spacing w:after="0" w:line="360" w:lineRule="auto"/>
        <w:jc w:val="both"/>
        <w:sectPr>
          <w:footerReference w:type="default" r:id="rId12"/>
          <w:pgSz w:w="12240" w:h="15840"/>
          <w:pgMar w:footer="1003" w:header="0" w:top="1360" w:bottom="1200" w:left="1600" w:right="1580"/>
        </w:sectPr>
      </w:pPr>
    </w:p>
    <w:p>
      <w:pPr>
        <w:spacing w:line="256" w:lineRule="auto" w:before="54"/>
        <w:ind w:left="102" w:right="118" w:firstLine="566"/>
        <w:jc w:val="left"/>
        <w:rPr>
          <w:sz w:val="24"/>
        </w:rPr>
      </w:pPr>
      <w:r>
        <w:rPr>
          <w:b/>
          <w:sz w:val="24"/>
        </w:rPr>
        <w:t>Cuadro 1. </w:t>
      </w:r>
      <w:r>
        <w:rPr>
          <w:sz w:val="24"/>
        </w:rPr>
        <w:t>Identificación, origen, año de aislamiento y serovariedad de los aislamientos de </w:t>
      </w:r>
      <w:r>
        <w:rPr>
          <w:i/>
          <w:sz w:val="24"/>
        </w:rPr>
        <w:t>Av. paragallinarum </w:t>
      </w:r>
      <w:r>
        <w:rPr>
          <w:sz w:val="24"/>
        </w:rPr>
        <w:t>incluidos en el estudio.</w:t>
      </w:r>
    </w:p>
    <w:p>
      <w:pPr>
        <w:pStyle w:val="BodyText"/>
        <w:spacing w:before="6"/>
        <w:rPr>
          <w:sz w:val="14"/>
        </w:rPr>
      </w:pPr>
    </w:p>
    <w:tbl>
      <w:tblPr>
        <w:tblW w:w="0" w:type="auto"/>
        <w:jc w:val="left"/>
        <w:tblInd w:w="4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19"/>
        <w:gridCol w:w="1093"/>
        <w:gridCol w:w="1330"/>
        <w:gridCol w:w="1450"/>
        <w:gridCol w:w="2669"/>
      </w:tblGrid>
      <w:tr>
        <w:trPr>
          <w:trHeight w:val="473" w:hRule="exact"/>
        </w:trPr>
        <w:tc>
          <w:tcPr>
            <w:tcW w:w="1519" w:type="dxa"/>
            <w:tcBorders>
              <w:left w:val="nil"/>
              <w:right w:val="nil"/>
            </w:tcBorders>
          </w:tcPr>
          <w:p>
            <w:pPr>
              <w:pStyle w:val="TableParagraph"/>
              <w:spacing w:before="126"/>
              <w:rPr>
                <w:b/>
                <w:sz w:val="18"/>
              </w:rPr>
            </w:pPr>
            <w:r>
              <w:rPr>
                <w:b/>
                <w:sz w:val="18"/>
              </w:rPr>
              <w:t>Identificación</w:t>
            </w:r>
          </w:p>
        </w:tc>
        <w:tc>
          <w:tcPr>
            <w:tcW w:w="1093" w:type="dxa"/>
            <w:tcBorders>
              <w:left w:val="nil"/>
              <w:right w:val="nil"/>
            </w:tcBorders>
          </w:tcPr>
          <w:p>
            <w:pPr>
              <w:pStyle w:val="TableParagraph"/>
              <w:spacing w:before="21"/>
              <w:ind w:left="271" w:right="212" w:hanging="41"/>
              <w:jc w:val="left"/>
              <w:rPr>
                <w:b/>
                <w:sz w:val="18"/>
              </w:rPr>
            </w:pPr>
            <w:r>
              <w:rPr>
                <w:b/>
                <w:sz w:val="18"/>
              </w:rPr>
              <w:t>País de origen</w:t>
            </w:r>
          </w:p>
        </w:tc>
        <w:tc>
          <w:tcPr>
            <w:tcW w:w="1330" w:type="dxa"/>
            <w:tcBorders>
              <w:left w:val="nil"/>
              <w:right w:val="nil"/>
            </w:tcBorders>
          </w:tcPr>
          <w:p>
            <w:pPr>
              <w:pStyle w:val="TableParagraph"/>
              <w:spacing w:before="21"/>
              <w:ind w:left="208" w:right="111" w:firstLine="189"/>
              <w:jc w:val="left"/>
              <w:rPr>
                <w:b/>
                <w:sz w:val="18"/>
              </w:rPr>
            </w:pPr>
            <w:r>
              <w:rPr>
                <w:b/>
                <w:sz w:val="18"/>
              </w:rPr>
              <w:t>Año de aislamiento</w:t>
            </w:r>
          </w:p>
        </w:tc>
        <w:tc>
          <w:tcPr>
            <w:tcW w:w="1450" w:type="dxa"/>
            <w:tcBorders>
              <w:left w:val="nil"/>
              <w:right w:val="nil"/>
            </w:tcBorders>
          </w:tcPr>
          <w:p>
            <w:pPr>
              <w:pStyle w:val="TableParagraph"/>
              <w:spacing w:before="126"/>
              <w:ind w:left="110" w:right="158"/>
              <w:rPr>
                <w:b/>
                <w:sz w:val="18"/>
              </w:rPr>
            </w:pPr>
            <w:r>
              <w:rPr>
                <w:b/>
                <w:sz w:val="18"/>
              </w:rPr>
              <w:t>Serovariedad</w:t>
            </w:r>
          </w:p>
        </w:tc>
        <w:tc>
          <w:tcPr>
            <w:tcW w:w="2669" w:type="dxa"/>
            <w:tcBorders>
              <w:left w:val="nil"/>
              <w:right w:val="nil"/>
            </w:tcBorders>
          </w:tcPr>
          <w:p>
            <w:pPr>
              <w:pStyle w:val="TableParagraph"/>
              <w:spacing w:before="126"/>
              <w:ind w:left="160" w:right="206"/>
              <w:rPr>
                <w:b/>
                <w:sz w:val="18"/>
              </w:rPr>
            </w:pPr>
            <w:r>
              <w:rPr>
                <w:b/>
                <w:sz w:val="18"/>
              </w:rPr>
              <w:t>Referencia</w:t>
            </w:r>
          </w:p>
        </w:tc>
      </w:tr>
      <w:tr>
        <w:trPr>
          <w:trHeight w:val="260" w:hRule="exact"/>
        </w:trPr>
        <w:tc>
          <w:tcPr>
            <w:tcW w:w="1519" w:type="dxa"/>
            <w:tcBorders>
              <w:left w:val="nil"/>
              <w:bottom w:val="nil"/>
              <w:right w:val="nil"/>
            </w:tcBorders>
          </w:tcPr>
          <w:p>
            <w:pPr>
              <w:pStyle w:val="TableParagraph"/>
              <w:spacing w:before="18"/>
              <w:ind w:right="186"/>
              <w:rPr>
                <w:sz w:val="18"/>
              </w:rPr>
            </w:pPr>
            <w:r>
              <w:rPr>
                <w:sz w:val="18"/>
              </w:rPr>
              <w:t>ESV-58</w:t>
            </w:r>
          </w:p>
        </w:tc>
        <w:tc>
          <w:tcPr>
            <w:tcW w:w="1093" w:type="dxa"/>
            <w:tcBorders>
              <w:left w:val="nil"/>
              <w:bottom w:val="nil"/>
              <w:right w:val="nil"/>
            </w:tcBorders>
          </w:tcPr>
          <w:p>
            <w:pPr>
              <w:pStyle w:val="TableParagraph"/>
              <w:spacing w:before="18"/>
              <w:ind w:left="189"/>
              <w:rPr>
                <w:sz w:val="18"/>
              </w:rPr>
            </w:pPr>
            <w:r>
              <w:rPr>
                <w:sz w:val="18"/>
              </w:rPr>
              <w:t>México</w:t>
            </w:r>
          </w:p>
        </w:tc>
        <w:tc>
          <w:tcPr>
            <w:tcW w:w="1330" w:type="dxa"/>
            <w:tcBorders>
              <w:left w:val="nil"/>
              <w:bottom w:val="nil"/>
              <w:right w:val="nil"/>
            </w:tcBorders>
          </w:tcPr>
          <w:p>
            <w:pPr>
              <w:pStyle w:val="TableParagraph"/>
              <w:spacing w:before="18"/>
              <w:ind w:left="484" w:right="403"/>
              <w:rPr>
                <w:sz w:val="18"/>
              </w:rPr>
            </w:pPr>
            <w:r>
              <w:rPr>
                <w:sz w:val="18"/>
              </w:rPr>
              <w:t>2006</w:t>
            </w:r>
          </w:p>
        </w:tc>
        <w:tc>
          <w:tcPr>
            <w:tcW w:w="1450" w:type="dxa"/>
            <w:tcBorders>
              <w:left w:val="nil"/>
              <w:bottom w:val="nil"/>
              <w:right w:val="nil"/>
            </w:tcBorders>
          </w:tcPr>
          <w:p>
            <w:pPr>
              <w:pStyle w:val="TableParagraph"/>
              <w:spacing w:before="18"/>
              <w:ind w:left="106" w:right="158"/>
              <w:rPr>
                <w:sz w:val="18"/>
              </w:rPr>
            </w:pPr>
            <w:r>
              <w:rPr>
                <w:sz w:val="18"/>
              </w:rPr>
              <w:t>NT</w:t>
            </w:r>
          </w:p>
        </w:tc>
        <w:tc>
          <w:tcPr>
            <w:tcW w:w="2669" w:type="dxa"/>
            <w:tcBorders>
              <w:left w:val="nil"/>
              <w:bottom w:val="nil"/>
              <w:right w:val="nil"/>
            </w:tcBorders>
          </w:tcPr>
          <w:p>
            <w:pPr>
              <w:pStyle w:val="TableParagraph"/>
              <w:spacing w:before="18"/>
              <w:ind w:left="0" w:right="44"/>
              <w:rPr>
                <w:sz w:val="18"/>
              </w:rPr>
            </w:pPr>
            <w:r>
              <w:rPr>
                <w:w w:val="99"/>
                <w:sz w:val="18"/>
              </w:rPr>
              <w:t>*</w:t>
            </w:r>
          </w:p>
        </w:tc>
      </w:tr>
      <w:tr>
        <w:trPr>
          <w:trHeight w:val="251" w:hRule="exact"/>
        </w:trPr>
        <w:tc>
          <w:tcPr>
            <w:tcW w:w="1519" w:type="dxa"/>
            <w:tcBorders>
              <w:top w:val="nil"/>
              <w:left w:val="nil"/>
              <w:bottom w:val="nil"/>
              <w:right w:val="nil"/>
            </w:tcBorders>
          </w:tcPr>
          <w:p>
            <w:pPr>
              <w:pStyle w:val="TableParagraph"/>
              <w:spacing w:before="18"/>
              <w:ind w:right="186"/>
              <w:rPr>
                <w:sz w:val="18"/>
              </w:rPr>
            </w:pPr>
            <w:r>
              <w:rPr>
                <w:sz w:val="18"/>
              </w:rPr>
              <w:t>ESV-117</w:t>
            </w:r>
          </w:p>
        </w:tc>
        <w:tc>
          <w:tcPr>
            <w:tcW w:w="1093" w:type="dxa"/>
            <w:tcBorders>
              <w:top w:val="nil"/>
              <w:left w:val="nil"/>
              <w:bottom w:val="nil"/>
              <w:right w:val="nil"/>
            </w:tcBorders>
          </w:tcPr>
          <w:p>
            <w:pPr>
              <w:pStyle w:val="TableParagraph"/>
              <w:spacing w:before="18"/>
              <w:ind w:left="189"/>
              <w:rPr>
                <w:sz w:val="18"/>
              </w:rPr>
            </w:pPr>
            <w:r>
              <w:rPr>
                <w:sz w:val="18"/>
              </w:rPr>
              <w:t>México</w:t>
            </w:r>
          </w:p>
        </w:tc>
        <w:tc>
          <w:tcPr>
            <w:tcW w:w="1330" w:type="dxa"/>
            <w:tcBorders>
              <w:top w:val="nil"/>
              <w:left w:val="nil"/>
              <w:bottom w:val="nil"/>
              <w:right w:val="nil"/>
            </w:tcBorders>
          </w:tcPr>
          <w:p>
            <w:pPr>
              <w:pStyle w:val="TableParagraph"/>
              <w:spacing w:before="18"/>
              <w:ind w:left="484" w:right="403"/>
              <w:rPr>
                <w:sz w:val="18"/>
              </w:rPr>
            </w:pPr>
            <w:r>
              <w:rPr>
                <w:sz w:val="18"/>
              </w:rPr>
              <w:t>2008</w:t>
            </w:r>
          </w:p>
        </w:tc>
        <w:tc>
          <w:tcPr>
            <w:tcW w:w="1450" w:type="dxa"/>
            <w:tcBorders>
              <w:top w:val="nil"/>
              <w:left w:val="nil"/>
              <w:bottom w:val="nil"/>
              <w:right w:val="nil"/>
            </w:tcBorders>
          </w:tcPr>
          <w:p>
            <w:pPr>
              <w:pStyle w:val="TableParagraph"/>
              <w:spacing w:before="18"/>
              <w:ind w:left="108" w:right="158"/>
              <w:rPr>
                <w:sz w:val="18"/>
              </w:rPr>
            </w:pPr>
            <w:r>
              <w:rPr>
                <w:sz w:val="18"/>
              </w:rPr>
              <w:t>C-2</w:t>
            </w:r>
          </w:p>
        </w:tc>
        <w:tc>
          <w:tcPr>
            <w:tcW w:w="2669" w:type="dxa"/>
            <w:tcBorders>
              <w:top w:val="nil"/>
              <w:left w:val="nil"/>
              <w:bottom w:val="nil"/>
              <w:right w:val="nil"/>
            </w:tcBorders>
          </w:tcPr>
          <w:p>
            <w:pPr>
              <w:pStyle w:val="TableParagraph"/>
              <w:spacing w:before="16"/>
              <w:ind w:left="161" w:right="204"/>
              <w:rPr>
                <w:sz w:val="18"/>
              </w:rPr>
            </w:pPr>
            <w:r>
              <w:rPr>
                <w:sz w:val="18"/>
              </w:rPr>
              <w:t>Morales-Erasto </w:t>
            </w:r>
            <w:r>
              <w:rPr>
                <w:i/>
                <w:sz w:val="18"/>
              </w:rPr>
              <w:t>et al.</w:t>
            </w:r>
            <w:r>
              <w:rPr>
                <w:sz w:val="18"/>
              </w:rPr>
              <w:t>, 2011</w:t>
            </w:r>
          </w:p>
        </w:tc>
      </w:tr>
      <w:tr>
        <w:trPr>
          <w:trHeight w:val="232" w:hRule="exact"/>
        </w:trPr>
        <w:tc>
          <w:tcPr>
            <w:tcW w:w="1519" w:type="dxa"/>
            <w:tcBorders>
              <w:top w:val="nil"/>
              <w:left w:val="nil"/>
              <w:bottom w:val="nil"/>
              <w:right w:val="nil"/>
            </w:tcBorders>
          </w:tcPr>
          <w:p>
            <w:pPr>
              <w:pStyle w:val="TableParagraph"/>
              <w:spacing w:before="14"/>
              <w:ind w:right="186"/>
              <w:rPr>
                <w:sz w:val="18"/>
              </w:rPr>
            </w:pPr>
            <w:r>
              <w:rPr>
                <w:sz w:val="18"/>
              </w:rPr>
              <w:t>ESV-131</w:t>
            </w:r>
          </w:p>
        </w:tc>
        <w:tc>
          <w:tcPr>
            <w:tcW w:w="1093" w:type="dxa"/>
            <w:tcBorders>
              <w:top w:val="nil"/>
              <w:left w:val="nil"/>
              <w:bottom w:val="nil"/>
              <w:right w:val="nil"/>
            </w:tcBorders>
          </w:tcPr>
          <w:p>
            <w:pPr>
              <w:pStyle w:val="TableParagraph"/>
              <w:spacing w:before="14"/>
              <w:ind w:left="189"/>
              <w:rPr>
                <w:sz w:val="18"/>
              </w:rPr>
            </w:pPr>
            <w:r>
              <w:rPr>
                <w:sz w:val="18"/>
              </w:rPr>
              <w:t>México</w:t>
            </w:r>
          </w:p>
        </w:tc>
        <w:tc>
          <w:tcPr>
            <w:tcW w:w="1330" w:type="dxa"/>
            <w:tcBorders>
              <w:top w:val="nil"/>
              <w:left w:val="nil"/>
              <w:bottom w:val="nil"/>
              <w:right w:val="nil"/>
            </w:tcBorders>
          </w:tcPr>
          <w:p>
            <w:pPr>
              <w:pStyle w:val="TableParagraph"/>
              <w:spacing w:before="14"/>
              <w:ind w:left="484" w:right="403"/>
              <w:rPr>
                <w:sz w:val="18"/>
              </w:rPr>
            </w:pPr>
            <w:r>
              <w:rPr>
                <w:sz w:val="18"/>
              </w:rPr>
              <w:t>2008</w:t>
            </w:r>
          </w:p>
        </w:tc>
        <w:tc>
          <w:tcPr>
            <w:tcW w:w="1450" w:type="dxa"/>
            <w:tcBorders>
              <w:top w:val="nil"/>
              <w:left w:val="nil"/>
              <w:bottom w:val="nil"/>
              <w:right w:val="nil"/>
            </w:tcBorders>
          </w:tcPr>
          <w:p>
            <w:pPr>
              <w:pStyle w:val="TableParagraph"/>
              <w:spacing w:before="14"/>
              <w:ind w:left="108" w:right="158"/>
              <w:rPr>
                <w:sz w:val="18"/>
              </w:rPr>
            </w:pPr>
            <w:r>
              <w:rPr>
                <w:sz w:val="18"/>
              </w:rPr>
              <w:t>B-1</w:t>
            </w:r>
          </w:p>
        </w:tc>
        <w:tc>
          <w:tcPr>
            <w:tcW w:w="2669" w:type="dxa"/>
            <w:tcBorders>
              <w:top w:val="nil"/>
              <w:left w:val="nil"/>
              <w:bottom w:val="nil"/>
              <w:right w:val="nil"/>
            </w:tcBorders>
          </w:tcPr>
          <w:p>
            <w:pPr>
              <w:pStyle w:val="TableParagraph"/>
              <w:spacing w:before="12"/>
              <w:ind w:left="161" w:right="204"/>
              <w:rPr>
                <w:sz w:val="18"/>
              </w:rPr>
            </w:pPr>
            <w:r>
              <w:rPr>
                <w:sz w:val="18"/>
              </w:rPr>
              <w:t>Morales-Erasto </w:t>
            </w:r>
            <w:r>
              <w:rPr>
                <w:i/>
                <w:sz w:val="18"/>
              </w:rPr>
              <w:t>et al.</w:t>
            </w:r>
            <w:r>
              <w:rPr>
                <w:sz w:val="18"/>
              </w:rPr>
              <w:t>, 2014</w:t>
            </w:r>
          </w:p>
        </w:tc>
      </w:tr>
      <w:tr>
        <w:trPr>
          <w:trHeight w:val="215" w:hRule="exact"/>
        </w:trPr>
        <w:tc>
          <w:tcPr>
            <w:tcW w:w="1519" w:type="dxa"/>
            <w:tcBorders>
              <w:top w:val="nil"/>
              <w:left w:val="nil"/>
              <w:bottom w:val="nil"/>
              <w:right w:val="nil"/>
            </w:tcBorders>
          </w:tcPr>
          <w:p>
            <w:pPr>
              <w:pStyle w:val="TableParagraph"/>
              <w:spacing w:line="206" w:lineRule="exact" w:before="0"/>
              <w:ind w:right="186"/>
              <w:rPr>
                <w:sz w:val="18"/>
              </w:rPr>
            </w:pPr>
            <w:r>
              <w:rPr>
                <w:sz w:val="18"/>
              </w:rPr>
              <w:t>ESV-142</w:t>
            </w:r>
          </w:p>
        </w:tc>
        <w:tc>
          <w:tcPr>
            <w:tcW w:w="1093" w:type="dxa"/>
            <w:tcBorders>
              <w:top w:val="nil"/>
              <w:left w:val="nil"/>
              <w:bottom w:val="nil"/>
              <w:right w:val="nil"/>
            </w:tcBorders>
          </w:tcPr>
          <w:p>
            <w:pPr>
              <w:pStyle w:val="TableParagraph"/>
              <w:spacing w:line="206" w:lineRule="exact" w:before="0"/>
              <w:ind w:left="189"/>
              <w:rPr>
                <w:sz w:val="18"/>
              </w:rPr>
            </w:pPr>
            <w:r>
              <w:rPr>
                <w:sz w:val="18"/>
              </w:rPr>
              <w:t>México</w:t>
            </w:r>
          </w:p>
        </w:tc>
        <w:tc>
          <w:tcPr>
            <w:tcW w:w="1330" w:type="dxa"/>
            <w:tcBorders>
              <w:top w:val="nil"/>
              <w:left w:val="nil"/>
              <w:bottom w:val="nil"/>
              <w:right w:val="nil"/>
            </w:tcBorders>
          </w:tcPr>
          <w:p>
            <w:pPr>
              <w:pStyle w:val="TableParagraph"/>
              <w:spacing w:line="206" w:lineRule="exact" w:before="0"/>
              <w:ind w:left="484" w:right="403"/>
              <w:rPr>
                <w:sz w:val="18"/>
              </w:rPr>
            </w:pPr>
            <w:r>
              <w:rPr>
                <w:sz w:val="18"/>
              </w:rPr>
              <w:t>2009</w:t>
            </w:r>
          </w:p>
        </w:tc>
        <w:tc>
          <w:tcPr>
            <w:tcW w:w="1450" w:type="dxa"/>
            <w:tcBorders>
              <w:top w:val="nil"/>
              <w:left w:val="nil"/>
              <w:bottom w:val="nil"/>
              <w:right w:val="nil"/>
            </w:tcBorders>
          </w:tcPr>
          <w:p>
            <w:pPr>
              <w:pStyle w:val="TableParagraph"/>
              <w:spacing w:line="206" w:lineRule="exact" w:before="0"/>
              <w:ind w:left="108" w:right="158"/>
              <w:rPr>
                <w:sz w:val="18"/>
              </w:rPr>
            </w:pPr>
            <w:r>
              <w:rPr>
                <w:sz w:val="18"/>
              </w:rPr>
              <w:t>C-2</w:t>
            </w:r>
          </w:p>
        </w:tc>
        <w:tc>
          <w:tcPr>
            <w:tcW w:w="2669" w:type="dxa"/>
            <w:tcBorders>
              <w:top w:val="nil"/>
              <w:left w:val="nil"/>
              <w:bottom w:val="nil"/>
              <w:right w:val="nil"/>
            </w:tcBorders>
          </w:tcPr>
          <w:p>
            <w:pPr>
              <w:pStyle w:val="TableParagraph"/>
              <w:spacing w:line="204" w:lineRule="exact" w:before="0"/>
              <w:ind w:left="161" w:right="204"/>
              <w:rPr>
                <w:sz w:val="18"/>
              </w:rPr>
            </w:pPr>
            <w:r>
              <w:rPr>
                <w:sz w:val="18"/>
              </w:rPr>
              <w:t>Morales-Erasto </w:t>
            </w:r>
            <w:r>
              <w:rPr>
                <w:i/>
                <w:sz w:val="18"/>
              </w:rPr>
              <w:t>et al.</w:t>
            </w:r>
            <w:r>
              <w:rPr>
                <w:sz w:val="18"/>
              </w:rPr>
              <w:t>, 2011</w:t>
            </w:r>
          </w:p>
        </w:tc>
      </w:tr>
      <w:tr>
        <w:trPr>
          <w:trHeight w:val="215" w:hRule="exact"/>
        </w:trPr>
        <w:tc>
          <w:tcPr>
            <w:tcW w:w="1519" w:type="dxa"/>
            <w:tcBorders>
              <w:top w:val="nil"/>
              <w:left w:val="nil"/>
              <w:bottom w:val="nil"/>
              <w:right w:val="nil"/>
            </w:tcBorders>
          </w:tcPr>
          <w:p>
            <w:pPr>
              <w:pStyle w:val="TableParagraph"/>
              <w:spacing w:line="205" w:lineRule="exact" w:before="0"/>
              <w:ind w:right="186"/>
              <w:rPr>
                <w:sz w:val="18"/>
              </w:rPr>
            </w:pPr>
            <w:r>
              <w:rPr>
                <w:sz w:val="18"/>
              </w:rPr>
              <w:t>ESV-184</w:t>
            </w:r>
          </w:p>
        </w:tc>
        <w:tc>
          <w:tcPr>
            <w:tcW w:w="1093" w:type="dxa"/>
            <w:tcBorders>
              <w:top w:val="nil"/>
              <w:left w:val="nil"/>
              <w:bottom w:val="nil"/>
              <w:right w:val="nil"/>
            </w:tcBorders>
          </w:tcPr>
          <w:p>
            <w:pPr>
              <w:pStyle w:val="TableParagraph"/>
              <w:spacing w:line="205" w:lineRule="exact" w:before="0"/>
              <w:ind w:left="189"/>
              <w:rPr>
                <w:sz w:val="18"/>
              </w:rPr>
            </w:pPr>
            <w:r>
              <w:rPr>
                <w:sz w:val="18"/>
              </w:rPr>
              <w:t>México</w:t>
            </w:r>
          </w:p>
        </w:tc>
        <w:tc>
          <w:tcPr>
            <w:tcW w:w="1330" w:type="dxa"/>
            <w:tcBorders>
              <w:top w:val="nil"/>
              <w:left w:val="nil"/>
              <w:bottom w:val="nil"/>
              <w:right w:val="nil"/>
            </w:tcBorders>
          </w:tcPr>
          <w:p>
            <w:pPr>
              <w:pStyle w:val="TableParagraph"/>
              <w:spacing w:line="205" w:lineRule="exact" w:before="0"/>
              <w:ind w:left="484" w:right="403"/>
              <w:rPr>
                <w:sz w:val="18"/>
              </w:rPr>
            </w:pPr>
            <w:r>
              <w:rPr>
                <w:sz w:val="18"/>
              </w:rPr>
              <w:t>2008</w:t>
            </w:r>
          </w:p>
        </w:tc>
        <w:tc>
          <w:tcPr>
            <w:tcW w:w="1450" w:type="dxa"/>
            <w:tcBorders>
              <w:top w:val="nil"/>
              <w:left w:val="nil"/>
              <w:bottom w:val="nil"/>
              <w:right w:val="nil"/>
            </w:tcBorders>
          </w:tcPr>
          <w:p>
            <w:pPr>
              <w:pStyle w:val="TableParagraph"/>
              <w:spacing w:line="205" w:lineRule="exact" w:before="0"/>
              <w:ind w:left="108" w:right="158"/>
              <w:rPr>
                <w:sz w:val="18"/>
              </w:rPr>
            </w:pPr>
            <w:r>
              <w:rPr>
                <w:sz w:val="18"/>
              </w:rPr>
              <w:t>B-1</w:t>
            </w:r>
          </w:p>
        </w:tc>
        <w:tc>
          <w:tcPr>
            <w:tcW w:w="2669" w:type="dxa"/>
            <w:tcBorders>
              <w:top w:val="nil"/>
              <w:left w:val="nil"/>
              <w:bottom w:val="nil"/>
              <w:right w:val="nil"/>
            </w:tcBorders>
          </w:tcPr>
          <w:p>
            <w:pPr>
              <w:pStyle w:val="TableParagraph"/>
              <w:spacing w:line="202" w:lineRule="exact" w:before="0"/>
              <w:ind w:left="161" w:right="204"/>
              <w:rPr>
                <w:sz w:val="18"/>
              </w:rPr>
            </w:pPr>
            <w:r>
              <w:rPr>
                <w:sz w:val="18"/>
              </w:rPr>
              <w:t>Morales-Erasto </w:t>
            </w:r>
            <w:r>
              <w:rPr>
                <w:i/>
                <w:sz w:val="18"/>
              </w:rPr>
              <w:t>et al.</w:t>
            </w:r>
            <w:r>
              <w:rPr>
                <w:sz w:val="18"/>
              </w:rPr>
              <w:t>, 2014</w:t>
            </w:r>
          </w:p>
        </w:tc>
      </w:tr>
      <w:tr>
        <w:trPr>
          <w:trHeight w:val="220" w:hRule="exact"/>
        </w:trPr>
        <w:tc>
          <w:tcPr>
            <w:tcW w:w="1519" w:type="dxa"/>
            <w:tcBorders>
              <w:top w:val="nil"/>
              <w:left w:val="nil"/>
              <w:bottom w:val="nil"/>
              <w:right w:val="nil"/>
            </w:tcBorders>
          </w:tcPr>
          <w:p>
            <w:pPr>
              <w:pStyle w:val="TableParagraph"/>
              <w:spacing w:line="206" w:lineRule="exact" w:before="0"/>
              <w:ind w:right="186"/>
              <w:rPr>
                <w:sz w:val="18"/>
              </w:rPr>
            </w:pPr>
            <w:r>
              <w:rPr>
                <w:sz w:val="18"/>
              </w:rPr>
              <w:t>ESV-226</w:t>
            </w:r>
          </w:p>
        </w:tc>
        <w:tc>
          <w:tcPr>
            <w:tcW w:w="1093" w:type="dxa"/>
            <w:tcBorders>
              <w:top w:val="nil"/>
              <w:left w:val="nil"/>
              <w:bottom w:val="nil"/>
              <w:right w:val="nil"/>
            </w:tcBorders>
          </w:tcPr>
          <w:p>
            <w:pPr>
              <w:pStyle w:val="TableParagraph"/>
              <w:spacing w:line="206" w:lineRule="exact" w:before="0"/>
              <w:ind w:left="189"/>
              <w:rPr>
                <w:sz w:val="18"/>
              </w:rPr>
            </w:pPr>
            <w:r>
              <w:rPr>
                <w:sz w:val="18"/>
              </w:rPr>
              <w:t>México</w:t>
            </w:r>
          </w:p>
        </w:tc>
        <w:tc>
          <w:tcPr>
            <w:tcW w:w="1330" w:type="dxa"/>
            <w:tcBorders>
              <w:top w:val="nil"/>
              <w:left w:val="nil"/>
              <w:bottom w:val="nil"/>
              <w:right w:val="nil"/>
            </w:tcBorders>
          </w:tcPr>
          <w:p>
            <w:pPr>
              <w:pStyle w:val="TableParagraph"/>
              <w:spacing w:line="206" w:lineRule="exact" w:before="0"/>
              <w:ind w:left="484" w:right="403"/>
              <w:rPr>
                <w:sz w:val="18"/>
              </w:rPr>
            </w:pPr>
            <w:r>
              <w:rPr>
                <w:sz w:val="18"/>
              </w:rPr>
              <w:t>2011</w:t>
            </w:r>
          </w:p>
        </w:tc>
        <w:tc>
          <w:tcPr>
            <w:tcW w:w="1450" w:type="dxa"/>
            <w:tcBorders>
              <w:top w:val="nil"/>
              <w:left w:val="nil"/>
              <w:bottom w:val="nil"/>
              <w:right w:val="nil"/>
            </w:tcBorders>
          </w:tcPr>
          <w:p>
            <w:pPr>
              <w:pStyle w:val="TableParagraph"/>
              <w:spacing w:line="206" w:lineRule="exact" w:before="0"/>
              <w:ind w:left="108" w:right="158"/>
              <w:rPr>
                <w:sz w:val="18"/>
              </w:rPr>
            </w:pPr>
            <w:r>
              <w:rPr>
                <w:sz w:val="18"/>
              </w:rPr>
              <w:t>A-1</w:t>
            </w:r>
          </w:p>
        </w:tc>
        <w:tc>
          <w:tcPr>
            <w:tcW w:w="2669" w:type="dxa"/>
            <w:tcBorders>
              <w:top w:val="nil"/>
              <w:left w:val="nil"/>
              <w:bottom w:val="nil"/>
              <w:right w:val="nil"/>
            </w:tcBorders>
          </w:tcPr>
          <w:p>
            <w:pPr>
              <w:pStyle w:val="TableParagraph"/>
              <w:spacing w:line="204" w:lineRule="exact" w:before="0"/>
              <w:ind w:left="161" w:right="206"/>
              <w:rPr>
                <w:sz w:val="18"/>
              </w:rPr>
            </w:pPr>
            <w:r>
              <w:rPr>
                <w:sz w:val="18"/>
              </w:rPr>
              <w:t>Morales-Erasto </w:t>
            </w:r>
            <w:r>
              <w:rPr>
                <w:i/>
                <w:sz w:val="18"/>
              </w:rPr>
              <w:t>et al.</w:t>
            </w:r>
            <w:r>
              <w:rPr>
                <w:sz w:val="18"/>
              </w:rPr>
              <w:t>, 2014b</w:t>
            </w:r>
          </w:p>
        </w:tc>
      </w:tr>
      <w:tr>
        <w:trPr>
          <w:trHeight w:val="227" w:hRule="exact"/>
        </w:trPr>
        <w:tc>
          <w:tcPr>
            <w:tcW w:w="1519" w:type="dxa"/>
            <w:tcBorders>
              <w:top w:val="nil"/>
              <w:left w:val="nil"/>
              <w:bottom w:val="nil"/>
              <w:right w:val="nil"/>
            </w:tcBorders>
          </w:tcPr>
          <w:p>
            <w:pPr>
              <w:pStyle w:val="TableParagraph"/>
              <w:spacing w:before="2"/>
              <w:ind w:right="186"/>
              <w:rPr>
                <w:sz w:val="18"/>
              </w:rPr>
            </w:pPr>
            <w:r>
              <w:rPr>
                <w:sz w:val="18"/>
              </w:rPr>
              <w:t>ESV-240</w:t>
            </w:r>
          </w:p>
        </w:tc>
        <w:tc>
          <w:tcPr>
            <w:tcW w:w="1093" w:type="dxa"/>
            <w:tcBorders>
              <w:top w:val="nil"/>
              <w:left w:val="nil"/>
              <w:bottom w:val="nil"/>
              <w:right w:val="nil"/>
            </w:tcBorders>
          </w:tcPr>
          <w:p>
            <w:pPr>
              <w:pStyle w:val="TableParagraph"/>
              <w:spacing w:before="2"/>
              <w:ind w:left="189"/>
              <w:rPr>
                <w:sz w:val="18"/>
              </w:rPr>
            </w:pPr>
            <w:r>
              <w:rPr>
                <w:sz w:val="18"/>
              </w:rPr>
              <w:t>México</w:t>
            </w:r>
          </w:p>
        </w:tc>
        <w:tc>
          <w:tcPr>
            <w:tcW w:w="1330" w:type="dxa"/>
            <w:tcBorders>
              <w:top w:val="nil"/>
              <w:left w:val="nil"/>
              <w:bottom w:val="nil"/>
              <w:right w:val="nil"/>
            </w:tcBorders>
          </w:tcPr>
          <w:p>
            <w:pPr>
              <w:pStyle w:val="TableParagraph"/>
              <w:spacing w:before="2"/>
              <w:ind w:left="484" w:right="403"/>
              <w:rPr>
                <w:sz w:val="18"/>
              </w:rPr>
            </w:pPr>
            <w:r>
              <w:rPr>
                <w:sz w:val="18"/>
              </w:rPr>
              <w:t>2010</w:t>
            </w:r>
          </w:p>
        </w:tc>
        <w:tc>
          <w:tcPr>
            <w:tcW w:w="1450" w:type="dxa"/>
            <w:tcBorders>
              <w:top w:val="nil"/>
              <w:left w:val="nil"/>
              <w:bottom w:val="nil"/>
              <w:right w:val="nil"/>
            </w:tcBorders>
          </w:tcPr>
          <w:p>
            <w:pPr>
              <w:pStyle w:val="TableParagraph"/>
              <w:spacing w:before="2"/>
              <w:ind w:left="108" w:right="158"/>
              <w:rPr>
                <w:sz w:val="18"/>
              </w:rPr>
            </w:pPr>
            <w:r>
              <w:rPr>
                <w:sz w:val="18"/>
              </w:rPr>
              <w:t>A-1</w:t>
            </w:r>
          </w:p>
        </w:tc>
        <w:tc>
          <w:tcPr>
            <w:tcW w:w="2669" w:type="dxa"/>
            <w:tcBorders>
              <w:top w:val="nil"/>
              <w:left w:val="nil"/>
              <w:bottom w:val="nil"/>
              <w:right w:val="nil"/>
            </w:tcBorders>
          </w:tcPr>
          <w:p>
            <w:pPr>
              <w:pStyle w:val="TableParagraph"/>
              <w:spacing w:before="0"/>
              <w:ind w:left="161" w:right="206"/>
              <w:rPr>
                <w:sz w:val="18"/>
              </w:rPr>
            </w:pPr>
            <w:r>
              <w:rPr>
                <w:sz w:val="18"/>
              </w:rPr>
              <w:t>Morales-Erasto </w:t>
            </w:r>
            <w:r>
              <w:rPr>
                <w:i/>
                <w:sz w:val="18"/>
              </w:rPr>
              <w:t>et al.</w:t>
            </w:r>
            <w:r>
              <w:rPr>
                <w:sz w:val="18"/>
              </w:rPr>
              <w:t>, 2014b</w:t>
            </w:r>
          </w:p>
        </w:tc>
      </w:tr>
      <w:tr>
        <w:trPr>
          <w:trHeight w:val="230" w:hRule="exact"/>
        </w:trPr>
        <w:tc>
          <w:tcPr>
            <w:tcW w:w="1519" w:type="dxa"/>
            <w:tcBorders>
              <w:top w:val="nil"/>
              <w:left w:val="nil"/>
              <w:bottom w:val="nil"/>
              <w:right w:val="nil"/>
            </w:tcBorders>
          </w:tcPr>
          <w:p>
            <w:pPr>
              <w:pStyle w:val="TableParagraph"/>
              <w:ind w:right="186"/>
              <w:rPr>
                <w:sz w:val="18"/>
              </w:rPr>
            </w:pPr>
            <w:r>
              <w:rPr>
                <w:sz w:val="18"/>
              </w:rPr>
              <w:t>ESV-244</w:t>
            </w:r>
          </w:p>
        </w:tc>
        <w:tc>
          <w:tcPr>
            <w:tcW w:w="1093" w:type="dxa"/>
            <w:tcBorders>
              <w:top w:val="nil"/>
              <w:left w:val="nil"/>
              <w:bottom w:val="nil"/>
              <w:right w:val="nil"/>
            </w:tcBorders>
          </w:tcPr>
          <w:p>
            <w:pPr>
              <w:pStyle w:val="TableParagraph"/>
              <w:ind w:left="189"/>
              <w:rPr>
                <w:sz w:val="18"/>
              </w:rPr>
            </w:pPr>
            <w:r>
              <w:rPr>
                <w:sz w:val="18"/>
              </w:rPr>
              <w:t>México</w:t>
            </w:r>
          </w:p>
        </w:tc>
        <w:tc>
          <w:tcPr>
            <w:tcW w:w="1330" w:type="dxa"/>
            <w:tcBorders>
              <w:top w:val="nil"/>
              <w:left w:val="nil"/>
              <w:bottom w:val="nil"/>
              <w:right w:val="nil"/>
            </w:tcBorders>
          </w:tcPr>
          <w:p>
            <w:pPr>
              <w:pStyle w:val="TableParagraph"/>
              <w:ind w:left="484" w:right="403"/>
              <w:rPr>
                <w:sz w:val="18"/>
              </w:rPr>
            </w:pPr>
            <w:r>
              <w:rPr>
                <w:sz w:val="18"/>
              </w:rPr>
              <w:t>2010</w:t>
            </w:r>
          </w:p>
        </w:tc>
        <w:tc>
          <w:tcPr>
            <w:tcW w:w="1450" w:type="dxa"/>
            <w:tcBorders>
              <w:top w:val="nil"/>
              <w:left w:val="nil"/>
              <w:bottom w:val="nil"/>
              <w:right w:val="nil"/>
            </w:tcBorders>
          </w:tcPr>
          <w:p>
            <w:pPr>
              <w:pStyle w:val="TableParagraph"/>
              <w:ind w:left="108" w:right="158"/>
              <w:rPr>
                <w:sz w:val="18"/>
              </w:rPr>
            </w:pPr>
            <w:r>
              <w:rPr>
                <w:sz w:val="18"/>
              </w:rPr>
              <w:t>A-1</w:t>
            </w:r>
          </w:p>
        </w:tc>
        <w:tc>
          <w:tcPr>
            <w:tcW w:w="2669" w:type="dxa"/>
            <w:tcBorders>
              <w:top w:val="nil"/>
              <w:left w:val="nil"/>
              <w:bottom w:val="nil"/>
              <w:right w:val="nil"/>
            </w:tcBorders>
          </w:tcPr>
          <w:p>
            <w:pPr>
              <w:pStyle w:val="TableParagraph"/>
              <w:spacing w:before="4"/>
              <w:ind w:left="161" w:right="206"/>
              <w:rPr>
                <w:sz w:val="18"/>
              </w:rPr>
            </w:pPr>
            <w:r>
              <w:rPr>
                <w:sz w:val="18"/>
              </w:rPr>
              <w:t>Morales-Erasto </w:t>
            </w:r>
            <w:r>
              <w:rPr>
                <w:i/>
                <w:sz w:val="18"/>
              </w:rPr>
              <w:t>et al.</w:t>
            </w:r>
            <w:r>
              <w:rPr>
                <w:sz w:val="18"/>
              </w:rPr>
              <w:t>, 2014b</w:t>
            </w:r>
          </w:p>
        </w:tc>
      </w:tr>
      <w:tr>
        <w:trPr>
          <w:trHeight w:val="232" w:hRule="exact"/>
        </w:trPr>
        <w:tc>
          <w:tcPr>
            <w:tcW w:w="1519" w:type="dxa"/>
            <w:tcBorders>
              <w:top w:val="nil"/>
              <w:left w:val="nil"/>
              <w:bottom w:val="nil"/>
              <w:right w:val="nil"/>
            </w:tcBorders>
          </w:tcPr>
          <w:p>
            <w:pPr>
              <w:pStyle w:val="TableParagraph"/>
              <w:ind w:right="186"/>
              <w:rPr>
                <w:sz w:val="18"/>
              </w:rPr>
            </w:pPr>
            <w:r>
              <w:rPr>
                <w:sz w:val="18"/>
              </w:rPr>
              <w:t>ESV-346</w:t>
            </w:r>
          </w:p>
        </w:tc>
        <w:tc>
          <w:tcPr>
            <w:tcW w:w="1093" w:type="dxa"/>
            <w:tcBorders>
              <w:top w:val="nil"/>
              <w:left w:val="nil"/>
              <w:bottom w:val="nil"/>
              <w:right w:val="nil"/>
            </w:tcBorders>
          </w:tcPr>
          <w:p>
            <w:pPr>
              <w:pStyle w:val="TableParagraph"/>
              <w:ind w:left="189"/>
              <w:rPr>
                <w:sz w:val="18"/>
              </w:rPr>
            </w:pPr>
            <w:r>
              <w:rPr>
                <w:sz w:val="18"/>
              </w:rPr>
              <w:t>México</w:t>
            </w:r>
          </w:p>
        </w:tc>
        <w:tc>
          <w:tcPr>
            <w:tcW w:w="1330" w:type="dxa"/>
            <w:tcBorders>
              <w:top w:val="nil"/>
              <w:left w:val="nil"/>
              <w:bottom w:val="nil"/>
              <w:right w:val="nil"/>
            </w:tcBorders>
          </w:tcPr>
          <w:p>
            <w:pPr>
              <w:pStyle w:val="TableParagraph"/>
              <w:ind w:left="484" w:right="403"/>
              <w:rPr>
                <w:sz w:val="18"/>
              </w:rPr>
            </w:pPr>
            <w:r>
              <w:rPr>
                <w:sz w:val="18"/>
              </w:rPr>
              <w:t>2012</w:t>
            </w:r>
          </w:p>
        </w:tc>
        <w:tc>
          <w:tcPr>
            <w:tcW w:w="1450" w:type="dxa"/>
            <w:tcBorders>
              <w:top w:val="nil"/>
              <w:left w:val="nil"/>
              <w:bottom w:val="nil"/>
              <w:right w:val="nil"/>
            </w:tcBorders>
          </w:tcPr>
          <w:p>
            <w:pPr>
              <w:pStyle w:val="TableParagraph"/>
              <w:ind w:left="108" w:right="158"/>
              <w:rPr>
                <w:sz w:val="18"/>
              </w:rPr>
            </w:pPr>
            <w:r>
              <w:rPr>
                <w:sz w:val="18"/>
              </w:rPr>
              <w:t>C-1</w:t>
            </w:r>
          </w:p>
        </w:tc>
        <w:tc>
          <w:tcPr>
            <w:tcW w:w="2669" w:type="dxa"/>
            <w:tcBorders>
              <w:top w:val="nil"/>
              <w:left w:val="nil"/>
              <w:bottom w:val="nil"/>
              <w:right w:val="nil"/>
            </w:tcBorders>
          </w:tcPr>
          <w:p>
            <w:pPr>
              <w:pStyle w:val="TableParagraph"/>
              <w:spacing w:before="4"/>
              <w:ind w:left="161" w:right="206"/>
              <w:rPr>
                <w:sz w:val="18"/>
              </w:rPr>
            </w:pPr>
            <w:r>
              <w:rPr>
                <w:sz w:val="18"/>
              </w:rPr>
              <w:t>Morales-Erasto </w:t>
            </w:r>
            <w:r>
              <w:rPr>
                <w:i/>
                <w:sz w:val="18"/>
              </w:rPr>
              <w:t>et al.</w:t>
            </w:r>
            <w:r>
              <w:rPr>
                <w:sz w:val="18"/>
              </w:rPr>
              <w:t>, 2014b</w:t>
            </w:r>
          </w:p>
        </w:tc>
      </w:tr>
      <w:tr>
        <w:trPr>
          <w:trHeight w:val="232" w:hRule="exact"/>
        </w:trPr>
        <w:tc>
          <w:tcPr>
            <w:tcW w:w="1519" w:type="dxa"/>
            <w:tcBorders>
              <w:top w:val="nil"/>
              <w:left w:val="nil"/>
              <w:bottom w:val="nil"/>
              <w:right w:val="nil"/>
            </w:tcBorders>
          </w:tcPr>
          <w:p>
            <w:pPr>
              <w:pStyle w:val="TableParagraph"/>
              <w:spacing w:before="7"/>
              <w:rPr>
                <w:sz w:val="18"/>
              </w:rPr>
            </w:pPr>
            <w:r>
              <w:rPr>
                <w:sz w:val="18"/>
              </w:rPr>
              <w:t>Lavetec 01</w:t>
            </w:r>
          </w:p>
        </w:tc>
        <w:tc>
          <w:tcPr>
            <w:tcW w:w="1093" w:type="dxa"/>
            <w:tcBorders>
              <w:top w:val="nil"/>
              <w:left w:val="nil"/>
              <w:bottom w:val="nil"/>
              <w:right w:val="nil"/>
            </w:tcBorders>
          </w:tcPr>
          <w:p>
            <w:pPr>
              <w:pStyle w:val="TableParagraph"/>
              <w:spacing w:before="7"/>
              <w:ind w:left="191"/>
              <w:rPr>
                <w:sz w:val="18"/>
              </w:rPr>
            </w:pPr>
            <w:r>
              <w:rPr>
                <w:sz w:val="18"/>
              </w:rPr>
              <w:t>Ecuador</w:t>
            </w:r>
          </w:p>
        </w:tc>
        <w:tc>
          <w:tcPr>
            <w:tcW w:w="1330" w:type="dxa"/>
            <w:tcBorders>
              <w:top w:val="nil"/>
              <w:left w:val="nil"/>
              <w:bottom w:val="nil"/>
              <w:right w:val="nil"/>
            </w:tcBorders>
          </w:tcPr>
          <w:p>
            <w:pPr>
              <w:pStyle w:val="TableParagraph"/>
              <w:spacing w:before="7"/>
              <w:ind w:left="484" w:right="404"/>
              <w:rPr>
                <w:sz w:val="18"/>
              </w:rPr>
            </w:pPr>
            <w:r>
              <w:rPr>
                <w:sz w:val="18"/>
              </w:rPr>
              <w:t>2001</w:t>
            </w:r>
          </w:p>
        </w:tc>
        <w:tc>
          <w:tcPr>
            <w:tcW w:w="1450" w:type="dxa"/>
            <w:tcBorders>
              <w:top w:val="nil"/>
              <w:left w:val="nil"/>
              <w:bottom w:val="nil"/>
              <w:right w:val="nil"/>
            </w:tcBorders>
          </w:tcPr>
          <w:p>
            <w:pPr>
              <w:pStyle w:val="TableParagraph"/>
              <w:spacing w:before="7"/>
              <w:ind w:left="108" w:right="158"/>
              <w:rPr>
                <w:sz w:val="18"/>
              </w:rPr>
            </w:pPr>
            <w:r>
              <w:rPr>
                <w:sz w:val="18"/>
              </w:rPr>
              <w:t>B-1</w:t>
            </w:r>
          </w:p>
        </w:tc>
        <w:tc>
          <w:tcPr>
            <w:tcW w:w="2669" w:type="dxa"/>
            <w:tcBorders>
              <w:top w:val="nil"/>
              <w:left w:val="nil"/>
              <w:bottom w:val="nil"/>
              <w:right w:val="nil"/>
            </w:tcBorders>
          </w:tcPr>
          <w:p>
            <w:pPr>
              <w:pStyle w:val="TableParagraph"/>
              <w:spacing w:before="5"/>
              <w:ind w:left="161" w:right="204"/>
              <w:rPr>
                <w:sz w:val="18"/>
              </w:rPr>
            </w:pPr>
            <w:r>
              <w:rPr>
                <w:sz w:val="18"/>
              </w:rPr>
              <w:t>Cabrera </w:t>
            </w:r>
            <w:r>
              <w:rPr>
                <w:i/>
                <w:sz w:val="18"/>
              </w:rPr>
              <w:t>et al.</w:t>
            </w:r>
            <w:r>
              <w:rPr>
                <w:sz w:val="18"/>
              </w:rPr>
              <w:t>, 2011</w:t>
            </w:r>
          </w:p>
        </w:tc>
      </w:tr>
      <w:tr>
        <w:trPr>
          <w:trHeight w:val="231" w:hRule="exact"/>
        </w:trPr>
        <w:tc>
          <w:tcPr>
            <w:tcW w:w="1519" w:type="dxa"/>
            <w:tcBorders>
              <w:top w:val="nil"/>
              <w:left w:val="nil"/>
              <w:bottom w:val="nil"/>
              <w:right w:val="nil"/>
            </w:tcBorders>
          </w:tcPr>
          <w:p>
            <w:pPr>
              <w:pStyle w:val="TableParagraph"/>
              <w:rPr>
                <w:sz w:val="18"/>
              </w:rPr>
            </w:pPr>
            <w:r>
              <w:rPr>
                <w:sz w:val="18"/>
              </w:rPr>
              <w:t>Lavetec 02</w:t>
            </w:r>
          </w:p>
        </w:tc>
        <w:tc>
          <w:tcPr>
            <w:tcW w:w="1093" w:type="dxa"/>
            <w:tcBorders>
              <w:top w:val="nil"/>
              <w:left w:val="nil"/>
              <w:bottom w:val="nil"/>
              <w:right w:val="nil"/>
            </w:tcBorders>
          </w:tcPr>
          <w:p>
            <w:pPr>
              <w:pStyle w:val="TableParagraph"/>
              <w:ind w:left="191"/>
              <w:rPr>
                <w:sz w:val="18"/>
              </w:rPr>
            </w:pPr>
            <w:r>
              <w:rPr>
                <w:sz w:val="18"/>
              </w:rPr>
              <w:t>Ecuador</w:t>
            </w:r>
          </w:p>
        </w:tc>
        <w:tc>
          <w:tcPr>
            <w:tcW w:w="1330" w:type="dxa"/>
            <w:tcBorders>
              <w:top w:val="nil"/>
              <w:left w:val="nil"/>
              <w:bottom w:val="nil"/>
              <w:right w:val="nil"/>
            </w:tcBorders>
          </w:tcPr>
          <w:p>
            <w:pPr>
              <w:pStyle w:val="TableParagraph"/>
              <w:ind w:left="78" w:right="0"/>
              <w:rPr>
                <w:sz w:val="18"/>
              </w:rPr>
            </w:pPr>
            <w:r>
              <w:rPr>
                <w:w w:val="99"/>
                <w:sz w:val="18"/>
              </w:rPr>
              <w:t>-</w:t>
            </w:r>
          </w:p>
        </w:tc>
        <w:tc>
          <w:tcPr>
            <w:tcW w:w="1450" w:type="dxa"/>
            <w:tcBorders>
              <w:top w:val="nil"/>
              <w:left w:val="nil"/>
              <w:bottom w:val="nil"/>
              <w:right w:val="nil"/>
            </w:tcBorders>
          </w:tcPr>
          <w:p>
            <w:pPr>
              <w:pStyle w:val="TableParagraph"/>
              <w:ind w:left="108" w:right="158"/>
              <w:rPr>
                <w:sz w:val="18"/>
              </w:rPr>
            </w:pPr>
            <w:r>
              <w:rPr>
                <w:sz w:val="18"/>
              </w:rPr>
              <w:t>A-3</w:t>
            </w:r>
          </w:p>
        </w:tc>
        <w:tc>
          <w:tcPr>
            <w:tcW w:w="2669" w:type="dxa"/>
            <w:tcBorders>
              <w:top w:val="nil"/>
              <w:left w:val="nil"/>
              <w:bottom w:val="nil"/>
              <w:right w:val="nil"/>
            </w:tcBorders>
          </w:tcPr>
          <w:p>
            <w:pPr>
              <w:pStyle w:val="TableParagraph"/>
              <w:spacing w:before="4"/>
              <w:ind w:left="161" w:right="206"/>
              <w:rPr>
                <w:sz w:val="18"/>
              </w:rPr>
            </w:pPr>
            <w:r>
              <w:rPr>
                <w:sz w:val="18"/>
              </w:rPr>
              <w:t>Morales-Erasto </w:t>
            </w:r>
            <w:r>
              <w:rPr>
                <w:i/>
                <w:sz w:val="18"/>
              </w:rPr>
              <w:t>et al.</w:t>
            </w:r>
            <w:r>
              <w:rPr>
                <w:sz w:val="18"/>
              </w:rPr>
              <w:t>, 2014b</w:t>
            </w:r>
          </w:p>
        </w:tc>
      </w:tr>
      <w:tr>
        <w:trPr>
          <w:trHeight w:val="227" w:hRule="exact"/>
        </w:trPr>
        <w:tc>
          <w:tcPr>
            <w:tcW w:w="1519" w:type="dxa"/>
            <w:tcBorders>
              <w:top w:val="nil"/>
              <w:left w:val="nil"/>
              <w:bottom w:val="nil"/>
              <w:right w:val="nil"/>
            </w:tcBorders>
          </w:tcPr>
          <w:p>
            <w:pPr>
              <w:pStyle w:val="TableParagraph"/>
              <w:rPr>
                <w:sz w:val="18"/>
              </w:rPr>
            </w:pPr>
            <w:r>
              <w:rPr>
                <w:sz w:val="18"/>
              </w:rPr>
              <w:t>Lavetec 04</w:t>
            </w:r>
          </w:p>
        </w:tc>
        <w:tc>
          <w:tcPr>
            <w:tcW w:w="1093" w:type="dxa"/>
            <w:tcBorders>
              <w:top w:val="nil"/>
              <w:left w:val="nil"/>
              <w:bottom w:val="nil"/>
              <w:right w:val="nil"/>
            </w:tcBorders>
          </w:tcPr>
          <w:p>
            <w:pPr>
              <w:pStyle w:val="TableParagraph"/>
              <w:ind w:left="191"/>
              <w:rPr>
                <w:sz w:val="18"/>
              </w:rPr>
            </w:pPr>
            <w:r>
              <w:rPr>
                <w:sz w:val="18"/>
              </w:rPr>
              <w:t>Ecuador</w:t>
            </w:r>
          </w:p>
        </w:tc>
        <w:tc>
          <w:tcPr>
            <w:tcW w:w="1330" w:type="dxa"/>
            <w:tcBorders>
              <w:top w:val="nil"/>
              <w:left w:val="nil"/>
              <w:bottom w:val="nil"/>
              <w:right w:val="nil"/>
            </w:tcBorders>
          </w:tcPr>
          <w:p>
            <w:pPr>
              <w:pStyle w:val="TableParagraph"/>
              <w:ind w:left="78" w:right="0"/>
              <w:rPr>
                <w:sz w:val="18"/>
              </w:rPr>
            </w:pPr>
            <w:r>
              <w:rPr>
                <w:w w:val="99"/>
                <w:sz w:val="18"/>
              </w:rPr>
              <w:t>-</w:t>
            </w:r>
          </w:p>
        </w:tc>
        <w:tc>
          <w:tcPr>
            <w:tcW w:w="1450" w:type="dxa"/>
            <w:tcBorders>
              <w:top w:val="nil"/>
              <w:left w:val="nil"/>
              <w:bottom w:val="nil"/>
              <w:right w:val="nil"/>
            </w:tcBorders>
          </w:tcPr>
          <w:p>
            <w:pPr>
              <w:pStyle w:val="TableParagraph"/>
              <w:ind w:left="108" w:right="158"/>
              <w:rPr>
                <w:sz w:val="18"/>
              </w:rPr>
            </w:pPr>
            <w:r>
              <w:rPr>
                <w:sz w:val="18"/>
              </w:rPr>
              <w:t>A-3</w:t>
            </w:r>
          </w:p>
        </w:tc>
        <w:tc>
          <w:tcPr>
            <w:tcW w:w="2669" w:type="dxa"/>
            <w:tcBorders>
              <w:top w:val="nil"/>
              <w:left w:val="nil"/>
              <w:bottom w:val="nil"/>
              <w:right w:val="nil"/>
            </w:tcBorders>
          </w:tcPr>
          <w:p>
            <w:pPr>
              <w:pStyle w:val="TableParagraph"/>
              <w:spacing w:before="4"/>
              <w:ind w:left="161" w:right="206"/>
              <w:rPr>
                <w:sz w:val="18"/>
              </w:rPr>
            </w:pPr>
            <w:r>
              <w:rPr>
                <w:sz w:val="18"/>
              </w:rPr>
              <w:t>Morales-Erasto </w:t>
            </w:r>
            <w:r>
              <w:rPr>
                <w:i/>
                <w:sz w:val="18"/>
              </w:rPr>
              <w:t>et al.</w:t>
            </w:r>
            <w:r>
              <w:rPr>
                <w:sz w:val="18"/>
              </w:rPr>
              <w:t>, 2014b</w:t>
            </w:r>
          </w:p>
        </w:tc>
      </w:tr>
      <w:tr>
        <w:trPr>
          <w:trHeight w:val="227" w:hRule="exact"/>
        </w:trPr>
        <w:tc>
          <w:tcPr>
            <w:tcW w:w="1519" w:type="dxa"/>
            <w:tcBorders>
              <w:top w:val="nil"/>
              <w:left w:val="nil"/>
              <w:bottom w:val="nil"/>
              <w:right w:val="nil"/>
            </w:tcBorders>
          </w:tcPr>
          <w:p>
            <w:pPr>
              <w:pStyle w:val="TableParagraph"/>
              <w:spacing w:before="2"/>
              <w:rPr>
                <w:sz w:val="18"/>
              </w:rPr>
            </w:pPr>
            <w:r>
              <w:rPr>
                <w:sz w:val="18"/>
              </w:rPr>
              <w:t>Lavetec 11</w:t>
            </w:r>
          </w:p>
        </w:tc>
        <w:tc>
          <w:tcPr>
            <w:tcW w:w="1093" w:type="dxa"/>
            <w:tcBorders>
              <w:top w:val="nil"/>
              <w:left w:val="nil"/>
              <w:bottom w:val="nil"/>
              <w:right w:val="nil"/>
            </w:tcBorders>
          </w:tcPr>
          <w:p>
            <w:pPr>
              <w:pStyle w:val="TableParagraph"/>
              <w:spacing w:before="2"/>
              <w:ind w:left="191"/>
              <w:rPr>
                <w:sz w:val="18"/>
              </w:rPr>
            </w:pPr>
            <w:r>
              <w:rPr>
                <w:sz w:val="18"/>
              </w:rPr>
              <w:t>Ecuador</w:t>
            </w:r>
          </w:p>
        </w:tc>
        <w:tc>
          <w:tcPr>
            <w:tcW w:w="1330" w:type="dxa"/>
            <w:tcBorders>
              <w:top w:val="nil"/>
              <w:left w:val="nil"/>
              <w:bottom w:val="nil"/>
              <w:right w:val="nil"/>
            </w:tcBorders>
          </w:tcPr>
          <w:p>
            <w:pPr>
              <w:pStyle w:val="TableParagraph"/>
              <w:spacing w:before="2"/>
              <w:ind w:left="78" w:right="0"/>
              <w:rPr>
                <w:sz w:val="18"/>
              </w:rPr>
            </w:pPr>
            <w:r>
              <w:rPr>
                <w:w w:val="99"/>
                <w:sz w:val="18"/>
              </w:rPr>
              <w:t>-</w:t>
            </w:r>
          </w:p>
        </w:tc>
        <w:tc>
          <w:tcPr>
            <w:tcW w:w="1450" w:type="dxa"/>
            <w:tcBorders>
              <w:top w:val="nil"/>
              <w:left w:val="nil"/>
              <w:bottom w:val="nil"/>
              <w:right w:val="nil"/>
            </w:tcBorders>
          </w:tcPr>
          <w:p>
            <w:pPr>
              <w:pStyle w:val="TableParagraph"/>
              <w:spacing w:before="2"/>
              <w:ind w:left="108" w:right="158"/>
              <w:rPr>
                <w:sz w:val="18"/>
              </w:rPr>
            </w:pPr>
            <w:r>
              <w:rPr>
                <w:sz w:val="18"/>
              </w:rPr>
              <w:t>A-3</w:t>
            </w:r>
          </w:p>
        </w:tc>
        <w:tc>
          <w:tcPr>
            <w:tcW w:w="2669" w:type="dxa"/>
            <w:tcBorders>
              <w:top w:val="nil"/>
              <w:left w:val="nil"/>
              <w:bottom w:val="nil"/>
              <w:right w:val="nil"/>
            </w:tcBorders>
          </w:tcPr>
          <w:p>
            <w:pPr>
              <w:pStyle w:val="TableParagraph"/>
              <w:spacing w:before="0"/>
              <w:ind w:left="161" w:right="206"/>
              <w:rPr>
                <w:sz w:val="18"/>
              </w:rPr>
            </w:pPr>
            <w:r>
              <w:rPr>
                <w:sz w:val="18"/>
              </w:rPr>
              <w:t>Morales-Erasto </w:t>
            </w:r>
            <w:r>
              <w:rPr>
                <w:i/>
                <w:sz w:val="18"/>
              </w:rPr>
              <w:t>et al.</w:t>
            </w:r>
            <w:r>
              <w:rPr>
                <w:sz w:val="18"/>
              </w:rPr>
              <w:t>, 2014b</w:t>
            </w:r>
          </w:p>
        </w:tc>
      </w:tr>
      <w:tr>
        <w:trPr>
          <w:trHeight w:val="235" w:hRule="exact"/>
        </w:trPr>
        <w:tc>
          <w:tcPr>
            <w:tcW w:w="1519" w:type="dxa"/>
            <w:tcBorders>
              <w:top w:val="nil"/>
              <w:left w:val="nil"/>
              <w:bottom w:val="nil"/>
              <w:right w:val="nil"/>
            </w:tcBorders>
          </w:tcPr>
          <w:p>
            <w:pPr>
              <w:pStyle w:val="TableParagraph"/>
              <w:rPr>
                <w:sz w:val="18"/>
              </w:rPr>
            </w:pPr>
            <w:r>
              <w:rPr>
                <w:sz w:val="18"/>
              </w:rPr>
              <w:t>Lavetec 13</w:t>
            </w:r>
          </w:p>
        </w:tc>
        <w:tc>
          <w:tcPr>
            <w:tcW w:w="1093" w:type="dxa"/>
            <w:tcBorders>
              <w:top w:val="nil"/>
              <w:left w:val="nil"/>
              <w:bottom w:val="nil"/>
              <w:right w:val="nil"/>
            </w:tcBorders>
          </w:tcPr>
          <w:p>
            <w:pPr>
              <w:pStyle w:val="TableParagraph"/>
              <w:ind w:left="191"/>
              <w:rPr>
                <w:sz w:val="18"/>
              </w:rPr>
            </w:pPr>
            <w:r>
              <w:rPr>
                <w:sz w:val="18"/>
              </w:rPr>
              <w:t>Ecuador</w:t>
            </w:r>
          </w:p>
        </w:tc>
        <w:tc>
          <w:tcPr>
            <w:tcW w:w="1330" w:type="dxa"/>
            <w:tcBorders>
              <w:top w:val="nil"/>
              <w:left w:val="nil"/>
              <w:bottom w:val="nil"/>
              <w:right w:val="nil"/>
            </w:tcBorders>
          </w:tcPr>
          <w:p>
            <w:pPr>
              <w:pStyle w:val="TableParagraph"/>
              <w:ind w:left="484" w:right="403"/>
              <w:rPr>
                <w:sz w:val="18"/>
              </w:rPr>
            </w:pPr>
            <w:r>
              <w:rPr>
                <w:sz w:val="18"/>
              </w:rPr>
              <w:t>2001</w:t>
            </w:r>
          </w:p>
        </w:tc>
        <w:tc>
          <w:tcPr>
            <w:tcW w:w="1450" w:type="dxa"/>
            <w:tcBorders>
              <w:top w:val="nil"/>
              <w:left w:val="nil"/>
              <w:bottom w:val="nil"/>
              <w:right w:val="nil"/>
            </w:tcBorders>
          </w:tcPr>
          <w:p>
            <w:pPr>
              <w:pStyle w:val="TableParagraph"/>
              <w:ind w:left="108" w:right="158"/>
              <w:rPr>
                <w:sz w:val="18"/>
              </w:rPr>
            </w:pPr>
            <w:r>
              <w:rPr>
                <w:sz w:val="18"/>
              </w:rPr>
              <w:t>B-1</w:t>
            </w:r>
          </w:p>
        </w:tc>
        <w:tc>
          <w:tcPr>
            <w:tcW w:w="2669" w:type="dxa"/>
            <w:tcBorders>
              <w:top w:val="nil"/>
              <w:left w:val="nil"/>
              <w:bottom w:val="nil"/>
              <w:right w:val="nil"/>
            </w:tcBorders>
          </w:tcPr>
          <w:p>
            <w:pPr>
              <w:pStyle w:val="TableParagraph"/>
              <w:spacing w:before="4"/>
              <w:ind w:left="161" w:right="204"/>
              <w:rPr>
                <w:sz w:val="18"/>
              </w:rPr>
            </w:pPr>
            <w:r>
              <w:rPr>
                <w:sz w:val="18"/>
              </w:rPr>
              <w:t>Cabrera </w:t>
            </w:r>
            <w:r>
              <w:rPr>
                <w:i/>
                <w:sz w:val="18"/>
              </w:rPr>
              <w:t>et al.</w:t>
            </w:r>
            <w:r>
              <w:rPr>
                <w:sz w:val="18"/>
              </w:rPr>
              <w:t>, 2011</w:t>
            </w:r>
          </w:p>
        </w:tc>
      </w:tr>
      <w:tr>
        <w:trPr>
          <w:trHeight w:val="235" w:hRule="exact"/>
        </w:trPr>
        <w:tc>
          <w:tcPr>
            <w:tcW w:w="1519" w:type="dxa"/>
            <w:tcBorders>
              <w:top w:val="nil"/>
              <w:left w:val="nil"/>
              <w:bottom w:val="nil"/>
              <w:right w:val="nil"/>
            </w:tcBorders>
          </w:tcPr>
          <w:p>
            <w:pPr>
              <w:pStyle w:val="TableParagraph"/>
              <w:spacing w:before="11"/>
              <w:rPr>
                <w:sz w:val="18"/>
              </w:rPr>
            </w:pPr>
            <w:r>
              <w:rPr>
                <w:sz w:val="18"/>
              </w:rPr>
              <w:t>Lavetec 16</w:t>
            </w:r>
          </w:p>
        </w:tc>
        <w:tc>
          <w:tcPr>
            <w:tcW w:w="1093" w:type="dxa"/>
            <w:tcBorders>
              <w:top w:val="nil"/>
              <w:left w:val="nil"/>
              <w:bottom w:val="nil"/>
              <w:right w:val="nil"/>
            </w:tcBorders>
          </w:tcPr>
          <w:p>
            <w:pPr>
              <w:pStyle w:val="TableParagraph"/>
              <w:spacing w:before="11"/>
              <w:ind w:left="191" w:right="189"/>
              <w:rPr>
                <w:sz w:val="18"/>
              </w:rPr>
            </w:pPr>
            <w:r>
              <w:rPr>
                <w:sz w:val="18"/>
              </w:rPr>
              <w:t>Ecuador</w:t>
            </w:r>
          </w:p>
        </w:tc>
        <w:tc>
          <w:tcPr>
            <w:tcW w:w="1330" w:type="dxa"/>
            <w:tcBorders>
              <w:top w:val="nil"/>
              <w:left w:val="nil"/>
              <w:bottom w:val="nil"/>
              <w:right w:val="nil"/>
            </w:tcBorders>
          </w:tcPr>
          <w:p>
            <w:pPr>
              <w:pStyle w:val="TableParagraph"/>
              <w:spacing w:before="11"/>
              <w:ind w:left="484" w:right="403"/>
              <w:rPr>
                <w:sz w:val="18"/>
              </w:rPr>
            </w:pPr>
            <w:r>
              <w:rPr>
                <w:sz w:val="18"/>
              </w:rPr>
              <w:t>2006</w:t>
            </w:r>
          </w:p>
        </w:tc>
        <w:tc>
          <w:tcPr>
            <w:tcW w:w="1450" w:type="dxa"/>
            <w:tcBorders>
              <w:top w:val="nil"/>
              <w:left w:val="nil"/>
              <w:bottom w:val="nil"/>
              <w:right w:val="nil"/>
            </w:tcBorders>
          </w:tcPr>
          <w:p>
            <w:pPr>
              <w:pStyle w:val="TableParagraph"/>
              <w:spacing w:before="11"/>
              <w:ind w:left="108" w:right="158"/>
              <w:rPr>
                <w:sz w:val="18"/>
              </w:rPr>
            </w:pPr>
            <w:r>
              <w:rPr>
                <w:sz w:val="18"/>
              </w:rPr>
              <w:t>A-3</w:t>
            </w:r>
          </w:p>
        </w:tc>
        <w:tc>
          <w:tcPr>
            <w:tcW w:w="2669" w:type="dxa"/>
            <w:tcBorders>
              <w:top w:val="nil"/>
              <w:left w:val="nil"/>
              <w:bottom w:val="nil"/>
              <w:right w:val="nil"/>
            </w:tcBorders>
          </w:tcPr>
          <w:p>
            <w:pPr>
              <w:pStyle w:val="TableParagraph"/>
              <w:spacing w:before="8"/>
              <w:ind w:left="161" w:right="204"/>
              <w:rPr>
                <w:sz w:val="18"/>
              </w:rPr>
            </w:pPr>
            <w:r>
              <w:rPr>
                <w:sz w:val="18"/>
              </w:rPr>
              <w:t>Cabrera </w:t>
            </w:r>
            <w:r>
              <w:rPr>
                <w:i/>
                <w:sz w:val="18"/>
              </w:rPr>
              <w:t>et al.</w:t>
            </w:r>
            <w:r>
              <w:rPr>
                <w:sz w:val="18"/>
              </w:rPr>
              <w:t>, 2011</w:t>
            </w:r>
          </w:p>
        </w:tc>
      </w:tr>
      <w:tr>
        <w:trPr>
          <w:trHeight w:val="230" w:hRule="exact"/>
        </w:trPr>
        <w:tc>
          <w:tcPr>
            <w:tcW w:w="1519" w:type="dxa"/>
            <w:tcBorders>
              <w:top w:val="nil"/>
              <w:left w:val="nil"/>
              <w:bottom w:val="nil"/>
              <w:right w:val="nil"/>
            </w:tcBorders>
          </w:tcPr>
          <w:p>
            <w:pPr>
              <w:pStyle w:val="TableParagraph"/>
              <w:rPr>
                <w:sz w:val="18"/>
              </w:rPr>
            </w:pPr>
            <w:r>
              <w:rPr>
                <w:sz w:val="18"/>
              </w:rPr>
              <w:t>Lavetec 21</w:t>
            </w:r>
          </w:p>
        </w:tc>
        <w:tc>
          <w:tcPr>
            <w:tcW w:w="1093" w:type="dxa"/>
            <w:tcBorders>
              <w:top w:val="nil"/>
              <w:left w:val="nil"/>
              <w:bottom w:val="nil"/>
              <w:right w:val="nil"/>
            </w:tcBorders>
          </w:tcPr>
          <w:p>
            <w:pPr>
              <w:pStyle w:val="TableParagraph"/>
              <w:ind w:left="191"/>
              <w:rPr>
                <w:sz w:val="18"/>
              </w:rPr>
            </w:pPr>
            <w:r>
              <w:rPr>
                <w:sz w:val="18"/>
              </w:rPr>
              <w:t>Ecuador</w:t>
            </w:r>
          </w:p>
        </w:tc>
        <w:tc>
          <w:tcPr>
            <w:tcW w:w="1330" w:type="dxa"/>
            <w:tcBorders>
              <w:top w:val="nil"/>
              <w:left w:val="nil"/>
              <w:bottom w:val="nil"/>
              <w:right w:val="nil"/>
            </w:tcBorders>
          </w:tcPr>
          <w:p>
            <w:pPr>
              <w:pStyle w:val="TableParagraph"/>
              <w:ind w:left="484" w:right="403"/>
              <w:rPr>
                <w:sz w:val="18"/>
              </w:rPr>
            </w:pPr>
            <w:r>
              <w:rPr>
                <w:sz w:val="18"/>
              </w:rPr>
              <w:t>2004</w:t>
            </w:r>
          </w:p>
        </w:tc>
        <w:tc>
          <w:tcPr>
            <w:tcW w:w="1450" w:type="dxa"/>
            <w:tcBorders>
              <w:top w:val="nil"/>
              <w:left w:val="nil"/>
              <w:bottom w:val="nil"/>
              <w:right w:val="nil"/>
            </w:tcBorders>
          </w:tcPr>
          <w:p>
            <w:pPr>
              <w:pStyle w:val="TableParagraph"/>
              <w:ind w:left="108" w:right="158"/>
              <w:rPr>
                <w:sz w:val="18"/>
              </w:rPr>
            </w:pPr>
            <w:r>
              <w:rPr>
                <w:sz w:val="18"/>
              </w:rPr>
              <w:t>B-1</w:t>
            </w:r>
          </w:p>
        </w:tc>
        <w:tc>
          <w:tcPr>
            <w:tcW w:w="2669" w:type="dxa"/>
            <w:tcBorders>
              <w:top w:val="nil"/>
              <w:left w:val="nil"/>
              <w:bottom w:val="nil"/>
              <w:right w:val="nil"/>
            </w:tcBorders>
          </w:tcPr>
          <w:p>
            <w:pPr>
              <w:pStyle w:val="TableParagraph"/>
              <w:spacing w:before="4"/>
              <w:ind w:left="161" w:right="204"/>
              <w:rPr>
                <w:sz w:val="18"/>
              </w:rPr>
            </w:pPr>
            <w:r>
              <w:rPr>
                <w:sz w:val="18"/>
              </w:rPr>
              <w:t>Cabrera </w:t>
            </w:r>
            <w:r>
              <w:rPr>
                <w:i/>
                <w:sz w:val="18"/>
              </w:rPr>
              <w:t>et al.</w:t>
            </w:r>
            <w:r>
              <w:rPr>
                <w:sz w:val="18"/>
              </w:rPr>
              <w:t>, 2011</w:t>
            </w:r>
          </w:p>
        </w:tc>
      </w:tr>
      <w:tr>
        <w:trPr>
          <w:trHeight w:val="232" w:hRule="exact"/>
        </w:trPr>
        <w:tc>
          <w:tcPr>
            <w:tcW w:w="1519" w:type="dxa"/>
            <w:tcBorders>
              <w:top w:val="nil"/>
              <w:left w:val="nil"/>
              <w:bottom w:val="nil"/>
              <w:right w:val="nil"/>
            </w:tcBorders>
          </w:tcPr>
          <w:p>
            <w:pPr>
              <w:pStyle w:val="TableParagraph"/>
              <w:rPr>
                <w:sz w:val="18"/>
              </w:rPr>
            </w:pPr>
            <w:r>
              <w:rPr>
                <w:sz w:val="18"/>
              </w:rPr>
              <w:t>Lavetec 22</w:t>
            </w:r>
          </w:p>
        </w:tc>
        <w:tc>
          <w:tcPr>
            <w:tcW w:w="1093" w:type="dxa"/>
            <w:tcBorders>
              <w:top w:val="nil"/>
              <w:left w:val="nil"/>
              <w:bottom w:val="nil"/>
              <w:right w:val="nil"/>
            </w:tcBorders>
          </w:tcPr>
          <w:p>
            <w:pPr>
              <w:pStyle w:val="TableParagraph"/>
              <w:ind w:left="191"/>
              <w:rPr>
                <w:sz w:val="18"/>
              </w:rPr>
            </w:pPr>
            <w:r>
              <w:rPr>
                <w:sz w:val="18"/>
              </w:rPr>
              <w:t>Ecuador</w:t>
            </w:r>
          </w:p>
        </w:tc>
        <w:tc>
          <w:tcPr>
            <w:tcW w:w="1330" w:type="dxa"/>
            <w:tcBorders>
              <w:top w:val="nil"/>
              <w:left w:val="nil"/>
              <w:bottom w:val="nil"/>
              <w:right w:val="nil"/>
            </w:tcBorders>
          </w:tcPr>
          <w:p>
            <w:pPr>
              <w:pStyle w:val="TableParagraph"/>
              <w:ind w:left="484" w:right="403"/>
              <w:rPr>
                <w:sz w:val="18"/>
              </w:rPr>
            </w:pPr>
            <w:r>
              <w:rPr>
                <w:sz w:val="18"/>
              </w:rPr>
              <w:t>2005</w:t>
            </w:r>
          </w:p>
        </w:tc>
        <w:tc>
          <w:tcPr>
            <w:tcW w:w="1450" w:type="dxa"/>
            <w:tcBorders>
              <w:top w:val="nil"/>
              <w:left w:val="nil"/>
              <w:bottom w:val="nil"/>
              <w:right w:val="nil"/>
            </w:tcBorders>
          </w:tcPr>
          <w:p>
            <w:pPr>
              <w:pStyle w:val="TableParagraph"/>
              <w:ind w:left="108" w:right="158"/>
              <w:rPr>
                <w:sz w:val="18"/>
              </w:rPr>
            </w:pPr>
            <w:r>
              <w:rPr>
                <w:sz w:val="18"/>
              </w:rPr>
              <w:t>A-3</w:t>
            </w:r>
          </w:p>
        </w:tc>
        <w:tc>
          <w:tcPr>
            <w:tcW w:w="2669" w:type="dxa"/>
            <w:tcBorders>
              <w:top w:val="nil"/>
              <w:left w:val="nil"/>
              <w:bottom w:val="nil"/>
              <w:right w:val="nil"/>
            </w:tcBorders>
          </w:tcPr>
          <w:p>
            <w:pPr>
              <w:pStyle w:val="TableParagraph"/>
              <w:spacing w:before="4"/>
              <w:ind w:left="161" w:right="204"/>
              <w:rPr>
                <w:sz w:val="18"/>
              </w:rPr>
            </w:pPr>
            <w:r>
              <w:rPr>
                <w:sz w:val="18"/>
              </w:rPr>
              <w:t>Cabrera </w:t>
            </w:r>
            <w:r>
              <w:rPr>
                <w:i/>
                <w:sz w:val="18"/>
              </w:rPr>
              <w:t>et al.</w:t>
            </w:r>
            <w:r>
              <w:rPr>
                <w:sz w:val="18"/>
              </w:rPr>
              <w:t>, 2011</w:t>
            </w:r>
          </w:p>
        </w:tc>
      </w:tr>
      <w:tr>
        <w:trPr>
          <w:trHeight w:val="228" w:hRule="exact"/>
        </w:trPr>
        <w:tc>
          <w:tcPr>
            <w:tcW w:w="1519" w:type="dxa"/>
            <w:tcBorders>
              <w:top w:val="nil"/>
              <w:left w:val="nil"/>
              <w:bottom w:val="nil"/>
              <w:right w:val="nil"/>
            </w:tcBorders>
          </w:tcPr>
          <w:p>
            <w:pPr>
              <w:pStyle w:val="TableParagraph"/>
              <w:spacing w:before="7"/>
              <w:rPr>
                <w:sz w:val="18"/>
              </w:rPr>
            </w:pPr>
            <w:r>
              <w:rPr>
                <w:sz w:val="18"/>
              </w:rPr>
              <w:t>Lavetec 51</w:t>
            </w:r>
          </w:p>
        </w:tc>
        <w:tc>
          <w:tcPr>
            <w:tcW w:w="1093" w:type="dxa"/>
            <w:tcBorders>
              <w:top w:val="nil"/>
              <w:left w:val="nil"/>
              <w:bottom w:val="nil"/>
              <w:right w:val="nil"/>
            </w:tcBorders>
          </w:tcPr>
          <w:p>
            <w:pPr>
              <w:pStyle w:val="TableParagraph"/>
              <w:spacing w:before="7"/>
              <w:ind w:left="191"/>
              <w:rPr>
                <w:sz w:val="18"/>
              </w:rPr>
            </w:pPr>
            <w:r>
              <w:rPr>
                <w:sz w:val="18"/>
              </w:rPr>
              <w:t>Ecuador</w:t>
            </w:r>
          </w:p>
        </w:tc>
        <w:tc>
          <w:tcPr>
            <w:tcW w:w="1330" w:type="dxa"/>
            <w:tcBorders>
              <w:top w:val="nil"/>
              <w:left w:val="nil"/>
              <w:bottom w:val="nil"/>
              <w:right w:val="nil"/>
            </w:tcBorders>
          </w:tcPr>
          <w:p>
            <w:pPr>
              <w:pStyle w:val="TableParagraph"/>
              <w:spacing w:before="7"/>
              <w:ind w:left="484" w:right="403"/>
              <w:rPr>
                <w:sz w:val="18"/>
              </w:rPr>
            </w:pPr>
            <w:r>
              <w:rPr>
                <w:sz w:val="18"/>
              </w:rPr>
              <w:t>2007</w:t>
            </w:r>
          </w:p>
        </w:tc>
        <w:tc>
          <w:tcPr>
            <w:tcW w:w="1450" w:type="dxa"/>
            <w:tcBorders>
              <w:top w:val="nil"/>
              <w:left w:val="nil"/>
              <w:bottom w:val="nil"/>
              <w:right w:val="nil"/>
            </w:tcBorders>
          </w:tcPr>
          <w:p>
            <w:pPr>
              <w:pStyle w:val="TableParagraph"/>
              <w:spacing w:before="7"/>
              <w:ind w:left="108" w:right="158"/>
              <w:rPr>
                <w:sz w:val="18"/>
              </w:rPr>
            </w:pPr>
            <w:r>
              <w:rPr>
                <w:sz w:val="18"/>
              </w:rPr>
              <w:t>A-3</w:t>
            </w:r>
          </w:p>
        </w:tc>
        <w:tc>
          <w:tcPr>
            <w:tcW w:w="2669" w:type="dxa"/>
            <w:tcBorders>
              <w:top w:val="nil"/>
              <w:left w:val="nil"/>
              <w:bottom w:val="nil"/>
              <w:right w:val="nil"/>
            </w:tcBorders>
          </w:tcPr>
          <w:p>
            <w:pPr>
              <w:pStyle w:val="TableParagraph"/>
              <w:spacing w:before="5"/>
              <w:ind w:left="161" w:right="204"/>
              <w:rPr>
                <w:sz w:val="18"/>
              </w:rPr>
            </w:pPr>
            <w:r>
              <w:rPr>
                <w:sz w:val="18"/>
              </w:rPr>
              <w:t>Cabrera </w:t>
            </w:r>
            <w:r>
              <w:rPr>
                <w:i/>
                <w:sz w:val="18"/>
              </w:rPr>
              <w:t>et al.</w:t>
            </w:r>
            <w:r>
              <w:rPr>
                <w:sz w:val="18"/>
              </w:rPr>
              <w:t>, 2011</w:t>
            </w:r>
          </w:p>
        </w:tc>
      </w:tr>
      <w:tr>
        <w:trPr>
          <w:trHeight w:val="227" w:hRule="exact"/>
        </w:trPr>
        <w:tc>
          <w:tcPr>
            <w:tcW w:w="1519" w:type="dxa"/>
            <w:tcBorders>
              <w:top w:val="nil"/>
              <w:left w:val="nil"/>
              <w:bottom w:val="nil"/>
              <w:right w:val="nil"/>
            </w:tcBorders>
          </w:tcPr>
          <w:p>
            <w:pPr>
              <w:pStyle w:val="TableParagraph"/>
              <w:spacing w:before="2"/>
              <w:rPr>
                <w:sz w:val="18"/>
              </w:rPr>
            </w:pPr>
            <w:r>
              <w:rPr>
                <w:sz w:val="18"/>
              </w:rPr>
              <w:t>Lavetec 24</w:t>
            </w:r>
          </w:p>
        </w:tc>
        <w:tc>
          <w:tcPr>
            <w:tcW w:w="1093" w:type="dxa"/>
            <w:tcBorders>
              <w:top w:val="nil"/>
              <w:left w:val="nil"/>
              <w:bottom w:val="nil"/>
              <w:right w:val="nil"/>
            </w:tcBorders>
          </w:tcPr>
          <w:p>
            <w:pPr>
              <w:pStyle w:val="TableParagraph"/>
              <w:spacing w:before="2"/>
              <w:ind w:left="191"/>
              <w:rPr>
                <w:sz w:val="18"/>
              </w:rPr>
            </w:pPr>
            <w:r>
              <w:rPr>
                <w:sz w:val="18"/>
              </w:rPr>
              <w:t>Ecuador</w:t>
            </w:r>
          </w:p>
        </w:tc>
        <w:tc>
          <w:tcPr>
            <w:tcW w:w="1330" w:type="dxa"/>
            <w:tcBorders>
              <w:top w:val="nil"/>
              <w:left w:val="nil"/>
              <w:bottom w:val="nil"/>
              <w:right w:val="nil"/>
            </w:tcBorders>
          </w:tcPr>
          <w:p>
            <w:pPr>
              <w:pStyle w:val="TableParagraph"/>
              <w:spacing w:before="2"/>
              <w:ind w:left="484" w:right="403"/>
              <w:rPr>
                <w:sz w:val="18"/>
              </w:rPr>
            </w:pPr>
            <w:r>
              <w:rPr>
                <w:sz w:val="18"/>
              </w:rPr>
              <w:t>2004</w:t>
            </w:r>
          </w:p>
        </w:tc>
        <w:tc>
          <w:tcPr>
            <w:tcW w:w="1450" w:type="dxa"/>
            <w:tcBorders>
              <w:top w:val="nil"/>
              <w:left w:val="nil"/>
              <w:bottom w:val="nil"/>
              <w:right w:val="nil"/>
            </w:tcBorders>
          </w:tcPr>
          <w:p>
            <w:pPr>
              <w:pStyle w:val="TableParagraph"/>
              <w:spacing w:before="2"/>
              <w:ind w:left="108" w:right="158"/>
              <w:rPr>
                <w:sz w:val="18"/>
              </w:rPr>
            </w:pPr>
            <w:r>
              <w:rPr>
                <w:sz w:val="18"/>
              </w:rPr>
              <w:t>A-3</w:t>
            </w:r>
          </w:p>
        </w:tc>
        <w:tc>
          <w:tcPr>
            <w:tcW w:w="2669" w:type="dxa"/>
            <w:tcBorders>
              <w:top w:val="nil"/>
              <w:left w:val="nil"/>
              <w:bottom w:val="nil"/>
              <w:right w:val="nil"/>
            </w:tcBorders>
          </w:tcPr>
          <w:p>
            <w:pPr>
              <w:pStyle w:val="TableParagraph"/>
              <w:spacing w:before="0"/>
              <w:ind w:left="161" w:right="204"/>
              <w:rPr>
                <w:sz w:val="18"/>
              </w:rPr>
            </w:pPr>
            <w:r>
              <w:rPr>
                <w:sz w:val="18"/>
              </w:rPr>
              <w:t>Cabrera </w:t>
            </w:r>
            <w:r>
              <w:rPr>
                <w:i/>
                <w:sz w:val="18"/>
              </w:rPr>
              <w:t>et al.</w:t>
            </w:r>
            <w:r>
              <w:rPr>
                <w:sz w:val="18"/>
              </w:rPr>
              <w:t>, 2011</w:t>
            </w:r>
          </w:p>
        </w:tc>
      </w:tr>
      <w:tr>
        <w:trPr>
          <w:trHeight w:val="230" w:hRule="exact"/>
        </w:trPr>
        <w:tc>
          <w:tcPr>
            <w:tcW w:w="1519" w:type="dxa"/>
            <w:tcBorders>
              <w:top w:val="nil"/>
              <w:left w:val="nil"/>
              <w:bottom w:val="nil"/>
              <w:right w:val="nil"/>
            </w:tcBorders>
          </w:tcPr>
          <w:p>
            <w:pPr>
              <w:pStyle w:val="TableParagraph"/>
              <w:rPr>
                <w:sz w:val="18"/>
              </w:rPr>
            </w:pPr>
            <w:r>
              <w:rPr>
                <w:sz w:val="18"/>
              </w:rPr>
              <w:t>Lavetec 29</w:t>
            </w:r>
          </w:p>
        </w:tc>
        <w:tc>
          <w:tcPr>
            <w:tcW w:w="1093" w:type="dxa"/>
            <w:tcBorders>
              <w:top w:val="nil"/>
              <w:left w:val="nil"/>
              <w:bottom w:val="nil"/>
              <w:right w:val="nil"/>
            </w:tcBorders>
          </w:tcPr>
          <w:p>
            <w:pPr>
              <w:pStyle w:val="TableParagraph"/>
              <w:ind w:left="191"/>
              <w:rPr>
                <w:sz w:val="18"/>
              </w:rPr>
            </w:pPr>
            <w:r>
              <w:rPr>
                <w:sz w:val="18"/>
              </w:rPr>
              <w:t>Ecuador</w:t>
            </w:r>
          </w:p>
        </w:tc>
        <w:tc>
          <w:tcPr>
            <w:tcW w:w="1330" w:type="dxa"/>
            <w:tcBorders>
              <w:top w:val="nil"/>
              <w:left w:val="nil"/>
              <w:bottom w:val="nil"/>
              <w:right w:val="nil"/>
            </w:tcBorders>
          </w:tcPr>
          <w:p>
            <w:pPr>
              <w:pStyle w:val="TableParagraph"/>
              <w:ind w:left="484" w:right="403"/>
              <w:rPr>
                <w:sz w:val="18"/>
              </w:rPr>
            </w:pPr>
            <w:r>
              <w:rPr>
                <w:sz w:val="18"/>
              </w:rPr>
              <w:t>2004</w:t>
            </w:r>
          </w:p>
        </w:tc>
        <w:tc>
          <w:tcPr>
            <w:tcW w:w="1450" w:type="dxa"/>
            <w:tcBorders>
              <w:top w:val="nil"/>
              <w:left w:val="nil"/>
              <w:bottom w:val="nil"/>
              <w:right w:val="nil"/>
            </w:tcBorders>
          </w:tcPr>
          <w:p>
            <w:pPr>
              <w:pStyle w:val="TableParagraph"/>
              <w:ind w:left="108" w:right="158"/>
              <w:rPr>
                <w:sz w:val="18"/>
              </w:rPr>
            </w:pPr>
            <w:r>
              <w:rPr>
                <w:sz w:val="18"/>
              </w:rPr>
              <w:t>A-3</w:t>
            </w:r>
          </w:p>
        </w:tc>
        <w:tc>
          <w:tcPr>
            <w:tcW w:w="2669" w:type="dxa"/>
            <w:tcBorders>
              <w:top w:val="nil"/>
              <w:left w:val="nil"/>
              <w:bottom w:val="nil"/>
              <w:right w:val="nil"/>
            </w:tcBorders>
          </w:tcPr>
          <w:p>
            <w:pPr>
              <w:pStyle w:val="TableParagraph"/>
              <w:spacing w:before="4"/>
              <w:ind w:left="161" w:right="204"/>
              <w:rPr>
                <w:sz w:val="18"/>
              </w:rPr>
            </w:pPr>
            <w:r>
              <w:rPr>
                <w:sz w:val="18"/>
              </w:rPr>
              <w:t>Cabrera </w:t>
            </w:r>
            <w:r>
              <w:rPr>
                <w:i/>
                <w:sz w:val="18"/>
              </w:rPr>
              <w:t>et al.</w:t>
            </w:r>
            <w:r>
              <w:rPr>
                <w:sz w:val="18"/>
              </w:rPr>
              <w:t>, 2011</w:t>
            </w:r>
          </w:p>
        </w:tc>
      </w:tr>
      <w:tr>
        <w:trPr>
          <w:trHeight w:val="230" w:hRule="exact"/>
        </w:trPr>
        <w:tc>
          <w:tcPr>
            <w:tcW w:w="1519" w:type="dxa"/>
            <w:tcBorders>
              <w:top w:val="nil"/>
              <w:left w:val="nil"/>
              <w:bottom w:val="nil"/>
              <w:right w:val="nil"/>
            </w:tcBorders>
          </w:tcPr>
          <w:p>
            <w:pPr>
              <w:pStyle w:val="TableParagraph"/>
              <w:rPr>
                <w:sz w:val="18"/>
              </w:rPr>
            </w:pPr>
            <w:r>
              <w:rPr>
                <w:sz w:val="18"/>
              </w:rPr>
              <w:t>Lavetec 30</w:t>
            </w:r>
          </w:p>
        </w:tc>
        <w:tc>
          <w:tcPr>
            <w:tcW w:w="1093" w:type="dxa"/>
            <w:tcBorders>
              <w:top w:val="nil"/>
              <w:left w:val="nil"/>
              <w:bottom w:val="nil"/>
              <w:right w:val="nil"/>
            </w:tcBorders>
          </w:tcPr>
          <w:p>
            <w:pPr>
              <w:pStyle w:val="TableParagraph"/>
              <w:ind w:left="191"/>
              <w:rPr>
                <w:sz w:val="18"/>
              </w:rPr>
            </w:pPr>
            <w:r>
              <w:rPr>
                <w:sz w:val="18"/>
              </w:rPr>
              <w:t>Ecuador</w:t>
            </w:r>
          </w:p>
        </w:tc>
        <w:tc>
          <w:tcPr>
            <w:tcW w:w="1330" w:type="dxa"/>
            <w:tcBorders>
              <w:top w:val="nil"/>
              <w:left w:val="nil"/>
              <w:bottom w:val="nil"/>
              <w:right w:val="nil"/>
            </w:tcBorders>
          </w:tcPr>
          <w:p>
            <w:pPr>
              <w:pStyle w:val="TableParagraph"/>
              <w:ind w:left="484" w:right="403"/>
              <w:rPr>
                <w:sz w:val="18"/>
              </w:rPr>
            </w:pPr>
            <w:r>
              <w:rPr>
                <w:sz w:val="18"/>
              </w:rPr>
              <w:t>2004</w:t>
            </w:r>
          </w:p>
        </w:tc>
        <w:tc>
          <w:tcPr>
            <w:tcW w:w="1450" w:type="dxa"/>
            <w:tcBorders>
              <w:top w:val="nil"/>
              <w:left w:val="nil"/>
              <w:bottom w:val="nil"/>
              <w:right w:val="nil"/>
            </w:tcBorders>
          </w:tcPr>
          <w:p>
            <w:pPr>
              <w:pStyle w:val="TableParagraph"/>
              <w:ind w:left="108" w:right="158"/>
              <w:rPr>
                <w:sz w:val="18"/>
              </w:rPr>
            </w:pPr>
            <w:r>
              <w:rPr>
                <w:sz w:val="18"/>
              </w:rPr>
              <w:t>B-1</w:t>
            </w:r>
          </w:p>
        </w:tc>
        <w:tc>
          <w:tcPr>
            <w:tcW w:w="2669" w:type="dxa"/>
            <w:tcBorders>
              <w:top w:val="nil"/>
              <w:left w:val="nil"/>
              <w:bottom w:val="nil"/>
              <w:right w:val="nil"/>
            </w:tcBorders>
          </w:tcPr>
          <w:p>
            <w:pPr>
              <w:pStyle w:val="TableParagraph"/>
              <w:spacing w:before="4"/>
              <w:ind w:left="161" w:right="204"/>
              <w:rPr>
                <w:sz w:val="18"/>
              </w:rPr>
            </w:pPr>
            <w:r>
              <w:rPr>
                <w:sz w:val="18"/>
              </w:rPr>
              <w:t>Cabrera </w:t>
            </w:r>
            <w:r>
              <w:rPr>
                <w:i/>
                <w:sz w:val="18"/>
              </w:rPr>
              <w:t>et al.</w:t>
            </w:r>
            <w:r>
              <w:rPr>
                <w:sz w:val="18"/>
              </w:rPr>
              <w:t>, 2011</w:t>
            </w:r>
          </w:p>
        </w:tc>
      </w:tr>
      <w:tr>
        <w:trPr>
          <w:trHeight w:val="232" w:hRule="exact"/>
        </w:trPr>
        <w:tc>
          <w:tcPr>
            <w:tcW w:w="1519" w:type="dxa"/>
            <w:tcBorders>
              <w:top w:val="nil"/>
              <w:left w:val="nil"/>
              <w:bottom w:val="nil"/>
              <w:right w:val="nil"/>
            </w:tcBorders>
          </w:tcPr>
          <w:p>
            <w:pPr>
              <w:pStyle w:val="TableParagraph"/>
              <w:rPr>
                <w:sz w:val="18"/>
              </w:rPr>
            </w:pPr>
            <w:r>
              <w:rPr>
                <w:sz w:val="18"/>
              </w:rPr>
              <w:t>Lavetec 33</w:t>
            </w:r>
          </w:p>
        </w:tc>
        <w:tc>
          <w:tcPr>
            <w:tcW w:w="1093" w:type="dxa"/>
            <w:tcBorders>
              <w:top w:val="nil"/>
              <w:left w:val="nil"/>
              <w:bottom w:val="nil"/>
              <w:right w:val="nil"/>
            </w:tcBorders>
          </w:tcPr>
          <w:p>
            <w:pPr>
              <w:pStyle w:val="TableParagraph"/>
              <w:ind w:left="191"/>
              <w:rPr>
                <w:sz w:val="18"/>
              </w:rPr>
            </w:pPr>
            <w:r>
              <w:rPr>
                <w:sz w:val="18"/>
              </w:rPr>
              <w:t>Ecuador</w:t>
            </w:r>
          </w:p>
        </w:tc>
        <w:tc>
          <w:tcPr>
            <w:tcW w:w="1330" w:type="dxa"/>
            <w:tcBorders>
              <w:top w:val="nil"/>
              <w:left w:val="nil"/>
              <w:bottom w:val="nil"/>
              <w:right w:val="nil"/>
            </w:tcBorders>
          </w:tcPr>
          <w:p>
            <w:pPr>
              <w:pStyle w:val="TableParagraph"/>
              <w:ind w:left="484" w:right="403"/>
              <w:rPr>
                <w:sz w:val="18"/>
              </w:rPr>
            </w:pPr>
            <w:r>
              <w:rPr>
                <w:sz w:val="18"/>
              </w:rPr>
              <w:t>2001</w:t>
            </w:r>
          </w:p>
        </w:tc>
        <w:tc>
          <w:tcPr>
            <w:tcW w:w="1450" w:type="dxa"/>
            <w:tcBorders>
              <w:top w:val="nil"/>
              <w:left w:val="nil"/>
              <w:bottom w:val="nil"/>
              <w:right w:val="nil"/>
            </w:tcBorders>
          </w:tcPr>
          <w:p>
            <w:pPr>
              <w:pStyle w:val="TableParagraph"/>
              <w:ind w:left="108" w:right="158"/>
              <w:rPr>
                <w:sz w:val="18"/>
              </w:rPr>
            </w:pPr>
            <w:r>
              <w:rPr>
                <w:sz w:val="18"/>
              </w:rPr>
              <w:t>B-1</w:t>
            </w:r>
          </w:p>
        </w:tc>
        <w:tc>
          <w:tcPr>
            <w:tcW w:w="2669" w:type="dxa"/>
            <w:tcBorders>
              <w:top w:val="nil"/>
              <w:left w:val="nil"/>
              <w:bottom w:val="nil"/>
              <w:right w:val="nil"/>
            </w:tcBorders>
          </w:tcPr>
          <w:p>
            <w:pPr>
              <w:pStyle w:val="TableParagraph"/>
              <w:spacing w:before="4"/>
              <w:ind w:left="161" w:right="204"/>
              <w:rPr>
                <w:sz w:val="18"/>
              </w:rPr>
            </w:pPr>
            <w:r>
              <w:rPr>
                <w:sz w:val="18"/>
              </w:rPr>
              <w:t>Cabrera </w:t>
            </w:r>
            <w:r>
              <w:rPr>
                <w:i/>
                <w:sz w:val="18"/>
              </w:rPr>
              <w:t>et al.</w:t>
            </w:r>
            <w:r>
              <w:rPr>
                <w:sz w:val="18"/>
              </w:rPr>
              <w:t>, 2011</w:t>
            </w:r>
          </w:p>
        </w:tc>
      </w:tr>
      <w:tr>
        <w:trPr>
          <w:trHeight w:val="232" w:hRule="exact"/>
        </w:trPr>
        <w:tc>
          <w:tcPr>
            <w:tcW w:w="1519" w:type="dxa"/>
            <w:tcBorders>
              <w:top w:val="nil"/>
              <w:left w:val="nil"/>
              <w:bottom w:val="nil"/>
              <w:right w:val="nil"/>
            </w:tcBorders>
          </w:tcPr>
          <w:p>
            <w:pPr>
              <w:pStyle w:val="TableParagraph"/>
              <w:spacing w:before="7"/>
              <w:rPr>
                <w:sz w:val="18"/>
              </w:rPr>
            </w:pPr>
            <w:r>
              <w:rPr>
                <w:sz w:val="18"/>
              </w:rPr>
              <w:t>Lavetec 42</w:t>
            </w:r>
          </w:p>
        </w:tc>
        <w:tc>
          <w:tcPr>
            <w:tcW w:w="1093" w:type="dxa"/>
            <w:tcBorders>
              <w:top w:val="nil"/>
              <w:left w:val="nil"/>
              <w:bottom w:val="nil"/>
              <w:right w:val="nil"/>
            </w:tcBorders>
          </w:tcPr>
          <w:p>
            <w:pPr>
              <w:pStyle w:val="TableParagraph"/>
              <w:spacing w:before="7"/>
              <w:ind w:left="191"/>
              <w:rPr>
                <w:sz w:val="18"/>
              </w:rPr>
            </w:pPr>
            <w:r>
              <w:rPr>
                <w:sz w:val="18"/>
              </w:rPr>
              <w:t>Ecuador</w:t>
            </w:r>
          </w:p>
        </w:tc>
        <w:tc>
          <w:tcPr>
            <w:tcW w:w="1330" w:type="dxa"/>
            <w:tcBorders>
              <w:top w:val="nil"/>
              <w:left w:val="nil"/>
              <w:bottom w:val="nil"/>
              <w:right w:val="nil"/>
            </w:tcBorders>
          </w:tcPr>
          <w:p>
            <w:pPr>
              <w:pStyle w:val="TableParagraph"/>
              <w:spacing w:before="7"/>
              <w:ind w:left="78" w:right="0"/>
              <w:rPr>
                <w:sz w:val="18"/>
              </w:rPr>
            </w:pPr>
            <w:r>
              <w:rPr>
                <w:w w:val="99"/>
                <w:sz w:val="18"/>
              </w:rPr>
              <w:t>-</w:t>
            </w:r>
          </w:p>
        </w:tc>
        <w:tc>
          <w:tcPr>
            <w:tcW w:w="1450" w:type="dxa"/>
            <w:tcBorders>
              <w:top w:val="nil"/>
              <w:left w:val="nil"/>
              <w:bottom w:val="nil"/>
              <w:right w:val="nil"/>
            </w:tcBorders>
          </w:tcPr>
          <w:p>
            <w:pPr>
              <w:pStyle w:val="TableParagraph"/>
              <w:spacing w:before="7"/>
              <w:ind w:left="108" w:right="158"/>
              <w:rPr>
                <w:sz w:val="18"/>
              </w:rPr>
            </w:pPr>
            <w:r>
              <w:rPr>
                <w:sz w:val="18"/>
              </w:rPr>
              <w:t>A-3</w:t>
            </w:r>
          </w:p>
        </w:tc>
        <w:tc>
          <w:tcPr>
            <w:tcW w:w="2669" w:type="dxa"/>
            <w:tcBorders>
              <w:top w:val="nil"/>
              <w:left w:val="nil"/>
              <w:bottom w:val="nil"/>
              <w:right w:val="nil"/>
            </w:tcBorders>
          </w:tcPr>
          <w:p>
            <w:pPr>
              <w:pStyle w:val="TableParagraph"/>
              <w:spacing w:before="5"/>
              <w:ind w:left="161" w:right="206"/>
              <w:rPr>
                <w:sz w:val="18"/>
              </w:rPr>
            </w:pPr>
            <w:r>
              <w:rPr>
                <w:sz w:val="18"/>
              </w:rPr>
              <w:t>Morales-Erasto </w:t>
            </w:r>
            <w:r>
              <w:rPr>
                <w:i/>
                <w:sz w:val="18"/>
              </w:rPr>
              <w:t>et al.</w:t>
            </w:r>
            <w:r>
              <w:rPr>
                <w:sz w:val="18"/>
              </w:rPr>
              <w:t>, 2014b</w:t>
            </w:r>
          </w:p>
        </w:tc>
      </w:tr>
      <w:tr>
        <w:trPr>
          <w:trHeight w:val="230" w:hRule="exact"/>
        </w:trPr>
        <w:tc>
          <w:tcPr>
            <w:tcW w:w="1519" w:type="dxa"/>
            <w:tcBorders>
              <w:top w:val="nil"/>
              <w:left w:val="nil"/>
              <w:bottom w:val="nil"/>
              <w:right w:val="nil"/>
            </w:tcBorders>
          </w:tcPr>
          <w:p>
            <w:pPr>
              <w:pStyle w:val="TableParagraph"/>
              <w:rPr>
                <w:sz w:val="18"/>
              </w:rPr>
            </w:pPr>
            <w:r>
              <w:rPr>
                <w:sz w:val="18"/>
              </w:rPr>
              <w:t>Lavetec 45</w:t>
            </w:r>
          </w:p>
        </w:tc>
        <w:tc>
          <w:tcPr>
            <w:tcW w:w="1093" w:type="dxa"/>
            <w:tcBorders>
              <w:top w:val="nil"/>
              <w:left w:val="nil"/>
              <w:bottom w:val="nil"/>
              <w:right w:val="nil"/>
            </w:tcBorders>
          </w:tcPr>
          <w:p>
            <w:pPr>
              <w:pStyle w:val="TableParagraph"/>
              <w:ind w:left="191"/>
              <w:rPr>
                <w:sz w:val="18"/>
              </w:rPr>
            </w:pPr>
            <w:r>
              <w:rPr>
                <w:sz w:val="18"/>
              </w:rPr>
              <w:t>Ecuador</w:t>
            </w:r>
          </w:p>
        </w:tc>
        <w:tc>
          <w:tcPr>
            <w:tcW w:w="1330" w:type="dxa"/>
            <w:tcBorders>
              <w:top w:val="nil"/>
              <w:left w:val="nil"/>
              <w:bottom w:val="nil"/>
              <w:right w:val="nil"/>
            </w:tcBorders>
          </w:tcPr>
          <w:p>
            <w:pPr>
              <w:pStyle w:val="TableParagraph"/>
              <w:ind w:left="78" w:right="0"/>
              <w:rPr>
                <w:sz w:val="18"/>
              </w:rPr>
            </w:pPr>
            <w:r>
              <w:rPr>
                <w:w w:val="99"/>
                <w:sz w:val="18"/>
              </w:rPr>
              <w:t>-</w:t>
            </w:r>
          </w:p>
        </w:tc>
        <w:tc>
          <w:tcPr>
            <w:tcW w:w="1450" w:type="dxa"/>
            <w:tcBorders>
              <w:top w:val="nil"/>
              <w:left w:val="nil"/>
              <w:bottom w:val="nil"/>
              <w:right w:val="nil"/>
            </w:tcBorders>
          </w:tcPr>
          <w:p>
            <w:pPr>
              <w:pStyle w:val="TableParagraph"/>
              <w:ind w:left="108" w:right="158"/>
              <w:rPr>
                <w:sz w:val="18"/>
              </w:rPr>
            </w:pPr>
            <w:r>
              <w:rPr>
                <w:sz w:val="18"/>
              </w:rPr>
              <w:t>A-3</w:t>
            </w:r>
          </w:p>
        </w:tc>
        <w:tc>
          <w:tcPr>
            <w:tcW w:w="2669" w:type="dxa"/>
            <w:tcBorders>
              <w:top w:val="nil"/>
              <w:left w:val="nil"/>
              <w:bottom w:val="nil"/>
              <w:right w:val="nil"/>
            </w:tcBorders>
          </w:tcPr>
          <w:p>
            <w:pPr>
              <w:pStyle w:val="TableParagraph"/>
              <w:spacing w:before="4"/>
              <w:ind w:left="161" w:right="206"/>
              <w:rPr>
                <w:sz w:val="18"/>
              </w:rPr>
            </w:pPr>
            <w:r>
              <w:rPr>
                <w:sz w:val="18"/>
              </w:rPr>
              <w:t>Morales-Erasto </w:t>
            </w:r>
            <w:r>
              <w:rPr>
                <w:i/>
                <w:sz w:val="18"/>
              </w:rPr>
              <w:t>et al.</w:t>
            </w:r>
            <w:r>
              <w:rPr>
                <w:sz w:val="18"/>
              </w:rPr>
              <w:t>, 2014b</w:t>
            </w:r>
          </w:p>
        </w:tc>
      </w:tr>
      <w:tr>
        <w:trPr>
          <w:trHeight w:val="231" w:hRule="exact"/>
        </w:trPr>
        <w:tc>
          <w:tcPr>
            <w:tcW w:w="1519" w:type="dxa"/>
            <w:tcBorders>
              <w:top w:val="nil"/>
              <w:left w:val="nil"/>
              <w:bottom w:val="nil"/>
              <w:right w:val="nil"/>
            </w:tcBorders>
          </w:tcPr>
          <w:p>
            <w:pPr>
              <w:pStyle w:val="TableParagraph"/>
              <w:rPr>
                <w:sz w:val="18"/>
              </w:rPr>
            </w:pPr>
            <w:r>
              <w:rPr>
                <w:sz w:val="18"/>
              </w:rPr>
              <w:t>Lavetec 53</w:t>
            </w:r>
          </w:p>
        </w:tc>
        <w:tc>
          <w:tcPr>
            <w:tcW w:w="1093" w:type="dxa"/>
            <w:tcBorders>
              <w:top w:val="nil"/>
              <w:left w:val="nil"/>
              <w:bottom w:val="nil"/>
              <w:right w:val="nil"/>
            </w:tcBorders>
          </w:tcPr>
          <w:p>
            <w:pPr>
              <w:pStyle w:val="TableParagraph"/>
              <w:ind w:left="191" w:right="189"/>
              <w:rPr>
                <w:sz w:val="18"/>
              </w:rPr>
            </w:pPr>
            <w:r>
              <w:rPr>
                <w:sz w:val="18"/>
              </w:rPr>
              <w:t>Ecuador</w:t>
            </w:r>
          </w:p>
        </w:tc>
        <w:tc>
          <w:tcPr>
            <w:tcW w:w="1330" w:type="dxa"/>
            <w:tcBorders>
              <w:top w:val="nil"/>
              <w:left w:val="nil"/>
              <w:bottom w:val="nil"/>
              <w:right w:val="nil"/>
            </w:tcBorders>
          </w:tcPr>
          <w:p>
            <w:pPr>
              <w:pStyle w:val="TableParagraph"/>
              <w:ind w:left="484" w:right="403"/>
              <w:rPr>
                <w:sz w:val="18"/>
              </w:rPr>
            </w:pPr>
            <w:r>
              <w:rPr>
                <w:sz w:val="18"/>
              </w:rPr>
              <w:t>2007</w:t>
            </w:r>
          </w:p>
        </w:tc>
        <w:tc>
          <w:tcPr>
            <w:tcW w:w="1450" w:type="dxa"/>
            <w:tcBorders>
              <w:top w:val="nil"/>
              <w:left w:val="nil"/>
              <w:bottom w:val="nil"/>
              <w:right w:val="nil"/>
            </w:tcBorders>
          </w:tcPr>
          <w:p>
            <w:pPr>
              <w:pStyle w:val="TableParagraph"/>
              <w:ind w:left="108" w:right="158"/>
              <w:rPr>
                <w:sz w:val="18"/>
              </w:rPr>
            </w:pPr>
            <w:r>
              <w:rPr>
                <w:sz w:val="18"/>
              </w:rPr>
              <w:t>A-3</w:t>
            </w:r>
          </w:p>
        </w:tc>
        <w:tc>
          <w:tcPr>
            <w:tcW w:w="2669" w:type="dxa"/>
            <w:tcBorders>
              <w:top w:val="nil"/>
              <w:left w:val="nil"/>
              <w:bottom w:val="nil"/>
              <w:right w:val="nil"/>
            </w:tcBorders>
          </w:tcPr>
          <w:p>
            <w:pPr>
              <w:pStyle w:val="TableParagraph"/>
              <w:spacing w:before="4"/>
              <w:ind w:left="161" w:right="204"/>
              <w:rPr>
                <w:sz w:val="18"/>
              </w:rPr>
            </w:pPr>
            <w:r>
              <w:rPr>
                <w:sz w:val="18"/>
              </w:rPr>
              <w:t>Cabrera </w:t>
            </w:r>
            <w:r>
              <w:rPr>
                <w:i/>
                <w:sz w:val="18"/>
              </w:rPr>
              <w:t>et al.</w:t>
            </w:r>
            <w:r>
              <w:rPr>
                <w:sz w:val="18"/>
              </w:rPr>
              <w:t>, 2011</w:t>
            </w:r>
          </w:p>
        </w:tc>
      </w:tr>
      <w:tr>
        <w:trPr>
          <w:trHeight w:val="231" w:hRule="exact"/>
        </w:trPr>
        <w:tc>
          <w:tcPr>
            <w:tcW w:w="1519" w:type="dxa"/>
            <w:tcBorders>
              <w:top w:val="nil"/>
              <w:left w:val="nil"/>
              <w:bottom w:val="nil"/>
              <w:right w:val="nil"/>
            </w:tcBorders>
          </w:tcPr>
          <w:p>
            <w:pPr>
              <w:pStyle w:val="TableParagraph"/>
              <w:rPr>
                <w:sz w:val="18"/>
              </w:rPr>
            </w:pPr>
            <w:r>
              <w:rPr>
                <w:sz w:val="18"/>
              </w:rPr>
              <w:t>Lavetec 54</w:t>
            </w:r>
          </w:p>
        </w:tc>
        <w:tc>
          <w:tcPr>
            <w:tcW w:w="1093" w:type="dxa"/>
            <w:tcBorders>
              <w:top w:val="nil"/>
              <w:left w:val="nil"/>
              <w:bottom w:val="nil"/>
              <w:right w:val="nil"/>
            </w:tcBorders>
          </w:tcPr>
          <w:p>
            <w:pPr>
              <w:pStyle w:val="TableParagraph"/>
              <w:ind w:left="191"/>
              <w:rPr>
                <w:sz w:val="18"/>
              </w:rPr>
            </w:pPr>
            <w:r>
              <w:rPr>
                <w:sz w:val="18"/>
              </w:rPr>
              <w:t>Ecuador</w:t>
            </w:r>
          </w:p>
        </w:tc>
        <w:tc>
          <w:tcPr>
            <w:tcW w:w="1330" w:type="dxa"/>
            <w:tcBorders>
              <w:top w:val="nil"/>
              <w:left w:val="nil"/>
              <w:bottom w:val="nil"/>
              <w:right w:val="nil"/>
            </w:tcBorders>
          </w:tcPr>
          <w:p>
            <w:pPr>
              <w:pStyle w:val="TableParagraph"/>
              <w:ind w:left="484" w:right="403"/>
              <w:rPr>
                <w:sz w:val="18"/>
              </w:rPr>
            </w:pPr>
            <w:r>
              <w:rPr>
                <w:sz w:val="18"/>
              </w:rPr>
              <w:t>2007</w:t>
            </w:r>
          </w:p>
        </w:tc>
        <w:tc>
          <w:tcPr>
            <w:tcW w:w="1450" w:type="dxa"/>
            <w:tcBorders>
              <w:top w:val="nil"/>
              <w:left w:val="nil"/>
              <w:bottom w:val="nil"/>
              <w:right w:val="nil"/>
            </w:tcBorders>
          </w:tcPr>
          <w:p>
            <w:pPr>
              <w:pStyle w:val="TableParagraph"/>
              <w:ind w:left="108" w:right="158"/>
              <w:rPr>
                <w:sz w:val="18"/>
              </w:rPr>
            </w:pPr>
            <w:r>
              <w:rPr>
                <w:sz w:val="18"/>
              </w:rPr>
              <w:t>A-3</w:t>
            </w:r>
          </w:p>
        </w:tc>
        <w:tc>
          <w:tcPr>
            <w:tcW w:w="2669" w:type="dxa"/>
            <w:tcBorders>
              <w:top w:val="nil"/>
              <w:left w:val="nil"/>
              <w:bottom w:val="nil"/>
              <w:right w:val="nil"/>
            </w:tcBorders>
          </w:tcPr>
          <w:p>
            <w:pPr>
              <w:pStyle w:val="TableParagraph"/>
              <w:spacing w:before="4"/>
              <w:ind w:left="161" w:right="204"/>
              <w:rPr>
                <w:sz w:val="18"/>
              </w:rPr>
            </w:pPr>
            <w:r>
              <w:rPr>
                <w:sz w:val="18"/>
              </w:rPr>
              <w:t>Cabrera </w:t>
            </w:r>
            <w:r>
              <w:rPr>
                <w:i/>
                <w:sz w:val="18"/>
              </w:rPr>
              <w:t>et al.</w:t>
            </w:r>
            <w:r>
              <w:rPr>
                <w:sz w:val="18"/>
              </w:rPr>
              <w:t>, 2011</w:t>
            </w:r>
          </w:p>
        </w:tc>
      </w:tr>
      <w:tr>
        <w:trPr>
          <w:trHeight w:val="232" w:hRule="exact"/>
        </w:trPr>
        <w:tc>
          <w:tcPr>
            <w:tcW w:w="1519" w:type="dxa"/>
            <w:tcBorders>
              <w:top w:val="nil"/>
              <w:left w:val="nil"/>
              <w:bottom w:val="nil"/>
              <w:right w:val="nil"/>
            </w:tcBorders>
          </w:tcPr>
          <w:p>
            <w:pPr>
              <w:pStyle w:val="TableParagraph"/>
              <w:rPr>
                <w:sz w:val="18"/>
              </w:rPr>
            </w:pPr>
            <w:r>
              <w:rPr>
                <w:sz w:val="18"/>
              </w:rPr>
              <w:t>Lima 1</w:t>
            </w:r>
          </w:p>
        </w:tc>
        <w:tc>
          <w:tcPr>
            <w:tcW w:w="1093" w:type="dxa"/>
            <w:tcBorders>
              <w:top w:val="nil"/>
              <w:left w:val="nil"/>
              <w:bottom w:val="nil"/>
              <w:right w:val="nil"/>
            </w:tcBorders>
          </w:tcPr>
          <w:p>
            <w:pPr>
              <w:pStyle w:val="TableParagraph"/>
              <w:ind w:left="191" w:right="187"/>
              <w:rPr>
                <w:sz w:val="18"/>
              </w:rPr>
            </w:pPr>
            <w:r>
              <w:rPr>
                <w:sz w:val="18"/>
              </w:rPr>
              <w:t>Perú</w:t>
            </w:r>
          </w:p>
        </w:tc>
        <w:tc>
          <w:tcPr>
            <w:tcW w:w="1330" w:type="dxa"/>
            <w:tcBorders>
              <w:top w:val="nil"/>
              <w:left w:val="nil"/>
              <w:bottom w:val="nil"/>
              <w:right w:val="nil"/>
            </w:tcBorders>
          </w:tcPr>
          <w:p>
            <w:pPr/>
          </w:p>
        </w:tc>
        <w:tc>
          <w:tcPr>
            <w:tcW w:w="1450" w:type="dxa"/>
            <w:tcBorders>
              <w:top w:val="nil"/>
              <w:left w:val="nil"/>
              <w:bottom w:val="nil"/>
              <w:right w:val="nil"/>
            </w:tcBorders>
          </w:tcPr>
          <w:p>
            <w:pPr>
              <w:pStyle w:val="TableParagraph"/>
              <w:ind w:left="108" w:right="158"/>
              <w:rPr>
                <w:sz w:val="18"/>
              </w:rPr>
            </w:pPr>
            <w:r>
              <w:rPr>
                <w:sz w:val="18"/>
              </w:rPr>
              <w:t>C-2</w:t>
            </w:r>
          </w:p>
        </w:tc>
        <w:tc>
          <w:tcPr>
            <w:tcW w:w="2669" w:type="dxa"/>
            <w:tcBorders>
              <w:top w:val="nil"/>
              <w:left w:val="nil"/>
              <w:bottom w:val="nil"/>
              <w:right w:val="nil"/>
            </w:tcBorders>
          </w:tcPr>
          <w:p>
            <w:pPr>
              <w:pStyle w:val="TableParagraph"/>
              <w:spacing w:before="4"/>
              <w:ind w:left="161" w:right="206"/>
              <w:rPr>
                <w:sz w:val="18"/>
              </w:rPr>
            </w:pPr>
            <w:r>
              <w:rPr>
                <w:sz w:val="18"/>
              </w:rPr>
              <w:t>Morales-Erasto </w:t>
            </w:r>
            <w:r>
              <w:rPr>
                <w:i/>
                <w:sz w:val="18"/>
              </w:rPr>
              <w:t>et al.</w:t>
            </w:r>
            <w:r>
              <w:rPr>
                <w:sz w:val="18"/>
              </w:rPr>
              <w:t>, 2014b</w:t>
            </w:r>
          </w:p>
        </w:tc>
      </w:tr>
      <w:tr>
        <w:trPr>
          <w:trHeight w:val="232" w:hRule="exact"/>
        </w:trPr>
        <w:tc>
          <w:tcPr>
            <w:tcW w:w="1519" w:type="dxa"/>
            <w:tcBorders>
              <w:top w:val="nil"/>
              <w:left w:val="nil"/>
              <w:bottom w:val="nil"/>
              <w:right w:val="nil"/>
            </w:tcBorders>
          </w:tcPr>
          <w:p>
            <w:pPr>
              <w:pStyle w:val="TableParagraph"/>
              <w:spacing w:before="7"/>
              <w:rPr>
                <w:sz w:val="18"/>
              </w:rPr>
            </w:pPr>
            <w:r>
              <w:rPr>
                <w:sz w:val="18"/>
              </w:rPr>
              <w:t>Lima 2</w:t>
            </w:r>
          </w:p>
        </w:tc>
        <w:tc>
          <w:tcPr>
            <w:tcW w:w="1093" w:type="dxa"/>
            <w:tcBorders>
              <w:top w:val="nil"/>
              <w:left w:val="nil"/>
              <w:bottom w:val="nil"/>
              <w:right w:val="nil"/>
            </w:tcBorders>
          </w:tcPr>
          <w:p>
            <w:pPr>
              <w:pStyle w:val="TableParagraph"/>
              <w:spacing w:before="7"/>
              <w:ind w:left="191" w:right="187"/>
              <w:rPr>
                <w:sz w:val="18"/>
              </w:rPr>
            </w:pPr>
            <w:r>
              <w:rPr>
                <w:sz w:val="18"/>
              </w:rPr>
              <w:t>Perú</w:t>
            </w:r>
          </w:p>
        </w:tc>
        <w:tc>
          <w:tcPr>
            <w:tcW w:w="1330" w:type="dxa"/>
            <w:tcBorders>
              <w:top w:val="nil"/>
              <w:left w:val="nil"/>
              <w:bottom w:val="nil"/>
              <w:right w:val="nil"/>
            </w:tcBorders>
          </w:tcPr>
          <w:p>
            <w:pPr/>
          </w:p>
        </w:tc>
        <w:tc>
          <w:tcPr>
            <w:tcW w:w="1450" w:type="dxa"/>
            <w:tcBorders>
              <w:top w:val="nil"/>
              <w:left w:val="nil"/>
              <w:bottom w:val="nil"/>
              <w:right w:val="nil"/>
            </w:tcBorders>
          </w:tcPr>
          <w:p>
            <w:pPr>
              <w:pStyle w:val="TableParagraph"/>
              <w:spacing w:before="7"/>
              <w:ind w:left="108" w:right="158"/>
              <w:rPr>
                <w:sz w:val="18"/>
              </w:rPr>
            </w:pPr>
            <w:r>
              <w:rPr>
                <w:sz w:val="18"/>
              </w:rPr>
              <w:t>C-2</w:t>
            </w:r>
          </w:p>
        </w:tc>
        <w:tc>
          <w:tcPr>
            <w:tcW w:w="2669" w:type="dxa"/>
            <w:tcBorders>
              <w:top w:val="nil"/>
              <w:left w:val="nil"/>
              <w:bottom w:val="nil"/>
              <w:right w:val="nil"/>
            </w:tcBorders>
          </w:tcPr>
          <w:p>
            <w:pPr>
              <w:pStyle w:val="TableParagraph"/>
              <w:spacing w:before="5"/>
              <w:ind w:left="161" w:right="206"/>
              <w:rPr>
                <w:sz w:val="18"/>
              </w:rPr>
            </w:pPr>
            <w:r>
              <w:rPr>
                <w:sz w:val="18"/>
              </w:rPr>
              <w:t>Morales-Erasto </w:t>
            </w:r>
            <w:r>
              <w:rPr>
                <w:i/>
                <w:sz w:val="18"/>
              </w:rPr>
              <w:t>et al.</w:t>
            </w:r>
            <w:r>
              <w:rPr>
                <w:sz w:val="18"/>
              </w:rPr>
              <w:t>, 2014b</w:t>
            </w:r>
          </w:p>
        </w:tc>
      </w:tr>
      <w:tr>
        <w:trPr>
          <w:trHeight w:val="230" w:hRule="exact"/>
        </w:trPr>
        <w:tc>
          <w:tcPr>
            <w:tcW w:w="1519" w:type="dxa"/>
            <w:tcBorders>
              <w:top w:val="nil"/>
              <w:left w:val="nil"/>
              <w:bottom w:val="nil"/>
              <w:right w:val="nil"/>
            </w:tcBorders>
          </w:tcPr>
          <w:p>
            <w:pPr>
              <w:pStyle w:val="TableParagraph"/>
              <w:ind w:right="188"/>
              <w:rPr>
                <w:sz w:val="18"/>
              </w:rPr>
            </w:pPr>
            <w:r>
              <w:rPr>
                <w:sz w:val="18"/>
              </w:rPr>
              <w:t>Panama 1</w:t>
            </w:r>
          </w:p>
        </w:tc>
        <w:tc>
          <w:tcPr>
            <w:tcW w:w="1093" w:type="dxa"/>
            <w:tcBorders>
              <w:top w:val="nil"/>
              <w:left w:val="nil"/>
              <w:bottom w:val="nil"/>
              <w:right w:val="nil"/>
            </w:tcBorders>
          </w:tcPr>
          <w:p>
            <w:pPr>
              <w:pStyle w:val="TableParagraph"/>
              <w:ind w:left="191"/>
              <w:rPr>
                <w:sz w:val="18"/>
              </w:rPr>
            </w:pPr>
            <w:r>
              <w:rPr>
                <w:sz w:val="18"/>
              </w:rPr>
              <w:t>Panamá</w:t>
            </w:r>
          </w:p>
        </w:tc>
        <w:tc>
          <w:tcPr>
            <w:tcW w:w="1330" w:type="dxa"/>
            <w:tcBorders>
              <w:top w:val="nil"/>
              <w:left w:val="nil"/>
              <w:bottom w:val="nil"/>
              <w:right w:val="nil"/>
            </w:tcBorders>
          </w:tcPr>
          <w:p>
            <w:pPr>
              <w:pStyle w:val="TableParagraph"/>
              <w:ind w:left="484" w:right="403"/>
              <w:rPr>
                <w:sz w:val="18"/>
              </w:rPr>
            </w:pPr>
            <w:r>
              <w:rPr>
                <w:sz w:val="18"/>
              </w:rPr>
              <w:t>2007</w:t>
            </w:r>
          </w:p>
        </w:tc>
        <w:tc>
          <w:tcPr>
            <w:tcW w:w="1450" w:type="dxa"/>
            <w:tcBorders>
              <w:top w:val="nil"/>
              <w:left w:val="nil"/>
              <w:bottom w:val="nil"/>
              <w:right w:val="nil"/>
            </w:tcBorders>
          </w:tcPr>
          <w:p>
            <w:pPr>
              <w:pStyle w:val="TableParagraph"/>
              <w:ind w:left="108" w:right="158"/>
              <w:rPr>
                <w:sz w:val="18"/>
              </w:rPr>
            </w:pPr>
            <w:r>
              <w:rPr>
                <w:sz w:val="18"/>
              </w:rPr>
              <w:t>B-1</w:t>
            </w:r>
          </w:p>
        </w:tc>
        <w:tc>
          <w:tcPr>
            <w:tcW w:w="2669" w:type="dxa"/>
            <w:tcBorders>
              <w:top w:val="nil"/>
              <w:left w:val="nil"/>
              <w:bottom w:val="nil"/>
              <w:right w:val="nil"/>
            </w:tcBorders>
          </w:tcPr>
          <w:p>
            <w:pPr>
              <w:pStyle w:val="TableParagraph"/>
              <w:spacing w:before="4"/>
              <w:ind w:left="161" w:right="206"/>
              <w:rPr>
                <w:sz w:val="18"/>
              </w:rPr>
            </w:pPr>
            <w:r>
              <w:rPr>
                <w:sz w:val="18"/>
              </w:rPr>
              <w:t>Calderón </w:t>
            </w:r>
            <w:r>
              <w:rPr>
                <w:i/>
                <w:sz w:val="18"/>
              </w:rPr>
              <w:t>et al.</w:t>
            </w:r>
            <w:r>
              <w:rPr>
                <w:sz w:val="18"/>
              </w:rPr>
              <w:t>, 2010</w:t>
            </w:r>
          </w:p>
        </w:tc>
      </w:tr>
      <w:tr>
        <w:trPr>
          <w:trHeight w:val="232" w:hRule="exact"/>
        </w:trPr>
        <w:tc>
          <w:tcPr>
            <w:tcW w:w="1519" w:type="dxa"/>
            <w:tcBorders>
              <w:top w:val="nil"/>
              <w:left w:val="nil"/>
              <w:bottom w:val="nil"/>
              <w:right w:val="nil"/>
            </w:tcBorders>
          </w:tcPr>
          <w:p>
            <w:pPr>
              <w:pStyle w:val="TableParagraph"/>
              <w:ind w:right="188"/>
              <w:rPr>
                <w:sz w:val="18"/>
              </w:rPr>
            </w:pPr>
            <w:r>
              <w:rPr>
                <w:sz w:val="18"/>
              </w:rPr>
              <w:t>Panama 2</w:t>
            </w:r>
          </w:p>
        </w:tc>
        <w:tc>
          <w:tcPr>
            <w:tcW w:w="1093" w:type="dxa"/>
            <w:tcBorders>
              <w:top w:val="nil"/>
              <w:left w:val="nil"/>
              <w:bottom w:val="nil"/>
              <w:right w:val="nil"/>
            </w:tcBorders>
          </w:tcPr>
          <w:p>
            <w:pPr>
              <w:pStyle w:val="TableParagraph"/>
              <w:ind w:left="191"/>
              <w:rPr>
                <w:sz w:val="18"/>
              </w:rPr>
            </w:pPr>
            <w:r>
              <w:rPr>
                <w:sz w:val="18"/>
              </w:rPr>
              <w:t>Panamá</w:t>
            </w:r>
          </w:p>
        </w:tc>
        <w:tc>
          <w:tcPr>
            <w:tcW w:w="1330" w:type="dxa"/>
            <w:tcBorders>
              <w:top w:val="nil"/>
              <w:left w:val="nil"/>
              <w:bottom w:val="nil"/>
              <w:right w:val="nil"/>
            </w:tcBorders>
          </w:tcPr>
          <w:p>
            <w:pPr>
              <w:pStyle w:val="TableParagraph"/>
              <w:ind w:left="484" w:right="403"/>
              <w:rPr>
                <w:sz w:val="18"/>
              </w:rPr>
            </w:pPr>
            <w:r>
              <w:rPr>
                <w:sz w:val="18"/>
              </w:rPr>
              <w:t>2007</w:t>
            </w:r>
          </w:p>
        </w:tc>
        <w:tc>
          <w:tcPr>
            <w:tcW w:w="1450" w:type="dxa"/>
            <w:tcBorders>
              <w:top w:val="nil"/>
              <w:left w:val="nil"/>
              <w:bottom w:val="nil"/>
              <w:right w:val="nil"/>
            </w:tcBorders>
          </w:tcPr>
          <w:p>
            <w:pPr>
              <w:pStyle w:val="TableParagraph"/>
              <w:ind w:left="108" w:right="158"/>
              <w:rPr>
                <w:sz w:val="18"/>
              </w:rPr>
            </w:pPr>
            <w:r>
              <w:rPr>
                <w:sz w:val="18"/>
              </w:rPr>
              <w:t>B-1</w:t>
            </w:r>
          </w:p>
        </w:tc>
        <w:tc>
          <w:tcPr>
            <w:tcW w:w="2669" w:type="dxa"/>
            <w:tcBorders>
              <w:top w:val="nil"/>
              <w:left w:val="nil"/>
              <w:bottom w:val="nil"/>
              <w:right w:val="nil"/>
            </w:tcBorders>
          </w:tcPr>
          <w:p>
            <w:pPr>
              <w:pStyle w:val="TableParagraph"/>
              <w:spacing w:before="4"/>
              <w:ind w:left="161" w:right="206"/>
              <w:rPr>
                <w:sz w:val="18"/>
              </w:rPr>
            </w:pPr>
            <w:r>
              <w:rPr>
                <w:sz w:val="18"/>
              </w:rPr>
              <w:t>Calderón </w:t>
            </w:r>
            <w:r>
              <w:rPr>
                <w:i/>
                <w:sz w:val="18"/>
              </w:rPr>
              <w:t>et al.</w:t>
            </w:r>
            <w:r>
              <w:rPr>
                <w:sz w:val="18"/>
              </w:rPr>
              <w:t>, 2010</w:t>
            </w:r>
          </w:p>
        </w:tc>
      </w:tr>
      <w:tr>
        <w:trPr>
          <w:trHeight w:val="227" w:hRule="exact"/>
        </w:trPr>
        <w:tc>
          <w:tcPr>
            <w:tcW w:w="1519" w:type="dxa"/>
            <w:tcBorders>
              <w:top w:val="nil"/>
              <w:left w:val="nil"/>
              <w:bottom w:val="nil"/>
              <w:right w:val="nil"/>
            </w:tcBorders>
          </w:tcPr>
          <w:p>
            <w:pPr>
              <w:pStyle w:val="TableParagraph"/>
              <w:spacing w:before="5"/>
              <w:ind w:right="189"/>
              <w:rPr>
                <w:sz w:val="18"/>
              </w:rPr>
            </w:pPr>
            <w:r>
              <w:rPr>
                <w:sz w:val="18"/>
              </w:rPr>
              <w:t>Farper-030</w:t>
            </w:r>
          </w:p>
        </w:tc>
        <w:tc>
          <w:tcPr>
            <w:tcW w:w="1093" w:type="dxa"/>
            <w:tcBorders>
              <w:top w:val="nil"/>
              <w:left w:val="nil"/>
              <w:bottom w:val="nil"/>
              <w:right w:val="nil"/>
            </w:tcBorders>
          </w:tcPr>
          <w:p>
            <w:pPr>
              <w:pStyle w:val="TableParagraph"/>
              <w:spacing w:before="5"/>
              <w:ind w:left="191" w:right="187"/>
              <w:rPr>
                <w:sz w:val="18"/>
              </w:rPr>
            </w:pPr>
            <w:r>
              <w:rPr>
                <w:sz w:val="18"/>
              </w:rPr>
              <w:t>Perú</w:t>
            </w:r>
          </w:p>
        </w:tc>
        <w:tc>
          <w:tcPr>
            <w:tcW w:w="1330" w:type="dxa"/>
            <w:tcBorders>
              <w:top w:val="nil"/>
              <w:left w:val="nil"/>
              <w:bottom w:val="nil"/>
              <w:right w:val="nil"/>
            </w:tcBorders>
          </w:tcPr>
          <w:p>
            <w:pPr>
              <w:pStyle w:val="TableParagraph"/>
              <w:spacing w:before="5"/>
              <w:ind w:left="484" w:right="403"/>
              <w:rPr>
                <w:sz w:val="18"/>
              </w:rPr>
            </w:pPr>
            <w:r>
              <w:rPr>
                <w:sz w:val="18"/>
              </w:rPr>
              <w:t>2010</w:t>
            </w:r>
          </w:p>
        </w:tc>
        <w:tc>
          <w:tcPr>
            <w:tcW w:w="1450" w:type="dxa"/>
            <w:tcBorders>
              <w:top w:val="nil"/>
              <w:left w:val="nil"/>
              <w:bottom w:val="nil"/>
              <w:right w:val="nil"/>
            </w:tcBorders>
          </w:tcPr>
          <w:p>
            <w:pPr>
              <w:pStyle w:val="TableParagraph"/>
              <w:spacing w:before="5"/>
              <w:ind w:left="108" w:right="158"/>
              <w:rPr>
                <w:sz w:val="18"/>
              </w:rPr>
            </w:pPr>
            <w:r>
              <w:rPr>
                <w:sz w:val="18"/>
              </w:rPr>
              <w:t>B-1</w:t>
            </w:r>
          </w:p>
        </w:tc>
        <w:tc>
          <w:tcPr>
            <w:tcW w:w="2669" w:type="dxa"/>
            <w:tcBorders>
              <w:top w:val="nil"/>
              <w:left w:val="nil"/>
              <w:bottom w:val="nil"/>
              <w:right w:val="nil"/>
            </w:tcBorders>
          </w:tcPr>
          <w:p>
            <w:pPr>
              <w:pStyle w:val="TableParagraph"/>
              <w:spacing w:before="5"/>
              <w:ind w:left="0" w:right="44"/>
              <w:rPr>
                <w:sz w:val="18"/>
              </w:rPr>
            </w:pPr>
            <w:r>
              <w:rPr>
                <w:w w:val="99"/>
                <w:sz w:val="18"/>
              </w:rPr>
              <w:t>*</w:t>
            </w:r>
          </w:p>
        </w:tc>
      </w:tr>
      <w:tr>
        <w:trPr>
          <w:trHeight w:val="228" w:hRule="exact"/>
        </w:trPr>
        <w:tc>
          <w:tcPr>
            <w:tcW w:w="1519" w:type="dxa"/>
            <w:tcBorders>
              <w:top w:val="nil"/>
              <w:left w:val="nil"/>
              <w:bottom w:val="nil"/>
              <w:right w:val="nil"/>
            </w:tcBorders>
          </w:tcPr>
          <w:p>
            <w:pPr>
              <w:pStyle w:val="TableParagraph"/>
              <w:spacing w:before="1"/>
              <w:ind w:right="189"/>
              <w:rPr>
                <w:sz w:val="18"/>
              </w:rPr>
            </w:pPr>
            <w:r>
              <w:rPr>
                <w:sz w:val="18"/>
              </w:rPr>
              <w:t>Farper-031</w:t>
            </w:r>
          </w:p>
        </w:tc>
        <w:tc>
          <w:tcPr>
            <w:tcW w:w="1093" w:type="dxa"/>
            <w:tcBorders>
              <w:top w:val="nil"/>
              <w:left w:val="nil"/>
              <w:bottom w:val="nil"/>
              <w:right w:val="nil"/>
            </w:tcBorders>
          </w:tcPr>
          <w:p>
            <w:pPr>
              <w:pStyle w:val="TableParagraph"/>
              <w:spacing w:before="1"/>
              <w:ind w:left="191" w:right="187"/>
              <w:rPr>
                <w:sz w:val="18"/>
              </w:rPr>
            </w:pPr>
            <w:r>
              <w:rPr>
                <w:sz w:val="18"/>
              </w:rPr>
              <w:t>Perú</w:t>
            </w:r>
          </w:p>
        </w:tc>
        <w:tc>
          <w:tcPr>
            <w:tcW w:w="1330" w:type="dxa"/>
            <w:tcBorders>
              <w:top w:val="nil"/>
              <w:left w:val="nil"/>
              <w:bottom w:val="nil"/>
              <w:right w:val="nil"/>
            </w:tcBorders>
          </w:tcPr>
          <w:p>
            <w:pPr>
              <w:pStyle w:val="TableParagraph"/>
              <w:spacing w:before="1"/>
              <w:ind w:left="484" w:right="403"/>
              <w:rPr>
                <w:sz w:val="18"/>
              </w:rPr>
            </w:pPr>
            <w:r>
              <w:rPr>
                <w:sz w:val="18"/>
              </w:rPr>
              <w:t>2010</w:t>
            </w:r>
          </w:p>
        </w:tc>
        <w:tc>
          <w:tcPr>
            <w:tcW w:w="1450" w:type="dxa"/>
            <w:tcBorders>
              <w:top w:val="nil"/>
              <w:left w:val="nil"/>
              <w:bottom w:val="nil"/>
              <w:right w:val="nil"/>
            </w:tcBorders>
          </w:tcPr>
          <w:p>
            <w:pPr>
              <w:pStyle w:val="TableParagraph"/>
              <w:spacing w:before="1"/>
              <w:ind w:left="108" w:right="158"/>
              <w:rPr>
                <w:sz w:val="18"/>
              </w:rPr>
            </w:pPr>
            <w:r>
              <w:rPr>
                <w:sz w:val="18"/>
              </w:rPr>
              <w:t>B-1</w:t>
            </w:r>
          </w:p>
        </w:tc>
        <w:tc>
          <w:tcPr>
            <w:tcW w:w="2669" w:type="dxa"/>
            <w:tcBorders>
              <w:top w:val="nil"/>
              <w:left w:val="nil"/>
              <w:bottom w:val="nil"/>
              <w:right w:val="nil"/>
            </w:tcBorders>
          </w:tcPr>
          <w:p>
            <w:pPr>
              <w:pStyle w:val="TableParagraph"/>
              <w:spacing w:before="1"/>
              <w:ind w:left="0" w:right="44"/>
              <w:rPr>
                <w:sz w:val="18"/>
              </w:rPr>
            </w:pPr>
            <w:r>
              <w:rPr>
                <w:w w:val="99"/>
                <w:sz w:val="18"/>
              </w:rPr>
              <w:t>*</w:t>
            </w:r>
          </w:p>
        </w:tc>
      </w:tr>
      <w:tr>
        <w:trPr>
          <w:trHeight w:val="232" w:hRule="exact"/>
        </w:trPr>
        <w:tc>
          <w:tcPr>
            <w:tcW w:w="1519" w:type="dxa"/>
            <w:tcBorders>
              <w:top w:val="nil"/>
              <w:left w:val="nil"/>
              <w:bottom w:val="nil"/>
              <w:right w:val="nil"/>
            </w:tcBorders>
          </w:tcPr>
          <w:p>
            <w:pPr>
              <w:pStyle w:val="TableParagraph"/>
              <w:ind w:right="189"/>
              <w:rPr>
                <w:sz w:val="18"/>
              </w:rPr>
            </w:pPr>
            <w:r>
              <w:rPr>
                <w:sz w:val="18"/>
              </w:rPr>
              <w:t>Farper-033</w:t>
            </w:r>
          </w:p>
        </w:tc>
        <w:tc>
          <w:tcPr>
            <w:tcW w:w="1093" w:type="dxa"/>
            <w:tcBorders>
              <w:top w:val="nil"/>
              <w:left w:val="nil"/>
              <w:bottom w:val="nil"/>
              <w:right w:val="nil"/>
            </w:tcBorders>
          </w:tcPr>
          <w:p>
            <w:pPr>
              <w:pStyle w:val="TableParagraph"/>
              <w:ind w:left="191" w:right="187"/>
              <w:rPr>
                <w:sz w:val="18"/>
              </w:rPr>
            </w:pPr>
            <w:r>
              <w:rPr>
                <w:sz w:val="18"/>
              </w:rPr>
              <w:t>Perú</w:t>
            </w:r>
          </w:p>
        </w:tc>
        <w:tc>
          <w:tcPr>
            <w:tcW w:w="1330" w:type="dxa"/>
            <w:tcBorders>
              <w:top w:val="nil"/>
              <w:left w:val="nil"/>
              <w:bottom w:val="nil"/>
              <w:right w:val="nil"/>
            </w:tcBorders>
          </w:tcPr>
          <w:p>
            <w:pPr>
              <w:pStyle w:val="TableParagraph"/>
              <w:ind w:left="484" w:right="403"/>
              <w:rPr>
                <w:sz w:val="18"/>
              </w:rPr>
            </w:pPr>
            <w:r>
              <w:rPr>
                <w:sz w:val="18"/>
              </w:rPr>
              <w:t>2010</w:t>
            </w:r>
          </w:p>
        </w:tc>
        <w:tc>
          <w:tcPr>
            <w:tcW w:w="1450" w:type="dxa"/>
            <w:tcBorders>
              <w:top w:val="nil"/>
              <w:left w:val="nil"/>
              <w:bottom w:val="nil"/>
              <w:right w:val="nil"/>
            </w:tcBorders>
          </w:tcPr>
          <w:p>
            <w:pPr>
              <w:pStyle w:val="TableParagraph"/>
              <w:ind w:left="108" w:right="158"/>
              <w:rPr>
                <w:sz w:val="18"/>
              </w:rPr>
            </w:pPr>
            <w:r>
              <w:rPr>
                <w:sz w:val="18"/>
              </w:rPr>
              <w:t>B-1</w:t>
            </w:r>
          </w:p>
        </w:tc>
        <w:tc>
          <w:tcPr>
            <w:tcW w:w="2669" w:type="dxa"/>
            <w:tcBorders>
              <w:top w:val="nil"/>
              <w:left w:val="nil"/>
              <w:bottom w:val="nil"/>
              <w:right w:val="nil"/>
            </w:tcBorders>
          </w:tcPr>
          <w:p>
            <w:pPr>
              <w:pStyle w:val="TableParagraph"/>
              <w:ind w:left="0" w:right="44"/>
              <w:rPr>
                <w:sz w:val="18"/>
              </w:rPr>
            </w:pPr>
            <w:r>
              <w:rPr>
                <w:w w:val="99"/>
                <w:sz w:val="18"/>
              </w:rPr>
              <w:t>*</w:t>
            </w:r>
          </w:p>
        </w:tc>
      </w:tr>
      <w:tr>
        <w:trPr>
          <w:trHeight w:val="230" w:hRule="exact"/>
        </w:trPr>
        <w:tc>
          <w:tcPr>
            <w:tcW w:w="1519" w:type="dxa"/>
            <w:tcBorders>
              <w:top w:val="nil"/>
              <w:left w:val="nil"/>
              <w:bottom w:val="nil"/>
              <w:right w:val="nil"/>
            </w:tcBorders>
          </w:tcPr>
          <w:p>
            <w:pPr>
              <w:pStyle w:val="TableParagraph"/>
              <w:spacing w:before="5"/>
              <w:ind w:right="189"/>
              <w:rPr>
                <w:sz w:val="18"/>
              </w:rPr>
            </w:pPr>
            <w:r>
              <w:rPr>
                <w:sz w:val="18"/>
              </w:rPr>
              <w:t>Farper-050</w:t>
            </w:r>
          </w:p>
        </w:tc>
        <w:tc>
          <w:tcPr>
            <w:tcW w:w="1093" w:type="dxa"/>
            <w:tcBorders>
              <w:top w:val="nil"/>
              <w:left w:val="nil"/>
              <w:bottom w:val="nil"/>
              <w:right w:val="nil"/>
            </w:tcBorders>
          </w:tcPr>
          <w:p>
            <w:pPr>
              <w:pStyle w:val="TableParagraph"/>
              <w:spacing w:before="5"/>
              <w:ind w:left="191" w:right="187"/>
              <w:rPr>
                <w:sz w:val="18"/>
              </w:rPr>
            </w:pPr>
            <w:r>
              <w:rPr>
                <w:sz w:val="18"/>
              </w:rPr>
              <w:t>Perú</w:t>
            </w:r>
          </w:p>
        </w:tc>
        <w:tc>
          <w:tcPr>
            <w:tcW w:w="1330" w:type="dxa"/>
            <w:tcBorders>
              <w:top w:val="nil"/>
              <w:left w:val="nil"/>
              <w:bottom w:val="nil"/>
              <w:right w:val="nil"/>
            </w:tcBorders>
          </w:tcPr>
          <w:p>
            <w:pPr>
              <w:pStyle w:val="TableParagraph"/>
              <w:spacing w:before="5"/>
              <w:ind w:left="484" w:right="403"/>
              <w:rPr>
                <w:sz w:val="18"/>
              </w:rPr>
            </w:pPr>
            <w:r>
              <w:rPr>
                <w:sz w:val="18"/>
              </w:rPr>
              <w:t>2011</w:t>
            </w:r>
          </w:p>
        </w:tc>
        <w:tc>
          <w:tcPr>
            <w:tcW w:w="1450" w:type="dxa"/>
            <w:tcBorders>
              <w:top w:val="nil"/>
              <w:left w:val="nil"/>
              <w:bottom w:val="nil"/>
              <w:right w:val="nil"/>
            </w:tcBorders>
          </w:tcPr>
          <w:p>
            <w:pPr>
              <w:pStyle w:val="TableParagraph"/>
              <w:spacing w:before="5"/>
              <w:ind w:left="108" w:right="158"/>
              <w:rPr>
                <w:sz w:val="18"/>
              </w:rPr>
            </w:pPr>
            <w:r>
              <w:rPr>
                <w:sz w:val="18"/>
              </w:rPr>
              <w:t>C-1</w:t>
            </w:r>
          </w:p>
        </w:tc>
        <w:tc>
          <w:tcPr>
            <w:tcW w:w="2669" w:type="dxa"/>
            <w:tcBorders>
              <w:top w:val="nil"/>
              <w:left w:val="nil"/>
              <w:bottom w:val="nil"/>
              <w:right w:val="nil"/>
            </w:tcBorders>
          </w:tcPr>
          <w:p>
            <w:pPr>
              <w:pStyle w:val="TableParagraph"/>
              <w:spacing w:before="5"/>
              <w:ind w:left="0" w:right="44"/>
              <w:rPr>
                <w:sz w:val="18"/>
              </w:rPr>
            </w:pPr>
            <w:r>
              <w:rPr>
                <w:w w:val="99"/>
                <w:sz w:val="18"/>
              </w:rPr>
              <w:t>*</w:t>
            </w:r>
          </w:p>
        </w:tc>
      </w:tr>
      <w:tr>
        <w:trPr>
          <w:trHeight w:val="230" w:hRule="exact"/>
        </w:trPr>
        <w:tc>
          <w:tcPr>
            <w:tcW w:w="1519" w:type="dxa"/>
            <w:tcBorders>
              <w:top w:val="nil"/>
              <w:left w:val="nil"/>
              <w:bottom w:val="nil"/>
              <w:right w:val="nil"/>
            </w:tcBorders>
          </w:tcPr>
          <w:p>
            <w:pPr>
              <w:pStyle w:val="TableParagraph"/>
              <w:spacing w:before="5"/>
              <w:ind w:right="189"/>
              <w:rPr>
                <w:sz w:val="18"/>
              </w:rPr>
            </w:pPr>
            <w:r>
              <w:rPr>
                <w:sz w:val="18"/>
              </w:rPr>
              <w:t>Farper-051</w:t>
            </w:r>
          </w:p>
        </w:tc>
        <w:tc>
          <w:tcPr>
            <w:tcW w:w="1093" w:type="dxa"/>
            <w:tcBorders>
              <w:top w:val="nil"/>
              <w:left w:val="nil"/>
              <w:bottom w:val="nil"/>
              <w:right w:val="nil"/>
            </w:tcBorders>
          </w:tcPr>
          <w:p>
            <w:pPr>
              <w:pStyle w:val="TableParagraph"/>
              <w:spacing w:before="5"/>
              <w:ind w:left="191" w:right="187"/>
              <w:rPr>
                <w:sz w:val="18"/>
              </w:rPr>
            </w:pPr>
            <w:r>
              <w:rPr>
                <w:sz w:val="18"/>
              </w:rPr>
              <w:t>Perú</w:t>
            </w:r>
          </w:p>
        </w:tc>
        <w:tc>
          <w:tcPr>
            <w:tcW w:w="1330" w:type="dxa"/>
            <w:tcBorders>
              <w:top w:val="nil"/>
              <w:left w:val="nil"/>
              <w:bottom w:val="nil"/>
              <w:right w:val="nil"/>
            </w:tcBorders>
          </w:tcPr>
          <w:p>
            <w:pPr>
              <w:pStyle w:val="TableParagraph"/>
              <w:spacing w:before="5"/>
              <w:ind w:left="484" w:right="403"/>
              <w:rPr>
                <w:sz w:val="18"/>
              </w:rPr>
            </w:pPr>
            <w:r>
              <w:rPr>
                <w:sz w:val="18"/>
              </w:rPr>
              <w:t>2011</w:t>
            </w:r>
          </w:p>
        </w:tc>
        <w:tc>
          <w:tcPr>
            <w:tcW w:w="1450" w:type="dxa"/>
            <w:tcBorders>
              <w:top w:val="nil"/>
              <w:left w:val="nil"/>
              <w:bottom w:val="nil"/>
              <w:right w:val="nil"/>
            </w:tcBorders>
          </w:tcPr>
          <w:p>
            <w:pPr>
              <w:pStyle w:val="TableParagraph"/>
              <w:spacing w:before="5"/>
              <w:ind w:left="108" w:right="158"/>
              <w:rPr>
                <w:sz w:val="18"/>
              </w:rPr>
            </w:pPr>
            <w:r>
              <w:rPr>
                <w:sz w:val="18"/>
              </w:rPr>
              <w:t>C-1</w:t>
            </w:r>
          </w:p>
        </w:tc>
        <w:tc>
          <w:tcPr>
            <w:tcW w:w="2669" w:type="dxa"/>
            <w:tcBorders>
              <w:top w:val="nil"/>
              <w:left w:val="nil"/>
              <w:bottom w:val="nil"/>
              <w:right w:val="nil"/>
            </w:tcBorders>
          </w:tcPr>
          <w:p>
            <w:pPr>
              <w:pStyle w:val="TableParagraph"/>
              <w:spacing w:before="5"/>
              <w:ind w:left="0" w:right="44"/>
              <w:rPr>
                <w:sz w:val="18"/>
              </w:rPr>
            </w:pPr>
            <w:r>
              <w:rPr>
                <w:w w:val="99"/>
                <w:sz w:val="18"/>
              </w:rPr>
              <w:t>*</w:t>
            </w:r>
          </w:p>
        </w:tc>
      </w:tr>
      <w:tr>
        <w:trPr>
          <w:trHeight w:val="232" w:hRule="exact"/>
        </w:trPr>
        <w:tc>
          <w:tcPr>
            <w:tcW w:w="1519" w:type="dxa"/>
            <w:tcBorders>
              <w:top w:val="nil"/>
              <w:left w:val="nil"/>
              <w:bottom w:val="nil"/>
              <w:right w:val="nil"/>
            </w:tcBorders>
          </w:tcPr>
          <w:p>
            <w:pPr>
              <w:pStyle w:val="TableParagraph"/>
              <w:spacing w:before="5"/>
              <w:ind w:right="189"/>
              <w:rPr>
                <w:sz w:val="18"/>
              </w:rPr>
            </w:pPr>
            <w:r>
              <w:rPr>
                <w:sz w:val="18"/>
              </w:rPr>
              <w:t>Farper-052</w:t>
            </w:r>
          </w:p>
        </w:tc>
        <w:tc>
          <w:tcPr>
            <w:tcW w:w="1093" w:type="dxa"/>
            <w:tcBorders>
              <w:top w:val="nil"/>
              <w:left w:val="nil"/>
              <w:bottom w:val="nil"/>
              <w:right w:val="nil"/>
            </w:tcBorders>
          </w:tcPr>
          <w:p>
            <w:pPr>
              <w:pStyle w:val="TableParagraph"/>
              <w:spacing w:before="5"/>
              <w:ind w:left="191" w:right="187"/>
              <w:rPr>
                <w:sz w:val="18"/>
              </w:rPr>
            </w:pPr>
            <w:r>
              <w:rPr>
                <w:sz w:val="18"/>
              </w:rPr>
              <w:t>Perú</w:t>
            </w:r>
          </w:p>
        </w:tc>
        <w:tc>
          <w:tcPr>
            <w:tcW w:w="1330" w:type="dxa"/>
            <w:tcBorders>
              <w:top w:val="nil"/>
              <w:left w:val="nil"/>
              <w:bottom w:val="nil"/>
              <w:right w:val="nil"/>
            </w:tcBorders>
          </w:tcPr>
          <w:p>
            <w:pPr>
              <w:pStyle w:val="TableParagraph"/>
              <w:spacing w:before="5"/>
              <w:ind w:left="484" w:right="403"/>
              <w:rPr>
                <w:sz w:val="18"/>
              </w:rPr>
            </w:pPr>
            <w:r>
              <w:rPr>
                <w:sz w:val="18"/>
              </w:rPr>
              <w:t>2011</w:t>
            </w:r>
          </w:p>
        </w:tc>
        <w:tc>
          <w:tcPr>
            <w:tcW w:w="1450" w:type="dxa"/>
            <w:tcBorders>
              <w:top w:val="nil"/>
              <w:left w:val="nil"/>
              <w:bottom w:val="nil"/>
              <w:right w:val="nil"/>
            </w:tcBorders>
          </w:tcPr>
          <w:p>
            <w:pPr>
              <w:pStyle w:val="TableParagraph"/>
              <w:spacing w:before="5"/>
              <w:ind w:left="108" w:right="158"/>
              <w:rPr>
                <w:sz w:val="18"/>
              </w:rPr>
            </w:pPr>
            <w:r>
              <w:rPr>
                <w:sz w:val="18"/>
              </w:rPr>
              <w:t>C-1</w:t>
            </w:r>
          </w:p>
        </w:tc>
        <w:tc>
          <w:tcPr>
            <w:tcW w:w="2669" w:type="dxa"/>
            <w:tcBorders>
              <w:top w:val="nil"/>
              <w:left w:val="nil"/>
              <w:bottom w:val="nil"/>
              <w:right w:val="nil"/>
            </w:tcBorders>
          </w:tcPr>
          <w:p>
            <w:pPr>
              <w:pStyle w:val="TableParagraph"/>
              <w:spacing w:before="5"/>
              <w:ind w:left="0" w:right="44"/>
              <w:rPr>
                <w:sz w:val="18"/>
              </w:rPr>
            </w:pPr>
            <w:r>
              <w:rPr>
                <w:w w:val="99"/>
                <w:sz w:val="18"/>
              </w:rPr>
              <w:t>*</w:t>
            </w:r>
          </w:p>
        </w:tc>
      </w:tr>
      <w:tr>
        <w:trPr>
          <w:trHeight w:val="232" w:hRule="exact"/>
        </w:trPr>
        <w:tc>
          <w:tcPr>
            <w:tcW w:w="1519" w:type="dxa"/>
            <w:tcBorders>
              <w:top w:val="nil"/>
              <w:left w:val="nil"/>
              <w:bottom w:val="nil"/>
              <w:right w:val="nil"/>
            </w:tcBorders>
          </w:tcPr>
          <w:p>
            <w:pPr>
              <w:pStyle w:val="TableParagraph"/>
              <w:ind w:right="189"/>
              <w:rPr>
                <w:sz w:val="18"/>
              </w:rPr>
            </w:pPr>
            <w:r>
              <w:rPr>
                <w:sz w:val="18"/>
              </w:rPr>
              <w:t>Farper-060</w:t>
            </w:r>
          </w:p>
        </w:tc>
        <w:tc>
          <w:tcPr>
            <w:tcW w:w="1093" w:type="dxa"/>
            <w:tcBorders>
              <w:top w:val="nil"/>
              <w:left w:val="nil"/>
              <w:bottom w:val="nil"/>
              <w:right w:val="nil"/>
            </w:tcBorders>
          </w:tcPr>
          <w:p>
            <w:pPr>
              <w:pStyle w:val="TableParagraph"/>
              <w:ind w:left="191" w:right="187"/>
              <w:rPr>
                <w:sz w:val="18"/>
              </w:rPr>
            </w:pPr>
            <w:r>
              <w:rPr>
                <w:sz w:val="18"/>
              </w:rPr>
              <w:t>Perú</w:t>
            </w:r>
          </w:p>
        </w:tc>
        <w:tc>
          <w:tcPr>
            <w:tcW w:w="1330" w:type="dxa"/>
            <w:tcBorders>
              <w:top w:val="nil"/>
              <w:left w:val="nil"/>
              <w:bottom w:val="nil"/>
              <w:right w:val="nil"/>
            </w:tcBorders>
          </w:tcPr>
          <w:p>
            <w:pPr>
              <w:pStyle w:val="TableParagraph"/>
              <w:ind w:left="484" w:right="403"/>
              <w:rPr>
                <w:sz w:val="18"/>
              </w:rPr>
            </w:pPr>
            <w:r>
              <w:rPr>
                <w:sz w:val="18"/>
              </w:rPr>
              <w:t>2012</w:t>
            </w:r>
          </w:p>
        </w:tc>
        <w:tc>
          <w:tcPr>
            <w:tcW w:w="1450" w:type="dxa"/>
            <w:tcBorders>
              <w:top w:val="nil"/>
              <w:left w:val="nil"/>
              <w:bottom w:val="nil"/>
              <w:right w:val="nil"/>
            </w:tcBorders>
          </w:tcPr>
          <w:p>
            <w:pPr>
              <w:pStyle w:val="TableParagraph"/>
              <w:ind w:left="108" w:right="158"/>
              <w:rPr>
                <w:sz w:val="18"/>
              </w:rPr>
            </w:pPr>
            <w:r>
              <w:rPr>
                <w:sz w:val="18"/>
              </w:rPr>
              <w:t>A-1</w:t>
            </w:r>
          </w:p>
        </w:tc>
        <w:tc>
          <w:tcPr>
            <w:tcW w:w="2669" w:type="dxa"/>
            <w:tcBorders>
              <w:top w:val="nil"/>
              <w:left w:val="nil"/>
              <w:bottom w:val="nil"/>
              <w:right w:val="nil"/>
            </w:tcBorders>
          </w:tcPr>
          <w:p>
            <w:pPr>
              <w:pStyle w:val="TableParagraph"/>
              <w:ind w:left="0" w:right="44"/>
              <w:rPr>
                <w:sz w:val="18"/>
              </w:rPr>
            </w:pPr>
            <w:r>
              <w:rPr>
                <w:w w:val="99"/>
                <w:sz w:val="18"/>
              </w:rPr>
              <w:t>*</w:t>
            </w:r>
          </w:p>
        </w:tc>
      </w:tr>
      <w:tr>
        <w:trPr>
          <w:trHeight w:val="230" w:hRule="exact"/>
        </w:trPr>
        <w:tc>
          <w:tcPr>
            <w:tcW w:w="1519" w:type="dxa"/>
            <w:tcBorders>
              <w:top w:val="nil"/>
              <w:left w:val="nil"/>
              <w:bottom w:val="nil"/>
              <w:right w:val="nil"/>
            </w:tcBorders>
          </w:tcPr>
          <w:p>
            <w:pPr>
              <w:pStyle w:val="TableParagraph"/>
              <w:spacing w:before="5"/>
              <w:ind w:right="189"/>
              <w:rPr>
                <w:sz w:val="18"/>
              </w:rPr>
            </w:pPr>
            <w:r>
              <w:rPr>
                <w:sz w:val="18"/>
              </w:rPr>
              <w:t>Farper-064</w:t>
            </w:r>
          </w:p>
        </w:tc>
        <w:tc>
          <w:tcPr>
            <w:tcW w:w="1093" w:type="dxa"/>
            <w:tcBorders>
              <w:top w:val="nil"/>
              <w:left w:val="nil"/>
              <w:bottom w:val="nil"/>
              <w:right w:val="nil"/>
            </w:tcBorders>
          </w:tcPr>
          <w:p>
            <w:pPr>
              <w:pStyle w:val="TableParagraph"/>
              <w:spacing w:before="5"/>
              <w:ind w:left="191" w:right="187"/>
              <w:rPr>
                <w:sz w:val="18"/>
              </w:rPr>
            </w:pPr>
            <w:r>
              <w:rPr>
                <w:sz w:val="18"/>
              </w:rPr>
              <w:t>Perú</w:t>
            </w:r>
          </w:p>
        </w:tc>
        <w:tc>
          <w:tcPr>
            <w:tcW w:w="1330" w:type="dxa"/>
            <w:tcBorders>
              <w:top w:val="nil"/>
              <w:left w:val="nil"/>
              <w:bottom w:val="nil"/>
              <w:right w:val="nil"/>
            </w:tcBorders>
          </w:tcPr>
          <w:p>
            <w:pPr>
              <w:pStyle w:val="TableParagraph"/>
              <w:spacing w:before="5"/>
              <w:ind w:left="484" w:right="403"/>
              <w:rPr>
                <w:sz w:val="18"/>
              </w:rPr>
            </w:pPr>
            <w:r>
              <w:rPr>
                <w:sz w:val="18"/>
              </w:rPr>
              <w:t>2011</w:t>
            </w:r>
          </w:p>
        </w:tc>
        <w:tc>
          <w:tcPr>
            <w:tcW w:w="1450" w:type="dxa"/>
            <w:tcBorders>
              <w:top w:val="nil"/>
              <w:left w:val="nil"/>
              <w:bottom w:val="nil"/>
              <w:right w:val="nil"/>
            </w:tcBorders>
          </w:tcPr>
          <w:p>
            <w:pPr>
              <w:pStyle w:val="TableParagraph"/>
              <w:spacing w:before="5"/>
              <w:ind w:left="108" w:right="158"/>
              <w:rPr>
                <w:sz w:val="18"/>
              </w:rPr>
            </w:pPr>
            <w:r>
              <w:rPr>
                <w:sz w:val="18"/>
              </w:rPr>
              <w:t>B-1</w:t>
            </w:r>
          </w:p>
        </w:tc>
        <w:tc>
          <w:tcPr>
            <w:tcW w:w="2669" w:type="dxa"/>
            <w:tcBorders>
              <w:top w:val="nil"/>
              <w:left w:val="nil"/>
              <w:bottom w:val="nil"/>
              <w:right w:val="nil"/>
            </w:tcBorders>
          </w:tcPr>
          <w:p>
            <w:pPr>
              <w:pStyle w:val="TableParagraph"/>
              <w:spacing w:before="5"/>
              <w:ind w:left="0" w:right="44"/>
              <w:rPr>
                <w:sz w:val="18"/>
              </w:rPr>
            </w:pPr>
            <w:r>
              <w:rPr>
                <w:w w:val="99"/>
                <w:sz w:val="18"/>
              </w:rPr>
              <w:t>*</w:t>
            </w:r>
          </w:p>
        </w:tc>
      </w:tr>
      <w:tr>
        <w:trPr>
          <w:trHeight w:val="230" w:hRule="exact"/>
        </w:trPr>
        <w:tc>
          <w:tcPr>
            <w:tcW w:w="1519" w:type="dxa"/>
            <w:tcBorders>
              <w:top w:val="nil"/>
              <w:left w:val="nil"/>
              <w:bottom w:val="nil"/>
              <w:right w:val="nil"/>
            </w:tcBorders>
          </w:tcPr>
          <w:p>
            <w:pPr>
              <w:pStyle w:val="TableParagraph"/>
              <w:spacing w:before="5"/>
              <w:ind w:right="189"/>
              <w:rPr>
                <w:sz w:val="18"/>
              </w:rPr>
            </w:pPr>
            <w:r>
              <w:rPr>
                <w:sz w:val="18"/>
              </w:rPr>
              <w:t>Farper-065</w:t>
            </w:r>
          </w:p>
        </w:tc>
        <w:tc>
          <w:tcPr>
            <w:tcW w:w="1093" w:type="dxa"/>
            <w:tcBorders>
              <w:top w:val="nil"/>
              <w:left w:val="nil"/>
              <w:bottom w:val="nil"/>
              <w:right w:val="nil"/>
            </w:tcBorders>
          </w:tcPr>
          <w:p>
            <w:pPr>
              <w:pStyle w:val="TableParagraph"/>
              <w:spacing w:before="5"/>
              <w:ind w:left="191" w:right="187"/>
              <w:rPr>
                <w:sz w:val="18"/>
              </w:rPr>
            </w:pPr>
            <w:r>
              <w:rPr>
                <w:sz w:val="18"/>
              </w:rPr>
              <w:t>Perú</w:t>
            </w:r>
          </w:p>
        </w:tc>
        <w:tc>
          <w:tcPr>
            <w:tcW w:w="1330" w:type="dxa"/>
            <w:tcBorders>
              <w:top w:val="nil"/>
              <w:left w:val="nil"/>
              <w:bottom w:val="nil"/>
              <w:right w:val="nil"/>
            </w:tcBorders>
          </w:tcPr>
          <w:p>
            <w:pPr>
              <w:pStyle w:val="TableParagraph"/>
              <w:spacing w:before="5"/>
              <w:ind w:left="484" w:right="403"/>
              <w:rPr>
                <w:sz w:val="18"/>
              </w:rPr>
            </w:pPr>
            <w:r>
              <w:rPr>
                <w:sz w:val="18"/>
              </w:rPr>
              <w:t>2011</w:t>
            </w:r>
          </w:p>
        </w:tc>
        <w:tc>
          <w:tcPr>
            <w:tcW w:w="1450" w:type="dxa"/>
            <w:tcBorders>
              <w:top w:val="nil"/>
              <w:left w:val="nil"/>
              <w:bottom w:val="nil"/>
              <w:right w:val="nil"/>
            </w:tcBorders>
          </w:tcPr>
          <w:p>
            <w:pPr>
              <w:pStyle w:val="TableParagraph"/>
              <w:spacing w:before="5"/>
              <w:ind w:left="108" w:right="158"/>
              <w:rPr>
                <w:sz w:val="18"/>
              </w:rPr>
            </w:pPr>
            <w:r>
              <w:rPr>
                <w:sz w:val="18"/>
              </w:rPr>
              <w:t>A-2</w:t>
            </w:r>
          </w:p>
        </w:tc>
        <w:tc>
          <w:tcPr>
            <w:tcW w:w="2669" w:type="dxa"/>
            <w:tcBorders>
              <w:top w:val="nil"/>
              <w:left w:val="nil"/>
              <w:bottom w:val="nil"/>
              <w:right w:val="nil"/>
            </w:tcBorders>
          </w:tcPr>
          <w:p>
            <w:pPr>
              <w:pStyle w:val="TableParagraph"/>
              <w:spacing w:before="5"/>
              <w:ind w:left="0" w:right="44"/>
              <w:rPr>
                <w:sz w:val="18"/>
              </w:rPr>
            </w:pPr>
            <w:r>
              <w:rPr>
                <w:w w:val="99"/>
                <w:sz w:val="18"/>
              </w:rPr>
              <w:t>*</w:t>
            </w:r>
          </w:p>
        </w:tc>
      </w:tr>
      <w:tr>
        <w:trPr>
          <w:trHeight w:val="232" w:hRule="exact"/>
        </w:trPr>
        <w:tc>
          <w:tcPr>
            <w:tcW w:w="1519" w:type="dxa"/>
            <w:tcBorders>
              <w:top w:val="nil"/>
              <w:left w:val="nil"/>
              <w:bottom w:val="nil"/>
              <w:right w:val="nil"/>
            </w:tcBorders>
          </w:tcPr>
          <w:p>
            <w:pPr>
              <w:pStyle w:val="TableParagraph"/>
              <w:spacing w:before="5"/>
              <w:ind w:right="189"/>
              <w:rPr>
                <w:sz w:val="18"/>
              </w:rPr>
            </w:pPr>
            <w:r>
              <w:rPr>
                <w:sz w:val="18"/>
              </w:rPr>
              <w:t>Farper-066</w:t>
            </w:r>
          </w:p>
        </w:tc>
        <w:tc>
          <w:tcPr>
            <w:tcW w:w="1093" w:type="dxa"/>
            <w:tcBorders>
              <w:top w:val="nil"/>
              <w:left w:val="nil"/>
              <w:bottom w:val="nil"/>
              <w:right w:val="nil"/>
            </w:tcBorders>
          </w:tcPr>
          <w:p>
            <w:pPr>
              <w:pStyle w:val="TableParagraph"/>
              <w:spacing w:before="5"/>
              <w:ind w:left="191" w:right="187"/>
              <w:rPr>
                <w:sz w:val="18"/>
              </w:rPr>
            </w:pPr>
            <w:r>
              <w:rPr>
                <w:sz w:val="18"/>
              </w:rPr>
              <w:t>Perú</w:t>
            </w:r>
          </w:p>
        </w:tc>
        <w:tc>
          <w:tcPr>
            <w:tcW w:w="1330" w:type="dxa"/>
            <w:tcBorders>
              <w:top w:val="nil"/>
              <w:left w:val="nil"/>
              <w:bottom w:val="nil"/>
              <w:right w:val="nil"/>
            </w:tcBorders>
          </w:tcPr>
          <w:p>
            <w:pPr>
              <w:pStyle w:val="TableParagraph"/>
              <w:spacing w:before="5"/>
              <w:ind w:left="484" w:right="403"/>
              <w:rPr>
                <w:sz w:val="18"/>
              </w:rPr>
            </w:pPr>
            <w:r>
              <w:rPr>
                <w:sz w:val="18"/>
              </w:rPr>
              <w:t>2011</w:t>
            </w:r>
          </w:p>
        </w:tc>
        <w:tc>
          <w:tcPr>
            <w:tcW w:w="1450" w:type="dxa"/>
            <w:tcBorders>
              <w:top w:val="nil"/>
              <w:left w:val="nil"/>
              <w:bottom w:val="nil"/>
              <w:right w:val="nil"/>
            </w:tcBorders>
          </w:tcPr>
          <w:p>
            <w:pPr>
              <w:pStyle w:val="TableParagraph"/>
              <w:spacing w:before="5"/>
              <w:ind w:left="106" w:right="158"/>
              <w:rPr>
                <w:sz w:val="18"/>
              </w:rPr>
            </w:pPr>
            <w:r>
              <w:rPr>
                <w:sz w:val="18"/>
              </w:rPr>
              <w:t>NT</w:t>
            </w:r>
          </w:p>
        </w:tc>
        <w:tc>
          <w:tcPr>
            <w:tcW w:w="2669" w:type="dxa"/>
            <w:tcBorders>
              <w:top w:val="nil"/>
              <w:left w:val="nil"/>
              <w:bottom w:val="nil"/>
              <w:right w:val="nil"/>
            </w:tcBorders>
          </w:tcPr>
          <w:p>
            <w:pPr>
              <w:pStyle w:val="TableParagraph"/>
              <w:spacing w:before="5"/>
              <w:ind w:left="0" w:right="44"/>
              <w:rPr>
                <w:sz w:val="18"/>
              </w:rPr>
            </w:pPr>
            <w:r>
              <w:rPr>
                <w:w w:val="99"/>
                <w:sz w:val="18"/>
              </w:rPr>
              <w:t>*</w:t>
            </w:r>
          </w:p>
        </w:tc>
      </w:tr>
      <w:tr>
        <w:trPr>
          <w:trHeight w:val="232" w:hRule="exact"/>
        </w:trPr>
        <w:tc>
          <w:tcPr>
            <w:tcW w:w="1519" w:type="dxa"/>
            <w:tcBorders>
              <w:top w:val="nil"/>
              <w:left w:val="nil"/>
              <w:bottom w:val="nil"/>
              <w:right w:val="nil"/>
            </w:tcBorders>
          </w:tcPr>
          <w:p>
            <w:pPr>
              <w:pStyle w:val="TableParagraph"/>
              <w:ind w:right="189"/>
              <w:rPr>
                <w:sz w:val="18"/>
              </w:rPr>
            </w:pPr>
            <w:r>
              <w:rPr>
                <w:sz w:val="18"/>
              </w:rPr>
              <w:t>Farper-086</w:t>
            </w:r>
          </w:p>
        </w:tc>
        <w:tc>
          <w:tcPr>
            <w:tcW w:w="1093" w:type="dxa"/>
            <w:tcBorders>
              <w:top w:val="nil"/>
              <w:left w:val="nil"/>
              <w:bottom w:val="nil"/>
              <w:right w:val="nil"/>
            </w:tcBorders>
          </w:tcPr>
          <w:p>
            <w:pPr>
              <w:pStyle w:val="TableParagraph"/>
              <w:ind w:left="191" w:right="187"/>
              <w:rPr>
                <w:sz w:val="18"/>
              </w:rPr>
            </w:pPr>
            <w:r>
              <w:rPr>
                <w:sz w:val="18"/>
              </w:rPr>
              <w:t>Perú</w:t>
            </w:r>
          </w:p>
        </w:tc>
        <w:tc>
          <w:tcPr>
            <w:tcW w:w="1330" w:type="dxa"/>
            <w:tcBorders>
              <w:top w:val="nil"/>
              <w:left w:val="nil"/>
              <w:bottom w:val="nil"/>
              <w:right w:val="nil"/>
            </w:tcBorders>
          </w:tcPr>
          <w:p>
            <w:pPr>
              <w:pStyle w:val="TableParagraph"/>
              <w:ind w:left="484" w:right="403"/>
              <w:rPr>
                <w:sz w:val="18"/>
              </w:rPr>
            </w:pPr>
            <w:r>
              <w:rPr>
                <w:sz w:val="18"/>
              </w:rPr>
              <w:t>2010</w:t>
            </w:r>
          </w:p>
        </w:tc>
        <w:tc>
          <w:tcPr>
            <w:tcW w:w="1450" w:type="dxa"/>
            <w:tcBorders>
              <w:top w:val="nil"/>
              <w:left w:val="nil"/>
              <w:bottom w:val="nil"/>
              <w:right w:val="nil"/>
            </w:tcBorders>
          </w:tcPr>
          <w:p>
            <w:pPr>
              <w:pStyle w:val="TableParagraph"/>
              <w:ind w:left="108" w:right="158"/>
              <w:rPr>
                <w:sz w:val="18"/>
              </w:rPr>
            </w:pPr>
            <w:r>
              <w:rPr>
                <w:sz w:val="18"/>
              </w:rPr>
              <w:t>B-1</w:t>
            </w:r>
          </w:p>
        </w:tc>
        <w:tc>
          <w:tcPr>
            <w:tcW w:w="2669" w:type="dxa"/>
            <w:tcBorders>
              <w:top w:val="nil"/>
              <w:left w:val="nil"/>
              <w:bottom w:val="nil"/>
              <w:right w:val="nil"/>
            </w:tcBorders>
          </w:tcPr>
          <w:p>
            <w:pPr>
              <w:pStyle w:val="TableParagraph"/>
              <w:ind w:left="0" w:right="44"/>
              <w:rPr>
                <w:sz w:val="18"/>
              </w:rPr>
            </w:pPr>
            <w:r>
              <w:rPr>
                <w:w w:val="99"/>
                <w:sz w:val="18"/>
              </w:rPr>
              <w:t>*</w:t>
            </w:r>
          </w:p>
        </w:tc>
      </w:tr>
      <w:tr>
        <w:trPr>
          <w:trHeight w:val="230" w:hRule="exact"/>
        </w:trPr>
        <w:tc>
          <w:tcPr>
            <w:tcW w:w="1519" w:type="dxa"/>
            <w:tcBorders>
              <w:top w:val="nil"/>
              <w:left w:val="nil"/>
              <w:bottom w:val="nil"/>
              <w:right w:val="nil"/>
            </w:tcBorders>
          </w:tcPr>
          <w:p>
            <w:pPr>
              <w:pStyle w:val="TableParagraph"/>
              <w:spacing w:before="5"/>
              <w:ind w:right="189"/>
              <w:rPr>
                <w:sz w:val="18"/>
              </w:rPr>
            </w:pPr>
            <w:r>
              <w:rPr>
                <w:sz w:val="18"/>
              </w:rPr>
              <w:t>Farper-087</w:t>
            </w:r>
          </w:p>
        </w:tc>
        <w:tc>
          <w:tcPr>
            <w:tcW w:w="1093" w:type="dxa"/>
            <w:tcBorders>
              <w:top w:val="nil"/>
              <w:left w:val="nil"/>
              <w:bottom w:val="nil"/>
              <w:right w:val="nil"/>
            </w:tcBorders>
          </w:tcPr>
          <w:p>
            <w:pPr>
              <w:pStyle w:val="TableParagraph"/>
              <w:spacing w:before="5"/>
              <w:ind w:left="191" w:right="187"/>
              <w:rPr>
                <w:sz w:val="18"/>
              </w:rPr>
            </w:pPr>
            <w:r>
              <w:rPr>
                <w:sz w:val="18"/>
              </w:rPr>
              <w:t>Perú</w:t>
            </w:r>
          </w:p>
        </w:tc>
        <w:tc>
          <w:tcPr>
            <w:tcW w:w="1330" w:type="dxa"/>
            <w:tcBorders>
              <w:top w:val="nil"/>
              <w:left w:val="nil"/>
              <w:bottom w:val="nil"/>
              <w:right w:val="nil"/>
            </w:tcBorders>
          </w:tcPr>
          <w:p>
            <w:pPr>
              <w:pStyle w:val="TableParagraph"/>
              <w:spacing w:before="5"/>
              <w:ind w:left="484" w:right="403"/>
              <w:rPr>
                <w:sz w:val="18"/>
              </w:rPr>
            </w:pPr>
            <w:r>
              <w:rPr>
                <w:sz w:val="18"/>
              </w:rPr>
              <w:t>2010</w:t>
            </w:r>
          </w:p>
        </w:tc>
        <w:tc>
          <w:tcPr>
            <w:tcW w:w="1450" w:type="dxa"/>
            <w:tcBorders>
              <w:top w:val="nil"/>
              <w:left w:val="nil"/>
              <w:bottom w:val="nil"/>
              <w:right w:val="nil"/>
            </w:tcBorders>
          </w:tcPr>
          <w:p>
            <w:pPr>
              <w:pStyle w:val="TableParagraph"/>
              <w:spacing w:before="5"/>
              <w:ind w:left="108" w:right="158"/>
              <w:rPr>
                <w:sz w:val="18"/>
              </w:rPr>
            </w:pPr>
            <w:r>
              <w:rPr>
                <w:sz w:val="18"/>
              </w:rPr>
              <w:t>C-1</w:t>
            </w:r>
          </w:p>
        </w:tc>
        <w:tc>
          <w:tcPr>
            <w:tcW w:w="2669" w:type="dxa"/>
            <w:tcBorders>
              <w:top w:val="nil"/>
              <w:left w:val="nil"/>
              <w:bottom w:val="nil"/>
              <w:right w:val="nil"/>
            </w:tcBorders>
          </w:tcPr>
          <w:p>
            <w:pPr>
              <w:pStyle w:val="TableParagraph"/>
              <w:spacing w:before="5"/>
              <w:ind w:left="0" w:right="44"/>
              <w:rPr>
                <w:sz w:val="18"/>
              </w:rPr>
            </w:pPr>
            <w:r>
              <w:rPr>
                <w:w w:val="99"/>
                <w:sz w:val="18"/>
              </w:rPr>
              <w:t>*</w:t>
            </w:r>
          </w:p>
        </w:tc>
      </w:tr>
      <w:tr>
        <w:trPr>
          <w:trHeight w:val="230" w:hRule="exact"/>
        </w:trPr>
        <w:tc>
          <w:tcPr>
            <w:tcW w:w="1519" w:type="dxa"/>
            <w:tcBorders>
              <w:top w:val="nil"/>
              <w:left w:val="nil"/>
              <w:bottom w:val="nil"/>
              <w:right w:val="nil"/>
            </w:tcBorders>
          </w:tcPr>
          <w:p>
            <w:pPr>
              <w:pStyle w:val="TableParagraph"/>
              <w:spacing w:before="5"/>
              <w:ind w:right="189"/>
              <w:rPr>
                <w:sz w:val="18"/>
              </w:rPr>
            </w:pPr>
            <w:r>
              <w:rPr>
                <w:sz w:val="18"/>
              </w:rPr>
              <w:t>Farper-088</w:t>
            </w:r>
          </w:p>
        </w:tc>
        <w:tc>
          <w:tcPr>
            <w:tcW w:w="1093" w:type="dxa"/>
            <w:tcBorders>
              <w:top w:val="nil"/>
              <w:left w:val="nil"/>
              <w:bottom w:val="nil"/>
              <w:right w:val="nil"/>
            </w:tcBorders>
          </w:tcPr>
          <w:p>
            <w:pPr>
              <w:pStyle w:val="TableParagraph"/>
              <w:spacing w:before="5"/>
              <w:ind w:left="191" w:right="187"/>
              <w:rPr>
                <w:sz w:val="18"/>
              </w:rPr>
            </w:pPr>
            <w:r>
              <w:rPr>
                <w:sz w:val="18"/>
              </w:rPr>
              <w:t>Perú</w:t>
            </w:r>
          </w:p>
        </w:tc>
        <w:tc>
          <w:tcPr>
            <w:tcW w:w="1330" w:type="dxa"/>
            <w:tcBorders>
              <w:top w:val="nil"/>
              <w:left w:val="nil"/>
              <w:bottom w:val="nil"/>
              <w:right w:val="nil"/>
            </w:tcBorders>
          </w:tcPr>
          <w:p>
            <w:pPr>
              <w:pStyle w:val="TableParagraph"/>
              <w:spacing w:before="5"/>
              <w:ind w:left="484" w:right="403"/>
              <w:rPr>
                <w:sz w:val="18"/>
              </w:rPr>
            </w:pPr>
            <w:r>
              <w:rPr>
                <w:sz w:val="18"/>
              </w:rPr>
              <w:t>2011</w:t>
            </w:r>
          </w:p>
        </w:tc>
        <w:tc>
          <w:tcPr>
            <w:tcW w:w="1450" w:type="dxa"/>
            <w:tcBorders>
              <w:top w:val="nil"/>
              <w:left w:val="nil"/>
              <w:bottom w:val="nil"/>
              <w:right w:val="nil"/>
            </w:tcBorders>
          </w:tcPr>
          <w:p>
            <w:pPr>
              <w:pStyle w:val="TableParagraph"/>
              <w:spacing w:before="5"/>
              <w:ind w:left="108" w:right="158"/>
              <w:rPr>
                <w:sz w:val="18"/>
              </w:rPr>
            </w:pPr>
            <w:r>
              <w:rPr>
                <w:sz w:val="18"/>
              </w:rPr>
              <w:t>C-1</w:t>
            </w:r>
          </w:p>
        </w:tc>
        <w:tc>
          <w:tcPr>
            <w:tcW w:w="2669" w:type="dxa"/>
            <w:tcBorders>
              <w:top w:val="nil"/>
              <w:left w:val="nil"/>
              <w:bottom w:val="nil"/>
              <w:right w:val="nil"/>
            </w:tcBorders>
          </w:tcPr>
          <w:p>
            <w:pPr>
              <w:pStyle w:val="TableParagraph"/>
              <w:spacing w:before="5"/>
              <w:ind w:left="0" w:right="44"/>
              <w:rPr>
                <w:sz w:val="18"/>
              </w:rPr>
            </w:pPr>
            <w:r>
              <w:rPr>
                <w:w w:val="99"/>
                <w:sz w:val="18"/>
              </w:rPr>
              <w:t>*</w:t>
            </w:r>
          </w:p>
        </w:tc>
      </w:tr>
      <w:tr>
        <w:trPr>
          <w:trHeight w:val="232" w:hRule="exact"/>
        </w:trPr>
        <w:tc>
          <w:tcPr>
            <w:tcW w:w="1519" w:type="dxa"/>
            <w:tcBorders>
              <w:top w:val="nil"/>
              <w:left w:val="nil"/>
              <w:bottom w:val="nil"/>
              <w:right w:val="nil"/>
            </w:tcBorders>
          </w:tcPr>
          <w:p>
            <w:pPr>
              <w:pStyle w:val="TableParagraph"/>
              <w:spacing w:before="5"/>
              <w:ind w:right="189"/>
              <w:rPr>
                <w:sz w:val="18"/>
              </w:rPr>
            </w:pPr>
            <w:r>
              <w:rPr>
                <w:sz w:val="18"/>
              </w:rPr>
              <w:t>Farper-089</w:t>
            </w:r>
          </w:p>
        </w:tc>
        <w:tc>
          <w:tcPr>
            <w:tcW w:w="1093" w:type="dxa"/>
            <w:tcBorders>
              <w:top w:val="nil"/>
              <w:left w:val="nil"/>
              <w:bottom w:val="nil"/>
              <w:right w:val="nil"/>
            </w:tcBorders>
          </w:tcPr>
          <w:p>
            <w:pPr>
              <w:pStyle w:val="TableParagraph"/>
              <w:spacing w:before="5"/>
              <w:ind w:left="191" w:right="187"/>
              <w:rPr>
                <w:sz w:val="18"/>
              </w:rPr>
            </w:pPr>
            <w:r>
              <w:rPr>
                <w:sz w:val="18"/>
              </w:rPr>
              <w:t>Perú</w:t>
            </w:r>
          </w:p>
        </w:tc>
        <w:tc>
          <w:tcPr>
            <w:tcW w:w="1330" w:type="dxa"/>
            <w:tcBorders>
              <w:top w:val="nil"/>
              <w:left w:val="nil"/>
              <w:bottom w:val="nil"/>
              <w:right w:val="nil"/>
            </w:tcBorders>
          </w:tcPr>
          <w:p>
            <w:pPr>
              <w:pStyle w:val="TableParagraph"/>
              <w:spacing w:before="5"/>
              <w:ind w:left="484" w:right="403"/>
              <w:rPr>
                <w:sz w:val="18"/>
              </w:rPr>
            </w:pPr>
            <w:r>
              <w:rPr>
                <w:sz w:val="18"/>
              </w:rPr>
              <w:t>2011</w:t>
            </w:r>
          </w:p>
        </w:tc>
        <w:tc>
          <w:tcPr>
            <w:tcW w:w="1450" w:type="dxa"/>
            <w:tcBorders>
              <w:top w:val="nil"/>
              <w:left w:val="nil"/>
              <w:bottom w:val="nil"/>
              <w:right w:val="nil"/>
            </w:tcBorders>
          </w:tcPr>
          <w:p>
            <w:pPr>
              <w:pStyle w:val="TableParagraph"/>
              <w:spacing w:before="5"/>
              <w:ind w:left="108" w:right="158"/>
              <w:rPr>
                <w:sz w:val="18"/>
              </w:rPr>
            </w:pPr>
            <w:r>
              <w:rPr>
                <w:sz w:val="18"/>
              </w:rPr>
              <w:t>C-1</w:t>
            </w:r>
          </w:p>
        </w:tc>
        <w:tc>
          <w:tcPr>
            <w:tcW w:w="2669" w:type="dxa"/>
            <w:tcBorders>
              <w:top w:val="nil"/>
              <w:left w:val="nil"/>
              <w:bottom w:val="nil"/>
              <w:right w:val="nil"/>
            </w:tcBorders>
          </w:tcPr>
          <w:p>
            <w:pPr>
              <w:pStyle w:val="TableParagraph"/>
              <w:spacing w:before="5"/>
              <w:ind w:left="0" w:right="44"/>
              <w:rPr>
                <w:sz w:val="18"/>
              </w:rPr>
            </w:pPr>
            <w:r>
              <w:rPr>
                <w:w w:val="99"/>
                <w:sz w:val="18"/>
              </w:rPr>
              <w:t>*</w:t>
            </w:r>
          </w:p>
        </w:tc>
      </w:tr>
      <w:tr>
        <w:trPr>
          <w:trHeight w:val="232" w:hRule="exact"/>
        </w:trPr>
        <w:tc>
          <w:tcPr>
            <w:tcW w:w="1519" w:type="dxa"/>
            <w:tcBorders>
              <w:top w:val="nil"/>
              <w:left w:val="nil"/>
              <w:bottom w:val="nil"/>
              <w:right w:val="nil"/>
            </w:tcBorders>
          </w:tcPr>
          <w:p>
            <w:pPr>
              <w:pStyle w:val="TableParagraph"/>
              <w:ind w:right="189"/>
              <w:rPr>
                <w:sz w:val="18"/>
              </w:rPr>
            </w:pPr>
            <w:r>
              <w:rPr>
                <w:sz w:val="18"/>
              </w:rPr>
              <w:t>Farper-034</w:t>
            </w:r>
          </w:p>
        </w:tc>
        <w:tc>
          <w:tcPr>
            <w:tcW w:w="1093" w:type="dxa"/>
            <w:tcBorders>
              <w:top w:val="nil"/>
              <w:left w:val="nil"/>
              <w:bottom w:val="nil"/>
              <w:right w:val="nil"/>
            </w:tcBorders>
          </w:tcPr>
          <w:p>
            <w:pPr>
              <w:pStyle w:val="TableParagraph"/>
              <w:ind w:left="191"/>
              <w:rPr>
                <w:sz w:val="18"/>
              </w:rPr>
            </w:pPr>
            <w:r>
              <w:rPr>
                <w:sz w:val="18"/>
              </w:rPr>
              <w:t>Bolivia</w:t>
            </w:r>
          </w:p>
        </w:tc>
        <w:tc>
          <w:tcPr>
            <w:tcW w:w="1330" w:type="dxa"/>
            <w:tcBorders>
              <w:top w:val="nil"/>
              <w:left w:val="nil"/>
              <w:bottom w:val="nil"/>
              <w:right w:val="nil"/>
            </w:tcBorders>
          </w:tcPr>
          <w:p>
            <w:pPr>
              <w:pStyle w:val="TableParagraph"/>
              <w:ind w:left="484" w:right="403"/>
              <w:rPr>
                <w:sz w:val="18"/>
              </w:rPr>
            </w:pPr>
            <w:r>
              <w:rPr>
                <w:sz w:val="18"/>
              </w:rPr>
              <w:t>2010</w:t>
            </w:r>
          </w:p>
        </w:tc>
        <w:tc>
          <w:tcPr>
            <w:tcW w:w="1450" w:type="dxa"/>
            <w:tcBorders>
              <w:top w:val="nil"/>
              <w:left w:val="nil"/>
              <w:bottom w:val="nil"/>
              <w:right w:val="nil"/>
            </w:tcBorders>
          </w:tcPr>
          <w:p>
            <w:pPr>
              <w:pStyle w:val="TableParagraph"/>
              <w:ind w:left="108" w:right="158"/>
              <w:rPr>
                <w:sz w:val="18"/>
              </w:rPr>
            </w:pPr>
            <w:r>
              <w:rPr>
                <w:sz w:val="18"/>
              </w:rPr>
              <w:t>A-2</w:t>
            </w:r>
          </w:p>
        </w:tc>
        <w:tc>
          <w:tcPr>
            <w:tcW w:w="2669" w:type="dxa"/>
            <w:tcBorders>
              <w:top w:val="nil"/>
              <w:left w:val="nil"/>
              <w:bottom w:val="nil"/>
              <w:right w:val="nil"/>
            </w:tcBorders>
          </w:tcPr>
          <w:p>
            <w:pPr>
              <w:pStyle w:val="TableParagraph"/>
              <w:ind w:left="0" w:right="44"/>
              <w:rPr>
                <w:sz w:val="18"/>
              </w:rPr>
            </w:pPr>
            <w:r>
              <w:rPr>
                <w:w w:val="99"/>
                <w:sz w:val="18"/>
              </w:rPr>
              <w:t>*</w:t>
            </w:r>
          </w:p>
        </w:tc>
      </w:tr>
      <w:tr>
        <w:trPr>
          <w:trHeight w:val="224" w:hRule="exact"/>
        </w:trPr>
        <w:tc>
          <w:tcPr>
            <w:tcW w:w="1519" w:type="dxa"/>
            <w:tcBorders>
              <w:top w:val="nil"/>
              <w:left w:val="nil"/>
              <w:right w:val="nil"/>
            </w:tcBorders>
          </w:tcPr>
          <w:p>
            <w:pPr>
              <w:pStyle w:val="TableParagraph"/>
              <w:spacing w:before="5"/>
              <w:ind w:right="189"/>
              <w:rPr>
                <w:sz w:val="18"/>
              </w:rPr>
            </w:pPr>
            <w:r>
              <w:rPr>
                <w:sz w:val="18"/>
              </w:rPr>
              <w:t>Farper-047</w:t>
            </w:r>
          </w:p>
        </w:tc>
        <w:tc>
          <w:tcPr>
            <w:tcW w:w="1093" w:type="dxa"/>
            <w:tcBorders>
              <w:top w:val="nil"/>
              <w:left w:val="nil"/>
              <w:right w:val="nil"/>
            </w:tcBorders>
          </w:tcPr>
          <w:p>
            <w:pPr>
              <w:pStyle w:val="TableParagraph"/>
              <w:spacing w:before="5"/>
              <w:ind w:left="191"/>
              <w:rPr>
                <w:sz w:val="18"/>
              </w:rPr>
            </w:pPr>
            <w:r>
              <w:rPr>
                <w:sz w:val="18"/>
              </w:rPr>
              <w:t>Bolivia</w:t>
            </w:r>
          </w:p>
        </w:tc>
        <w:tc>
          <w:tcPr>
            <w:tcW w:w="1330" w:type="dxa"/>
            <w:tcBorders>
              <w:top w:val="nil"/>
              <w:left w:val="nil"/>
              <w:right w:val="nil"/>
            </w:tcBorders>
          </w:tcPr>
          <w:p>
            <w:pPr>
              <w:pStyle w:val="TableParagraph"/>
              <w:spacing w:before="5"/>
              <w:ind w:left="484" w:right="403"/>
              <w:rPr>
                <w:sz w:val="18"/>
              </w:rPr>
            </w:pPr>
            <w:r>
              <w:rPr>
                <w:sz w:val="18"/>
              </w:rPr>
              <w:t>2011</w:t>
            </w:r>
          </w:p>
        </w:tc>
        <w:tc>
          <w:tcPr>
            <w:tcW w:w="1450" w:type="dxa"/>
            <w:tcBorders>
              <w:top w:val="nil"/>
              <w:left w:val="nil"/>
              <w:right w:val="nil"/>
            </w:tcBorders>
          </w:tcPr>
          <w:p>
            <w:pPr>
              <w:pStyle w:val="TableParagraph"/>
              <w:spacing w:before="5"/>
              <w:ind w:left="108" w:right="158"/>
              <w:rPr>
                <w:sz w:val="18"/>
              </w:rPr>
            </w:pPr>
            <w:r>
              <w:rPr>
                <w:sz w:val="18"/>
              </w:rPr>
              <w:t>C-2</w:t>
            </w:r>
          </w:p>
        </w:tc>
        <w:tc>
          <w:tcPr>
            <w:tcW w:w="2669" w:type="dxa"/>
            <w:tcBorders>
              <w:top w:val="nil"/>
              <w:left w:val="nil"/>
              <w:right w:val="nil"/>
            </w:tcBorders>
          </w:tcPr>
          <w:p>
            <w:pPr>
              <w:pStyle w:val="TableParagraph"/>
              <w:spacing w:before="5"/>
              <w:ind w:left="0" w:right="44"/>
              <w:rPr>
                <w:sz w:val="18"/>
              </w:rPr>
            </w:pPr>
            <w:r>
              <w:rPr>
                <w:w w:val="99"/>
                <w:sz w:val="18"/>
              </w:rPr>
              <w:t>*</w:t>
            </w:r>
          </w:p>
        </w:tc>
      </w:tr>
    </w:tbl>
    <w:p>
      <w:pPr>
        <w:spacing w:before="0"/>
        <w:ind w:left="490" w:right="118" w:firstLine="0"/>
        <w:jc w:val="left"/>
        <w:rPr>
          <w:sz w:val="20"/>
        </w:rPr>
      </w:pPr>
      <w:r>
        <w:rPr>
          <w:sz w:val="20"/>
        </w:rPr>
        <w:t>* En el presente estudio</w:t>
      </w:r>
    </w:p>
    <w:p>
      <w:pPr>
        <w:spacing w:after="0"/>
        <w:jc w:val="left"/>
        <w:rPr>
          <w:sz w:val="20"/>
        </w:rPr>
        <w:sectPr>
          <w:footerReference w:type="default" r:id="rId13"/>
          <w:pgSz w:w="12240" w:h="15840"/>
          <w:pgMar w:footer="1003" w:header="0" w:top="1360" w:bottom="1200" w:left="1600" w:right="1580"/>
          <w:pgNumType w:start="31"/>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2"/>
        <w:numPr>
          <w:ilvl w:val="1"/>
          <w:numId w:val="1"/>
        </w:numPr>
        <w:tabs>
          <w:tab w:pos="3789" w:val="left" w:leader="none"/>
        </w:tabs>
        <w:spacing w:line="240" w:lineRule="auto" w:before="186" w:after="0"/>
        <w:ind w:left="3789" w:right="0" w:hanging="430"/>
        <w:jc w:val="left"/>
      </w:pPr>
      <w:bookmarkStart w:name="_TOC_250003" w:id="12"/>
      <w:bookmarkEnd w:id="12"/>
      <w:r>
        <w:rPr/>
        <w:t>RESULTADOS</w:t>
      </w:r>
    </w:p>
    <w:p>
      <w:pPr>
        <w:spacing w:after="0" w:line="240" w:lineRule="auto"/>
        <w:jc w:val="left"/>
        <w:sectPr>
          <w:pgSz w:w="12240" w:h="15840"/>
          <w:pgMar w:header="0" w:footer="1003" w:top="1500" w:bottom="1200" w:left="1720" w:right="172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7"/>
        <w:rPr>
          <w:b/>
        </w:rPr>
      </w:pPr>
    </w:p>
    <w:p>
      <w:pPr>
        <w:pStyle w:val="ListParagraph"/>
        <w:numPr>
          <w:ilvl w:val="0"/>
          <w:numId w:val="6"/>
        </w:numPr>
        <w:tabs>
          <w:tab w:pos="1713" w:val="left" w:leader="none"/>
        </w:tabs>
        <w:spacing w:line="360" w:lineRule="auto" w:before="70" w:after="0"/>
        <w:ind w:left="1592" w:right="628" w:hanging="240"/>
        <w:jc w:val="left"/>
        <w:rPr>
          <w:b/>
          <w:i/>
          <w:sz w:val="24"/>
        </w:rPr>
      </w:pPr>
      <w:r>
        <w:rPr>
          <w:b/>
          <w:sz w:val="24"/>
        </w:rPr>
        <w:t>Protección conferida por bacterinas de coriza infecciosa frente a un aislamiento de </w:t>
      </w:r>
      <w:r>
        <w:rPr>
          <w:b/>
          <w:i/>
          <w:sz w:val="24"/>
        </w:rPr>
        <w:t>Avibacterium</w:t>
      </w:r>
      <w:r>
        <w:rPr>
          <w:b/>
          <w:i/>
          <w:spacing w:val="-12"/>
          <w:sz w:val="24"/>
        </w:rPr>
        <w:t> </w:t>
      </w:r>
      <w:r>
        <w:rPr>
          <w:b/>
          <w:i/>
          <w:sz w:val="24"/>
        </w:rPr>
        <w:t>paragallinarum</w:t>
      </w:r>
    </w:p>
    <w:p>
      <w:pPr>
        <w:pStyle w:val="Heading2"/>
        <w:spacing w:before="5"/>
        <w:ind w:left="1244" w:right="524"/>
        <w:jc w:val="center"/>
      </w:pPr>
      <w:r>
        <w:rPr/>
        <w:t>de la serovariedad C-1 emergente.</w:t>
      </w:r>
    </w:p>
    <w:p>
      <w:pPr>
        <w:pStyle w:val="BodyText"/>
        <w:rPr>
          <w:b/>
        </w:rPr>
      </w:pPr>
    </w:p>
    <w:p>
      <w:pPr>
        <w:pStyle w:val="BodyText"/>
        <w:rPr>
          <w:b/>
        </w:rPr>
      </w:pPr>
    </w:p>
    <w:p>
      <w:pPr>
        <w:pStyle w:val="BodyText"/>
        <w:ind w:left="1245" w:right="524"/>
        <w:jc w:val="center"/>
      </w:pPr>
      <w:r>
        <w:rPr/>
        <w:t>Artículo publicado en</w:t>
      </w:r>
    </w:p>
    <w:p>
      <w:pPr>
        <w:spacing w:before="135"/>
        <w:ind w:left="1245" w:right="524" w:firstLine="0"/>
        <w:jc w:val="center"/>
        <w:rPr>
          <w:sz w:val="24"/>
        </w:rPr>
      </w:pPr>
      <w:r>
        <w:rPr>
          <w:i/>
          <w:sz w:val="24"/>
        </w:rPr>
        <w:t>Avian Diseases </w:t>
      </w:r>
      <w:r>
        <w:rPr>
          <w:sz w:val="24"/>
        </w:rPr>
        <w:t>(2015): 59, 162-164.</w:t>
      </w:r>
    </w:p>
    <w:p>
      <w:pPr>
        <w:spacing w:after="0"/>
        <w:jc w:val="center"/>
        <w:rPr>
          <w:sz w:val="24"/>
        </w:rPr>
        <w:sectPr>
          <w:pgSz w:w="12240" w:h="15840"/>
          <w:pgMar w:header="0" w:footer="1003" w:top="1500" w:bottom="1200" w:left="1720" w:right="1720"/>
        </w:sectPr>
      </w:pPr>
    </w:p>
    <w:p>
      <w:pPr>
        <w:pStyle w:val="BodyText"/>
        <w:ind w:left="114"/>
        <w:rPr>
          <w:sz w:val="20"/>
        </w:rPr>
      </w:pPr>
      <w:r>
        <w:rPr/>
        <w:pict>
          <v:shape style="position:absolute;margin-left:30.719999pt;margin-top:35.519852pt;width:550.6pt;height:755.8pt;mso-position-horizontal-relative:page;mso-position-vertical-relative:page;z-index:-57880" type="#_x0000_t202" filled="false" stroked="false">
            <v:textbox inset="0,0,0,0">
              <w:txbxContent>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3"/>
                    <w:rPr>
                      <w:sz w:val="19"/>
                    </w:rPr>
                  </w:pPr>
                </w:p>
                <w:p>
                  <w:pPr>
                    <w:spacing w:before="0"/>
                    <w:ind w:left="5375" w:right="5374" w:firstLine="0"/>
                    <w:jc w:val="center"/>
                    <w:rPr>
                      <w:rFonts w:ascii="Calibri"/>
                      <w:sz w:val="22"/>
                    </w:rPr>
                  </w:pPr>
                  <w:r>
                    <w:rPr>
                      <w:rFonts w:ascii="Calibri"/>
                      <w:sz w:val="22"/>
                    </w:rPr>
                    <w:t>34</w:t>
                  </w:r>
                </w:p>
              </w:txbxContent>
            </v:textbox>
            <w10:wrap type="none"/>
          </v:shape>
        </w:pict>
      </w:r>
      <w:r>
        <w:rPr>
          <w:sz w:val="20"/>
        </w:rPr>
        <w:drawing>
          <wp:inline distT="0" distB="0" distL="0" distR="0">
            <wp:extent cx="6909609" cy="9484899"/>
            <wp:effectExtent l="0" t="0" r="0" b="0"/>
            <wp:docPr id="5" name="image2.jpeg" descr=""/>
            <wp:cNvGraphicFramePr>
              <a:graphicFrameLocks noChangeAspect="1"/>
            </wp:cNvGraphicFramePr>
            <a:graphic>
              <a:graphicData uri="http://schemas.openxmlformats.org/drawingml/2006/picture">
                <pic:pic>
                  <pic:nvPicPr>
                    <pic:cNvPr id="6" name="image2.jpeg"/>
                    <pic:cNvPicPr/>
                  </pic:nvPicPr>
                  <pic:blipFill>
                    <a:blip r:embed="rId15" cstate="print"/>
                    <a:stretch>
                      <a:fillRect/>
                    </a:stretch>
                  </pic:blipFill>
                  <pic:spPr>
                    <a:xfrm>
                      <a:off x="0" y="0"/>
                      <a:ext cx="6909609" cy="9484899"/>
                    </a:xfrm>
                    <a:prstGeom prst="rect">
                      <a:avLst/>
                    </a:prstGeom>
                  </pic:spPr>
                </pic:pic>
              </a:graphicData>
            </a:graphic>
          </wp:inline>
        </w:drawing>
      </w:r>
      <w:r>
        <w:rPr>
          <w:sz w:val="20"/>
        </w:rPr>
      </w:r>
    </w:p>
    <w:p>
      <w:pPr>
        <w:spacing w:after="0"/>
        <w:rPr>
          <w:sz w:val="20"/>
        </w:rPr>
        <w:sectPr>
          <w:footerReference w:type="default" r:id="rId14"/>
          <w:pgSz w:w="12240" w:h="15840"/>
          <w:pgMar w:footer="0" w:header="0" w:top="720" w:bottom="0" w:left="500" w:right="500"/>
        </w:sectPr>
      </w:pPr>
    </w:p>
    <w:p>
      <w:pPr>
        <w:pStyle w:val="BodyText"/>
        <w:ind w:left="112"/>
        <w:rPr>
          <w:sz w:val="20"/>
        </w:rPr>
      </w:pPr>
      <w:r>
        <w:rPr/>
        <w:pict>
          <v:shape style="position:absolute;margin-left:6.6pt;margin-top:9.4799pt;width:603.85pt;height:781.35pt;mso-position-horizontal-relative:page;mso-position-vertical-relative:page;z-index:-57856" type="#_x0000_t202" filled="false" stroked="false">
            <v:textbox inset="0,0,0,0">
              <w:txbxContent>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6"/>
                    <w:rPr>
                      <w:sz w:val="20"/>
                    </w:rPr>
                  </w:pPr>
                </w:p>
                <w:p>
                  <w:pPr>
                    <w:spacing w:before="1"/>
                    <w:ind w:left="5859" w:right="5955" w:firstLine="0"/>
                    <w:jc w:val="center"/>
                    <w:rPr>
                      <w:rFonts w:ascii="Calibri"/>
                      <w:sz w:val="22"/>
                    </w:rPr>
                  </w:pPr>
                  <w:r>
                    <w:rPr>
                      <w:rFonts w:ascii="Calibri"/>
                      <w:sz w:val="22"/>
                    </w:rPr>
                    <w:t>35</w:t>
                  </w:r>
                </w:p>
              </w:txbxContent>
            </v:textbox>
            <w10:wrap type="none"/>
          </v:shape>
        </w:pict>
      </w:r>
      <w:r>
        <w:rPr>
          <w:sz w:val="20"/>
        </w:rPr>
        <w:drawing>
          <wp:inline distT="0" distB="0" distL="0" distR="0">
            <wp:extent cx="7587572" cy="9817703"/>
            <wp:effectExtent l="0" t="0" r="0" b="0"/>
            <wp:docPr id="7" name="image3.jpeg" descr=""/>
            <wp:cNvGraphicFramePr>
              <a:graphicFrameLocks noChangeAspect="1"/>
            </wp:cNvGraphicFramePr>
            <a:graphic>
              <a:graphicData uri="http://schemas.openxmlformats.org/drawingml/2006/picture">
                <pic:pic>
                  <pic:nvPicPr>
                    <pic:cNvPr id="8" name="image3.jpeg"/>
                    <pic:cNvPicPr/>
                  </pic:nvPicPr>
                  <pic:blipFill>
                    <a:blip r:embed="rId17" cstate="print"/>
                    <a:stretch>
                      <a:fillRect/>
                    </a:stretch>
                  </pic:blipFill>
                  <pic:spPr>
                    <a:xfrm>
                      <a:off x="0" y="0"/>
                      <a:ext cx="7587572" cy="9817703"/>
                    </a:xfrm>
                    <a:prstGeom prst="rect">
                      <a:avLst/>
                    </a:prstGeom>
                  </pic:spPr>
                </pic:pic>
              </a:graphicData>
            </a:graphic>
          </wp:inline>
        </w:drawing>
      </w:r>
      <w:r>
        <w:rPr>
          <w:sz w:val="20"/>
        </w:rPr>
      </w:r>
    </w:p>
    <w:p>
      <w:pPr>
        <w:spacing w:after="0"/>
        <w:rPr>
          <w:sz w:val="20"/>
        </w:rPr>
        <w:sectPr>
          <w:footerReference w:type="default" r:id="rId16"/>
          <w:pgSz w:w="12240" w:h="15840"/>
          <w:pgMar w:footer="0" w:header="0" w:top="180" w:bottom="0" w:left="20" w:right="0"/>
        </w:sectPr>
      </w:pPr>
    </w:p>
    <w:p>
      <w:pPr>
        <w:pStyle w:val="BodyText"/>
        <w:ind w:left="105"/>
        <w:rPr>
          <w:sz w:val="20"/>
        </w:rPr>
      </w:pPr>
      <w:r>
        <w:rPr/>
        <w:pict>
          <v:shape style="position:absolute;margin-left:20.280001pt;margin-top:10.2pt;width:584.3pt;height:757.6pt;mso-position-horizontal-relative:page;mso-position-vertical-relative:page;z-index:-57832" type="#_x0000_t202" filled="false" stroked="false">
            <v:textbox inset="0,0,0,0">
              <w:txbxContent>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3"/>
                    <w:rPr>
                      <w:sz w:val="19"/>
                    </w:rPr>
                  </w:pPr>
                </w:p>
                <w:p>
                  <w:pPr>
                    <w:spacing w:before="1"/>
                    <w:ind w:left="5585" w:right="5837" w:firstLine="0"/>
                    <w:jc w:val="center"/>
                    <w:rPr>
                      <w:rFonts w:ascii="Calibri"/>
                      <w:sz w:val="22"/>
                    </w:rPr>
                  </w:pPr>
                  <w:r>
                    <w:rPr>
                      <w:rFonts w:ascii="Calibri"/>
                      <w:sz w:val="22"/>
                    </w:rPr>
                    <w:t>36</w:t>
                  </w:r>
                </w:p>
              </w:txbxContent>
            </v:textbox>
            <w10:wrap type="none"/>
          </v:shape>
        </w:pict>
      </w:r>
      <w:r>
        <w:rPr>
          <w:sz w:val="20"/>
        </w:rPr>
        <w:drawing>
          <wp:inline distT="0" distB="0" distL="0" distR="0">
            <wp:extent cx="7315377" cy="9484899"/>
            <wp:effectExtent l="0" t="0" r="0" b="0"/>
            <wp:docPr id="9" name="image4.jpeg" descr=""/>
            <wp:cNvGraphicFramePr>
              <a:graphicFrameLocks noChangeAspect="1"/>
            </wp:cNvGraphicFramePr>
            <a:graphic>
              <a:graphicData uri="http://schemas.openxmlformats.org/drawingml/2006/picture">
                <pic:pic>
                  <pic:nvPicPr>
                    <pic:cNvPr id="10" name="image4.jpeg"/>
                    <pic:cNvPicPr/>
                  </pic:nvPicPr>
                  <pic:blipFill>
                    <a:blip r:embed="rId19" cstate="print"/>
                    <a:stretch>
                      <a:fillRect/>
                    </a:stretch>
                  </pic:blipFill>
                  <pic:spPr>
                    <a:xfrm>
                      <a:off x="0" y="0"/>
                      <a:ext cx="7315377" cy="9484899"/>
                    </a:xfrm>
                    <a:prstGeom prst="rect">
                      <a:avLst/>
                    </a:prstGeom>
                  </pic:spPr>
                </pic:pic>
              </a:graphicData>
            </a:graphic>
          </wp:inline>
        </w:drawing>
      </w:r>
      <w:r>
        <w:rPr>
          <w:sz w:val="20"/>
        </w:rPr>
      </w:r>
    </w:p>
    <w:p>
      <w:pPr>
        <w:spacing w:after="0"/>
        <w:rPr>
          <w:sz w:val="20"/>
        </w:rPr>
        <w:sectPr>
          <w:footerReference w:type="default" r:id="rId18"/>
          <w:pgSz w:w="12240" w:h="15840"/>
          <w:pgMar w:footer="0" w:header="0" w:top="200" w:bottom="280" w:left="300" w:right="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pPr>
    </w:p>
    <w:p>
      <w:pPr>
        <w:pStyle w:val="ListParagraph"/>
        <w:numPr>
          <w:ilvl w:val="0"/>
          <w:numId w:val="6"/>
        </w:numPr>
        <w:tabs>
          <w:tab w:pos="1218" w:val="left" w:leader="none"/>
        </w:tabs>
        <w:spacing w:line="240" w:lineRule="auto" w:before="70" w:after="0"/>
        <w:ind w:left="1218" w:right="0" w:hanging="360"/>
        <w:jc w:val="center"/>
        <w:rPr>
          <w:b/>
          <w:i/>
          <w:sz w:val="24"/>
        </w:rPr>
      </w:pPr>
      <w:r>
        <w:rPr>
          <w:b/>
          <w:sz w:val="24"/>
        </w:rPr>
        <w:t>Evaluación de la serotipificación de </w:t>
      </w:r>
      <w:r>
        <w:rPr>
          <w:b/>
          <w:i/>
          <w:sz w:val="24"/>
        </w:rPr>
        <w:t>Avibacterium</w:t>
      </w:r>
      <w:r>
        <w:rPr>
          <w:b/>
          <w:i/>
          <w:spacing w:val="-18"/>
          <w:sz w:val="24"/>
        </w:rPr>
        <w:t> </w:t>
      </w:r>
      <w:r>
        <w:rPr>
          <w:b/>
          <w:i/>
          <w:sz w:val="24"/>
        </w:rPr>
        <w:t>paragallinarum</w:t>
      </w:r>
    </w:p>
    <w:p>
      <w:pPr>
        <w:pStyle w:val="Heading2"/>
        <w:spacing w:line="360" w:lineRule="auto" w:before="137"/>
        <w:ind w:left="4139" w:hanging="2948"/>
      </w:pPr>
      <w:r>
        <w:rPr/>
        <w:t>mediante el uso de una prueba múltiple de reacción en cadena de la polimerasa.</w:t>
      </w:r>
    </w:p>
    <w:p>
      <w:pPr>
        <w:pStyle w:val="BodyText"/>
        <w:rPr>
          <w:b/>
        </w:rPr>
      </w:pPr>
    </w:p>
    <w:p>
      <w:pPr>
        <w:pStyle w:val="BodyText"/>
        <w:spacing w:before="142"/>
        <w:ind w:left="1245" w:right="523"/>
        <w:jc w:val="center"/>
      </w:pPr>
      <w:r>
        <w:rPr/>
        <w:t>Artículo publicado en</w:t>
      </w:r>
    </w:p>
    <w:p>
      <w:pPr>
        <w:spacing w:before="135"/>
        <w:ind w:left="1245" w:right="524" w:firstLine="0"/>
        <w:jc w:val="center"/>
        <w:rPr>
          <w:sz w:val="24"/>
        </w:rPr>
      </w:pPr>
      <w:r>
        <w:rPr>
          <w:i/>
          <w:sz w:val="24"/>
        </w:rPr>
        <w:t>Journal of Veterinary Diagnostic Investigation </w:t>
      </w:r>
      <w:r>
        <w:rPr>
          <w:sz w:val="24"/>
        </w:rPr>
        <w:t>(2014): 26, 272-276</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9"/>
        </w:rPr>
      </w:pPr>
    </w:p>
    <w:p>
      <w:pPr>
        <w:spacing w:before="56"/>
        <w:ind w:left="525" w:right="524" w:firstLine="0"/>
        <w:jc w:val="center"/>
        <w:rPr>
          <w:rFonts w:ascii="Calibri"/>
          <w:sz w:val="22"/>
        </w:rPr>
      </w:pPr>
      <w:r>
        <w:rPr>
          <w:rFonts w:ascii="Calibri"/>
          <w:sz w:val="22"/>
        </w:rPr>
        <w:t>37</w:t>
      </w:r>
    </w:p>
    <w:p>
      <w:pPr>
        <w:spacing w:after="0"/>
        <w:jc w:val="center"/>
        <w:rPr>
          <w:rFonts w:ascii="Calibri"/>
          <w:sz w:val="22"/>
        </w:rPr>
        <w:sectPr>
          <w:footerReference w:type="default" r:id="rId20"/>
          <w:pgSz w:w="12240" w:h="15840"/>
          <w:pgMar w:footer="0" w:header="0" w:top="1500" w:bottom="280" w:left="1720" w:right="1720"/>
        </w:sectPr>
      </w:pPr>
    </w:p>
    <w:p>
      <w:pPr>
        <w:pStyle w:val="BodyText"/>
        <w:rPr>
          <w:rFonts w:ascii="Calibri"/>
          <w:sz w:val="20"/>
        </w:rPr>
      </w:pPr>
      <w:r>
        <w:rPr/>
        <w:pict>
          <v:shape style="position:absolute;margin-left:0pt;margin-top:39.719898pt;width:599.050pt;height:749.9pt;mso-position-horizontal-relative:page;mso-position-vertical-relative:page;z-index:-57808" type="#_x0000_t202" filled="false" stroked="false">
            <v:textbox inset="0,0,0,0">
              <w:txbxContent>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spacing w:before="4"/>
                    <w:rPr>
                      <w:rFonts w:ascii="Calibri"/>
                      <w:sz w:val="30"/>
                    </w:rPr>
                  </w:pPr>
                </w:p>
                <w:p>
                  <w:pPr>
                    <w:spacing w:before="1"/>
                    <w:ind w:left="5989" w:right="5728" w:firstLine="0"/>
                    <w:jc w:val="center"/>
                    <w:rPr>
                      <w:rFonts w:ascii="Calibri"/>
                      <w:sz w:val="22"/>
                    </w:rPr>
                  </w:pPr>
                  <w:r>
                    <w:rPr>
                      <w:rFonts w:ascii="Calibri"/>
                      <w:sz w:val="22"/>
                    </w:rPr>
                    <w:t>38</w:t>
                  </w:r>
                </w:p>
              </w:txbxContent>
            </v:textbox>
            <w10:wrap type="none"/>
          </v:shape>
        </w:pict>
      </w:r>
      <w:r>
        <w:rPr>
          <w:rFonts w:ascii="Calibri"/>
          <w:sz w:val="20"/>
        </w:rPr>
        <w:drawing>
          <wp:inline distT="0" distB="0" distL="0" distR="0">
            <wp:extent cx="7515130" cy="9407461"/>
            <wp:effectExtent l="0" t="0" r="0" b="0"/>
            <wp:docPr id="11" name="image5.jpeg" descr=""/>
            <wp:cNvGraphicFramePr>
              <a:graphicFrameLocks noChangeAspect="1"/>
            </wp:cNvGraphicFramePr>
            <a:graphic>
              <a:graphicData uri="http://schemas.openxmlformats.org/drawingml/2006/picture">
                <pic:pic>
                  <pic:nvPicPr>
                    <pic:cNvPr id="12" name="image5.jpeg"/>
                    <pic:cNvPicPr/>
                  </pic:nvPicPr>
                  <pic:blipFill>
                    <a:blip r:embed="rId22" cstate="print"/>
                    <a:stretch>
                      <a:fillRect/>
                    </a:stretch>
                  </pic:blipFill>
                  <pic:spPr>
                    <a:xfrm>
                      <a:off x="0" y="0"/>
                      <a:ext cx="7515130" cy="9407461"/>
                    </a:xfrm>
                    <a:prstGeom prst="rect">
                      <a:avLst/>
                    </a:prstGeom>
                  </pic:spPr>
                </pic:pic>
              </a:graphicData>
            </a:graphic>
          </wp:inline>
        </w:drawing>
      </w:r>
      <w:r>
        <w:rPr>
          <w:rFonts w:ascii="Calibri"/>
          <w:sz w:val="20"/>
        </w:rPr>
      </w:r>
    </w:p>
    <w:p>
      <w:pPr>
        <w:spacing w:after="0"/>
        <w:rPr>
          <w:rFonts w:ascii="Calibri"/>
          <w:sz w:val="20"/>
        </w:rPr>
        <w:sectPr>
          <w:footerReference w:type="default" r:id="rId21"/>
          <w:pgSz w:w="12240" w:h="15840"/>
          <w:pgMar w:footer="0" w:header="0" w:top="800" w:bottom="0" w:left="0" w:right="140"/>
        </w:sectPr>
      </w:pPr>
    </w:p>
    <w:p>
      <w:pPr>
        <w:pStyle w:val="BodyText"/>
        <w:rPr>
          <w:rFonts w:ascii="Calibri"/>
          <w:sz w:val="20"/>
        </w:rPr>
      </w:pPr>
      <w:r>
        <w:rPr/>
        <w:pict>
          <v:shape style="position:absolute;margin-left:0pt;margin-top:23.639999pt;width:604.450pt;height:745.8pt;mso-position-horizontal-relative:page;mso-position-vertical-relative:page;z-index:-57784" type="#_x0000_t202" filled="false" stroked="false">
            <v:textbox inset="0,0,0,0">
              <w:txbxContent>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spacing w:before="155"/>
                    <w:ind w:left="5989" w:right="5836" w:firstLine="0"/>
                    <w:jc w:val="center"/>
                    <w:rPr>
                      <w:rFonts w:ascii="Calibri"/>
                      <w:sz w:val="22"/>
                    </w:rPr>
                  </w:pPr>
                  <w:r>
                    <w:rPr>
                      <w:rFonts w:ascii="Calibri"/>
                      <w:sz w:val="22"/>
                    </w:rPr>
                    <w:t>39</w:t>
                  </w:r>
                </w:p>
              </w:txbxContent>
            </v:textbox>
            <w10:wrap type="none"/>
          </v:shape>
        </w:pict>
      </w:r>
      <w:r>
        <w:rPr>
          <w:rFonts w:ascii="Calibri"/>
          <w:sz w:val="20"/>
        </w:rPr>
        <w:drawing>
          <wp:inline distT="0" distB="0" distL="0" distR="0">
            <wp:extent cx="7601584" cy="9379362"/>
            <wp:effectExtent l="0" t="0" r="0" b="0"/>
            <wp:docPr id="13" name="image6.jpeg" descr=""/>
            <wp:cNvGraphicFramePr>
              <a:graphicFrameLocks noChangeAspect="1"/>
            </wp:cNvGraphicFramePr>
            <a:graphic>
              <a:graphicData uri="http://schemas.openxmlformats.org/drawingml/2006/picture">
                <pic:pic>
                  <pic:nvPicPr>
                    <pic:cNvPr id="14" name="image6.jpeg"/>
                    <pic:cNvPicPr/>
                  </pic:nvPicPr>
                  <pic:blipFill>
                    <a:blip r:embed="rId24" cstate="print"/>
                    <a:stretch>
                      <a:fillRect/>
                    </a:stretch>
                  </pic:blipFill>
                  <pic:spPr>
                    <a:xfrm>
                      <a:off x="0" y="0"/>
                      <a:ext cx="7601584" cy="9379362"/>
                    </a:xfrm>
                    <a:prstGeom prst="rect">
                      <a:avLst/>
                    </a:prstGeom>
                  </pic:spPr>
                </pic:pic>
              </a:graphicData>
            </a:graphic>
          </wp:inline>
        </w:drawing>
      </w:r>
      <w:r>
        <w:rPr>
          <w:rFonts w:ascii="Calibri"/>
          <w:sz w:val="20"/>
        </w:rPr>
      </w:r>
    </w:p>
    <w:p>
      <w:pPr>
        <w:spacing w:after="0"/>
        <w:rPr>
          <w:rFonts w:ascii="Calibri"/>
          <w:sz w:val="20"/>
        </w:rPr>
        <w:sectPr>
          <w:footerReference w:type="default" r:id="rId23"/>
          <w:pgSz w:w="12240" w:h="15840"/>
          <w:pgMar w:footer="0" w:header="0" w:top="480" w:bottom="280" w:left="0" w:right="40"/>
        </w:sectPr>
      </w:pPr>
    </w:p>
    <w:p>
      <w:pPr>
        <w:pStyle w:val="BodyText"/>
        <w:rPr>
          <w:rFonts w:ascii="Calibri"/>
          <w:sz w:val="20"/>
        </w:rPr>
      </w:pPr>
      <w:r>
        <w:rPr/>
        <w:pict>
          <v:shape style="position:absolute;margin-left:0pt;margin-top:36.479801pt;width:599.8pt;height:751.95pt;mso-position-horizontal-relative:page;mso-position-vertical-relative:page;z-index:-57760" type="#_x0000_t202" filled="false" stroked="false">
            <v:textbox inset="0,0,0,0">
              <w:txbxContent>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spacing w:before="167"/>
                    <w:ind w:left="5989" w:right="5743" w:firstLine="0"/>
                    <w:jc w:val="center"/>
                    <w:rPr>
                      <w:rFonts w:ascii="Calibri"/>
                      <w:sz w:val="22"/>
                    </w:rPr>
                  </w:pPr>
                  <w:r>
                    <w:rPr>
                      <w:rFonts w:ascii="Calibri"/>
                      <w:sz w:val="22"/>
                    </w:rPr>
                    <w:t>40</w:t>
                  </w:r>
                </w:p>
              </w:txbxContent>
            </v:textbox>
            <w10:wrap type="none"/>
          </v:shape>
        </w:pict>
      </w:r>
      <w:r>
        <w:rPr>
          <w:rFonts w:ascii="Calibri"/>
          <w:sz w:val="20"/>
        </w:rPr>
        <w:drawing>
          <wp:inline distT="0" distB="0" distL="0" distR="0">
            <wp:extent cx="7499266" cy="9401841"/>
            <wp:effectExtent l="0" t="0" r="0" b="0"/>
            <wp:docPr id="15" name="image7.jpeg" descr=""/>
            <wp:cNvGraphicFramePr>
              <a:graphicFrameLocks noChangeAspect="1"/>
            </wp:cNvGraphicFramePr>
            <a:graphic>
              <a:graphicData uri="http://schemas.openxmlformats.org/drawingml/2006/picture">
                <pic:pic>
                  <pic:nvPicPr>
                    <pic:cNvPr id="16" name="image7.jpeg"/>
                    <pic:cNvPicPr/>
                  </pic:nvPicPr>
                  <pic:blipFill>
                    <a:blip r:embed="rId26" cstate="print"/>
                    <a:stretch>
                      <a:fillRect/>
                    </a:stretch>
                  </pic:blipFill>
                  <pic:spPr>
                    <a:xfrm>
                      <a:off x="0" y="0"/>
                      <a:ext cx="7499266" cy="9401841"/>
                    </a:xfrm>
                    <a:prstGeom prst="rect">
                      <a:avLst/>
                    </a:prstGeom>
                  </pic:spPr>
                </pic:pic>
              </a:graphicData>
            </a:graphic>
          </wp:inline>
        </w:drawing>
      </w:r>
      <w:r>
        <w:rPr>
          <w:rFonts w:ascii="Calibri"/>
          <w:sz w:val="20"/>
        </w:rPr>
      </w:r>
    </w:p>
    <w:p>
      <w:pPr>
        <w:spacing w:after="0"/>
        <w:rPr>
          <w:rFonts w:ascii="Calibri"/>
          <w:sz w:val="20"/>
        </w:rPr>
        <w:sectPr>
          <w:footerReference w:type="default" r:id="rId25"/>
          <w:pgSz w:w="12240" w:h="15840"/>
          <w:pgMar w:footer="0" w:header="0" w:top="720" w:bottom="0" w:left="0" w:right="140"/>
        </w:sectPr>
      </w:pPr>
    </w:p>
    <w:p>
      <w:pPr>
        <w:pStyle w:val="BodyText"/>
        <w:rPr>
          <w:rFonts w:ascii="Calibri"/>
          <w:sz w:val="20"/>
        </w:rPr>
      </w:pPr>
      <w:r>
        <w:rPr/>
        <w:pict>
          <v:shape style="position:absolute;margin-left:0pt;margin-top:23.52pt;width:610.450pt;height:768.5pt;mso-position-horizontal-relative:page;mso-position-vertical-relative:page;z-index:-57736" type="#_x0000_t202" filled="false" stroked="false">
            <v:textbox inset="0,0,0,0">
              <w:txbxContent>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spacing w:before="158"/>
                    <w:ind w:left="5989" w:right="5956" w:firstLine="0"/>
                    <w:jc w:val="center"/>
                    <w:rPr>
                      <w:rFonts w:ascii="Calibri"/>
                      <w:sz w:val="22"/>
                    </w:rPr>
                  </w:pPr>
                  <w:r>
                    <w:rPr>
                      <w:rFonts w:ascii="Calibri"/>
                      <w:sz w:val="22"/>
                    </w:rPr>
                    <w:t>41</w:t>
                  </w:r>
                </w:p>
              </w:txbxContent>
            </v:textbox>
            <w10:wrap type="none"/>
          </v:shape>
        </w:pict>
      </w:r>
      <w:r>
        <w:rPr>
          <w:rFonts w:ascii="Calibri"/>
          <w:sz w:val="20"/>
        </w:rPr>
        <w:drawing>
          <wp:inline distT="0" distB="0" distL="0" distR="0">
            <wp:extent cx="7726106" cy="9726358"/>
            <wp:effectExtent l="0" t="0" r="0" b="0"/>
            <wp:docPr id="17" name="image8.jpeg" descr=""/>
            <wp:cNvGraphicFramePr>
              <a:graphicFrameLocks noChangeAspect="1"/>
            </wp:cNvGraphicFramePr>
            <a:graphic>
              <a:graphicData uri="http://schemas.openxmlformats.org/drawingml/2006/picture">
                <pic:pic>
                  <pic:nvPicPr>
                    <pic:cNvPr id="18" name="image8.jpeg"/>
                    <pic:cNvPicPr/>
                  </pic:nvPicPr>
                  <pic:blipFill>
                    <a:blip r:embed="rId28" cstate="print"/>
                    <a:stretch>
                      <a:fillRect/>
                    </a:stretch>
                  </pic:blipFill>
                  <pic:spPr>
                    <a:xfrm>
                      <a:off x="0" y="0"/>
                      <a:ext cx="7726106" cy="9726358"/>
                    </a:xfrm>
                    <a:prstGeom prst="rect">
                      <a:avLst/>
                    </a:prstGeom>
                  </pic:spPr>
                </pic:pic>
              </a:graphicData>
            </a:graphic>
          </wp:inline>
        </w:drawing>
      </w:r>
      <w:r>
        <w:rPr>
          <w:rFonts w:ascii="Calibri"/>
          <w:sz w:val="20"/>
        </w:rPr>
      </w:r>
    </w:p>
    <w:p>
      <w:pPr>
        <w:spacing w:after="0"/>
        <w:rPr>
          <w:rFonts w:ascii="Calibri"/>
          <w:sz w:val="20"/>
        </w:rPr>
        <w:sectPr>
          <w:footerReference w:type="default" r:id="rId27"/>
          <w:pgSz w:w="12240" w:h="15840"/>
          <w:pgMar w:footer="0" w:header="0" w:top="480" w:bottom="0" w:left="0" w:right="0"/>
        </w:sectPr>
      </w:pPr>
    </w:p>
    <w:p>
      <w:pPr>
        <w:pStyle w:val="BodyText"/>
        <w:rPr>
          <w:rFonts w:ascii="Calibri"/>
          <w:sz w:val="20"/>
        </w:rPr>
      </w:pPr>
      <w:r>
        <w:rPr/>
        <w:pict>
          <v:shape style="position:absolute;margin-left:0pt;margin-top:31.440001pt;width:612pt;height:741pt;mso-position-horizontal-relative:page;mso-position-vertical-relative:page;z-index:-57712" type="#_x0000_t202" filled="false" stroked="false">
            <v:textbox inset="0,0,0,0">
              <w:txbxContent>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spacing w:before="11"/>
                    <w:rPr>
                      <w:rFonts w:ascii="Calibri"/>
                      <w:sz w:val="21"/>
                    </w:rPr>
                  </w:pPr>
                </w:p>
                <w:p>
                  <w:pPr>
                    <w:spacing w:before="1"/>
                    <w:ind w:left="5989" w:right="5988" w:firstLine="0"/>
                    <w:jc w:val="center"/>
                    <w:rPr>
                      <w:rFonts w:ascii="Calibri"/>
                      <w:sz w:val="22"/>
                    </w:rPr>
                  </w:pPr>
                  <w:r>
                    <w:rPr>
                      <w:rFonts w:ascii="Calibri"/>
                      <w:sz w:val="22"/>
                    </w:rPr>
                    <w:t>42</w:t>
                  </w:r>
                </w:p>
              </w:txbxContent>
            </v:textbox>
            <w10:wrap type="none"/>
          </v:shape>
        </w:pict>
      </w:r>
      <w:r>
        <w:rPr>
          <w:rFonts w:ascii="Calibri"/>
          <w:sz w:val="20"/>
        </w:rPr>
        <w:drawing>
          <wp:inline distT="0" distB="0" distL="0" distR="0">
            <wp:extent cx="7658331" cy="9272587"/>
            <wp:effectExtent l="0" t="0" r="0" b="0"/>
            <wp:docPr id="19" name="image9.jpeg" descr=""/>
            <wp:cNvGraphicFramePr>
              <a:graphicFrameLocks noChangeAspect="1"/>
            </wp:cNvGraphicFramePr>
            <a:graphic>
              <a:graphicData uri="http://schemas.openxmlformats.org/drawingml/2006/picture">
                <pic:pic>
                  <pic:nvPicPr>
                    <pic:cNvPr id="20" name="image9.jpeg"/>
                    <pic:cNvPicPr/>
                  </pic:nvPicPr>
                  <pic:blipFill>
                    <a:blip r:embed="rId30" cstate="print"/>
                    <a:stretch>
                      <a:fillRect/>
                    </a:stretch>
                  </pic:blipFill>
                  <pic:spPr>
                    <a:xfrm>
                      <a:off x="0" y="0"/>
                      <a:ext cx="7658331" cy="9272587"/>
                    </a:xfrm>
                    <a:prstGeom prst="rect">
                      <a:avLst/>
                    </a:prstGeom>
                  </pic:spPr>
                </pic:pic>
              </a:graphicData>
            </a:graphic>
          </wp:inline>
        </w:drawing>
      </w:r>
      <w:r>
        <w:rPr>
          <w:rFonts w:ascii="Calibri"/>
          <w:sz w:val="20"/>
        </w:rPr>
      </w:r>
    </w:p>
    <w:p>
      <w:pPr>
        <w:spacing w:after="0"/>
        <w:rPr>
          <w:rFonts w:ascii="Calibri"/>
          <w:sz w:val="20"/>
        </w:rPr>
        <w:sectPr>
          <w:footerReference w:type="default" r:id="rId29"/>
          <w:pgSz w:w="12240" w:h="15840"/>
          <w:pgMar w:footer="0" w:header="0" w:top="620" w:bottom="280" w:left="0" w:right="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ListParagraph"/>
        <w:numPr>
          <w:ilvl w:val="0"/>
          <w:numId w:val="6"/>
        </w:numPr>
        <w:tabs>
          <w:tab w:pos="1838" w:val="left" w:leader="none"/>
        </w:tabs>
        <w:spacing w:line="360" w:lineRule="auto" w:before="70" w:after="0"/>
        <w:ind w:left="3366" w:right="756" w:hanging="1889"/>
        <w:jc w:val="left"/>
        <w:rPr>
          <w:b/>
          <w:sz w:val="24"/>
        </w:rPr>
      </w:pPr>
      <w:r>
        <w:rPr>
          <w:b/>
          <w:sz w:val="24"/>
        </w:rPr>
        <w:t>Relación filogenética de aislamientos de </w:t>
      </w:r>
      <w:r>
        <w:rPr>
          <w:b/>
          <w:i/>
          <w:sz w:val="24"/>
        </w:rPr>
        <w:t>Avibacterium </w:t>
      </w:r>
      <w:r>
        <w:rPr>
          <w:b/>
          <w:i/>
          <w:sz w:val="24"/>
        </w:rPr>
        <w:t>paragallinarum </w:t>
      </w:r>
      <w:r>
        <w:rPr>
          <w:b/>
          <w:sz w:val="24"/>
        </w:rPr>
        <w:t>de</w:t>
      </w:r>
      <w:r>
        <w:rPr>
          <w:b/>
          <w:spacing w:val="-7"/>
          <w:sz w:val="24"/>
        </w:rPr>
        <w:t> </w:t>
      </w:r>
      <w:r>
        <w:rPr>
          <w:b/>
          <w:sz w:val="24"/>
        </w:rPr>
        <w:t>América.</w:t>
      </w:r>
    </w:p>
    <w:p>
      <w:pPr>
        <w:pStyle w:val="BodyText"/>
        <w:rPr>
          <w:b/>
        </w:rPr>
      </w:pPr>
    </w:p>
    <w:p>
      <w:pPr>
        <w:pStyle w:val="BodyText"/>
        <w:spacing w:before="142"/>
        <w:ind w:left="1245" w:right="161"/>
        <w:jc w:val="center"/>
      </w:pPr>
      <w:r>
        <w:rPr/>
        <w:t>Artículo en redacción para su envío a la revista:</w:t>
      </w:r>
    </w:p>
    <w:p>
      <w:pPr>
        <w:spacing w:before="137"/>
        <w:ind w:left="1245" w:right="166" w:firstLine="0"/>
        <w:jc w:val="center"/>
        <w:rPr>
          <w:sz w:val="24"/>
        </w:rPr>
      </w:pPr>
      <w:r>
        <w:rPr>
          <w:i/>
          <w:sz w:val="24"/>
        </w:rPr>
        <w:t>Veterinary Microbiology</w:t>
      </w:r>
      <w:r>
        <w:rPr>
          <w:sz w:val="24"/>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0"/>
        </w:rPr>
      </w:pPr>
    </w:p>
    <w:p>
      <w:pPr>
        <w:spacing w:before="0"/>
        <w:ind w:left="525" w:right="524" w:firstLine="0"/>
        <w:jc w:val="center"/>
        <w:rPr>
          <w:rFonts w:ascii="Calibri"/>
          <w:sz w:val="22"/>
        </w:rPr>
      </w:pPr>
      <w:r>
        <w:rPr>
          <w:rFonts w:ascii="Calibri"/>
          <w:sz w:val="22"/>
        </w:rPr>
        <w:t>43</w:t>
      </w:r>
    </w:p>
    <w:p>
      <w:pPr>
        <w:spacing w:after="0"/>
        <w:jc w:val="center"/>
        <w:rPr>
          <w:rFonts w:ascii="Calibri"/>
          <w:sz w:val="22"/>
        </w:rPr>
        <w:sectPr>
          <w:footerReference w:type="default" r:id="rId31"/>
          <w:pgSz w:w="12240" w:h="15840"/>
          <w:pgMar w:footer="0" w:header="0" w:top="1500" w:bottom="280" w:left="1720" w:right="1720"/>
        </w:sectPr>
      </w:pPr>
    </w:p>
    <w:p>
      <w:pPr>
        <w:pStyle w:val="BodyText"/>
        <w:ind w:left="67"/>
        <w:rPr>
          <w:rFonts w:ascii="Calibri"/>
          <w:sz w:val="20"/>
        </w:rPr>
      </w:pPr>
      <w:r>
        <w:rPr/>
        <w:pict>
          <v:shape style="position:absolute;margin-left:3.36pt;margin-top:25.68pt;width:605.9pt;height:766.35pt;mso-position-horizontal-relative:page;mso-position-vertical-relative:page;z-index:-57688" type="#_x0000_t202" filled="false" stroked="false">
            <v:textbox inset="0,0,0,0">
              <w:txbxContent>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spacing w:before="4"/>
                    <w:rPr>
                      <w:rFonts w:ascii="Calibri"/>
                      <w:sz w:val="31"/>
                    </w:rPr>
                  </w:pPr>
                </w:p>
                <w:p>
                  <w:pPr>
                    <w:spacing w:before="1"/>
                    <w:ind w:left="5923" w:right="5931" w:firstLine="0"/>
                    <w:jc w:val="center"/>
                    <w:rPr>
                      <w:rFonts w:ascii="Calibri"/>
                      <w:sz w:val="22"/>
                    </w:rPr>
                  </w:pPr>
                  <w:r>
                    <w:rPr>
                      <w:rFonts w:ascii="Calibri"/>
                      <w:sz w:val="22"/>
                    </w:rPr>
                    <w:t>44</w:t>
                  </w:r>
                </w:p>
              </w:txbxContent>
            </v:textbox>
            <w10:wrap type="none"/>
          </v:shape>
        </w:pict>
      </w:r>
      <w:r>
        <w:rPr>
          <w:rFonts w:ascii="Calibri"/>
          <w:sz w:val="20"/>
        </w:rPr>
        <w:drawing>
          <wp:inline distT="0" distB="0" distL="0" distR="0">
            <wp:extent cx="7597829" cy="9609772"/>
            <wp:effectExtent l="0" t="0" r="0" b="0"/>
            <wp:docPr id="21" name="image10.jpeg" descr=""/>
            <wp:cNvGraphicFramePr>
              <a:graphicFrameLocks noChangeAspect="1"/>
            </wp:cNvGraphicFramePr>
            <a:graphic>
              <a:graphicData uri="http://schemas.openxmlformats.org/drawingml/2006/picture">
                <pic:pic>
                  <pic:nvPicPr>
                    <pic:cNvPr id="22" name="image10.jpeg"/>
                    <pic:cNvPicPr/>
                  </pic:nvPicPr>
                  <pic:blipFill>
                    <a:blip r:embed="rId33" cstate="print"/>
                    <a:stretch>
                      <a:fillRect/>
                    </a:stretch>
                  </pic:blipFill>
                  <pic:spPr>
                    <a:xfrm>
                      <a:off x="0" y="0"/>
                      <a:ext cx="7597829" cy="9609772"/>
                    </a:xfrm>
                    <a:prstGeom prst="rect">
                      <a:avLst/>
                    </a:prstGeom>
                  </pic:spPr>
                </pic:pic>
              </a:graphicData>
            </a:graphic>
          </wp:inline>
        </w:drawing>
      </w:r>
      <w:r>
        <w:rPr>
          <w:rFonts w:ascii="Calibri"/>
          <w:sz w:val="20"/>
        </w:rPr>
      </w:r>
    </w:p>
    <w:p>
      <w:pPr>
        <w:spacing w:after="0"/>
        <w:rPr>
          <w:rFonts w:ascii="Calibri"/>
          <w:sz w:val="20"/>
        </w:rPr>
        <w:sectPr>
          <w:footerReference w:type="default" r:id="rId32"/>
          <w:pgSz w:w="12240" w:h="15840"/>
          <w:pgMar w:footer="0" w:header="0" w:top="520" w:bottom="0" w:left="0" w:right="0"/>
        </w:sectPr>
      </w:pPr>
    </w:p>
    <w:p>
      <w:pPr>
        <w:pStyle w:val="BodyText"/>
        <w:spacing w:line="360" w:lineRule="auto" w:before="52"/>
        <w:ind w:left="102" w:right="115" w:firstLine="566"/>
        <w:jc w:val="both"/>
      </w:pPr>
      <w:r>
        <w:rPr>
          <w:b/>
        </w:rPr>
        <w:t>Figura 1. </w:t>
      </w:r>
      <w:r>
        <w:rPr/>
        <w:t>Árbol filogenético de cepas de referencia y aislamientos de </w:t>
      </w:r>
      <w:r>
        <w:rPr>
          <w:i/>
        </w:rPr>
        <w:t>Av. </w:t>
      </w:r>
      <w:r>
        <w:rPr>
          <w:i/>
        </w:rPr>
        <w:t>paragallinarum </w:t>
      </w:r>
      <w:r>
        <w:rPr/>
        <w:t>incluidos en el estudio basados en el análisis de máxima similitud del gen 16S rRNA. La barra de escala representa la variación de las secuencias.</w:t>
      </w:r>
    </w:p>
    <w:p>
      <w:pPr>
        <w:pStyle w:val="BodyText"/>
        <w:spacing w:before="4"/>
        <w:rPr>
          <w:sz w:val="13"/>
        </w:rPr>
      </w:pPr>
    </w:p>
    <w:p>
      <w:pPr>
        <w:spacing w:after="0"/>
        <w:rPr>
          <w:sz w:val="13"/>
        </w:rPr>
        <w:sectPr>
          <w:footerReference w:type="default" r:id="rId34"/>
          <w:pgSz w:w="12240" w:h="15840"/>
          <w:pgMar w:footer="0" w:header="0" w:top="1360" w:bottom="280" w:left="1600" w:right="1580"/>
        </w:sectPr>
      </w:pPr>
    </w:p>
    <w:p>
      <w:pPr>
        <w:pStyle w:val="BodyText"/>
        <w:spacing w:before="10"/>
        <w:rPr>
          <w:sz w:val="7"/>
        </w:rPr>
      </w:pPr>
    </w:p>
    <w:p>
      <w:pPr>
        <w:spacing w:before="0"/>
        <w:ind w:left="539" w:right="0" w:firstLine="0"/>
        <w:jc w:val="left"/>
        <w:rPr>
          <w:sz w:val="10"/>
        </w:rPr>
      </w:pPr>
      <w:r>
        <w:rPr/>
        <w:pict>
          <v:group style="position:absolute;margin-left:89.254349pt;margin-top:2.803322pt;width:368.9pt;height:551.9pt;mso-position-horizontal-relative:page;mso-position-vertical-relative:paragraph;z-index:-57640" coordorigin="1785,56" coordsize="7378,11038">
            <v:shape style="position:absolute;left:128;top:-5344;width:7604;height:11414" coordorigin="128,-5344" coordsize="7604,11414" path="m1791,4035l1791,62,2094,62m7766,348l7766,255,7766,255m7766,356l7766,448,7766,448m7766,453l7766,642,7766,642m7766,549l7766,836,7766,836m7766,646l7766,1029,7766,1029m7766,743l7766,1222,7766,1222m7766,840l7766,1416,7766,1416m7766,936l7766,1609,7766,1609m7766,1033l7766,1803,7766,1803m7766,1130l7766,1996,7766,1996m7766,1226l7766,2190,7766,2190m7766,1323l7766,2383,7766,2383m7766,1420l7766,2577,7766,2577m7766,1516l7766,2770,7766,2770m7766,1613l7766,2963,7766,2963m7766,1710l7766,3157,7766,3157m7766,1807l7766,3350,7766,3350m7766,1903l7766,3544,7766,3544m7766,2000l7766,3737,7766,3737m7766,2097l7766,3931,7766,3931m7766,2194l7766,4124,7766,4124m7766,255l7766,3636m7766,5668l7766,4318,7766,4318m7766,5764l7766,4511,7766,4511m7766,5861l7766,4704,7766,4704m7766,5958l7766,4898,7766,4898m7766,6054l7766,5091,7766,5091m7766,6151l7766,5285,7766,5285m7766,6248l7766,5478,7766,5478m7766,6345l7766,5672,7766,5672m7766,6441l7766,5865,7766,5865m7766,6538l7766,6058,7766,6058m7766,6635l7766,6252,7766,6252m7766,6732l7766,6445,7766,6445m7766,6828l7766,6639,7766,6639m7766,6925l7766,6832,7766,6832m7766,6933l7766,7026,7766,7026m7766,3644l7766,7026m7756,5426l7756,3640,7766,3640m7756,5434l7756,7219,7778,7219e" filled="false" stroked="true" strokeweight=".453523pt" strokecolor="#000000">
              <v:path arrowok="t"/>
            </v:shape>
            <v:line style="position:absolute" from="7757,5531" to="7757,7413" stroked="true" strokeweight=".110246pt" strokecolor="#000000"/>
            <v:shape style="position:absolute;left:3393;top:363;width:6092;height:8902" coordorigin="3393,363" coordsize="6092,8902" path="m7756,3640l7756,5522m7738,6562l7738,5527,7756,5527m7738,6571l7738,7606,7738,7606m7738,6667l7738,7800,7738,7800m7738,5527l7738,6659m7551,7324l7551,6663,7738,6663m7551,7332l7551,7993,9158,7993m4361,8013l4361,7328,7551,7328m7584,8702l7584,8186,7591,8186m7612,9222l7612,8380,7612,8380m7614,8666l7614,8573,7614,8573m7614,8674l7614,8767,7614,8767m7614,8771l7614,8960,7614,8960m7614,8573l7614,8763e" filled="false" stroked="true" strokeweight=".453523pt" strokecolor="#000000">
              <v:path arrowok="t"/>
            </v:shape>
            <v:line style="position:absolute" from="7613,8767" to="7613,9416" stroked="true" strokeweight=".110245pt" strokecolor="#000000"/>
            <v:shape style="position:absolute;left:7559;top:9155;width:2;height:926" coordorigin="7559,9155" coordsize="0,926" path="m7642,9247l7642,9154,7642,9154m7642,9255l7642,9347,7642,9347m7642,9351l7642,9541,7642,9541m7642,9448l7642,9734,7642,9734e" filled="false" stroked="true" strokeweight=".453523pt" strokecolor="#000000">
              <v:path arrowok="t"/>
            </v:shape>
            <v:line style="position:absolute" from="7643,9545" to="7643,9928" stroked="true" strokeweight=".118119pt" strokecolor="#000000"/>
            <v:line style="position:absolute" from="7642,9154" to="7642,9537" stroked="true" strokeweight=".504936pt" strokecolor="#000000"/>
            <v:line style="position:absolute" from="7641,9541" to="7641,10069" stroked="true" strokeweight=".133868pt" strokecolor="#000000"/>
            <v:shape style="position:absolute;left:7559;top:10697;width:2;height:1543" coordorigin="7559,10697" coordsize="0,1543" path="m7642,10601l7642,10121,7642,10121m7642,10697l7642,10314,7642,10314m7642,10794l7642,10508,7642,10508m7642,10891l7642,10701,7642,10701m7642,10988l7642,10895,7642,10895m7642,10996l7642,11088,7642,11088m7642,10609l7642,11088e" filled="false" stroked="true" strokeweight=".453523pt" strokecolor="#000000">
              <v:path arrowok="t"/>
            </v:shape>
            <v:line style="position:absolute" from="7641,10077" to="7641,10605" stroked="true" strokeweight=".133869pt" strokecolor="#000000"/>
            <v:shape style="position:absolute;left:128;top:1006;width:7428;height:9615" coordorigin="128,1006" coordsize="7428,9615" path="m7612,9424l7612,10073,7639,10073m7612,9230l7612,10073m7584,8710l7584,9226,7612,9226m4361,8021l4361,8706,7584,8706m1791,4043l1791,8017,4361,8017e" filled="false" stroked="true" strokeweight=".453523pt" strokecolor="#000000">
              <v:path arrowok="t"/>
            </v:shape>
            <v:shape style="position:absolute;left:7513;top:9420;width:182;height:101" type="#_x0000_t75" stroked="false">
              <v:imagedata r:id="rId35" o:title=""/>
            </v:shape>
            <v:shape style="position:absolute;left:7513;top:10635;width:182;height:101" type="#_x0000_t75" stroked="false">
              <v:imagedata r:id="rId36" o:title=""/>
            </v:shape>
            <v:shape style="position:absolute;left:7485;top:10103;width:182;height:101" type="#_x0000_t75" stroked="false">
              <v:imagedata r:id="rId37" o:title=""/>
            </v:shape>
            <v:shape style="position:absolute;left:7485;top:8646;width:182;height:101" type="#_x0000_t75" stroked="false">
              <v:imagedata r:id="rId38" o:title=""/>
            </v:shape>
            <v:shape style="position:absolute;left:7457;top:9256;width:182;height:101" type="#_x0000_t75" stroked="false">
              <v:imagedata r:id="rId39" o:title=""/>
            </v:shape>
            <v:shape style="position:absolute;left:7356;top:8737;width:243;height:101" type="#_x0000_t75" stroked="false">
              <v:imagedata r:id="rId40" o:title=""/>
            </v:shape>
            <v:shape style="position:absolute;left:7324;top:7207;width:243;height:101" type="#_x0000_t75" stroked="false">
              <v:imagedata r:id="rId40" o:title=""/>
            </v:shape>
            <v:shape style="position:absolute;left:7571;top:6542;width:182;height:101" type="#_x0000_t75" stroked="false">
              <v:imagedata r:id="rId41" o:title=""/>
            </v:shape>
            <v:shape style="position:absolute;left:7612;top:5406;width:182;height:101" type="#_x0000_t75" stroked="false">
              <v:imagedata r:id="rId42" o:title=""/>
            </v:shape>
            <v:shape style="position:absolute;left:7629;top:3520;width:182;height:101" type="#_x0000_t75" stroked="false">
              <v:imagedata r:id="rId43" o:title=""/>
            </v:shape>
            <w10:wrap type="none"/>
          </v:group>
        </w:pict>
      </w:r>
      <w:r>
        <w:rPr>
          <w:w w:val="130"/>
          <w:sz w:val="10"/>
        </w:rPr>
        <w:t>Pasteurella multocida subsp. multocida (AF294410)</w:t>
      </w:r>
    </w:p>
    <w:p>
      <w:pPr>
        <w:pStyle w:val="BodyText"/>
        <w:rPr>
          <w:sz w:val="10"/>
        </w:rPr>
      </w:pPr>
      <w:r>
        <w:rPr/>
        <w:br w:type="column"/>
      </w:r>
      <w:r>
        <w:rPr>
          <w:sz w:val="10"/>
        </w:rPr>
      </w:r>
    </w:p>
    <w:p>
      <w:pPr>
        <w:pStyle w:val="BodyText"/>
        <w:spacing w:before="8"/>
        <w:rPr>
          <w:sz w:val="14"/>
        </w:rPr>
      </w:pPr>
    </w:p>
    <w:p>
      <w:pPr>
        <w:spacing w:line="403" w:lineRule="auto" w:before="0"/>
        <w:ind w:left="713" w:right="1085" w:firstLine="0"/>
        <w:jc w:val="left"/>
        <w:rPr>
          <w:sz w:val="10"/>
        </w:rPr>
      </w:pPr>
      <w:r>
        <w:rPr>
          <w:w w:val="130"/>
          <w:sz w:val="10"/>
        </w:rPr>
        <w:t>Lavetec-51/Ecuador/2007/A-3 ESV-135_(KC951266)</w:t>
      </w:r>
    </w:p>
    <w:p>
      <w:pPr>
        <w:spacing w:line="403" w:lineRule="auto" w:before="2"/>
        <w:ind w:left="705" w:right="1086" w:firstLine="7"/>
        <w:jc w:val="left"/>
        <w:rPr>
          <w:sz w:val="10"/>
        </w:rPr>
      </w:pPr>
      <w:r>
        <w:rPr>
          <w:w w:val="130"/>
          <w:sz w:val="10"/>
        </w:rPr>
        <w:t>Lavetec-54/Ecuador/2007/A-3 Lavetec-53/Ecuador/2007/A-3 Lavetec-45/Ecuador/A-3 Lavetec-42/Ecuador/A-3 Lavetec-33/Ecuador/2001/B-1 Lavetec-30/Ecuador/2004/B-1 Lavetec-29/Ecuador/2004/A-3 Lavetec-24/Ecuador/2004/A-3 Lavetec-22/Ecuador/2005/A-3 Lavetec-21/Ecuador/2004/B-1 Lavetec-16/Ecuador/2006/A-3 Lavetec-13/Ecuador/2001/B-1 Lavetec-11/Ecuador/A-3 Lavetec-04/Ecuador/A-3 Lavetec-02/Ecuador/A-3 Lavetec-01/Ecuador/2001/B-1 ESV-240/Mexico/2010/A-1 ESV-226/Mexico/2011/A-1 Farper-089/Peru/2011/C-1 Farper-088/Peru/2011/C-1 Farper-087/Peru/2010/C-1 Farper-086/Peru/2010/B-1 Farper-066/Peru/2011/NT Farper-065/Peru/2011/A-2 Farper-064/Peru/2011/B-1 Farper-060/Peru/2011/A-1 Farper-052/Peru/2011/C-1 Farper-051/Peru/2011/C-1 Farper-050/Peru/2011/C-1 Farper-047/Bolivia/2011/C-2 Farper-034/Bolivia/2010/A-2 Farper-033/Peru/2010/B-1 Farper-030/Peru/2010/B-1 Farper-031/Peru/2010/B-1 ESV-58/Mexico/2006/NT HP105_(GU951543)</w:t>
      </w:r>
    </w:p>
    <w:p>
      <w:pPr>
        <w:spacing w:line="403" w:lineRule="auto" w:before="2"/>
        <w:ind w:left="685" w:right="1157" w:firstLine="0"/>
        <w:jc w:val="left"/>
        <w:rPr>
          <w:sz w:val="10"/>
        </w:rPr>
      </w:pPr>
      <w:r>
        <w:rPr>
          <w:w w:val="130"/>
          <w:sz w:val="10"/>
        </w:rPr>
        <w:t>Panama_1/Panama/2007/B-1 Panama_2/Panama/2007/B-1</w:t>
      </w:r>
    </w:p>
    <w:p>
      <w:pPr>
        <w:spacing w:before="2"/>
        <w:ind w:left="2106" w:right="0" w:firstLine="0"/>
        <w:jc w:val="left"/>
        <w:rPr>
          <w:sz w:val="10"/>
        </w:rPr>
      </w:pPr>
      <w:r>
        <w:rPr>
          <w:w w:val="130"/>
          <w:sz w:val="10"/>
        </w:rPr>
        <w:t>SA7177_(AY498871)</w:t>
      </w:r>
    </w:p>
    <w:p>
      <w:pPr>
        <w:spacing w:line="403" w:lineRule="auto" w:before="78"/>
        <w:ind w:left="559" w:right="1260" w:hanging="21"/>
        <w:jc w:val="left"/>
        <w:rPr>
          <w:sz w:val="10"/>
        </w:rPr>
      </w:pPr>
      <w:r>
        <w:rPr>
          <w:w w:val="130"/>
          <w:sz w:val="10"/>
        </w:rPr>
        <w:t>Lavetec-10/Ecuador/2005/A-3 ESV-142/Mexico/2009/C-2 0222_(AY498869)</w:t>
      </w:r>
    </w:p>
    <w:p>
      <w:pPr>
        <w:spacing w:before="2"/>
        <w:ind w:left="561" w:right="1085" w:firstLine="0"/>
        <w:jc w:val="left"/>
        <w:rPr>
          <w:sz w:val="10"/>
        </w:rPr>
      </w:pPr>
      <w:r>
        <w:rPr>
          <w:w w:val="130"/>
          <w:sz w:val="10"/>
        </w:rPr>
        <w:t>0083_(AY498867)</w:t>
      </w:r>
    </w:p>
    <w:p>
      <w:pPr>
        <w:spacing w:line="403" w:lineRule="auto" w:before="78"/>
        <w:ind w:left="589" w:right="1443" w:hanging="29"/>
        <w:jc w:val="left"/>
        <w:rPr>
          <w:sz w:val="10"/>
        </w:rPr>
      </w:pPr>
      <w:r>
        <w:rPr>
          <w:w w:val="130"/>
          <w:sz w:val="10"/>
        </w:rPr>
        <w:t>ESV-131/Mexico/2008/B-1 SA-3_(KC951277)</w:t>
      </w:r>
    </w:p>
    <w:p>
      <w:pPr>
        <w:spacing w:before="2"/>
        <w:ind w:left="589" w:right="1085" w:firstLine="0"/>
        <w:jc w:val="left"/>
        <w:rPr>
          <w:sz w:val="10"/>
        </w:rPr>
      </w:pPr>
      <w:r>
        <w:rPr>
          <w:w w:val="130"/>
          <w:sz w:val="10"/>
        </w:rPr>
        <w:t>H-18_(KC951275)</w:t>
      </w:r>
    </w:p>
    <w:p>
      <w:pPr>
        <w:spacing w:line="403" w:lineRule="auto" w:before="78"/>
        <w:ind w:left="589" w:right="1412" w:firstLine="0"/>
        <w:jc w:val="both"/>
        <w:rPr>
          <w:sz w:val="10"/>
        </w:rPr>
      </w:pPr>
      <w:r>
        <w:rPr>
          <w:w w:val="130"/>
          <w:sz w:val="10"/>
        </w:rPr>
        <w:t>ESV-346/Mexico/2010/C-1 ESV-184/Mexico/2008/B-1 ESV-244/Mexico/2010/A-1 ESV-117/Mexico/2008/C-2 Lima-1/Peru/C-2</w:t>
      </w:r>
    </w:p>
    <w:p>
      <w:pPr>
        <w:spacing w:line="403" w:lineRule="auto" w:before="2"/>
        <w:ind w:left="589" w:right="1085" w:firstLine="0"/>
        <w:jc w:val="left"/>
        <w:rPr>
          <w:sz w:val="10"/>
        </w:rPr>
      </w:pPr>
      <w:r>
        <w:rPr>
          <w:w w:val="130"/>
          <w:sz w:val="10"/>
        </w:rPr>
        <w:t>Lima-2/Peru/C-2 HP60_(KC951276) HP107_(GU951544)</w:t>
      </w:r>
    </w:p>
    <w:p>
      <w:pPr>
        <w:spacing w:before="2"/>
        <w:ind w:left="589" w:right="1085" w:firstLine="0"/>
        <w:jc w:val="left"/>
        <w:rPr>
          <w:sz w:val="10"/>
        </w:rPr>
      </w:pPr>
      <w:r>
        <w:rPr>
          <w:w w:val="130"/>
          <w:sz w:val="10"/>
        </w:rPr>
        <w:t>Modesto_(AY498870)</w:t>
      </w:r>
    </w:p>
    <w:p>
      <w:pPr>
        <w:spacing w:after="0"/>
        <w:jc w:val="left"/>
        <w:rPr>
          <w:sz w:val="10"/>
        </w:rPr>
        <w:sectPr>
          <w:type w:val="continuous"/>
          <w:pgSz w:w="12240" w:h="15840"/>
          <w:pgMar w:top="1500" w:bottom="280" w:left="1600" w:right="1580"/>
          <w:cols w:num="2" w:equalWidth="0">
            <w:col w:w="3558" w:space="1939"/>
            <w:col w:w="3563"/>
          </w:cols>
        </w:sectPr>
      </w:pPr>
    </w:p>
    <w:p>
      <w:pPr>
        <w:pStyle w:val="BodyText"/>
        <w:spacing w:before="8"/>
        <w:rPr>
          <w:sz w:val="15"/>
        </w:rPr>
      </w:pPr>
    </w:p>
    <w:p>
      <w:pPr>
        <w:pStyle w:val="BodyText"/>
        <w:spacing w:line="176" w:lineRule="exact"/>
        <w:ind w:left="690"/>
        <w:rPr>
          <w:sz w:val="17"/>
        </w:rPr>
      </w:pPr>
      <w:r>
        <w:rPr>
          <w:position w:val="-3"/>
          <w:sz w:val="17"/>
        </w:rPr>
        <w:pict>
          <v:group style="width:23.55pt;height:8.85pt;mso-position-horizontal-relative:char;mso-position-vertical-relative:line" coordorigin="0,0" coordsize="471,177">
            <v:line style="position:absolute" from="6,38" to="465,38" stroked="true" strokeweight=".40211pt" strokecolor="#000000"/>
            <v:line style="position:absolute" from="6,6" to="6,70" stroked="true" strokeweight=".504936pt" strokecolor="#000000"/>
            <v:line style="position:absolute" from="465,6" to="465,70" stroked="true" strokeweight=".504936pt" strokecolor="#000000"/>
            <v:shape style="position:absolute;left:160;top:76;width:202;height:101" type="#_x0000_t75" stroked="false">
              <v:imagedata r:id="rId44" o:title=""/>
            </v:shape>
          </v:group>
        </w:pict>
      </w:r>
      <w:r>
        <w:rPr>
          <w:position w:val="-3"/>
          <w:sz w:val="17"/>
        </w:rPr>
      </w:r>
    </w:p>
    <w:p>
      <w:pPr>
        <w:pStyle w:val="BodyText"/>
        <w:spacing w:before="3"/>
        <w:rPr>
          <w:sz w:val="12"/>
        </w:rPr>
      </w:pPr>
    </w:p>
    <w:p>
      <w:pPr>
        <w:spacing w:before="56"/>
        <w:ind w:left="2983" w:right="2999" w:firstLine="0"/>
        <w:jc w:val="center"/>
        <w:rPr>
          <w:rFonts w:ascii="Calibri"/>
          <w:sz w:val="22"/>
        </w:rPr>
      </w:pPr>
      <w:r>
        <w:rPr>
          <w:rFonts w:ascii="Calibri"/>
          <w:sz w:val="22"/>
        </w:rPr>
        <w:t>45</w:t>
      </w:r>
    </w:p>
    <w:p>
      <w:pPr>
        <w:spacing w:after="0"/>
        <w:jc w:val="center"/>
        <w:rPr>
          <w:rFonts w:ascii="Calibri"/>
          <w:sz w:val="22"/>
        </w:rPr>
        <w:sectPr>
          <w:type w:val="continuous"/>
          <w:pgSz w:w="12240" w:h="15840"/>
          <w:pgMar w:top="1500" w:bottom="280" w:left="1600" w:right="1580"/>
        </w:sectPr>
      </w:pPr>
    </w:p>
    <w:p>
      <w:pPr>
        <w:pStyle w:val="BodyText"/>
        <w:spacing w:line="360" w:lineRule="auto" w:before="52"/>
        <w:ind w:left="102" w:right="115" w:firstLine="707"/>
        <w:jc w:val="both"/>
      </w:pPr>
      <w:r>
        <w:rPr>
          <w:b/>
        </w:rPr>
        <w:t>Figura 2. </w:t>
      </w:r>
      <w:r>
        <w:rPr/>
        <w:t>Árbol filogenético de cepas de referencia y aislamientos de </w:t>
      </w:r>
      <w:r>
        <w:rPr>
          <w:i/>
        </w:rPr>
        <w:t>Av. </w:t>
      </w:r>
      <w:r>
        <w:rPr>
          <w:i/>
        </w:rPr>
        <w:t>paragallinarum </w:t>
      </w:r>
      <w:r>
        <w:rPr/>
        <w:t>incluidos en el estudio basados en el análisis de neighbor-joining  de las secuencias del gen </w:t>
      </w:r>
      <w:r>
        <w:rPr>
          <w:i/>
        </w:rPr>
        <w:t>hag</w:t>
      </w:r>
      <w:r>
        <w:rPr/>
        <w:t>A. La barra de escala representa la</w:t>
      </w:r>
      <w:r>
        <w:rPr>
          <w:spacing w:val="-29"/>
        </w:rPr>
        <w:t> </w:t>
      </w:r>
      <w:r>
        <w:rPr/>
        <w:t>variación.</w:t>
      </w:r>
    </w:p>
    <w:p>
      <w:pPr>
        <w:pStyle w:val="BodyText"/>
        <w:spacing w:before="2"/>
        <w:rPr>
          <w:sz w:val="16"/>
        </w:rPr>
      </w:pPr>
    </w:p>
    <w:p>
      <w:pPr>
        <w:spacing w:before="0"/>
        <w:ind w:left="4404" w:right="118" w:firstLine="0"/>
        <w:jc w:val="left"/>
        <w:rPr>
          <w:sz w:val="11"/>
        </w:rPr>
      </w:pPr>
      <w:r>
        <w:rPr/>
        <w:pict>
          <v:group style="position:absolute;margin-left:91.272606pt;margin-top:1.835461pt;width:236.2pt;height:619.35pt;mso-position-horizontal-relative:page;mso-position-vertical-relative:paragraph;z-index:-57592" coordorigin="1825,37" coordsize="4724,12387">
            <v:line style="position:absolute" from="5952,68" to="5952,281" stroked="true" strokeweight=".584261pt" strokecolor="#000000"/>
            <v:shape style="position:absolute;left:4626;top:-5438;width:26;height:6941" coordorigin="4626,-5438" coordsize="26,6941" path="m5929,329l5929,174,5952,174m5929,338l5929,494,5929,494m5929,445l5929,706,5929,706m5929,551l5929,920,5929,920m5929,658l5929,1132,5929,1132m5929,764l5929,1345,5929,1345m5929,2086l5929,1558,5929,1558m5929,2192l5929,1771,5929,1771m5929,2299l5929,1984,5929,1984m5929,2405l5929,2197,5929,2197m5929,2512l5929,2410,5952,2410m5929,2521l5929,2623,5929,2623m5929,1509l5929,2835,5929,2835m5929,1616l5929,3049,5929,3049m5929,1722l5929,3261,5929,3261m5929,1829l5929,3474,5929,3474m5929,1935l5929,3687,5929,3687m5929,2042l5929,3900,5929,3900m5929,2148l5929,4113,5929,4113m5929,2254l5929,4326,5929,4326m5929,2361l5929,4539,5929,4539m5929,2468l5929,4752,5929,4752m5929,2574l5929,4965,5929,4965m5929,174l5929,2565e" filled="false" stroked="true" strokeweight=".513418pt" strokecolor="#000000">
              <v:path arrowok="t"/>
            </v:shape>
            <v:line style="position:absolute" from="5924,2569" to="5924,3923" stroked="true" strokeweight=".455585pt" strokecolor="#000000"/>
            <v:shape style="position:absolute;left:128;top:-1;width:5137;height:12301" coordorigin="128,-1" coordsize="5137,12301" path="m5935,5280l5935,5178,5935,5178m5935,5288l5935,5391,5935,5391m5920,3931l5920,5284,5935,5284m5829,5076l5829,3927,5920,3927m6051,5705l6051,5603,6051,5603m6051,5714l6051,5816,6051,5816m6014,6231l6014,5710,6051,5710m6096,6757l6096,6029,6274,6029m6461,7489l6461,6242,6461,6242m6461,7595l6461,6455,6461,6455m6461,7702l6461,6668,6461,6668m6461,7808l6461,6881,6461,6881m6461,7915l6461,7094,6461,7094m6461,8021l6461,7307,6461,7307m6461,8127l6461,7520,6461,7520m6461,8234l6461,7733,6461,7733m6461,8340l6461,7946,6461,7946m6461,8260l6461,8158,6484,8158m6461,8269l6461,8371,6484,8371m6484,8739l6484,8584,6484,8584m6511,8899l6511,8797,6511,8797m6511,8908l6511,9010,6511,9010m6484,8748l6484,8904,6511,8904m6461,8456l6461,8744,6484,8744m6461,7498l6461,8744m6096,6765l6096,7493,6461,7493m6014,6240l6014,6761,6096,6761m5829,5085l5829,6236,6014,6236m5545,7200l5545,5080,5829,5080m5885,9325l5885,9223,5885,9223m5885,9334l5885,9436,5885,9436m5545,7209l5545,9329,5885,9329m5469,8622l5469,7205,5545,7205m5777,9751l5777,9649,5777,9649m5777,9760l5777,9862,5777,9862m5765,10044l5765,9755,5777,9755m5777,10336l5777,10075,5800,10075m5777,10443l5777,10287,5777,10287m5780,10602l5780,10501,5906,10501m5780,10611l5780,10713,5800,10713m5777,10452l5777,10607,5780,10607m5777,10345l5777,10607m5765,10053l5765,10341,5777,10341m5469,8631l5469,10048,5765,10048m1830,9984l1830,8627,5469,8627m6394,11347l6394,10926,6449,10926m6511,11773l6511,11139,6511,11139m6511,11880l6511,11352,6511,11352m6511,11987l6511,11565,6511,11565m6511,12093l6511,11778,6511,11778m6511,12199l6511,11991,6511,11991m6511,12306l6511,12204,6511,12204m6511,12315l6511,12417,6511,12417m6511,11782l6511,12417m6394,11356l6394,11778,6511,11778m1830,9992l1830,11352,6394,11352e" filled="false" stroked="true" strokeweight=".513418pt" strokecolor="#000000">
              <v:path arrowok="t"/>
            </v:shape>
            <v:shape style="position:absolute;left:6312;top:11816;width:210;height:111" type="#_x0000_t75" stroked="false">
              <v:imagedata r:id="rId46" o:title=""/>
            </v:shape>
            <v:shape style="position:absolute;left:6125;top:11390;width:281;height:111" type="#_x0000_t75" stroked="false">
              <v:imagedata r:id="rId40" o:title=""/>
            </v:shape>
            <v:shape style="position:absolute;left:5616;top:9367;width:281;height:111" type="#_x0000_t75" stroked="false">
              <v:imagedata r:id="rId40" o:title=""/>
            </v:shape>
            <v:shape style="position:absolute;left:5630;top:10645;width:210;height:111" type="#_x0000_t75" stroked="false">
              <v:imagedata r:id="rId47" o:title=""/>
            </v:shape>
            <v:shape style="position:absolute;left:5619;top:10378;width:210;height:111" type="#_x0000_t75" stroked="false">
              <v:imagedata r:id="rId48" o:title=""/>
            </v:shape>
            <v:shape style="position:absolute;left:5619;top:9618;width:210;height:111" type="#_x0000_t75" stroked="false">
              <v:imagedata r:id="rId49" o:title=""/>
            </v:shape>
            <v:shape style="position:absolute;left:5566;top:10086;width:210;height:111" type="#_x0000_t75" stroked="false">
              <v:imagedata r:id="rId50" o:title=""/>
            </v:shape>
            <v:shape style="position:absolute;left:6338;top:8941;width:210;height:111" type="#_x0000_t75" stroked="false">
              <v:imagedata r:id="rId51" o:title=""/>
            </v:shape>
            <v:shape style="position:absolute;left:6315;top:8782;width:210;height:111" type="#_x0000_t75" stroked="false">
              <v:imagedata r:id="rId52" o:title=""/>
            </v:shape>
            <v:shape style="position:absolute;left:6262;top:7531;width:210;height:111" type="#_x0000_t75" stroked="false">
              <v:imagedata r:id="rId53" o:title=""/>
            </v:shape>
            <v:shape style="position:absolute;left:5347;top:7067;width:210;height:111" type="#_x0000_t75" stroked="false">
              <v:imagedata r:id="rId54" o:title=""/>
            </v:shape>
            <v:shape style="position:absolute;left:5896;top:6799;width:210;height:111" type="#_x0000_t75" stroked="false">
              <v:imagedata r:id="rId55" o:title=""/>
            </v:shape>
            <v:shape style="position:absolute;left:5867;top:5572;width:210;height:111" type="#_x0000_t75" stroked="false">
              <v:imagedata r:id="rId56" o:title=""/>
            </v:shape>
            <v:shape style="position:absolute;left:5815;top:6274;width:210;height:111" type="#_x0000_t75" stroked="false">
              <v:imagedata r:id="rId57" o:title=""/>
            </v:shape>
            <v:shape style="position:absolute;left:5630;top:4943;width:210;height:111" type="#_x0000_t75" stroked="false">
              <v:imagedata r:id="rId58" o:title=""/>
            </v:shape>
            <v:shape style="position:absolute;left:5782;top:37;width:210;height:111" type="#_x0000_t75" stroked="false">
              <v:imagedata r:id="rId59" o:title=""/>
            </v:shape>
            <v:shape style="position:absolute;left:5774;top:5322;width:210;height:111" type="#_x0000_t75" stroked="false">
              <v:imagedata r:id="rId60" o:title=""/>
            </v:shape>
            <v:shape style="position:absolute;left:5721;top:3790;width:210;height:111" type="#_x0000_t75" stroked="false">
              <v:imagedata r:id="rId61" o:title=""/>
            </v:shape>
            <v:shape style="position:absolute;left:5774;top:2432;width:210;height:111" type="#_x0000_t75" stroked="false">
              <v:imagedata r:id="rId62" o:title=""/>
            </v:shape>
            <w10:wrap type="none"/>
          </v:group>
        </w:pict>
      </w:r>
      <w:r>
        <w:rPr>
          <w:w w:val="140"/>
          <w:sz w:val="11"/>
        </w:rPr>
        <w:t>ESV-346/Mexico/2012/C-1</w:t>
      </w:r>
    </w:p>
    <w:p>
      <w:pPr>
        <w:spacing w:line="403" w:lineRule="auto" w:before="86"/>
        <w:ind w:left="4381" w:right="1066" w:firstLine="23"/>
        <w:jc w:val="left"/>
        <w:rPr>
          <w:sz w:val="11"/>
        </w:rPr>
      </w:pPr>
      <w:r>
        <w:rPr>
          <w:w w:val="140"/>
          <w:sz w:val="11"/>
        </w:rPr>
        <w:t>Avibacterium </w:t>
      </w:r>
      <w:r>
        <w:rPr>
          <w:spacing w:val="-3"/>
          <w:w w:val="140"/>
          <w:sz w:val="11"/>
        </w:rPr>
        <w:t>paragallinarum </w:t>
      </w:r>
      <w:r>
        <w:rPr>
          <w:w w:val="140"/>
          <w:sz w:val="11"/>
        </w:rPr>
        <w:t>strain SA-3 (AF491824) Farper-052/Peru/2011/C-1</w:t>
      </w:r>
    </w:p>
    <w:p>
      <w:pPr>
        <w:spacing w:line="403" w:lineRule="auto" w:before="3"/>
        <w:ind w:left="4381" w:right="2740" w:firstLine="0"/>
        <w:jc w:val="left"/>
        <w:rPr>
          <w:sz w:val="11"/>
        </w:rPr>
      </w:pPr>
      <w:r>
        <w:rPr>
          <w:w w:val="140"/>
          <w:sz w:val="11"/>
        </w:rPr>
        <w:t>Farper-047/Bolivia/2011/C-2 Farper-030/Peru/2010/B-1 Lavetec 42/Ecuador/A-3 ESV-244/Mexico/2010/A-1</w:t>
      </w:r>
    </w:p>
    <w:p>
      <w:pPr>
        <w:spacing w:line="403" w:lineRule="auto" w:before="2"/>
        <w:ind w:left="4381" w:right="2625" w:firstLine="0"/>
        <w:jc w:val="left"/>
        <w:rPr>
          <w:sz w:val="11"/>
        </w:rPr>
      </w:pPr>
      <w:r>
        <w:rPr>
          <w:w w:val="140"/>
          <w:sz w:val="11"/>
        </w:rPr>
        <w:t>Lavetec 24/Ecuador/2004/A-3 Lavetec 51/Ecuador/2007/A-3 Farper-034/Bolivia/2010/A-2 Farper-051/Peru/2011/C-1 ESV-184/Mexico/2008/B-1 Farper-064/Peru/2011/B-1 Lavetec 16/Ecuador/2006/A-3 Lavetec 45/Ecuador/A-3 Farper-031/Peru/2010/B-1 Farper-050/Peru/2011/C-1 Farper-060/Peru/2012/A-1 Farper-065/Peru/2011/A-2 Farper-066/Peru/2011/NT Farper-086/Peru/2010/B-1</w:t>
      </w:r>
    </w:p>
    <w:p>
      <w:pPr>
        <w:spacing w:line="403" w:lineRule="auto" w:before="3"/>
        <w:ind w:left="4381" w:right="1086" w:firstLine="0"/>
        <w:jc w:val="left"/>
        <w:rPr>
          <w:sz w:val="11"/>
        </w:rPr>
      </w:pPr>
      <w:r>
        <w:rPr>
          <w:w w:val="140"/>
          <w:sz w:val="11"/>
        </w:rPr>
        <w:t>Avibacterium </w:t>
      </w:r>
      <w:r>
        <w:rPr>
          <w:spacing w:val="-3"/>
          <w:w w:val="140"/>
          <w:sz w:val="11"/>
        </w:rPr>
        <w:t>paragallinarum </w:t>
      </w:r>
      <w:r>
        <w:rPr>
          <w:w w:val="140"/>
          <w:sz w:val="11"/>
        </w:rPr>
        <w:t>strain 221 (AF491826) Avibacterium </w:t>
      </w:r>
      <w:r>
        <w:rPr>
          <w:spacing w:val="-3"/>
          <w:w w:val="140"/>
          <w:sz w:val="11"/>
        </w:rPr>
        <w:t>paragallinarum </w:t>
      </w:r>
      <w:r>
        <w:rPr>
          <w:w w:val="140"/>
          <w:sz w:val="11"/>
        </w:rPr>
        <w:t>strain E-3C (AF491825) Avibacterium </w:t>
      </w:r>
      <w:r>
        <w:rPr>
          <w:spacing w:val="-3"/>
          <w:w w:val="140"/>
          <w:sz w:val="11"/>
        </w:rPr>
        <w:t>paragallinarum </w:t>
      </w:r>
      <w:r>
        <w:rPr>
          <w:w w:val="140"/>
          <w:sz w:val="11"/>
        </w:rPr>
        <w:t>strain </w:t>
      </w:r>
      <w:r>
        <w:rPr>
          <w:spacing w:val="-3"/>
          <w:w w:val="140"/>
          <w:sz w:val="11"/>
        </w:rPr>
        <w:t>0083 </w:t>
      </w:r>
      <w:r>
        <w:rPr>
          <w:w w:val="140"/>
          <w:sz w:val="11"/>
        </w:rPr>
        <w:t>(AF491820) Farper-033/Peru/2010/B-1</w:t>
      </w:r>
    </w:p>
    <w:p>
      <w:pPr>
        <w:spacing w:line="403" w:lineRule="auto" w:before="3"/>
        <w:ind w:left="4503" w:right="2499" w:hanging="117"/>
        <w:jc w:val="left"/>
        <w:rPr>
          <w:sz w:val="11"/>
        </w:rPr>
      </w:pPr>
      <w:r>
        <w:rPr>
          <w:w w:val="140"/>
          <w:sz w:val="11"/>
        </w:rPr>
        <w:t>Farper-088/Peru/2011/C-1 Lavetec 53/Ecuador/2007/A-3 </w:t>
      </w:r>
      <w:r>
        <w:rPr>
          <w:w w:val="135"/>
          <w:sz w:val="11"/>
        </w:rPr>
        <w:t>Lavetec  54/Ecuador/2007/A-3</w:t>
      </w:r>
    </w:p>
    <w:p>
      <w:pPr>
        <w:spacing w:line="403" w:lineRule="auto" w:before="3"/>
        <w:ind w:left="4913" w:right="2134" w:hanging="187"/>
        <w:jc w:val="left"/>
        <w:rPr>
          <w:sz w:val="11"/>
        </w:rPr>
      </w:pPr>
      <w:r>
        <w:rPr>
          <w:w w:val="140"/>
          <w:sz w:val="11"/>
        </w:rPr>
        <w:t>ESV-58/Mexico/2006/NT </w:t>
      </w:r>
      <w:r>
        <w:rPr>
          <w:spacing w:val="-4"/>
          <w:w w:val="140"/>
          <w:sz w:val="11"/>
        </w:rPr>
        <w:t>Lavetec </w:t>
      </w:r>
      <w:r>
        <w:rPr>
          <w:w w:val="140"/>
          <w:sz w:val="11"/>
        </w:rPr>
        <w:t>01/Ecuador/2001/B-1 </w:t>
      </w:r>
      <w:r>
        <w:rPr>
          <w:spacing w:val="-4"/>
          <w:w w:val="140"/>
          <w:sz w:val="11"/>
        </w:rPr>
        <w:t>Lavetec </w:t>
      </w:r>
      <w:r>
        <w:rPr>
          <w:w w:val="140"/>
          <w:sz w:val="11"/>
        </w:rPr>
        <w:t>04/Ecuador/A-3 </w:t>
      </w:r>
      <w:r>
        <w:rPr>
          <w:spacing w:val="-4"/>
          <w:w w:val="140"/>
          <w:sz w:val="11"/>
        </w:rPr>
        <w:t>Lavetec </w:t>
      </w:r>
      <w:r>
        <w:rPr>
          <w:w w:val="140"/>
          <w:sz w:val="11"/>
        </w:rPr>
        <w:t>13/Ecuador/2001/B-1 </w:t>
      </w:r>
      <w:r>
        <w:rPr>
          <w:spacing w:val="-4"/>
          <w:w w:val="140"/>
          <w:sz w:val="11"/>
        </w:rPr>
        <w:t>Lavetec </w:t>
      </w:r>
      <w:r>
        <w:rPr>
          <w:w w:val="140"/>
          <w:sz w:val="11"/>
        </w:rPr>
        <w:t>30/Ecuador/2004/B-1 </w:t>
      </w:r>
      <w:r>
        <w:rPr>
          <w:spacing w:val="-4"/>
          <w:w w:val="140"/>
          <w:sz w:val="11"/>
        </w:rPr>
        <w:t>Lavetec </w:t>
      </w:r>
      <w:r>
        <w:rPr>
          <w:w w:val="140"/>
          <w:sz w:val="11"/>
        </w:rPr>
        <w:t>33/Ecuador/2001/B-1 Farper-087/Peru/2010/C-1 Farper-089/Peru/2011/C-1</w:t>
      </w:r>
    </w:p>
    <w:p>
      <w:pPr>
        <w:spacing w:line="403" w:lineRule="auto" w:before="2"/>
        <w:ind w:left="4913" w:right="175" w:firstLine="0"/>
        <w:jc w:val="left"/>
        <w:rPr>
          <w:sz w:val="11"/>
        </w:rPr>
      </w:pPr>
      <w:r>
        <w:rPr>
          <w:w w:val="140"/>
          <w:sz w:val="11"/>
        </w:rPr>
        <w:t>Avibacterium </w:t>
      </w:r>
      <w:r>
        <w:rPr>
          <w:spacing w:val="-3"/>
          <w:w w:val="140"/>
          <w:sz w:val="11"/>
        </w:rPr>
        <w:t>paragallinarum </w:t>
      </w:r>
      <w:r>
        <w:rPr>
          <w:w w:val="140"/>
          <w:sz w:val="11"/>
        </w:rPr>
        <w:t>strain ESV-135 (KF280248) Avibacterium </w:t>
      </w:r>
      <w:r>
        <w:rPr>
          <w:spacing w:val="-3"/>
          <w:w w:val="140"/>
          <w:sz w:val="11"/>
        </w:rPr>
        <w:t>paragallinarum </w:t>
      </w:r>
      <w:r>
        <w:rPr>
          <w:w w:val="140"/>
          <w:sz w:val="11"/>
        </w:rPr>
        <w:t>strain </w:t>
      </w:r>
      <w:r>
        <w:rPr>
          <w:spacing w:val="-4"/>
          <w:w w:val="140"/>
          <w:sz w:val="11"/>
        </w:rPr>
        <w:t>Lavetec </w:t>
      </w:r>
      <w:r>
        <w:rPr>
          <w:w w:val="140"/>
          <w:sz w:val="11"/>
        </w:rPr>
        <w:t>55 (KF280261) ESV-240/Mexico/2010/A-1</w:t>
      </w:r>
    </w:p>
    <w:p>
      <w:pPr>
        <w:spacing w:line="403" w:lineRule="auto" w:before="3"/>
        <w:ind w:left="4936" w:right="1952" w:firstLine="0"/>
        <w:jc w:val="left"/>
        <w:rPr>
          <w:sz w:val="11"/>
        </w:rPr>
      </w:pPr>
      <w:r>
        <w:rPr>
          <w:w w:val="140"/>
          <w:sz w:val="11"/>
        </w:rPr>
        <w:t>Lavetec 21/Ecuador/2004/B-1 Lavetec 11/Ecuador/A-3 Lavetec 22/Ecuador/2005/A-3 </w:t>
      </w:r>
      <w:r>
        <w:rPr>
          <w:w w:val="135"/>
          <w:sz w:val="11"/>
        </w:rPr>
        <w:t>Lavetec  29/Ecuador/2004/A-3</w:t>
      </w:r>
    </w:p>
    <w:p>
      <w:pPr>
        <w:spacing w:line="405" w:lineRule="auto" w:before="2"/>
        <w:ind w:left="4337" w:right="2740" w:firstLine="0"/>
        <w:jc w:val="left"/>
        <w:rPr>
          <w:sz w:val="11"/>
        </w:rPr>
      </w:pPr>
      <w:r>
        <w:rPr>
          <w:w w:val="135"/>
          <w:sz w:val="11"/>
        </w:rPr>
        <w:t>Panama 1/Panama/2007/B-1 Panama 2/Panama/2007/B-1</w:t>
      </w:r>
    </w:p>
    <w:p>
      <w:pPr>
        <w:spacing w:before="1"/>
        <w:ind w:left="4196" w:right="2999" w:firstLine="0"/>
        <w:jc w:val="center"/>
        <w:rPr>
          <w:sz w:val="11"/>
        </w:rPr>
      </w:pPr>
      <w:r>
        <w:rPr>
          <w:w w:val="140"/>
          <w:sz w:val="11"/>
        </w:rPr>
        <w:t>ESV-142/Mexico/2009/C-2</w:t>
      </w:r>
    </w:p>
    <w:p>
      <w:pPr>
        <w:spacing w:line="403" w:lineRule="auto" w:before="86"/>
        <w:ind w:left="4228" w:right="1199" w:firstLine="0"/>
        <w:jc w:val="left"/>
        <w:rPr>
          <w:sz w:val="11"/>
        </w:rPr>
      </w:pPr>
      <w:r>
        <w:rPr>
          <w:w w:val="140"/>
          <w:sz w:val="11"/>
        </w:rPr>
        <w:t>Avibacterium paragallinarum strain H-18 (AF491823) Avibacterium paragallinarum strain 0222 (AF491819) Avibacterium paragallinarum strain 2671 (AF491822)</w:t>
      </w:r>
    </w:p>
    <w:p>
      <w:pPr>
        <w:spacing w:before="3"/>
        <w:ind w:left="4357" w:right="118" w:firstLine="0"/>
        <w:jc w:val="left"/>
        <w:rPr>
          <w:sz w:val="11"/>
        </w:rPr>
      </w:pPr>
      <w:r>
        <w:rPr>
          <w:w w:val="140"/>
          <w:sz w:val="11"/>
        </w:rPr>
        <w:t>ESV-131/Mexico/2008/B-1</w:t>
      </w:r>
    </w:p>
    <w:p>
      <w:pPr>
        <w:spacing w:line="405" w:lineRule="auto" w:before="86"/>
        <w:ind w:left="4901" w:right="1232" w:hanging="650"/>
        <w:jc w:val="left"/>
        <w:rPr>
          <w:sz w:val="11"/>
        </w:rPr>
      </w:pPr>
      <w:r>
        <w:rPr>
          <w:w w:val="140"/>
          <w:sz w:val="11"/>
        </w:rPr>
        <w:t>Avibacterium </w:t>
      </w:r>
      <w:r>
        <w:rPr>
          <w:spacing w:val="-3"/>
          <w:w w:val="140"/>
          <w:sz w:val="11"/>
        </w:rPr>
        <w:t>paragallinarum </w:t>
      </w:r>
      <w:r>
        <w:rPr>
          <w:w w:val="140"/>
          <w:sz w:val="11"/>
        </w:rPr>
        <w:t>strain </w:t>
      </w:r>
      <w:r>
        <w:rPr>
          <w:spacing w:val="-3"/>
          <w:w w:val="140"/>
          <w:sz w:val="11"/>
        </w:rPr>
        <w:t>2403 </w:t>
      </w:r>
      <w:r>
        <w:rPr>
          <w:w w:val="140"/>
          <w:sz w:val="11"/>
        </w:rPr>
        <w:t>(AF491817) ESV-226/Mexico/2011/A-1</w:t>
      </w:r>
    </w:p>
    <w:p>
      <w:pPr>
        <w:spacing w:line="403" w:lineRule="auto" w:before="1"/>
        <w:ind w:left="4963" w:right="2134" w:firstLine="0"/>
        <w:jc w:val="left"/>
        <w:rPr>
          <w:sz w:val="11"/>
        </w:rPr>
      </w:pPr>
      <w:r>
        <w:rPr>
          <w:w w:val="135"/>
          <w:sz w:val="11"/>
        </w:rPr>
        <w:t>ESV-117/Mexico/2008/C-2 </w:t>
      </w:r>
      <w:r>
        <w:rPr>
          <w:w w:val="140"/>
          <w:sz w:val="11"/>
        </w:rPr>
        <w:t>Lavetec 02/Ecuador/A-3 Lima 1/Peru/C-2</w:t>
      </w:r>
    </w:p>
    <w:p>
      <w:pPr>
        <w:spacing w:line="90" w:lineRule="exact" w:before="2"/>
        <w:ind w:left="4963" w:right="118" w:firstLine="0"/>
        <w:jc w:val="left"/>
        <w:rPr>
          <w:sz w:val="11"/>
        </w:rPr>
      </w:pPr>
      <w:r>
        <w:rPr>
          <w:w w:val="140"/>
          <w:sz w:val="11"/>
        </w:rPr>
        <w:t>Lima 2/Peru/C-2</w:t>
      </w:r>
    </w:p>
    <w:p>
      <w:pPr>
        <w:tabs>
          <w:tab w:pos="4963" w:val="left" w:leader="none"/>
        </w:tabs>
        <w:spacing w:line="249" w:lineRule="exact" w:before="0"/>
        <w:ind w:left="4408" w:right="118" w:firstLine="0"/>
        <w:jc w:val="left"/>
        <w:rPr>
          <w:sz w:val="11"/>
        </w:rPr>
      </w:pPr>
      <w:r>
        <w:rPr>
          <w:rFonts w:ascii="Calibri"/>
          <w:w w:val="130"/>
          <w:position w:val="6"/>
          <w:sz w:val="22"/>
        </w:rPr>
        <w:t>46</w:t>
        <w:tab/>
      </w:r>
      <w:r>
        <w:rPr>
          <w:w w:val="130"/>
          <w:sz w:val="11"/>
        </w:rPr>
        <w:t>Avibacterium  </w:t>
      </w:r>
      <w:r>
        <w:rPr>
          <w:spacing w:val="-3"/>
          <w:w w:val="130"/>
          <w:sz w:val="11"/>
        </w:rPr>
        <w:t>paragallinarum </w:t>
      </w:r>
      <w:r>
        <w:rPr>
          <w:spacing w:val="33"/>
          <w:w w:val="130"/>
          <w:sz w:val="11"/>
        </w:rPr>
        <w:t> </w:t>
      </w:r>
      <w:r>
        <w:rPr>
          <w:w w:val="130"/>
          <w:sz w:val="11"/>
        </w:rPr>
        <w:t>strain  Modesto </w:t>
      </w:r>
      <w:r>
        <w:rPr>
          <w:spacing w:val="25"/>
          <w:w w:val="130"/>
          <w:sz w:val="11"/>
        </w:rPr>
        <w:t> </w:t>
      </w:r>
      <w:r>
        <w:rPr>
          <w:w w:val="130"/>
          <w:sz w:val="11"/>
        </w:rPr>
        <w:t>(AF491827)</w:t>
      </w:r>
    </w:p>
    <w:p>
      <w:pPr>
        <w:spacing w:line="403" w:lineRule="auto" w:before="86"/>
        <w:ind w:left="4963" w:right="466" w:firstLine="0"/>
        <w:jc w:val="left"/>
        <w:rPr>
          <w:sz w:val="11"/>
        </w:rPr>
      </w:pPr>
      <w:r>
        <w:rPr/>
        <w:pict>
          <v:group style="position:absolute;margin-left:120.480095pt;margin-top:31.236597pt;width:48.15pt;height:9.75pt;mso-position-horizontal-relative:page;mso-position-vertical-relative:paragraph;z-index:1336;mso-wrap-distance-left:0;mso-wrap-distance-right:0" coordorigin="2410,625" coordsize="963,195">
            <v:line style="position:absolute" from="2416,666" to="3366,666" stroked="true" strokeweight=".442575pt" strokecolor="#000000"/>
            <v:line style="position:absolute" from="2416,631" to="2416,702" stroked="true" strokeweight=".584261pt" strokecolor="#000000"/>
            <v:line style="position:absolute" from="3366,631" to="3366,702" stroked="true" strokeweight=".584261pt" strokecolor="#000000"/>
            <v:shape style="position:absolute;left:2767;top:708;width:307;height:111" type="#_x0000_t75" stroked="false">
              <v:imagedata r:id="rId63" o:title=""/>
            </v:shape>
            <w10:wrap type="topAndBottom"/>
          </v:group>
        </w:pict>
      </w:r>
      <w:r>
        <w:rPr>
          <w:w w:val="140"/>
          <w:sz w:val="11"/>
        </w:rPr>
        <w:t>Avibacterium </w:t>
      </w:r>
      <w:r>
        <w:rPr>
          <w:spacing w:val="-3"/>
          <w:w w:val="140"/>
          <w:sz w:val="11"/>
        </w:rPr>
        <w:t>paragallinarum </w:t>
      </w:r>
      <w:r>
        <w:rPr>
          <w:w w:val="140"/>
          <w:sz w:val="11"/>
        </w:rPr>
        <w:t>strain HP14 (AF491821) Avibacterium </w:t>
      </w:r>
      <w:r>
        <w:rPr>
          <w:spacing w:val="-3"/>
          <w:w w:val="140"/>
          <w:sz w:val="11"/>
        </w:rPr>
        <w:t>paragallinarum </w:t>
      </w:r>
      <w:r>
        <w:rPr>
          <w:w w:val="140"/>
          <w:sz w:val="11"/>
        </w:rPr>
        <w:t>strain HP60 (AF491818)</w:t>
      </w:r>
    </w:p>
    <w:p>
      <w:pPr>
        <w:spacing w:after="0" w:line="403" w:lineRule="auto"/>
        <w:jc w:val="left"/>
        <w:rPr>
          <w:sz w:val="11"/>
        </w:rPr>
        <w:sectPr>
          <w:footerReference w:type="default" r:id="rId45"/>
          <w:pgSz w:w="12240" w:h="15840"/>
          <w:pgMar w:footer="0" w:header="0" w:top="1360" w:bottom="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3"/>
        </w:rPr>
      </w:pPr>
    </w:p>
    <w:p>
      <w:pPr>
        <w:pStyle w:val="Heading2"/>
        <w:numPr>
          <w:ilvl w:val="1"/>
          <w:numId w:val="1"/>
        </w:numPr>
        <w:tabs>
          <w:tab w:pos="3647" w:val="left" w:leader="none"/>
        </w:tabs>
        <w:spacing w:line="240" w:lineRule="auto" w:before="69" w:after="0"/>
        <w:ind w:left="3646" w:right="0" w:hanging="496"/>
        <w:jc w:val="left"/>
      </w:pPr>
      <w:bookmarkStart w:name="_TOC_250002" w:id="13"/>
      <w:r>
        <w:rPr/>
        <w:t>DISCUSIÓN</w:t>
      </w:r>
      <w:r>
        <w:rPr>
          <w:spacing w:val="-11"/>
        </w:rPr>
        <w:t> </w:t>
      </w:r>
      <w:bookmarkEnd w:id="13"/>
      <w:r>
        <w:rPr/>
        <w:t>GENERAL</w:t>
      </w:r>
    </w:p>
    <w:p>
      <w:pPr>
        <w:spacing w:after="0" w:line="240" w:lineRule="auto"/>
        <w:jc w:val="left"/>
        <w:sectPr>
          <w:footerReference w:type="default" r:id="rId64"/>
          <w:pgSz w:w="12240" w:h="15840"/>
          <w:pgMar w:footer="1003" w:header="0" w:top="1500" w:bottom="1200" w:left="1720" w:right="1720"/>
          <w:pgNumType w:start="47"/>
        </w:sectPr>
      </w:pPr>
    </w:p>
    <w:p>
      <w:pPr>
        <w:pStyle w:val="BodyText"/>
        <w:rPr>
          <w:b/>
          <w:sz w:val="20"/>
        </w:rPr>
      </w:pPr>
    </w:p>
    <w:p>
      <w:pPr>
        <w:pStyle w:val="BodyText"/>
        <w:spacing w:before="4"/>
        <w:rPr>
          <w:b/>
          <w:sz w:val="16"/>
        </w:rPr>
      </w:pPr>
    </w:p>
    <w:p>
      <w:pPr>
        <w:pStyle w:val="BodyText"/>
        <w:spacing w:line="360" w:lineRule="auto" w:before="70"/>
        <w:ind w:left="102" w:right="114" w:firstLine="566"/>
        <w:jc w:val="both"/>
      </w:pPr>
      <w:r>
        <w:rPr/>
        <w:t>Aislamientos de la serovariedad C-1 de </w:t>
      </w:r>
      <w:r>
        <w:rPr>
          <w:i/>
        </w:rPr>
        <w:t>Av. paragallinarum </w:t>
      </w:r>
      <w:r>
        <w:rPr/>
        <w:t>han sido reportados en México (Morales-Erasto </w:t>
      </w:r>
      <w:r>
        <w:rPr>
          <w:i/>
        </w:rPr>
        <w:t>et al.</w:t>
      </w:r>
      <w:r>
        <w:rPr/>
        <w:t>, 2011) y Ecuador (Cabrera </w:t>
      </w:r>
      <w:r>
        <w:rPr>
          <w:i/>
        </w:rPr>
        <w:t>et al.</w:t>
      </w:r>
      <w:r>
        <w:rPr/>
        <w:t>, 2011). Los aislamientos obtenidos de México, fueron identificados a partir  de brotes de coriza infecciosa en parvadas inmunizadas contra coriza infecciosa, mediante la prueba de ERIC-PCR, se sugirió que los aislamientos pudieran tener un origen clonal. Previamente, en México, se han identificado aislamientos de la misma serovariedad genéticamente diferentes mediante la prueba de ERIC-PCR (Soriano </w:t>
      </w:r>
      <w:r>
        <w:rPr>
          <w:i/>
        </w:rPr>
        <w:t>et al.</w:t>
      </w:r>
      <w:r>
        <w:rPr/>
        <w:t>, 2004), contrario a lo observado con aislamientos de la  serovariedad C-1 de México y</w:t>
      </w:r>
      <w:r>
        <w:rPr>
          <w:spacing w:val="-16"/>
        </w:rPr>
        <w:t> </w:t>
      </w:r>
      <w:r>
        <w:rPr/>
        <w:t>Ecuador.</w:t>
      </w:r>
    </w:p>
    <w:p>
      <w:pPr>
        <w:pStyle w:val="BodyText"/>
        <w:spacing w:line="360" w:lineRule="auto" w:before="163"/>
        <w:ind w:left="102" w:right="118" w:firstLine="566"/>
        <w:jc w:val="both"/>
      </w:pPr>
      <w:r>
        <w:rPr/>
        <w:t>En 2014, García-Sánchez </w:t>
      </w:r>
      <w:r>
        <w:rPr>
          <w:i/>
        </w:rPr>
        <w:t>et al. </w:t>
      </w:r>
      <w:r>
        <w:rPr/>
        <w:t>(2014), mediante la secuenciación de los genes </w:t>
      </w:r>
      <w:r>
        <w:rPr>
          <w:i/>
        </w:rPr>
        <w:t>hag</w:t>
      </w:r>
      <w:r>
        <w:rPr/>
        <w:t>A y 16S rRNA de aislamientos C-1, concluyeron que los aislamientos de México y Ecuador de la serovariedad C-1 están estrechamente relacionados, sin embargo, el origen de esta relación clonal es desconocido. Es importante conocer la relación genética entre aislamientos, debido a que organismos genéticamente relacionados, comparten un origen común, por lo tanto, comparten factores de virulencia, características bioquímicas y características genéticas (Olive y Bean, 1999).</w:t>
      </w:r>
    </w:p>
    <w:p>
      <w:pPr>
        <w:pStyle w:val="BodyText"/>
        <w:spacing w:line="360" w:lineRule="auto" w:before="163"/>
        <w:ind w:left="102" w:right="115" w:firstLine="633"/>
        <w:jc w:val="both"/>
      </w:pPr>
      <w:r>
        <w:rPr/>
        <w:t>En el presente estudio, la protección conferida por bacterinas comerciales frente a un aislamiento de la serovariedad C-1 de México, fue evaluada mediante la infección experimental de pollos SPF, diferencias en los porcentajes de protección fueron observadas. Factores como la dosis del antígeno, agentes inactivantes y tipos de adyuvantes son factores importantes en la elaboración de bacterinas (Blackall, 1995). Adicionalmente, otro factor importante para la eficacia de las bacterinas en campo es la composición de las mismas, para el caso del serogrupo C, en un estudio de protección cruzada se reportaron diferencias entre cepas pertenecientes a las serovariedades C-1 y C-2 (Soriano </w:t>
      </w:r>
      <w:r>
        <w:rPr>
          <w:i/>
        </w:rPr>
        <w:t>et al.</w:t>
      </w:r>
      <w:r>
        <w:rPr/>
        <w:t>, 2004). Pollos vacunados con la cepa H-18 (serovariedad C-1) fueron protegidos en un desafío homólogo, sin embargo, aves desafiadas con la cepa Modesto (serovariedad C-2), mostraron  una  significativa  menor  protección.  De  manera  similar,  en      </w:t>
      </w:r>
      <w:r>
        <w:rPr>
          <w:spacing w:val="47"/>
        </w:rPr>
        <w:t> </w:t>
      </w:r>
      <w:r>
        <w:rPr/>
        <w:t>aves</w:t>
      </w:r>
    </w:p>
    <w:p>
      <w:pPr>
        <w:spacing w:after="0" w:line="360" w:lineRule="auto"/>
        <w:jc w:val="both"/>
        <w:sectPr>
          <w:pgSz w:w="12240" w:h="15840"/>
          <w:pgMar w:header="0" w:footer="1003" w:top="1500" w:bottom="1200" w:left="1600" w:right="1580"/>
        </w:sectPr>
      </w:pPr>
    </w:p>
    <w:p>
      <w:pPr>
        <w:pStyle w:val="BodyText"/>
        <w:spacing w:line="360" w:lineRule="auto" w:before="54"/>
        <w:ind w:left="102" w:right="117"/>
        <w:jc w:val="both"/>
      </w:pPr>
      <w:r>
        <w:rPr/>
        <w:t>inmunizadas con la cepa Modesto (serovariedad C-2) y desafiadas con la cepa Modesto (serovariedad C-2) y la cepa H-18 (serovariedad C-1), se observaron porcentajes similares de protección en el desafío (70%). En el presente estudio, la composición de las bacterinas evaluadas fue desconocida, es posible que los más altos porcentajes de protección estuvieran relacionados con el uso de cepas o aislamientos de la serovariedad C-1. Sin embargo, estudios de protección con cepas de referencia del serogrupo C y de manera homóloga con aislamientos de  la serovariedad C-1 son</w:t>
      </w:r>
      <w:r>
        <w:rPr>
          <w:spacing w:val="-14"/>
        </w:rPr>
        <w:t> </w:t>
      </w:r>
      <w:r>
        <w:rPr/>
        <w:t>necesarios.</w:t>
      </w:r>
    </w:p>
    <w:p>
      <w:pPr>
        <w:pStyle w:val="BodyText"/>
        <w:spacing w:line="360" w:lineRule="auto" w:before="164"/>
        <w:ind w:left="102" w:right="112" w:firstLine="566"/>
        <w:jc w:val="both"/>
      </w:pPr>
      <w:r>
        <w:rPr/>
        <w:t>En el presente estudio, los títulos de anticuerpos inhibidores de la hemoaglutinación (IH) revelaron que los grupos de aves donde se observaron los mayores porcentajes de protección, tuvieron los mayores títulos de anticuerpos IH al evaluarlos contra antígenos de la cepa de referencia H-18 y el aislamiento ESV- 135, ambos de la serovariedad C-1. Una aparente relación entre la presencia de títulos de anticuerpos IH y la protección, ha sido observada previamente (Soriano </w:t>
      </w:r>
      <w:r>
        <w:rPr>
          <w:i/>
        </w:rPr>
        <w:t>et al.</w:t>
      </w:r>
      <w:r>
        <w:rPr/>
        <w:t>, 2004). Sin embargo, García </w:t>
      </w:r>
      <w:r>
        <w:rPr>
          <w:i/>
        </w:rPr>
        <w:t>et al. </w:t>
      </w:r>
      <w:r>
        <w:rPr/>
        <w:t>(2008), observaron diferencias entre aves con anticuerpos IH y protección, concluyendo que la prueba de desafío es la prueba más adecuada para la evaluación de bacterinas de coriza infecciosa (García </w:t>
      </w:r>
      <w:r>
        <w:rPr>
          <w:i/>
        </w:rPr>
        <w:t>et al.</w:t>
      </w:r>
      <w:r>
        <w:rPr/>
        <w:t>, 2008).</w:t>
      </w:r>
    </w:p>
    <w:p>
      <w:pPr>
        <w:pStyle w:val="BodyText"/>
        <w:spacing w:line="360" w:lineRule="auto" w:before="166"/>
        <w:ind w:left="102" w:right="116" w:firstLine="566"/>
        <w:jc w:val="both"/>
      </w:pPr>
      <w:r>
        <w:rPr/>
        <w:t>En conclusión, únicamente 1 de 4 bacterinas evaluadas tuvo un porcentaje de protección mayor al 80% frente al aislamiento ESV-135 de la serovariedad C-1 de </w:t>
      </w:r>
      <w:r>
        <w:rPr>
          <w:i/>
        </w:rPr>
        <w:t>Av. paragallinarum</w:t>
      </w:r>
      <w:r>
        <w:rPr/>
        <w:t>. Estos resultados, pudieran explicar los brotes de coriza infecciosa en parvadas inmunizadas que han sido observados en la avicultura mexicana.</w:t>
      </w:r>
    </w:p>
    <w:p>
      <w:pPr>
        <w:pStyle w:val="BodyText"/>
        <w:spacing w:line="360" w:lineRule="auto" w:before="163"/>
        <w:ind w:left="102" w:right="115" w:firstLine="566"/>
        <w:jc w:val="both"/>
      </w:pPr>
      <w:r>
        <w:rPr/>
        <w:t>Adicionalmente, para la identificación oportuna de serogrupos de </w:t>
      </w:r>
      <w:r>
        <w:rPr>
          <w:i/>
        </w:rPr>
        <w:t>Av. </w:t>
      </w:r>
      <w:r>
        <w:rPr>
          <w:i/>
        </w:rPr>
        <w:t>paragallinarum</w:t>
      </w:r>
      <w:r>
        <w:rPr/>
        <w:t>, una PCR múltiple fue reportada (Sakamoto </w:t>
      </w:r>
      <w:r>
        <w:rPr>
          <w:i/>
        </w:rPr>
        <w:t>et al.</w:t>
      </w:r>
      <w:r>
        <w:rPr/>
        <w:t>, 2012). En el presente estudio, evaluamos la capacidad de esta PCR múltiple para la identificación de serogrupos de cepas de referencia de las 9 serovariedades existentes y aislamientos previamente tipificados de las serovariedades A-1, A-3, B-1, C-1 y C-2 provenientes de Ecuador, México, Panamá y Perú. Al realizar la evaluación de la PCR múltiple, se observaron discrepancias entre los resultados</w:t>
      </w:r>
    </w:p>
    <w:p>
      <w:pPr>
        <w:spacing w:after="0" w:line="360" w:lineRule="auto"/>
        <w:jc w:val="both"/>
        <w:sectPr>
          <w:pgSz w:w="12240" w:h="15840"/>
          <w:pgMar w:header="0" w:footer="1003" w:top="1360" w:bottom="1200" w:left="1600" w:right="1580"/>
        </w:sectPr>
      </w:pPr>
    </w:p>
    <w:p>
      <w:pPr>
        <w:pStyle w:val="BodyText"/>
        <w:spacing w:line="360" w:lineRule="auto" w:before="54"/>
        <w:ind w:left="102" w:right="117"/>
        <w:jc w:val="both"/>
      </w:pPr>
      <w:r>
        <w:rPr/>
        <w:t>obtenidos, El diseño de los iniciadores reportados, se realizó basado en el gen HMTp210 reportado previamente (Noro </w:t>
      </w:r>
      <w:r>
        <w:rPr>
          <w:i/>
        </w:rPr>
        <w:t>et al.</w:t>
      </w:r>
      <w:r>
        <w:rPr/>
        <w:t>, 2007 y Noro </w:t>
      </w:r>
      <w:r>
        <w:rPr>
          <w:i/>
        </w:rPr>
        <w:t>et al.</w:t>
      </w:r>
      <w:r>
        <w:rPr/>
        <w:t>, 2008). El gen cuenta con una región variable, donde se encuentran los mayores cambios entre las cepas utilizadas para el diseño de iniciadores para la PCR múltiple (Sakamoto </w:t>
      </w:r>
      <w:r>
        <w:rPr>
          <w:i/>
        </w:rPr>
        <w:t>et al.</w:t>
      </w:r>
      <w:r>
        <w:rPr/>
        <w:t>, 2012). La utilización de un número limitado de cepas de referencia y aislamientos utilizados para el diseño de los iniciadores, pudiera ser la causa de que los iniciadores no tuvieran el resultado esperado. Es probable que le región variable del gen </w:t>
      </w:r>
      <w:r>
        <w:rPr>
          <w:i/>
        </w:rPr>
        <w:t>HMT</w:t>
      </w:r>
      <w:r>
        <w:rPr/>
        <w:t>p210, sea más variable de lo esperado. Para el diseño de nuevos iniciadores, es probable que sea necesaria una evaluación con un mayor número de cepas de referencia y aislamientos de </w:t>
      </w:r>
      <w:r>
        <w:rPr>
          <w:i/>
        </w:rPr>
        <w:t>Av. paragallinarum</w:t>
      </w:r>
      <w:r>
        <w:rPr/>
        <w:t>.</w:t>
      </w:r>
    </w:p>
    <w:p>
      <w:pPr>
        <w:pStyle w:val="BodyText"/>
        <w:spacing w:line="360" w:lineRule="auto" w:before="166"/>
        <w:ind w:left="102" w:right="115" w:firstLine="566"/>
        <w:jc w:val="both"/>
      </w:pPr>
      <w:r>
        <w:rPr/>
        <w:t>El análisis de las secuencias del gen 16S rRNA de aislamientos de Bolivia, Ecuador, México, Panamá y Perú, mostraron que un gran número de aislamientos de las serovariedades A-1, A-3, B-1 y C-2, están relacionados genéticamente con los aislamientos de la serovariedad C-1 de México y Ecuador previamente reportados (García-Sánchez </w:t>
      </w:r>
      <w:r>
        <w:rPr>
          <w:i/>
        </w:rPr>
        <w:t>et al.</w:t>
      </w:r>
      <w:r>
        <w:rPr/>
        <w:t>, 2014), es interesante, que al realizar los análisis filogenéticos con cepas de referencia de diferentes orígenes, se agrupen dentro de un mismo genogrupo únicamente aislamientos provenientes de América, proponiendo que estos aislamientos pudieran pertenecer a un genogrupo  diferente. Los aislamientos se agruparon en un mismo genogrupo aun siendo de serovariedades diferentes, debido a que el gen 16S rRNA, codifica para una proteína diferente a la de la hemoaglutinina que es la que le confiere la serovariedad. En un estudio previo, Hobb </w:t>
      </w:r>
      <w:r>
        <w:rPr>
          <w:i/>
        </w:rPr>
        <w:t>et al. </w:t>
      </w:r>
      <w:r>
        <w:rPr/>
        <w:t>(2002), no encontraron correlación entre las serovariedades de las cepas de referencia utilizadas comparadas con los resultados del análisis filogenético de las secuencias analizadas del gen </w:t>
      </w:r>
      <w:r>
        <w:rPr>
          <w:i/>
        </w:rPr>
        <w:t>hag</w:t>
      </w:r>
      <w:r>
        <w:rPr/>
        <w:t>A, sugiriendo que las diferencias entre las serovariedades pudieran estar dadas por otras hemoaglutininas diferentes, bloqueo de anticuerpos dirigidos a proteínas alternativas o modificaciones posteriores a la transcripción (Hobb </w:t>
      </w:r>
      <w:r>
        <w:rPr>
          <w:i/>
        </w:rPr>
        <w:t>et al.</w:t>
      </w:r>
      <w:r>
        <w:rPr/>
        <w:t>,</w:t>
      </w:r>
      <w:r>
        <w:rPr>
          <w:spacing w:val="-22"/>
        </w:rPr>
        <w:t> </w:t>
      </w:r>
      <w:r>
        <w:rPr/>
        <w:t>2002).</w:t>
      </w:r>
    </w:p>
    <w:p>
      <w:pPr>
        <w:pStyle w:val="BodyText"/>
        <w:spacing w:line="360" w:lineRule="auto" w:before="163"/>
        <w:ind w:left="102" w:right="116" w:firstLine="566"/>
        <w:jc w:val="both"/>
      </w:pPr>
      <w:r>
        <w:rPr/>
        <w:t>Estudios filogenéticos basados en genes </w:t>
      </w:r>
      <w:r>
        <w:rPr>
          <w:i/>
        </w:rPr>
        <w:t>housekeeping </w:t>
      </w:r>
      <w:r>
        <w:rPr/>
        <w:t>y otros genes, como el gen </w:t>
      </w:r>
      <w:r>
        <w:rPr>
          <w:i/>
        </w:rPr>
        <w:t>HMT</w:t>
      </w:r>
      <w:r>
        <w:rPr/>
        <w:t>p210, pudieran ser necesarios para tener un mayor poder discriminatorio en estudios filogenéticos de los aislamientos estudiados.</w:t>
      </w:r>
    </w:p>
    <w:p>
      <w:pPr>
        <w:spacing w:after="0" w:line="360" w:lineRule="auto"/>
        <w:jc w:val="both"/>
        <w:sectPr>
          <w:footerReference w:type="default" r:id="rId65"/>
          <w:pgSz w:w="12240" w:h="15840"/>
          <w:pgMar w:footer="1003" w:header="0" w:top="1360" w:bottom="120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5"/>
        </w:rPr>
      </w:pPr>
    </w:p>
    <w:p>
      <w:pPr>
        <w:pStyle w:val="Heading2"/>
        <w:numPr>
          <w:ilvl w:val="1"/>
          <w:numId w:val="1"/>
        </w:numPr>
        <w:tabs>
          <w:tab w:pos="3899" w:val="left" w:leader="none"/>
        </w:tabs>
        <w:spacing w:line="240" w:lineRule="auto" w:before="69" w:after="0"/>
        <w:ind w:left="3898" w:right="0" w:hanging="361"/>
        <w:jc w:val="left"/>
      </w:pPr>
      <w:bookmarkStart w:name="_TOC_250001" w:id="14"/>
      <w:bookmarkEnd w:id="14"/>
      <w:r>
        <w:rPr/>
        <w:t>CONCLUSIONES</w:t>
      </w:r>
    </w:p>
    <w:p>
      <w:pPr>
        <w:spacing w:after="0" w:line="240" w:lineRule="auto"/>
        <w:jc w:val="left"/>
        <w:sectPr>
          <w:footerReference w:type="default" r:id="rId66"/>
          <w:pgSz w:w="12240" w:h="15840"/>
          <w:pgMar w:footer="1003" w:header="0" w:top="1500" w:bottom="1200" w:left="1720" w:right="1720"/>
          <w:pgNumType w:start="51"/>
        </w:sectPr>
      </w:pPr>
    </w:p>
    <w:p>
      <w:pPr>
        <w:pStyle w:val="BodyText"/>
        <w:spacing w:line="360" w:lineRule="auto" w:before="54"/>
        <w:ind w:left="102" w:right="117" w:firstLine="566"/>
        <w:jc w:val="both"/>
      </w:pPr>
      <w:r>
        <w:rPr/>
        <w:t>La protección conferida por bacterinas comerciales frente a un aislamiento de </w:t>
      </w:r>
      <w:r>
        <w:rPr>
          <w:i/>
        </w:rPr>
        <w:t>Av. paragallinarum </w:t>
      </w:r>
      <w:r>
        <w:rPr/>
        <w:t>de la serovariedad C-1 (ESV-135) es muy diversa, únicamente una de cuatro bacterinas evaluadas tuvo un porcentaje de protección mayor al 80%, estos resultados pudieran explicar los brotes de coriza infecciosa de aislamientos de la serovariedad C-1 observados en el campo.</w:t>
      </w:r>
    </w:p>
    <w:p>
      <w:pPr>
        <w:pStyle w:val="BodyText"/>
        <w:spacing w:line="360" w:lineRule="auto" w:before="166"/>
        <w:ind w:left="102" w:right="117" w:firstLine="566"/>
        <w:jc w:val="both"/>
      </w:pPr>
      <w:r>
        <w:rPr/>
        <w:t>La prueba de PCR múltiple previamente reportada, no fue capaz de tipificar cepas de referencia y aislamientos de diferentes serovariedades provenientes de América, por lo tanto, la prueba de PCR múltiple no se sugiere para sustituir a la prueba de inhibición de la hemoaglutinación (IH) para la tipificación  de aislamientos de </w:t>
      </w:r>
      <w:r>
        <w:rPr>
          <w:i/>
        </w:rPr>
        <w:t>Av. paragallinarum</w:t>
      </w:r>
      <w:r>
        <w:rPr/>
        <w:t>.</w:t>
      </w:r>
    </w:p>
    <w:p>
      <w:pPr>
        <w:pStyle w:val="BodyText"/>
        <w:spacing w:line="360" w:lineRule="auto" w:before="168"/>
        <w:ind w:left="102" w:right="115" w:firstLine="566"/>
        <w:jc w:val="both"/>
      </w:pPr>
      <w:r>
        <w:rPr/>
        <w:t>La secuenciación y análisis filogenéticos de las secuencias de los genes </w:t>
      </w:r>
      <w:r>
        <w:rPr>
          <w:i/>
        </w:rPr>
        <w:t>hag</w:t>
      </w:r>
      <w:r>
        <w:rPr/>
        <w:t>A y 16S rRNA de aislamientos de </w:t>
      </w:r>
      <w:r>
        <w:rPr>
          <w:i/>
        </w:rPr>
        <w:t>Av. paragallinarum </w:t>
      </w:r>
      <w:r>
        <w:rPr/>
        <w:t>de Bolivia, Ecuador, Panamá, Perú y México, permitió agrupar ciertos aislamientos con cepas de referencia previamente reportadas. Adicionalmente, </w:t>
      </w:r>
      <w:r>
        <w:rPr>
          <w:spacing w:val="3"/>
        </w:rPr>
        <w:t>el </w:t>
      </w:r>
      <w:r>
        <w:rPr/>
        <w:t>análisis basado en el </w:t>
      </w:r>
      <w:r>
        <w:rPr>
          <w:spacing w:val="-2"/>
        </w:rPr>
        <w:t>gen </w:t>
      </w:r>
      <w:r>
        <w:rPr/>
        <w:t>16S rRNA permitió la identificación de un genogrupo de aislamientos de América. El presente estudio muestra la necesidad de seguimiento de aislamientos de </w:t>
      </w:r>
      <w:r>
        <w:rPr>
          <w:i/>
        </w:rPr>
        <w:t>Av. </w:t>
      </w:r>
      <w:r>
        <w:rPr>
          <w:i/>
        </w:rPr>
        <w:t>paragallinarum </w:t>
      </w:r>
      <w:r>
        <w:rPr/>
        <w:t>a partir de brotes de coriza infecciosa para determinar la posible prevalencia o emergencia de serovariedades y genogrupos de </w:t>
      </w:r>
      <w:r>
        <w:rPr>
          <w:i/>
        </w:rPr>
        <w:t>Av. paragallinarum. </w:t>
      </w:r>
      <w:r>
        <w:rPr/>
        <w:t>El análisis de más aislamientos de América es necesario para confirmar el genogrupo</w:t>
      </w:r>
      <w:r>
        <w:rPr>
          <w:spacing w:val="-12"/>
        </w:rPr>
        <w:t> </w:t>
      </w:r>
      <w:r>
        <w:rPr/>
        <w:t>identificado.</w:t>
      </w:r>
    </w:p>
    <w:p>
      <w:pPr>
        <w:spacing w:after="0" w:line="360" w:lineRule="auto"/>
        <w:jc w:val="both"/>
        <w:sectPr>
          <w:pgSz w:w="12240" w:h="15840"/>
          <w:pgMar w:header="0" w:footer="1003" w:top="1360" w:bottom="120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5"/>
        </w:rPr>
      </w:pPr>
    </w:p>
    <w:p>
      <w:pPr>
        <w:pStyle w:val="Heading2"/>
        <w:numPr>
          <w:ilvl w:val="1"/>
          <w:numId w:val="1"/>
        </w:numPr>
        <w:tabs>
          <w:tab w:pos="3683" w:val="left" w:leader="none"/>
        </w:tabs>
        <w:spacing w:line="240" w:lineRule="auto" w:before="69" w:after="0"/>
        <w:ind w:left="3682" w:right="0" w:hanging="294"/>
        <w:jc w:val="left"/>
      </w:pPr>
      <w:bookmarkStart w:name="_TOC_250000" w:id="15"/>
      <w:bookmarkEnd w:id="15"/>
      <w:r>
        <w:rPr/>
        <w:t>BIBLIOGRAFÍA</w:t>
      </w:r>
    </w:p>
    <w:p>
      <w:pPr>
        <w:spacing w:after="0" w:line="240" w:lineRule="auto"/>
        <w:jc w:val="left"/>
        <w:sectPr>
          <w:pgSz w:w="12240" w:h="15840"/>
          <w:pgMar w:header="0" w:footer="1003" w:top="1500" w:bottom="1200" w:left="1720" w:right="1720"/>
        </w:sectPr>
      </w:pPr>
    </w:p>
    <w:p>
      <w:pPr>
        <w:pStyle w:val="BodyText"/>
        <w:spacing w:line="360" w:lineRule="auto" w:before="54"/>
        <w:ind w:left="810" w:right="114" w:hanging="708"/>
        <w:jc w:val="both"/>
      </w:pPr>
      <w:r>
        <w:rPr/>
        <w:t>Altschul SF, Gish W, Miller </w:t>
      </w:r>
      <w:r>
        <w:rPr>
          <w:spacing w:val="4"/>
        </w:rPr>
        <w:t>W, </w:t>
      </w:r>
      <w:r>
        <w:rPr/>
        <w:t>Myers EW, Lipman DJ. (1990): Basic local alignment search tool. J Mol Biol.</w:t>
      </w:r>
      <w:r>
        <w:rPr>
          <w:spacing w:val="-17"/>
        </w:rPr>
        <w:t> </w:t>
      </w:r>
      <w:r>
        <w:rPr/>
        <w:t>215:403-410.</w:t>
      </w:r>
    </w:p>
    <w:p>
      <w:pPr>
        <w:pStyle w:val="BodyText"/>
      </w:pPr>
    </w:p>
    <w:p>
      <w:pPr>
        <w:pStyle w:val="BodyText"/>
      </w:pPr>
    </w:p>
    <w:p>
      <w:pPr>
        <w:spacing w:line="360" w:lineRule="auto" w:before="185"/>
        <w:ind w:left="810" w:right="115" w:hanging="708"/>
        <w:jc w:val="both"/>
        <w:rPr>
          <w:sz w:val="24"/>
        </w:rPr>
      </w:pPr>
      <w:r>
        <w:rPr>
          <w:sz w:val="24"/>
        </w:rPr>
        <w:t>Blackall PJ, Christensen H, Beckenham T, Blackall LL, Bisgaard M. (2005): Reclassification of </w:t>
      </w:r>
      <w:r>
        <w:rPr>
          <w:i/>
          <w:sz w:val="24"/>
        </w:rPr>
        <w:t>Pasteurella gallinarum, [Haemophilus] paragallinarum</w:t>
      </w:r>
      <w:r>
        <w:rPr>
          <w:sz w:val="24"/>
        </w:rPr>
        <w:t>, </w:t>
      </w:r>
      <w:r>
        <w:rPr>
          <w:i/>
          <w:sz w:val="24"/>
        </w:rPr>
        <w:t>Pasteurella avium </w:t>
      </w:r>
      <w:r>
        <w:rPr>
          <w:sz w:val="24"/>
        </w:rPr>
        <w:t>and </w:t>
      </w:r>
      <w:r>
        <w:rPr>
          <w:i/>
          <w:sz w:val="24"/>
        </w:rPr>
        <w:t>Pasteurella volantium </w:t>
      </w:r>
      <w:r>
        <w:rPr>
          <w:sz w:val="24"/>
        </w:rPr>
        <w:t>as </w:t>
      </w:r>
      <w:r>
        <w:rPr>
          <w:i/>
          <w:sz w:val="24"/>
        </w:rPr>
        <w:t>Avibacterium gallinarum </w:t>
      </w:r>
      <w:r>
        <w:rPr>
          <w:sz w:val="24"/>
        </w:rPr>
        <w:t>gen. nov., comb. nov., </w:t>
      </w:r>
      <w:r>
        <w:rPr>
          <w:i/>
          <w:sz w:val="24"/>
        </w:rPr>
        <w:t>Avibacterium paragallinarum </w:t>
      </w:r>
      <w:r>
        <w:rPr>
          <w:sz w:val="24"/>
        </w:rPr>
        <w:t>comb. nov., </w:t>
      </w:r>
      <w:r>
        <w:rPr>
          <w:i/>
          <w:sz w:val="24"/>
        </w:rPr>
        <w:t>Avibacterium avium </w:t>
      </w:r>
      <w:r>
        <w:rPr>
          <w:sz w:val="24"/>
        </w:rPr>
        <w:t>comb. nov. and </w:t>
      </w:r>
      <w:r>
        <w:rPr>
          <w:i/>
          <w:sz w:val="24"/>
        </w:rPr>
        <w:t>Avibacterium volantium </w:t>
      </w:r>
      <w:r>
        <w:rPr>
          <w:sz w:val="24"/>
        </w:rPr>
        <w:t>comb. nov. </w:t>
      </w:r>
      <w:r>
        <w:rPr>
          <w:i/>
          <w:sz w:val="24"/>
        </w:rPr>
        <w:t>Int J </w:t>
      </w:r>
      <w:r>
        <w:rPr>
          <w:i/>
          <w:sz w:val="24"/>
        </w:rPr>
        <w:t>Syst Evol Microbiol</w:t>
      </w:r>
      <w:r>
        <w:rPr>
          <w:sz w:val="24"/>
        </w:rPr>
        <w:t>., 55: 353- 362.</w:t>
      </w:r>
    </w:p>
    <w:p>
      <w:pPr>
        <w:pStyle w:val="BodyText"/>
      </w:pPr>
    </w:p>
    <w:p>
      <w:pPr>
        <w:pStyle w:val="BodyText"/>
      </w:pPr>
    </w:p>
    <w:p>
      <w:pPr>
        <w:spacing w:line="360" w:lineRule="auto" w:before="187"/>
        <w:ind w:left="810" w:right="118" w:hanging="708"/>
        <w:jc w:val="both"/>
        <w:rPr>
          <w:sz w:val="24"/>
        </w:rPr>
      </w:pPr>
      <w:r>
        <w:rPr>
          <w:sz w:val="24"/>
        </w:rPr>
        <w:t>Blackall PJ, Eaves LE, Rogers DG. (1990): Proposal of a new serovar and altered nomenclature for </w:t>
      </w:r>
      <w:r>
        <w:rPr>
          <w:i/>
          <w:sz w:val="24"/>
        </w:rPr>
        <w:t>Haemophilus paragallinarum </w:t>
      </w:r>
      <w:r>
        <w:rPr>
          <w:sz w:val="24"/>
        </w:rPr>
        <w:t>in the Kume hemagglutinin scheme. </w:t>
      </w:r>
      <w:r>
        <w:rPr>
          <w:i/>
          <w:sz w:val="24"/>
        </w:rPr>
        <w:t>J Clin Microbiol</w:t>
      </w:r>
      <w:r>
        <w:rPr>
          <w:sz w:val="24"/>
        </w:rPr>
        <w:t>., 28:1185-1187.</w:t>
      </w:r>
    </w:p>
    <w:p>
      <w:pPr>
        <w:pStyle w:val="BodyText"/>
      </w:pPr>
    </w:p>
    <w:p>
      <w:pPr>
        <w:pStyle w:val="BodyText"/>
      </w:pPr>
    </w:p>
    <w:p>
      <w:pPr>
        <w:pStyle w:val="BodyText"/>
        <w:spacing w:before="187"/>
        <w:ind w:left="102" w:right="118"/>
      </w:pPr>
      <w:r>
        <w:rPr/>
        <w:t>Blackall  PJ,  Christensen  H,  Bisgaard  M.  (2011):  Unusual  growth  variants    of</w:t>
      </w:r>
    </w:p>
    <w:p>
      <w:pPr>
        <w:spacing w:before="137"/>
        <w:ind w:left="810" w:right="118" w:firstLine="0"/>
        <w:jc w:val="left"/>
        <w:rPr>
          <w:sz w:val="24"/>
        </w:rPr>
      </w:pPr>
      <w:r>
        <w:rPr>
          <w:i/>
          <w:sz w:val="24"/>
        </w:rPr>
        <w:t>Avibacterium paragallinarum. Aust Vet J. </w:t>
      </w:r>
      <w:r>
        <w:rPr>
          <w:sz w:val="24"/>
        </w:rPr>
        <w:t>89:273-275.</w:t>
      </w:r>
    </w:p>
    <w:p>
      <w:pPr>
        <w:pStyle w:val="BodyText"/>
      </w:pPr>
    </w:p>
    <w:p>
      <w:pPr>
        <w:pStyle w:val="BodyText"/>
      </w:pPr>
    </w:p>
    <w:p>
      <w:pPr>
        <w:pStyle w:val="BodyText"/>
        <w:spacing w:line="360" w:lineRule="auto" w:before="161"/>
        <w:ind w:left="810" w:right="112" w:hanging="708"/>
        <w:jc w:val="both"/>
      </w:pPr>
      <w:r>
        <w:rPr/>
        <w:t>Blackall PJ (1995): Vaccines against infectious coryza. World's Poult Sci J., 51:17- 26.</w:t>
      </w:r>
    </w:p>
    <w:p>
      <w:pPr>
        <w:pStyle w:val="BodyText"/>
      </w:pPr>
    </w:p>
    <w:p>
      <w:pPr>
        <w:pStyle w:val="BodyText"/>
        <w:spacing w:before="1"/>
        <w:rPr>
          <w:sz w:val="26"/>
        </w:rPr>
      </w:pPr>
    </w:p>
    <w:p>
      <w:pPr>
        <w:pStyle w:val="BodyText"/>
        <w:spacing w:line="360" w:lineRule="auto"/>
        <w:ind w:left="810" w:right="115" w:hanging="708"/>
        <w:jc w:val="both"/>
      </w:pPr>
      <w:r>
        <w:rPr/>
        <w:t>Blackall PJ y Soriano-Vargas E (2013): Infectious coryza and related bacterial infections. In: Diseases of Poultry, 13th ed. Swayne DE, Glisson JR, McDougald LR, Nolan LK, Suarez DL y Nair VL, eds. Wiley-Blackwell Publishing, Ames, IA. pp. 859-868.</w:t>
      </w:r>
    </w:p>
    <w:p>
      <w:pPr>
        <w:spacing w:after="0" w:line="360" w:lineRule="auto"/>
        <w:jc w:val="both"/>
        <w:sectPr>
          <w:pgSz w:w="12240" w:h="15840"/>
          <w:pgMar w:header="0" w:footer="1003" w:top="1360" w:bottom="1200" w:left="1600" w:right="1580"/>
        </w:sectPr>
      </w:pPr>
    </w:p>
    <w:p>
      <w:pPr>
        <w:spacing w:line="360" w:lineRule="auto" w:before="54"/>
        <w:ind w:left="810" w:right="115" w:hanging="708"/>
        <w:jc w:val="both"/>
        <w:rPr>
          <w:i/>
          <w:sz w:val="24"/>
        </w:rPr>
      </w:pPr>
      <w:r>
        <w:rPr>
          <w:sz w:val="24"/>
        </w:rPr>
        <w:t>Cabrera A, Morales-Erasto V, Salgado-Miranda C, Blackall PJ, Soriano-Vargas E.(2010): Hemagglutinin serotyping of </w:t>
      </w:r>
      <w:r>
        <w:rPr>
          <w:i/>
          <w:sz w:val="24"/>
        </w:rPr>
        <w:t>Avibacterium paragallinarum </w:t>
      </w:r>
      <w:r>
        <w:rPr>
          <w:sz w:val="24"/>
        </w:rPr>
        <w:t>isolates from Ecuador. </w:t>
      </w:r>
      <w:r>
        <w:rPr>
          <w:i/>
          <w:sz w:val="24"/>
        </w:rPr>
        <w:t>Trop Anim Health Prod.</w:t>
      </w:r>
    </w:p>
    <w:p>
      <w:pPr>
        <w:pStyle w:val="BodyText"/>
        <w:rPr>
          <w:i/>
        </w:rPr>
      </w:pPr>
    </w:p>
    <w:p>
      <w:pPr>
        <w:pStyle w:val="BodyText"/>
        <w:rPr>
          <w:i/>
        </w:rPr>
      </w:pPr>
    </w:p>
    <w:p>
      <w:pPr>
        <w:pStyle w:val="BodyText"/>
        <w:spacing w:before="190"/>
        <w:ind w:left="102" w:right="118"/>
      </w:pPr>
      <w:r>
        <w:rPr/>
        <w:t>Calderón EN, Thomas K, Morales-Erasto V, Salgado-Miranda C,    Soriano-Vargas</w:t>
      </w:r>
    </w:p>
    <w:p>
      <w:pPr>
        <w:spacing w:line="360" w:lineRule="auto" w:before="134"/>
        <w:ind w:left="810" w:right="118" w:firstLine="0"/>
        <w:jc w:val="left"/>
        <w:rPr>
          <w:sz w:val="24"/>
        </w:rPr>
      </w:pPr>
      <w:r>
        <w:rPr>
          <w:sz w:val="24"/>
        </w:rPr>
        <w:t>E. (2010): Identification of </w:t>
      </w:r>
      <w:r>
        <w:rPr>
          <w:i/>
          <w:sz w:val="24"/>
        </w:rPr>
        <w:t>Avibacterium paragallinarum </w:t>
      </w:r>
      <w:r>
        <w:rPr>
          <w:sz w:val="24"/>
        </w:rPr>
        <w:t>serovar B-1 from severe infectious coryza outbreaks in Panama. </w:t>
      </w:r>
      <w:r>
        <w:rPr>
          <w:i/>
          <w:sz w:val="24"/>
        </w:rPr>
        <w:t>Avian Dis</w:t>
      </w:r>
      <w:r>
        <w:rPr>
          <w:sz w:val="24"/>
        </w:rPr>
        <w:t>., 54:1095-1097.</w:t>
      </w:r>
    </w:p>
    <w:p>
      <w:pPr>
        <w:pStyle w:val="BodyText"/>
      </w:pPr>
    </w:p>
    <w:p>
      <w:pPr>
        <w:pStyle w:val="BodyText"/>
      </w:pPr>
    </w:p>
    <w:p>
      <w:pPr>
        <w:pStyle w:val="BodyText"/>
        <w:spacing w:line="360" w:lineRule="auto" w:before="188"/>
        <w:ind w:left="954" w:right="112" w:hanging="852"/>
        <w:jc w:val="both"/>
      </w:pPr>
      <w:r>
        <w:rPr/>
        <w:t>Christensen H, Kuhnert P, Olsen JE, Bisgaard M. (2004): Comparative  phylogenies of the housekeeping genes atpD, infB and rpoB and the 16S rRNA gene within the Pasteurellaceae. </w:t>
      </w:r>
      <w:r>
        <w:rPr>
          <w:i/>
        </w:rPr>
        <w:t>Int J Syst Evol Microbiol. </w:t>
      </w:r>
      <w:r>
        <w:rPr/>
        <w:t>54:1601- 1609.</w:t>
      </w:r>
    </w:p>
    <w:p>
      <w:pPr>
        <w:pStyle w:val="BodyText"/>
      </w:pPr>
    </w:p>
    <w:p>
      <w:pPr>
        <w:pStyle w:val="BodyText"/>
      </w:pPr>
    </w:p>
    <w:p>
      <w:pPr>
        <w:spacing w:line="360" w:lineRule="auto" w:before="187"/>
        <w:ind w:left="954" w:right="115" w:hanging="852"/>
        <w:jc w:val="both"/>
        <w:rPr>
          <w:sz w:val="24"/>
        </w:rPr>
      </w:pPr>
      <w:r>
        <w:rPr>
          <w:sz w:val="24"/>
        </w:rPr>
        <w:t>Chukiatsiri K, Sasipreeyajan J, Neramitmansuk </w:t>
      </w:r>
      <w:r>
        <w:rPr>
          <w:spacing w:val="3"/>
          <w:sz w:val="24"/>
        </w:rPr>
        <w:t>W, </w:t>
      </w:r>
      <w:r>
        <w:rPr>
          <w:sz w:val="24"/>
        </w:rPr>
        <w:t>Chansiripornchai N. (2009): Efficacy of autogenous killed vaccine of </w:t>
      </w:r>
      <w:r>
        <w:rPr>
          <w:i/>
          <w:sz w:val="24"/>
        </w:rPr>
        <w:t>Avibacterium paragallinarum</w:t>
      </w:r>
      <w:r>
        <w:rPr>
          <w:sz w:val="24"/>
        </w:rPr>
        <w:t>.  </w:t>
      </w:r>
      <w:r>
        <w:rPr>
          <w:i/>
          <w:sz w:val="24"/>
        </w:rPr>
        <w:t>Avian Dis.</w:t>
      </w:r>
      <w:r>
        <w:rPr>
          <w:i/>
          <w:spacing w:val="-3"/>
          <w:sz w:val="24"/>
        </w:rPr>
        <w:t> </w:t>
      </w:r>
      <w:r>
        <w:rPr>
          <w:sz w:val="24"/>
        </w:rPr>
        <w:t>53:382-386.</w:t>
      </w:r>
    </w:p>
    <w:p>
      <w:pPr>
        <w:pStyle w:val="BodyText"/>
      </w:pPr>
    </w:p>
    <w:p>
      <w:pPr>
        <w:pStyle w:val="BodyText"/>
      </w:pPr>
    </w:p>
    <w:p>
      <w:pPr>
        <w:spacing w:line="360" w:lineRule="auto" w:before="187"/>
        <w:ind w:left="821" w:right="115" w:hanging="720"/>
        <w:jc w:val="both"/>
        <w:rPr>
          <w:sz w:val="24"/>
        </w:rPr>
      </w:pPr>
      <w:r>
        <w:rPr>
          <w:sz w:val="24"/>
        </w:rPr>
        <w:t>Fernández RP, Colíndres HL, Velásquez QE, Soriano VE, Blackall PJ. (2005): Protection conferred by bivalent and trivalent infectious coryza bacterins against prevalent serovars of </w:t>
      </w:r>
      <w:r>
        <w:rPr>
          <w:i/>
          <w:sz w:val="24"/>
        </w:rPr>
        <w:t>Avibacterium (Haemophilus) paragallinarum </w:t>
      </w:r>
      <w:r>
        <w:rPr>
          <w:sz w:val="24"/>
        </w:rPr>
        <w:t>in Mexico. </w:t>
      </w:r>
      <w:r>
        <w:rPr>
          <w:i/>
          <w:sz w:val="24"/>
        </w:rPr>
        <w:t>Avian Dis.</w:t>
      </w:r>
      <w:r>
        <w:rPr>
          <w:sz w:val="24"/>
        </w:rPr>
        <w:t>, 49:585-587.</w:t>
      </w:r>
    </w:p>
    <w:p>
      <w:pPr>
        <w:pStyle w:val="BodyText"/>
      </w:pPr>
    </w:p>
    <w:p>
      <w:pPr>
        <w:pStyle w:val="BodyText"/>
        <w:spacing w:before="1"/>
        <w:rPr>
          <w:sz w:val="25"/>
        </w:rPr>
      </w:pPr>
    </w:p>
    <w:p>
      <w:pPr>
        <w:pStyle w:val="BodyText"/>
        <w:spacing w:line="360" w:lineRule="auto"/>
        <w:ind w:left="810" w:right="117" w:hanging="708"/>
        <w:jc w:val="both"/>
      </w:pPr>
      <w:r>
        <w:rPr/>
        <w:t>García A, Romo F, Ortiz AM, Blackall PJ. (2008): The vaccination-challenge trial: the gold standard test to evaluate the protective efficacy of infectious coryza vaccines. </w:t>
      </w:r>
      <w:r>
        <w:rPr>
          <w:i/>
        </w:rPr>
        <w:t>Avian Pathol.</w:t>
      </w:r>
      <w:r>
        <w:rPr/>
        <w:t>, 37:183-186.</w:t>
      </w:r>
    </w:p>
    <w:p>
      <w:pPr>
        <w:spacing w:after="0" w:line="360" w:lineRule="auto"/>
        <w:jc w:val="both"/>
        <w:sectPr>
          <w:pgSz w:w="12240" w:h="15840"/>
          <w:pgMar w:header="0" w:footer="1003" w:top="1360" w:bottom="1200" w:left="1600" w:right="1580"/>
        </w:sectPr>
      </w:pPr>
    </w:p>
    <w:p>
      <w:pPr>
        <w:pStyle w:val="BodyText"/>
        <w:spacing w:line="360" w:lineRule="auto" w:before="54"/>
        <w:ind w:left="810" w:right="120" w:hanging="708"/>
        <w:jc w:val="both"/>
      </w:pPr>
      <w:r>
        <w:rPr/>
        <w:t>García-Sánchez A, Morales-Erasto V, Talavera-Rojas M, Robles-González F, Allen MS, Blackall PJ, Soriano-Vargas E. (2014): Phylogenetic relationship of serovar C-1 isolates of </w:t>
      </w:r>
      <w:r>
        <w:rPr>
          <w:i/>
        </w:rPr>
        <w:t>Avibacterium paragallinarum. Avian Dis. </w:t>
      </w:r>
      <w:r>
        <w:rPr/>
        <w:t>58:143-146.</w:t>
      </w:r>
    </w:p>
    <w:p>
      <w:pPr>
        <w:pStyle w:val="BodyText"/>
      </w:pPr>
    </w:p>
    <w:p>
      <w:pPr>
        <w:pStyle w:val="BodyText"/>
        <w:rPr>
          <w:sz w:val="25"/>
        </w:rPr>
      </w:pPr>
    </w:p>
    <w:p>
      <w:pPr>
        <w:spacing w:line="360" w:lineRule="auto" w:before="1"/>
        <w:ind w:left="810" w:right="116" w:hanging="708"/>
        <w:jc w:val="both"/>
        <w:rPr>
          <w:sz w:val="24"/>
        </w:rPr>
      </w:pPr>
      <w:r>
        <w:rPr>
          <w:sz w:val="24"/>
        </w:rPr>
        <w:t>Hobb RI, Tseng HJ, Downes JE, Terry TD, Blackall PJ, Takagi M, Jennings MP. (2002): Molecular analysis of a haemagglutinin of </w:t>
      </w:r>
      <w:r>
        <w:rPr>
          <w:i/>
          <w:sz w:val="24"/>
        </w:rPr>
        <w:t>Haemophilus </w:t>
      </w:r>
      <w:r>
        <w:rPr>
          <w:i/>
          <w:sz w:val="24"/>
        </w:rPr>
        <w:t>paragallinarum</w:t>
      </w:r>
      <w:r>
        <w:rPr>
          <w:sz w:val="24"/>
        </w:rPr>
        <w:t>. </w:t>
      </w:r>
      <w:r>
        <w:rPr>
          <w:i/>
          <w:sz w:val="24"/>
        </w:rPr>
        <w:t>Microbiology</w:t>
      </w:r>
      <w:r>
        <w:rPr>
          <w:sz w:val="24"/>
        </w:rPr>
        <w:t>. 148:2171-2179.</w:t>
      </w:r>
    </w:p>
    <w:p>
      <w:pPr>
        <w:pStyle w:val="BodyText"/>
      </w:pPr>
    </w:p>
    <w:p>
      <w:pPr>
        <w:pStyle w:val="BodyText"/>
        <w:spacing w:before="10"/>
      </w:pPr>
    </w:p>
    <w:p>
      <w:pPr>
        <w:spacing w:line="360" w:lineRule="auto" w:before="0"/>
        <w:ind w:left="810" w:right="114" w:hanging="708"/>
        <w:jc w:val="both"/>
        <w:rPr>
          <w:sz w:val="24"/>
        </w:rPr>
      </w:pPr>
      <w:r>
        <w:rPr>
          <w:sz w:val="24"/>
        </w:rPr>
        <w:t>Jacobs AA, Cuenen W, Storm PK. (1992): Efficacy of a trivalent </w:t>
      </w:r>
      <w:r>
        <w:rPr>
          <w:i/>
          <w:sz w:val="24"/>
        </w:rPr>
        <w:t>Haemophilus </w:t>
      </w:r>
      <w:r>
        <w:rPr>
          <w:i/>
          <w:sz w:val="24"/>
        </w:rPr>
        <w:t>paragallinarum </w:t>
      </w:r>
      <w:r>
        <w:rPr>
          <w:sz w:val="24"/>
        </w:rPr>
        <w:t>vaccine compared to bivalent vaccines. </w:t>
      </w:r>
      <w:r>
        <w:rPr>
          <w:i/>
          <w:sz w:val="24"/>
        </w:rPr>
        <w:t>Vet Microbiol</w:t>
      </w:r>
      <w:r>
        <w:rPr>
          <w:sz w:val="24"/>
        </w:rPr>
        <w:t>. 32:43- 49.</w:t>
      </w:r>
    </w:p>
    <w:p>
      <w:pPr>
        <w:pStyle w:val="BodyText"/>
      </w:pPr>
    </w:p>
    <w:p>
      <w:pPr>
        <w:spacing w:line="360" w:lineRule="auto" w:before="142"/>
        <w:ind w:left="810" w:right="119" w:hanging="708"/>
        <w:jc w:val="both"/>
        <w:rPr>
          <w:sz w:val="24"/>
        </w:rPr>
      </w:pPr>
      <w:r>
        <w:rPr>
          <w:sz w:val="24"/>
        </w:rPr>
        <w:t>Kume K, Sawata A, Nakai T, Matsumoto M. (1983): Serological classification of </w:t>
      </w:r>
      <w:r>
        <w:rPr>
          <w:i/>
          <w:sz w:val="24"/>
        </w:rPr>
        <w:t>Haemophilus     paragallinarum      </w:t>
      </w:r>
      <w:r>
        <w:rPr>
          <w:sz w:val="24"/>
        </w:rPr>
        <w:t>with      a      hemagglutinin      system.    </w:t>
      </w:r>
      <w:r>
        <w:rPr>
          <w:i/>
          <w:sz w:val="24"/>
        </w:rPr>
        <w:t>J Clin Microbiol.</w:t>
      </w:r>
      <w:r>
        <w:rPr>
          <w:sz w:val="24"/>
        </w:rPr>
        <w:t>,</w:t>
      </w:r>
      <w:r>
        <w:rPr>
          <w:spacing w:val="-7"/>
          <w:sz w:val="24"/>
        </w:rPr>
        <w:t> </w:t>
      </w:r>
      <w:r>
        <w:rPr>
          <w:sz w:val="24"/>
        </w:rPr>
        <w:t>17:958-964.</w:t>
      </w:r>
    </w:p>
    <w:p>
      <w:pPr>
        <w:pStyle w:val="BodyText"/>
      </w:pPr>
    </w:p>
    <w:p>
      <w:pPr>
        <w:pStyle w:val="BodyText"/>
      </w:pPr>
    </w:p>
    <w:p>
      <w:pPr>
        <w:pStyle w:val="BodyText"/>
        <w:spacing w:line="360" w:lineRule="auto" w:before="190"/>
        <w:ind w:left="810" w:right="118" w:hanging="708"/>
        <w:jc w:val="both"/>
      </w:pPr>
      <w:r>
        <w:rPr/>
        <w:t>Morales-Erasto V, García-Sánchez A, Salgado-Miranda C, Talavera-Rojas M, Robles-González F, Blackall PJ, Soriano-Vargas E. (2011): ERIC-PCR genotyping of emergent serovar C-1 isolates of </w:t>
      </w:r>
      <w:r>
        <w:rPr>
          <w:i/>
        </w:rPr>
        <w:t>Avibacterium paragallinarum </w:t>
      </w:r>
      <w:r>
        <w:rPr/>
        <w:t>from Mexico. </w:t>
      </w:r>
      <w:r>
        <w:rPr>
          <w:i/>
        </w:rPr>
        <w:t>Avian Dis.</w:t>
      </w:r>
      <w:r>
        <w:rPr/>
        <w:t>, 55:686-688.</w:t>
      </w:r>
    </w:p>
    <w:p>
      <w:pPr>
        <w:pStyle w:val="BodyText"/>
      </w:pPr>
    </w:p>
    <w:p>
      <w:pPr>
        <w:pStyle w:val="BodyText"/>
      </w:pPr>
    </w:p>
    <w:p>
      <w:pPr>
        <w:spacing w:line="360" w:lineRule="auto" w:before="187"/>
        <w:ind w:left="810" w:right="118" w:hanging="708"/>
        <w:jc w:val="both"/>
        <w:rPr>
          <w:sz w:val="24"/>
        </w:rPr>
      </w:pPr>
      <w:r>
        <w:rPr>
          <w:sz w:val="24"/>
        </w:rPr>
        <w:t>Noro T, Oishi E, Kaneshige T, Yaguchi K, Amimoto K, Shimizu M. (2008): Identification and characterization of haemagglutinin epitopes of </w:t>
      </w:r>
      <w:r>
        <w:rPr>
          <w:i/>
          <w:sz w:val="24"/>
        </w:rPr>
        <w:t>Avibacterium paragallinarum </w:t>
      </w:r>
      <w:r>
        <w:rPr>
          <w:sz w:val="24"/>
        </w:rPr>
        <w:t>serovar C. </w:t>
      </w:r>
      <w:r>
        <w:rPr>
          <w:i/>
          <w:sz w:val="24"/>
        </w:rPr>
        <w:t>Vet Microbiol. </w:t>
      </w:r>
      <w:r>
        <w:rPr>
          <w:sz w:val="24"/>
        </w:rPr>
        <w:t>131:406-413.</w:t>
      </w:r>
    </w:p>
    <w:p>
      <w:pPr>
        <w:pStyle w:val="BodyText"/>
      </w:pPr>
    </w:p>
    <w:p>
      <w:pPr>
        <w:pStyle w:val="BodyText"/>
      </w:pPr>
    </w:p>
    <w:p>
      <w:pPr>
        <w:pStyle w:val="BodyText"/>
        <w:spacing w:line="360" w:lineRule="auto" w:before="190"/>
        <w:ind w:left="810" w:right="119" w:hanging="708"/>
        <w:jc w:val="both"/>
      </w:pPr>
      <w:r>
        <w:rPr/>
        <w:t>Noro T, Yaguchi K, Amimoto K, Oishi E. (2007): Identification and expression of a gene encoding an epitope that induces hemagglutination inhibition antibody to </w:t>
      </w:r>
      <w:r>
        <w:rPr>
          <w:i/>
        </w:rPr>
        <w:t>Avibacterium paragallinarum </w:t>
      </w:r>
      <w:r>
        <w:rPr/>
        <w:t>serovar A. </w:t>
      </w:r>
      <w:r>
        <w:rPr>
          <w:i/>
        </w:rPr>
        <w:t>Avian Dis</w:t>
      </w:r>
      <w:r>
        <w:rPr/>
        <w:t>. 51:84-89.</w:t>
      </w:r>
    </w:p>
    <w:p>
      <w:pPr>
        <w:spacing w:after="0" w:line="360" w:lineRule="auto"/>
        <w:jc w:val="both"/>
        <w:sectPr>
          <w:pgSz w:w="12240" w:h="15840"/>
          <w:pgMar w:header="0" w:footer="1003" w:top="1360" w:bottom="1200" w:left="1600" w:right="1580"/>
        </w:sectPr>
      </w:pPr>
    </w:p>
    <w:p>
      <w:pPr>
        <w:pStyle w:val="BodyText"/>
        <w:rPr>
          <w:sz w:val="20"/>
        </w:rPr>
      </w:pPr>
    </w:p>
    <w:p>
      <w:pPr>
        <w:pStyle w:val="BodyText"/>
        <w:spacing w:before="7"/>
        <w:rPr>
          <w:sz w:val="16"/>
        </w:rPr>
      </w:pPr>
    </w:p>
    <w:p>
      <w:pPr>
        <w:pStyle w:val="BodyText"/>
        <w:spacing w:line="357" w:lineRule="auto" w:before="69"/>
        <w:ind w:left="810" w:right="116" w:hanging="708"/>
        <w:jc w:val="both"/>
      </w:pPr>
      <w:r>
        <w:rPr/>
        <w:t>Olive DM y Bean P. (1999): Principles and applications of methods for DNA-based typing of microbial organisms. </w:t>
      </w:r>
      <w:r>
        <w:rPr>
          <w:i/>
        </w:rPr>
        <w:t>J Clin Microbiol. </w:t>
      </w:r>
      <w:r>
        <w:rPr/>
        <w:t>37:1661-1669.</w:t>
      </w:r>
    </w:p>
    <w:p>
      <w:pPr>
        <w:pStyle w:val="BodyText"/>
      </w:pPr>
    </w:p>
    <w:p>
      <w:pPr>
        <w:pStyle w:val="BodyText"/>
      </w:pPr>
    </w:p>
    <w:p>
      <w:pPr>
        <w:spacing w:line="360" w:lineRule="auto" w:before="188"/>
        <w:ind w:left="810" w:right="115" w:hanging="708"/>
        <w:jc w:val="both"/>
        <w:rPr>
          <w:sz w:val="24"/>
        </w:rPr>
      </w:pPr>
      <w:r>
        <w:rPr>
          <w:sz w:val="24"/>
        </w:rPr>
        <w:t>Page LA (1962): </w:t>
      </w:r>
      <w:r>
        <w:rPr>
          <w:i/>
          <w:sz w:val="24"/>
        </w:rPr>
        <w:t>Haemophilus </w:t>
      </w:r>
      <w:r>
        <w:rPr>
          <w:sz w:val="24"/>
        </w:rPr>
        <w:t>infections in chickens. I. Characteristics of 12 </w:t>
      </w:r>
      <w:r>
        <w:rPr>
          <w:i/>
          <w:sz w:val="24"/>
        </w:rPr>
        <w:t>Haemophilus </w:t>
      </w:r>
      <w:r>
        <w:rPr>
          <w:sz w:val="24"/>
        </w:rPr>
        <w:t>isolates recovered from diseased chickens. </w:t>
      </w:r>
      <w:r>
        <w:rPr>
          <w:i/>
          <w:sz w:val="24"/>
        </w:rPr>
        <w:t>Am J Vet Res.</w:t>
      </w:r>
      <w:r>
        <w:rPr>
          <w:sz w:val="24"/>
        </w:rPr>
        <w:t>, 23:85-95.</w:t>
      </w:r>
    </w:p>
    <w:p>
      <w:pPr>
        <w:pStyle w:val="BodyText"/>
      </w:pPr>
    </w:p>
    <w:p>
      <w:pPr>
        <w:pStyle w:val="BodyText"/>
      </w:pPr>
    </w:p>
    <w:p>
      <w:pPr>
        <w:pStyle w:val="BodyText"/>
        <w:spacing w:line="357" w:lineRule="auto" w:before="188"/>
        <w:ind w:left="810" w:right="116" w:hanging="708"/>
        <w:jc w:val="both"/>
      </w:pPr>
      <w:r>
        <w:rPr/>
        <w:t>Saitou N, Nei M. (1987): The neighbor-joining method: a new method for reconstructing phylogenetic trees. </w:t>
      </w:r>
      <w:r>
        <w:rPr>
          <w:i/>
        </w:rPr>
        <w:t>Mol Biol Evol. </w:t>
      </w:r>
      <w:r>
        <w:rPr/>
        <w:t>4:406-425.</w:t>
      </w:r>
    </w:p>
    <w:p>
      <w:pPr>
        <w:pStyle w:val="BodyText"/>
      </w:pPr>
    </w:p>
    <w:p>
      <w:pPr>
        <w:pStyle w:val="BodyText"/>
      </w:pPr>
    </w:p>
    <w:p>
      <w:pPr>
        <w:spacing w:line="360" w:lineRule="auto" w:before="190"/>
        <w:ind w:left="810" w:right="118" w:hanging="708"/>
        <w:jc w:val="both"/>
        <w:rPr>
          <w:sz w:val="24"/>
        </w:rPr>
      </w:pPr>
      <w:r>
        <w:rPr>
          <w:sz w:val="24"/>
        </w:rPr>
        <w:t>Sakamoto R, Kino Y, Sakaguchi M. (2012): Development of a multiplex PCR and PCR-RFLP method for serotyping of </w:t>
      </w:r>
      <w:r>
        <w:rPr>
          <w:i/>
          <w:sz w:val="24"/>
        </w:rPr>
        <w:t>Avibacterium paragallinarum</w:t>
      </w:r>
      <w:r>
        <w:rPr>
          <w:sz w:val="24"/>
        </w:rPr>
        <w:t>. </w:t>
      </w:r>
      <w:r>
        <w:rPr>
          <w:i/>
          <w:sz w:val="24"/>
        </w:rPr>
        <w:t>J Vet </w:t>
      </w:r>
      <w:r>
        <w:rPr>
          <w:i/>
          <w:sz w:val="24"/>
        </w:rPr>
        <w:t>Med Sci.</w:t>
      </w:r>
      <w:r>
        <w:rPr>
          <w:i/>
          <w:spacing w:val="-7"/>
          <w:sz w:val="24"/>
        </w:rPr>
        <w:t> </w:t>
      </w:r>
      <w:r>
        <w:rPr>
          <w:sz w:val="24"/>
        </w:rPr>
        <w:t>74:271-273.</w:t>
      </w:r>
    </w:p>
    <w:p>
      <w:pPr>
        <w:pStyle w:val="BodyText"/>
      </w:pPr>
    </w:p>
    <w:p>
      <w:pPr>
        <w:pStyle w:val="BodyText"/>
      </w:pPr>
    </w:p>
    <w:p>
      <w:pPr>
        <w:pStyle w:val="BodyText"/>
        <w:spacing w:line="360" w:lineRule="auto" w:before="190"/>
        <w:ind w:left="810" w:right="117" w:hanging="708"/>
        <w:jc w:val="both"/>
      </w:pPr>
      <w:r>
        <w:rPr/>
        <w:t>Soriano VE, Blackall PJ, Dabo SM, Téllez G, García-Delgado GA, Fernández RP. (2001): Serotyping of </w:t>
      </w:r>
      <w:r>
        <w:rPr>
          <w:i/>
        </w:rPr>
        <w:t>Haemophilus paragallinarum </w:t>
      </w:r>
      <w:r>
        <w:rPr/>
        <w:t>isolates from Mexico by the Kume hemagglutinin scheme. </w:t>
      </w:r>
      <w:r>
        <w:rPr>
          <w:i/>
        </w:rPr>
        <w:t>Avian Dis</w:t>
      </w:r>
      <w:r>
        <w:rPr/>
        <w:t>., 45:680-683.</w:t>
      </w:r>
    </w:p>
    <w:p>
      <w:pPr>
        <w:pStyle w:val="BodyText"/>
      </w:pPr>
    </w:p>
    <w:p>
      <w:pPr>
        <w:pStyle w:val="BodyText"/>
      </w:pPr>
    </w:p>
    <w:p>
      <w:pPr>
        <w:pStyle w:val="BodyText"/>
        <w:spacing w:line="360" w:lineRule="auto" w:before="187"/>
        <w:ind w:left="810" w:right="114" w:hanging="708"/>
        <w:jc w:val="both"/>
      </w:pPr>
      <w:r>
        <w:rPr/>
        <w:t>Soriano VE, Longinos GM, Fernández RP, Velásquez QE, Ciprián CA, Salazar- García F, Blackall PJ. (2004a): Virulence of the nine serovar reference strains of </w:t>
      </w:r>
      <w:r>
        <w:rPr>
          <w:i/>
        </w:rPr>
        <w:t>Haemophilus paragallinarum</w:t>
      </w:r>
      <w:r>
        <w:rPr/>
        <w:t>. Avian Dis., 48:886-889.</w:t>
      </w:r>
    </w:p>
    <w:p>
      <w:pPr>
        <w:pStyle w:val="BodyText"/>
      </w:pPr>
    </w:p>
    <w:p>
      <w:pPr>
        <w:pStyle w:val="BodyText"/>
      </w:pPr>
    </w:p>
    <w:p>
      <w:pPr>
        <w:pStyle w:val="BodyText"/>
        <w:spacing w:line="360" w:lineRule="auto" w:before="187"/>
        <w:ind w:left="810" w:right="115" w:hanging="708"/>
        <w:jc w:val="both"/>
        <w:rPr>
          <w:i/>
        </w:rPr>
      </w:pPr>
      <w:r>
        <w:rPr/>
        <w:t>Soriano VE, Longinos GM, Téllez G, Fernández RP, Suárez-Güemes F, Blackall PJ. (2004b): Cross- protection study of the nine serovars of </w:t>
      </w:r>
      <w:r>
        <w:rPr>
          <w:i/>
        </w:rPr>
        <w:t>Haemophilus</w:t>
      </w:r>
    </w:p>
    <w:p>
      <w:pPr>
        <w:spacing w:after="0" w:line="360" w:lineRule="auto"/>
        <w:jc w:val="both"/>
        <w:sectPr>
          <w:pgSz w:w="12240" w:h="15840"/>
          <w:pgMar w:header="0" w:footer="1003" w:top="1500" w:bottom="1200" w:left="1600" w:right="1580"/>
        </w:sectPr>
      </w:pPr>
    </w:p>
    <w:p>
      <w:pPr>
        <w:spacing w:line="362" w:lineRule="auto" w:before="52"/>
        <w:ind w:left="810" w:right="118" w:firstLine="0"/>
        <w:jc w:val="left"/>
        <w:rPr>
          <w:sz w:val="24"/>
        </w:rPr>
      </w:pPr>
      <w:r>
        <w:rPr>
          <w:i/>
          <w:sz w:val="24"/>
        </w:rPr>
        <w:t>paragallinarum </w:t>
      </w:r>
      <w:r>
        <w:rPr>
          <w:sz w:val="24"/>
        </w:rPr>
        <w:t>in the Kume haemagglutinin scheme. </w:t>
      </w:r>
      <w:r>
        <w:rPr>
          <w:i/>
          <w:sz w:val="24"/>
        </w:rPr>
        <w:t>Avian Pathol.</w:t>
      </w:r>
      <w:r>
        <w:rPr>
          <w:sz w:val="24"/>
        </w:rPr>
        <w:t>, 33:506- 511.</w:t>
      </w:r>
    </w:p>
    <w:p>
      <w:pPr>
        <w:pStyle w:val="BodyText"/>
      </w:pPr>
    </w:p>
    <w:p>
      <w:pPr>
        <w:pStyle w:val="BodyText"/>
      </w:pPr>
    </w:p>
    <w:p>
      <w:pPr>
        <w:pStyle w:val="BodyText"/>
        <w:spacing w:line="360" w:lineRule="auto" w:before="182"/>
        <w:ind w:left="810" w:right="119" w:hanging="708"/>
        <w:jc w:val="both"/>
      </w:pPr>
      <w:r>
        <w:rPr/>
        <w:t>Soriano VE, Téllez G, Hargis BM, Newberry L, Salgado-Miranda C, Vázquez CJ. (2004c): Typing of </w:t>
      </w:r>
      <w:r>
        <w:rPr>
          <w:i/>
        </w:rPr>
        <w:t>Haemophilus paragallinarum </w:t>
      </w:r>
      <w:r>
        <w:rPr/>
        <w:t>strains by using enterobacterial repetitive intergenic consensus-based polymerase chain reaction. </w:t>
      </w:r>
      <w:r>
        <w:rPr>
          <w:i/>
        </w:rPr>
        <w:t>Avian Dis.</w:t>
      </w:r>
      <w:r>
        <w:rPr/>
        <w:t>, 48:890-895.</w:t>
      </w:r>
    </w:p>
    <w:p>
      <w:pPr>
        <w:spacing w:line="360" w:lineRule="auto" w:before="166"/>
        <w:ind w:left="1095" w:right="140" w:hanging="994"/>
        <w:jc w:val="left"/>
        <w:rPr>
          <w:sz w:val="24"/>
        </w:rPr>
      </w:pPr>
      <w:r>
        <w:rPr>
          <w:sz w:val="24"/>
        </w:rPr>
        <w:t>Takagi M, Hirayama N, Makie H, Ota S. (1991) Production, characterization and protective effect of monoclonal antibodies to </w:t>
      </w:r>
      <w:r>
        <w:rPr>
          <w:i/>
          <w:sz w:val="24"/>
        </w:rPr>
        <w:t>Haemophilus paragallinarum </w:t>
      </w:r>
      <w:r>
        <w:rPr>
          <w:sz w:val="24"/>
        </w:rPr>
        <w:t>serotype A. </w:t>
      </w:r>
      <w:r>
        <w:rPr>
          <w:i/>
          <w:sz w:val="24"/>
        </w:rPr>
        <w:t>Vet. Microbiol. </w:t>
      </w:r>
      <w:r>
        <w:rPr>
          <w:sz w:val="24"/>
        </w:rPr>
        <w:t>27:327–338.</w:t>
      </w:r>
    </w:p>
    <w:p>
      <w:pPr>
        <w:pStyle w:val="BodyText"/>
      </w:pPr>
    </w:p>
    <w:p>
      <w:pPr>
        <w:pStyle w:val="BodyText"/>
        <w:spacing w:line="360" w:lineRule="auto" w:before="144"/>
        <w:ind w:left="954" w:right="115" w:hanging="852"/>
        <w:jc w:val="both"/>
      </w:pPr>
      <w:r>
        <w:rPr/>
        <w:t>Tamura K, Peterson D, Peterson N, Stecher G, Nei M, Kumar S. (2011): MEGA5: molecular evolutionary genetics analysis using maximum likelihood, evolutionary distance, and maximum parsimony methods. </w:t>
      </w:r>
      <w:r>
        <w:rPr>
          <w:i/>
        </w:rPr>
        <w:t>Mol Biol Evol. </w:t>
      </w:r>
      <w:r>
        <w:rPr/>
        <w:t>28:2731-9.</w:t>
      </w:r>
    </w:p>
    <w:p>
      <w:pPr>
        <w:pStyle w:val="BodyText"/>
      </w:pPr>
    </w:p>
    <w:p>
      <w:pPr>
        <w:pStyle w:val="BodyText"/>
        <w:spacing w:before="4"/>
        <w:rPr>
          <w:sz w:val="26"/>
        </w:rPr>
      </w:pPr>
    </w:p>
    <w:p>
      <w:pPr>
        <w:pStyle w:val="BodyText"/>
        <w:spacing w:line="360" w:lineRule="auto"/>
        <w:ind w:left="810" w:right="123" w:hanging="708"/>
        <w:jc w:val="both"/>
      </w:pPr>
      <w:r>
        <w:rPr/>
        <w:t>van Belkum A, Struelens M, de Visser A, Verbrugh H, Tibayrenc M. (2001): Role of genomic typing in taxonomy, evolutionary genetics, and microbial epidemiology. </w:t>
      </w:r>
      <w:r>
        <w:rPr>
          <w:i/>
        </w:rPr>
        <w:t>Clin. Microbiol. Rev.</w:t>
      </w:r>
      <w:r>
        <w:rPr/>
        <w:t>, 14:547-560.</w:t>
      </w:r>
    </w:p>
    <w:p>
      <w:pPr>
        <w:pStyle w:val="BodyText"/>
      </w:pPr>
    </w:p>
    <w:p>
      <w:pPr>
        <w:pStyle w:val="BodyText"/>
        <w:spacing w:before="3"/>
        <w:rPr>
          <w:sz w:val="26"/>
        </w:rPr>
      </w:pPr>
    </w:p>
    <w:p>
      <w:pPr>
        <w:pStyle w:val="BodyText"/>
        <w:spacing w:line="360" w:lineRule="auto" w:before="1"/>
        <w:ind w:left="821" w:right="118" w:hanging="720"/>
        <w:jc w:val="both"/>
      </w:pPr>
      <w:r>
        <w:rPr/>
        <w:t>Yamaguchi T, Kobayashi M, Masaki S, Iritani Y. (1993): Isolation and characterization of a </w:t>
      </w:r>
      <w:r>
        <w:rPr>
          <w:i/>
        </w:rPr>
        <w:t>Haemophilus paragallinarum </w:t>
      </w:r>
      <w:r>
        <w:rPr/>
        <w:t>mutant that lacks a hemagglutinating antigen. </w:t>
      </w:r>
      <w:r>
        <w:rPr>
          <w:i/>
        </w:rPr>
        <w:t>Avian Dis</w:t>
      </w:r>
      <w:r>
        <w:rPr/>
        <w:t>. 37(4):970-976.</w:t>
      </w:r>
    </w:p>
    <w:sectPr>
      <w:pgSz w:w="12240" w:h="15840"/>
      <w:pgMar w:header="0" w:footer="1003" w:top="1360" w:bottom="120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302.290009pt;margin-top:730.856018pt;width:7.6pt;height:13.05pt;mso-position-horizontal-relative:page;mso-position-vertical-relative:page;z-index:-57928" type="#_x0000_t202" filled="false" stroked="false">
          <v:textbox inset="0,0,0,0">
            <w:txbxContent>
              <w:p>
                <w:pPr>
                  <w:spacing w:line="245" w:lineRule="exact" w:before="0"/>
                  <w:ind w:left="20" w:right="0" w:firstLine="0"/>
                  <w:jc w:val="left"/>
                  <w:rPr>
                    <w:rFonts w:ascii="Calibri"/>
                    <w:sz w:val="22"/>
                  </w:rPr>
                </w:pPr>
                <w:r>
                  <w:rPr>
                    <w:rFonts w:ascii="Calibri"/>
                    <w:w w:val="100"/>
                    <w:sz w:val="22"/>
                  </w:rPr>
                  <w:t>2</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1.290009pt;margin-top:730.856018pt;width:9.6pt;height:13.05pt;mso-position-horizontal-relative:page;mso-position-vertical-relative:page;z-index:-579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6</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856018pt;width:15.3pt;height:13.05pt;mso-position-horizontal-relative:page;mso-position-vertical-relative:page;z-index:-577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47</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30.856018pt;width:13.3pt;height:13.05pt;mso-position-horizontal-relative:page;mso-position-vertical-relative:page;z-index:-57712"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856018pt;width:15.3pt;height:13.05pt;mso-position-horizontal-relative:page;mso-position-vertical-relative:page;z-index:-576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30.856018pt;width:13.3pt;height:13.05pt;mso-position-horizontal-relative:page;mso-position-vertical-relative:page;z-index:-57880"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856018pt;width:15.3pt;height:13.05pt;mso-position-horizontal-relative:page;mso-position-vertical-relative:page;z-index:-578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30.856018pt;width:13.3pt;height:13.05pt;mso-position-horizontal-relative:page;mso-position-vertical-relative:page;z-index:-57832"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856018pt;width:15.3pt;height:13.05pt;mso-position-horizontal-relative:page;mso-position-vertical-relative:page;z-index:-578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30.856018pt;width:13.3pt;height:13.05pt;mso-position-horizontal-relative:page;mso-position-vertical-relative:page;z-index:-57784"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856018pt;width:15.3pt;height:13.05pt;mso-position-horizontal-relative:page;mso-position-vertical-relative:page;z-index:-577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5">
    <w:multiLevelType w:val="hybridMultilevel"/>
    <w:lvl w:ilvl="0">
      <w:start w:val="1"/>
      <w:numFmt w:val="decimal"/>
      <w:lvlText w:val="%1."/>
      <w:lvlJc w:val="left"/>
      <w:pPr>
        <w:ind w:left="1592" w:hanging="360"/>
        <w:jc w:val="right"/>
      </w:pPr>
      <w:rPr>
        <w:rFonts w:hint="default" w:ascii="Arial" w:hAnsi="Arial" w:eastAsia="Arial" w:cs="Arial"/>
        <w:b/>
        <w:bCs/>
        <w:w w:val="99"/>
        <w:sz w:val="24"/>
        <w:szCs w:val="24"/>
      </w:rPr>
    </w:lvl>
    <w:lvl w:ilvl="1">
      <w:start w:val="1"/>
      <w:numFmt w:val="bullet"/>
      <w:lvlText w:val="•"/>
      <w:lvlJc w:val="left"/>
      <w:pPr>
        <w:ind w:left="2320" w:hanging="360"/>
      </w:pPr>
      <w:rPr>
        <w:rFonts w:hint="default"/>
      </w:rPr>
    </w:lvl>
    <w:lvl w:ilvl="2">
      <w:start w:val="1"/>
      <w:numFmt w:val="bullet"/>
      <w:lvlText w:val="•"/>
      <w:lvlJc w:val="left"/>
      <w:pPr>
        <w:ind w:left="3040" w:hanging="360"/>
      </w:pPr>
      <w:rPr>
        <w:rFonts w:hint="default"/>
      </w:rPr>
    </w:lvl>
    <w:lvl w:ilvl="3">
      <w:start w:val="1"/>
      <w:numFmt w:val="bullet"/>
      <w:lvlText w:val="•"/>
      <w:lvlJc w:val="left"/>
      <w:pPr>
        <w:ind w:left="3760" w:hanging="360"/>
      </w:pPr>
      <w:rPr>
        <w:rFonts w:hint="default"/>
      </w:rPr>
    </w:lvl>
    <w:lvl w:ilvl="4">
      <w:start w:val="1"/>
      <w:numFmt w:val="bullet"/>
      <w:lvlText w:val="•"/>
      <w:lvlJc w:val="left"/>
      <w:pPr>
        <w:ind w:left="4480" w:hanging="360"/>
      </w:pPr>
      <w:rPr>
        <w:rFonts w:hint="default"/>
      </w:rPr>
    </w:lvl>
    <w:lvl w:ilvl="5">
      <w:start w:val="1"/>
      <w:numFmt w:val="bullet"/>
      <w:lvlText w:val="•"/>
      <w:lvlJc w:val="left"/>
      <w:pPr>
        <w:ind w:left="5200" w:hanging="360"/>
      </w:pPr>
      <w:rPr>
        <w:rFonts w:hint="default"/>
      </w:rPr>
    </w:lvl>
    <w:lvl w:ilvl="6">
      <w:start w:val="1"/>
      <w:numFmt w:val="bullet"/>
      <w:lvlText w:val="•"/>
      <w:lvlJc w:val="left"/>
      <w:pPr>
        <w:ind w:left="5920" w:hanging="360"/>
      </w:pPr>
      <w:rPr>
        <w:rFonts w:hint="default"/>
      </w:rPr>
    </w:lvl>
    <w:lvl w:ilvl="7">
      <w:start w:val="1"/>
      <w:numFmt w:val="bullet"/>
      <w:lvlText w:val="•"/>
      <w:lvlJc w:val="left"/>
      <w:pPr>
        <w:ind w:left="6640" w:hanging="360"/>
      </w:pPr>
      <w:rPr>
        <w:rFonts w:hint="default"/>
      </w:rPr>
    </w:lvl>
    <w:lvl w:ilvl="8">
      <w:start w:val="1"/>
      <w:numFmt w:val="bullet"/>
      <w:lvlText w:val="•"/>
      <w:lvlJc w:val="left"/>
      <w:pPr>
        <w:ind w:left="7360" w:hanging="360"/>
      </w:pPr>
      <w:rPr>
        <w:rFonts w:hint="default"/>
      </w:rPr>
    </w:lvl>
  </w:abstractNum>
  <w:abstractNum w:abstractNumId="4">
    <w:multiLevelType w:val="hybridMultilevel"/>
    <w:lvl w:ilvl="0">
      <w:start w:val="1"/>
      <w:numFmt w:val="decimal"/>
      <w:lvlText w:val="%1."/>
      <w:lvlJc w:val="left"/>
      <w:pPr>
        <w:ind w:left="822" w:hanging="360"/>
        <w:jc w:val="right"/>
      </w:pPr>
      <w:rPr>
        <w:rFonts w:hint="default" w:ascii="Arial" w:hAnsi="Arial" w:eastAsia="Arial" w:cs="Arial"/>
        <w:b/>
        <w:bCs/>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3">
    <w:multiLevelType w:val="hybridMultilevel"/>
    <w:lvl w:ilvl="0">
      <w:start w:val="1"/>
      <w:numFmt w:val="decimal"/>
      <w:lvlText w:val="%1."/>
      <w:lvlJc w:val="left"/>
      <w:pPr>
        <w:ind w:left="822" w:hanging="360"/>
        <w:jc w:val="left"/>
      </w:pPr>
      <w:rPr>
        <w:rFonts w:hint="default" w:ascii="Arial" w:hAnsi="Arial" w:eastAsia="Arial" w:cs="Arial"/>
        <w:spacing w:val="-18"/>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2">
    <w:multiLevelType w:val="hybridMultilevel"/>
    <w:lvl w:ilvl="0">
      <w:start w:val="1"/>
      <w:numFmt w:val="decimal"/>
      <w:lvlText w:val="%1."/>
      <w:lvlJc w:val="left"/>
      <w:pPr>
        <w:ind w:left="349" w:hanging="248"/>
        <w:jc w:val="left"/>
      </w:pPr>
      <w:rPr>
        <w:rFonts w:hint="default" w:ascii="Arial" w:hAnsi="Arial" w:eastAsia="Arial" w:cs="Arial"/>
        <w:w w:val="100"/>
        <w:sz w:val="22"/>
        <w:szCs w:val="22"/>
      </w:rPr>
    </w:lvl>
    <w:lvl w:ilvl="1">
      <w:start w:val="1"/>
      <w:numFmt w:val="bullet"/>
      <w:lvlText w:val="•"/>
      <w:lvlJc w:val="left"/>
      <w:pPr>
        <w:ind w:left="1198" w:hanging="248"/>
      </w:pPr>
      <w:rPr>
        <w:rFonts w:hint="default"/>
      </w:rPr>
    </w:lvl>
    <w:lvl w:ilvl="2">
      <w:start w:val="1"/>
      <w:numFmt w:val="bullet"/>
      <w:lvlText w:val="•"/>
      <w:lvlJc w:val="left"/>
      <w:pPr>
        <w:ind w:left="2056" w:hanging="248"/>
      </w:pPr>
      <w:rPr>
        <w:rFonts w:hint="default"/>
      </w:rPr>
    </w:lvl>
    <w:lvl w:ilvl="3">
      <w:start w:val="1"/>
      <w:numFmt w:val="bullet"/>
      <w:lvlText w:val="•"/>
      <w:lvlJc w:val="left"/>
      <w:pPr>
        <w:ind w:left="2914" w:hanging="248"/>
      </w:pPr>
      <w:rPr>
        <w:rFonts w:hint="default"/>
      </w:rPr>
    </w:lvl>
    <w:lvl w:ilvl="4">
      <w:start w:val="1"/>
      <w:numFmt w:val="bullet"/>
      <w:lvlText w:val="•"/>
      <w:lvlJc w:val="left"/>
      <w:pPr>
        <w:ind w:left="3772" w:hanging="248"/>
      </w:pPr>
      <w:rPr>
        <w:rFonts w:hint="default"/>
      </w:rPr>
    </w:lvl>
    <w:lvl w:ilvl="5">
      <w:start w:val="1"/>
      <w:numFmt w:val="bullet"/>
      <w:lvlText w:val="•"/>
      <w:lvlJc w:val="left"/>
      <w:pPr>
        <w:ind w:left="4630" w:hanging="248"/>
      </w:pPr>
      <w:rPr>
        <w:rFonts w:hint="default"/>
      </w:rPr>
    </w:lvl>
    <w:lvl w:ilvl="6">
      <w:start w:val="1"/>
      <w:numFmt w:val="bullet"/>
      <w:lvlText w:val="•"/>
      <w:lvlJc w:val="left"/>
      <w:pPr>
        <w:ind w:left="5488" w:hanging="248"/>
      </w:pPr>
      <w:rPr>
        <w:rFonts w:hint="default"/>
      </w:rPr>
    </w:lvl>
    <w:lvl w:ilvl="7">
      <w:start w:val="1"/>
      <w:numFmt w:val="bullet"/>
      <w:lvlText w:val="•"/>
      <w:lvlJc w:val="left"/>
      <w:pPr>
        <w:ind w:left="6346" w:hanging="248"/>
      </w:pPr>
      <w:rPr>
        <w:rFonts w:hint="default"/>
      </w:rPr>
    </w:lvl>
    <w:lvl w:ilvl="8">
      <w:start w:val="1"/>
      <w:numFmt w:val="bullet"/>
      <w:lvlText w:val="•"/>
      <w:lvlJc w:val="left"/>
      <w:pPr>
        <w:ind w:left="7204" w:hanging="248"/>
      </w:pPr>
      <w:rPr>
        <w:rFonts w:hint="default"/>
      </w:rPr>
    </w:lvl>
  </w:abstractNum>
  <w:abstractNum w:abstractNumId="1">
    <w:multiLevelType w:val="hybridMultilevel"/>
    <w:lvl w:ilvl="0">
      <w:start w:val="1"/>
      <w:numFmt w:val="decimal"/>
      <w:lvlText w:val="%1."/>
      <w:lvlJc w:val="left"/>
      <w:pPr>
        <w:ind w:left="349" w:hanging="248"/>
        <w:jc w:val="left"/>
      </w:pPr>
      <w:rPr>
        <w:rFonts w:hint="default" w:ascii="Arial" w:hAnsi="Arial" w:eastAsia="Arial" w:cs="Arial"/>
        <w:w w:val="100"/>
        <w:sz w:val="22"/>
        <w:szCs w:val="22"/>
      </w:rPr>
    </w:lvl>
    <w:lvl w:ilvl="1">
      <w:start w:val="1"/>
      <w:numFmt w:val="bullet"/>
      <w:lvlText w:val="•"/>
      <w:lvlJc w:val="left"/>
      <w:pPr>
        <w:ind w:left="1198" w:hanging="248"/>
      </w:pPr>
      <w:rPr>
        <w:rFonts w:hint="default"/>
      </w:rPr>
    </w:lvl>
    <w:lvl w:ilvl="2">
      <w:start w:val="1"/>
      <w:numFmt w:val="bullet"/>
      <w:lvlText w:val="•"/>
      <w:lvlJc w:val="left"/>
      <w:pPr>
        <w:ind w:left="2056" w:hanging="248"/>
      </w:pPr>
      <w:rPr>
        <w:rFonts w:hint="default"/>
      </w:rPr>
    </w:lvl>
    <w:lvl w:ilvl="3">
      <w:start w:val="1"/>
      <w:numFmt w:val="bullet"/>
      <w:lvlText w:val="•"/>
      <w:lvlJc w:val="left"/>
      <w:pPr>
        <w:ind w:left="2914" w:hanging="248"/>
      </w:pPr>
      <w:rPr>
        <w:rFonts w:hint="default"/>
      </w:rPr>
    </w:lvl>
    <w:lvl w:ilvl="4">
      <w:start w:val="1"/>
      <w:numFmt w:val="bullet"/>
      <w:lvlText w:val="•"/>
      <w:lvlJc w:val="left"/>
      <w:pPr>
        <w:ind w:left="3772" w:hanging="248"/>
      </w:pPr>
      <w:rPr>
        <w:rFonts w:hint="default"/>
      </w:rPr>
    </w:lvl>
    <w:lvl w:ilvl="5">
      <w:start w:val="1"/>
      <w:numFmt w:val="bullet"/>
      <w:lvlText w:val="•"/>
      <w:lvlJc w:val="left"/>
      <w:pPr>
        <w:ind w:left="4630" w:hanging="248"/>
      </w:pPr>
      <w:rPr>
        <w:rFonts w:hint="default"/>
      </w:rPr>
    </w:lvl>
    <w:lvl w:ilvl="6">
      <w:start w:val="1"/>
      <w:numFmt w:val="bullet"/>
      <w:lvlText w:val="•"/>
      <w:lvlJc w:val="left"/>
      <w:pPr>
        <w:ind w:left="5488" w:hanging="248"/>
      </w:pPr>
      <w:rPr>
        <w:rFonts w:hint="default"/>
      </w:rPr>
    </w:lvl>
    <w:lvl w:ilvl="7">
      <w:start w:val="1"/>
      <w:numFmt w:val="bullet"/>
      <w:lvlText w:val="•"/>
      <w:lvlJc w:val="left"/>
      <w:pPr>
        <w:ind w:left="6346" w:hanging="248"/>
      </w:pPr>
      <w:rPr>
        <w:rFonts w:hint="default"/>
      </w:rPr>
    </w:lvl>
    <w:lvl w:ilvl="8">
      <w:start w:val="1"/>
      <w:numFmt w:val="bullet"/>
      <w:lvlText w:val="•"/>
      <w:lvlJc w:val="left"/>
      <w:pPr>
        <w:ind w:left="7204" w:hanging="248"/>
      </w:pPr>
      <w:rPr>
        <w:rFonts w:hint="default"/>
      </w:rPr>
    </w:lvl>
  </w:abstractNum>
  <w:abstractNum w:abstractNumId="0">
    <w:multiLevelType w:val="hybridMultilevel"/>
    <w:lvl w:ilvl="0">
      <w:start w:val="1"/>
      <w:numFmt w:val="upperRoman"/>
      <w:lvlText w:val="%1."/>
      <w:lvlJc w:val="left"/>
      <w:pPr>
        <w:ind w:left="295" w:hanging="194"/>
        <w:jc w:val="left"/>
      </w:pPr>
      <w:rPr>
        <w:rFonts w:hint="default" w:ascii="Arial" w:hAnsi="Arial" w:eastAsia="Arial" w:cs="Arial"/>
        <w:b/>
        <w:bCs/>
        <w:w w:val="100"/>
        <w:sz w:val="23"/>
        <w:szCs w:val="23"/>
      </w:rPr>
    </w:lvl>
    <w:lvl w:ilvl="1">
      <w:start w:val="1"/>
      <w:numFmt w:val="upperRoman"/>
      <w:lvlText w:val="%2."/>
      <w:lvlJc w:val="left"/>
      <w:pPr>
        <w:ind w:left="4007" w:hanging="720"/>
        <w:jc w:val="right"/>
      </w:pPr>
      <w:rPr>
        <w:rFonts w:hint="default"/>
        <w:b/>
        <w:bCs/>
        <w:spacing w:val="-1"/>
        <w:w w:val="99"/>
      </w:rPr>
    </w:lvl>
    <w:lvl w:ilvl="2">
      <w:start w:val="1"/>
      <w:numFmt w:val="bullet"/>
      <w:lvlText w:val="•"/>
      <w:lvlJc w:val="left"/>
      <w:pPr>
        <w:ind w:left="4533" w:hanging="720"/>
      </w:pPr>
      <w:rPr>
        <w:rFonts w:hint="default"/>
      </w:rPr>
    </w:lvl>
    <w:lvl w:ilvl="3">
      <w:start w:val="1"/>
      <w:numFmt w:val="bullet"/>
      <w:lvlText w:val="•"/>
      <w:lvlJc w:val="left"/>
      <w:pPr>
        <w:ind w:left="5066" w:hanging="720"/>
      </w:pPr>
      <w:rPr>
        <w:rFonts w:hint="default"/>
      </w:rPr>
    </w:lvl>
    <w:lvl w:ilvl="4">
      <w:start w:val="1"/>
      <w:numFmt w:val="bullet"/>
      <w:lvlText w:val="•"/>
      <w:lvlJc w:val="left"/>
      <w:pPr>
        <w:ind w:left="5600" w:hanging="720"/>
      </w:pPr>
      <w:rPr>
        <w:rFonts w:hint="default"/>
      </w:rPr>
    </w:lvl>
    <w:lvl w:ilvl="5">
      <w:start w:val="1"/>
      <w:numFmt w:val="bullet"/>
      <w:lvlText w:val="•"/>
      <w:lvlJc w:val="left"/>
      <w:pPr>
        <w:ind w:left="6133" w:hanging="720"/>
      </w:pPr>
      <w:rPr>
        <w:rFonts w:hint="default"/>
      </w:rPr>
    </w:lvl>
    <w:lvl w:ilvl="6">
      <w:start w:val="1"/>
      <w:numFmt w:val="bullet"/>
      <w:lvlText w:val="•"/>
      <w:lvlJc w:val="left"/>
      <w:pPr>
        <w:ind w:left="6666" w:hanging="720"/>
      </w:pPr>
      <w:rPr>
        <w:rFonts w:hint="default"/>
      </w:rPr>
    </w:lvl>
    <w:lvl w:ilvl="7">
      <w:start w:val="1"/>
      <w:numFmt w:val="bullet"/>
      <w:lvlText w:val="•"/>
      <w:lvlJc w:val="left"/>
      <w:pPr>
        <w:ind w:left="7200" w:hanging="720"/>
      </w:pPr>
      <w:rPr>
        <w:rFonts w:hint="default"/>
      </w:rPr>
    </w:lvl>
    <w:lvl w:ilvl="8">
      <w:start w:val="1"/>
      <w:numFmt w:val="bullet"/>
      <w:lvlText w:val="•"/>
      <w:lvlJc w:val="left"/>
      <w:pPr>
        <w:ind w:left="7733" w:hanging="720"/>
      </w:pPr>
      <w:rPr>
        <w:rFonts w:hint="default"/>
      </w:rPr>
    </w:lvl>
  </w:abstract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292"/>
      <w:ind w:left="102" w:hanging="347"/>
    </w:pPr>
    <w:rPr>
      <w:rFonts w:ascii="Arial" w:hAnsi="Arial" w:eastAsia="Arial" w:cs="Arial"/>
      <w:b/>
      <w:bCs/>
      <w:sz w:val="23"/>
      <w:szCs w:val="23"/>
    </w:rPr>
  </w:style>
  <w:style w:styleId="TOC2" w:type="paragraph">
    <w:name w:val="TOC 2"/>
    <w:basedOn w:val="Normal"/>
    <w:uiPriority w:val="1"/>
    <w:qFormat/>
    <w:pPr>
      <w:spacing w:before="287"/>
      <w:ind w:left="349" w:hanging="247"/>
    </w:pPr>
    <w:rPr>
      <w:rFonts w:ascii="Arial" w:hAnsi="Arial" w:eastAsia="Arial" w:cs="Arial"/>
      <w:sz w:val="22"/>
      <w:szCs w:val="22"/>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53"/>
      <w:ind w:left="2063"/>
      <w:outlineLvl w:val="1"/>
    </w:pPr>
    <w:rPr>
      <w:rFonts w:ascii="Arial" w:hAnsi="Arial" w:eastAsia="Arial" w:cs="Arial"/>
      <w:b/>
      <w:bCs/>
      <w:sz w:val="28"/>
      <w:szCs w:val="28"/>
    </w:rPr>
  </w:style>
  <w:style w:styleId="Heading2" w:type="paragraph">
    <w:name w:val="Heading 2"/>
    <w:basedOn w:val="Normal"/>
    <w:uiPriority w:val="1"/>
    <w:qFormat/>
    <w:pPr>
      <w:spacing w:before="54"/>
      <w:ind w:left="102"/>
      <w:outlineLvl w:val="2"/>
    </w:pPr>
    <w:rPr>
      <w:rFonts w:ascii="Arial" w:hAnsi="Arial" w:eastAsia="Arial" w:cs="Arial"/>
      <w:b/>
      <w:bCs/>
      <w:sz w:val="24"/>
      <w:szCs w:val="24"/>
    </w:rPr>
  </w:style>
  <w:style w:styleId="ListParagraph" w:type="paragraph">
    <w:name w:val="List Paragraph"/>
    <w:basedOn w:val="Normal"/>
    <w:uiPriority w:val="1"/>
    <w:qFormat/>
    <w:pPr>
      <w:spacing w:before="70"/>
      <w:ind w:left="822" w:hanging="360"/>
    </w:pPr>
    <w:rPr>
      <w:rFonts w:ascii="Arial" w:hAnsi="Arial" w:eastAsia="Arial" w:cs="Arial"/>
    </w:rPr>
  </w:style>
  <w:style w:styleId="TableParagraph" w:type="paragraph">
    <w:name w:val="Table Paragraph"/>
    <w:basedOn w:val="Normal"/>
    <w:uiPriority w:val="1"/>
    <w:qFormat/>
    <w:pPr>
      <w:spacing w:before="6"/>
      <w:ind w:left="127" w:right="190"/>
      <w:jc w:val="center"/>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footer" Target="footer4.xml"/><Relationship Id="rId10" Type="http://schemas.openxmlformats.org/officeDocument/2006/relationships/footer" Target="footer5.xml"/><Relationship Id="rId11" Type="http://schemas.openxmlformats.org/officeDocument/2006/relationships/footer" Target="footer6.xml"/><Relationship Id="rId12" Type="http://schemas.openxmlformats.org/officeDocument/2006/relationships/footer" Target="footer7.xml"/><Relationship Id="rId13" Type="http://schemas.openxmlformats.org/officeDocument/2006/relationships/footer" Target="footer8.xml"/><Relationship Id="rId14" Type="http://schemas.openxmlformats.org/officeDocument/2006/relationships/footer" Target="footer9.xml"/><Relationship Id="rId15" Type="http://schemas.openxmlformats.org/officeDocument/2006/relationships/image" Target="media/image2.jpeg"/><Relationship Id="rId16" Type="http://schemas.openxmlformats.org/officeDocument/2006/relationships/footer" Target="footer10.xml"/><Relationship Id="rId17" Type="http://schemas.openxmlformats.org/officeDocument/2006/relationships/image" Target="media/image3.jpeg"/><Relationship Id="rId18" Type="http://schemas.openxmlformats.org/officeDocument/2006/relationships/footer" Target="footer11.xml"/><Relationship Id="rId19" Type="http://schemas.openxmlformats.org/officeDocument/2006/relationships/image" Target="media/image4.jpeg"/><Relationship Id="rId20" Type="http://schemas.openxmlformats.org/officeDocument/2006/relationships/footer" Target="footer12.xml"/><Relationship Id="rId21" Type="http://schemas.openxmlformats.org/officeDocument/2006/relationships/footer" Target="footer13.xml"/><Relationship Id="rId22" Type="http://schemas.openxmlformats.org/officeDocument/2006/relationships/image" Target="media/image5.jpeg"/><Relationship Id="rId23" Type="http://schemas.openxmlformats.org/officeDocument/2006/relationships/footer" Target="footer14.xml"/><Relationship Id="rId24" Type="http://schemas.openxmlformats.org/officeDocument/2006/relationships/image" Target="media/image6.jpeg"/><Relationship Id="rId25" Type="http://schemas.openxmlformats.org/officeDocument/2006/relationships/footer" Target="footer15.xml"/><Relationship Id="rId26" Type="http://schemas.openxmlformats.org/officeDocument/2006/relationships/image" Target="media/image7.jpeg"/><Relationship Id="rId27" Type="http://schemas.openxmlformats.org/officeDocument/2006/relationships/footer" Target="footer16.xml"/><Relationship Id="rId28" Type="http://schemas.openxmlformats.org/officeDocument/2006/relationships/image" Target="media/image8.jpeg"/><Relationship Id="rId29" Type="http://schemas.openxmlformats.org/officeDocument/2006/relationships/footer" Target="footer17.xml"/><Relationship Id="rId30" Type="http://schemas.openxmlformats.org/officeDocument/2006/relationships/image" Target="media/image9.jpeg"/><Relationship Id="rId31" Type="http://schemas.openxmlformats.org/officeDocument/2006/relationships/footer" Target="footer18.xml"/><Relationship Id="rId32" Type="http://schemas.openxmlformats.org/officeDocument/2006/relationships/footer" Target="footer19.xml"/><Relationship Id="rId33" Type="http://schemas.openxmlformats.org/officeDocument/2006/relationships/image" Target="media/image10.jpeg"/><Relationship Id="rId34" Type="http://schemas.openxmlformats.org/officeDocument/2006/relationships/footer" Target="footer20.xml"/><Relationship Id="rId35" Type="http://schemas.openxmlformats.org/officeDocument/2006/relationships/image" Target="media/image11.png"/><Relationship Id="rId36" Type="http://schemas.openxmlformats.org/officeDocument/2006/relationships/image" Target="media/image12.png"/><Relationship Id="rId37" Type="http://schemas.openxmlformats.org/officeDocument/2006/relationships/image" Target="media/image13.png"/><Relationship Id="rId38" Type="http://schemas.openxmlformats.org/officeDocument/2006/relationships/image" Target="media/image14.png"/><Relationship Id="rId39" Type="http://schemas.openxmlformats.org/officeDocument/2006/relationships/image" Target="media/image15.png"/><Relationship Id="rId40" Type="http://schemas.openxmlformats.org/officeDocument/2006/relationships/image" Target="media/image16.png"/><Relationship Id="rId41" Type="http://schemas.openxmlformats.org/officeDocument/2006/relationships/image" Target="media/image17.png"/><Relationship Id="rId42" Type="http://schemas.openxmlformats.org/officeDocument/2006/relationships/image" Target="media/image18.png"/><Relationship Id="rId43" Type="http://schemas.openxmlformats.org/officeDocument/2006/relationships/image" Target="media/image19.png"/><Relationship Id="rId44" Type="http://schemas.openxmlformats.org/officeDocument/2006/relationships/image" Target="media/image20.png"/><Relationship Id="rId45" Type="http://schemas.openxmlformats.org/officeDocument/2006/relationships/footer" Target="footer21.xml"/><Relationship Id="rId46" Type="http://schemas.openxmlformats.org/officeDocument/2006/relationships/image" Target="media/image21.png"/><Relationship Id="rId47" Type="http://schemas.openxmlformats.org/officeDocument/2006/relationships/image" Target="media/image22.png"/><Relationship Id="rId48" Type="http://schemas.openxmlformats.org/officeDocument/2006/relationships/image" Target="media/image23.png"/><Relationship Id="rId49" Type="http://schemas.openxmlformats.org/officeDocument/2006/relationships/image" Target="media/image24.png"/><Relationship Id="rId50" Type="http://schemas.openxmlformats.org/officeDocument/2006/relationships/image" Target="media/image25.png"/><Relationship Id="rId51" Type="http://schemas.openxmlformats.org/officeDocument/2006/relationships/image" Target="media/image26.png"/><Relationship Id="rId52" Type="http://schemas.openxmlformats.org/officeDocument/2006/relationships/image" Target="media/image27.png"/><Relationship Id="rId53" Type="http://schemas.openxmlformats.org/officeDocument/2006/relationships/image" Target="media/image28.png"/><Relationship Id="rId54" Type="http://schemas.openxmlformats.org/officeDocument/2006/relationships/image" Target="media/image29.png"/><Relationship Id="rId55" Type="http://schemas.openxmlformats.org/officeDocument/2006/relationships/image" Target="media/image30.png"/><Relationship Id="rId56" Type="http://schemas.openxmlformats.org/officeDocument/2006/relationships/image" Target="media/image31.png"/><Relationship Id="rId57" Type="http://schemas.openxmlformats.org/officeDocument/2006/relationships/image" Target="media/image32.png"/><Relationship Id="rId58" Type="http://schemas.openxmlformats.org/officeDocument/2006/relationships/image" Target="media/image33.png"/><Relationship Id="rId59" Type="http://schemas.openxmlformats.org/officeDocument/2006/relationships/image" Target="media/image34.png"/><Relationship Id="rId60" Type="http://schemas.openxmlformats.org/officeDocument/2006/relationships/image" Target="media/image35.png"/><Relationship Id="rId61" Type="http://schemas.openxmlformats.org/officeDocument/2006/relationships/image" Target="media/image36.png"/><Relationship Id="rId62" Type="http://schemas.openxmlformats.org/officeDocument/2006/relationships/image" Target="media/image37.png"/><Relationship Id="rId63" Type="http://schemas.openxmlformats.org/officeDocument/2006/relationships/image" Target="media/image38.png"/><Relationship Id="rId64" Type="http://schemas.openxmlformats.org/officeDocument/2006/relationships/footer" Target="footer22.xml"/><Relationship Id="rId65" Type="http://schemas.openxmlformats.org/officeDocument/2006/relationships/footer" Target="footer23.xml"/><Relationship Id="rId66" Type="http://schemas.openxmlformats.org/officeDocument/2006/relationships/footer" Target="footer24.xml"/><Relationship Id="rId6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2017-05-22T18:36:27Z</dcterms:created>
  <dcterms:modified xsi:type="dcterms:W3CDTF">2017-05-22T18:36:27Z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2017-05-22T00:00:00Z</vt:filetime>
  </property>
</Properties>
</file>