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spacing w:before="6"/>
        <w:rPr>
          <w:sz w:val="20"/>
        </w:rPr>
      </w:pPr>
    </w:p>
    <w:p>
      <w:pPr>
        <w:spacing w:before="58"/>
        <w:ind w:left="2085" w:right="0" w:firstLine="0"/>
        <w:jc w:val="left"/>
        <w:rPr>
          <w:sz w:val="32"/>
        </w:rPr>
      </w:pPr>
      <w:r>
        <w:rPr/>
        <w:drawing>
          <wp:anchor distT="0" distB="0" distL="0" distR="0" allowOverlap="1" layoutInCell="1" locked="0" behindDoc="0" simplePos="0" relativeHeight="0">
            <wp:simplePos x="0" y="0"/>
            <wp:positionH relativeFrom="page">
              <wp:posOffset>79375</wp:posOffset>
            </wp:positionH>
            <wp:positionV relativeFrom="paragraph">
              <wp:posOffset>-289845</wp:posOffset>
            </wp:positionV>
            <wp:extent cx="1197610" cy="115189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1197610" cy="1151890"/>
                    </a:xfrm>
                    <a:prstGeom prst="rect">
                      <a:avLst/>
                    </a:prstGeom>
                  </pic:spPr>
                </pic:pic>
              </a:graphicData>
            </a:graphic>
          </wp:anchor>
        </w:drawing>
      </w:r>
      <w:r>
        <w:rPr>
          <w:sz w:val="32"/>
        </w:rPr>
        <w:t>UNIVERSIDAD AUTÓNOMA DEL ESTADO DE MÉXICO</w:t>
      </w:r>
    </w:p>
    <w:p>
      <w:pPr>
        <w:pStyle w:val="BodyText"/>
        <w:rPr>
          <w:sz w:val="32"/>
        </w:rPr>
      </w:pPr>
    </w:p>
    <w:p>
      <w:pPr>
        <w:pStyle w:val="BodyText"/>
        <w:rPr>
          <w:sz w:val="32"/>
        </w:rPr>
      </w:pPr>
    </w:p>
    <w:p>
      <w:pPr>
        <w:spacing w:before="0"/>
        <w:ind w:left="2407" w:right="523" w:firstLine="0"/>
        <w:jc w:val="center"/>
        <w:rPr>
          <w:sz w:val="32"/>
        </w:rPr>
      </w:pPr>
      <w:r>
        <w:rPr>
          <w:sz w:val="32"/>
        </w:rPr>
        <w:t>MAESTRÍA Y DOCTORADO EN CIENCIAS AGROPECUARIAS</w:t>
      </w:r>
    </w:p>
    <w:p>
      <w:pPr>
        <w:spacing w:line="367" w:lineRule="exact" w:before="0"/>
        <w:ind w:left="2407" w:right="523" w:firstLine="0"/>
        <w:jc w:val="center"/>
        <w:rPr>
          <w:sz w:val="32"/>
        </w:rPr>
      </w:pPr>
      <w:r>
        <w:rPr>
          <w:sz w:val="32"/>
        </w:rPr>
        <w:t>Y RECURSOS NATURALES</w:t>
      </w:r>
    </w:p>
    <w:p>
      <w:pPr>
        <w:pStyle w:val="BodyText"/>
        <w:rPr>
          <w:sz w:val="32"/>
        </w:rPr>
      </w:pPr>
    </w:p>
    <w:p>
      <w:pPr>
        <w:pStyle w:val="BodyText"/>
        <w:rPr>
          <w:sz w:val="32"/>
        </w:rPr>
      </w:pPr>
    </w:p>
    <w:p>
      <w:pPr>
        <w:pStyle w:val="BodyText"/>
        <w:rPr>
          <w:sz w:val="32"/>
        </w:rPr>
      </w:pPr>
    </w:p>
    <w:p>
      <w:pPr>
        <w:pStyle w:val="BodyText"/>
        <w:spacing w:before="8"/>
        <w:rPr>
          <w:sz w:val="33"/>
        </w:rPr>
      </w:pPr>
    </w:p>
    <w:p>
      <w:pPr>
        <w:spacing w:line="360" w:lineRule="exact" w:before="0"/>
        <w:ind w:left="1696" w:right="520" w:firstLine="0"/>
        <w:jc w:val="center"/>
        <w:rPr>
          <w:b/>
          <w:sz w:val="32"/>
        </w:rPr>
      </w:pPr>
      <w:r>
        <w:rPr>
          <w:b/>
          <w:sz w:val="32"/>
        </w:rPr>
        <w:t>“ESTUDIO DE LA PATOGENICIDAD DE DIFERENTES ESPECIES DE </w:t>
      </w:r>
      <w:r>
        <w:rPr>
          <w:i/>
          <w:sz w:val="32"/>
        </w:rPr>
        <w:t>Aeromonas </w:t>
      </w:r>
      <w:r>
        <w:rPr>
          <w:b/>
          <w:sz w:val="32"/>
        </w:rPr>
        <w:t>EN LA TRUCHA ARCOÍRIS</w:t>
      </w:r>
    </w:p>
    <w:p>
      <w:pPr>
        <w:spacing w:line="364" w:lineRule="exact" w:before="0"/>
        <w:ind w:left="1699" w:right="523" w:firstLine="0"/>
        <w:jc w:val="center"/>
        <w:rPr>
          <w:sz w:val="32"/>
        </w:rPr>
      </w:pPr>
      <w:r>
        <w:rPr>
          <w:sz w:val="32"/>
        </w:rPr>
        <w:t>(</w:t>
      </w:r>
      <w:r>
        <w:rPr>
          <w:i/>
          <w:sz w:val="32"/>
        </w:rPr>
        <w:t>Oncorhynchus mykiss</w:t>
      </w:r>
      <w:r>
        <w:rPr>
          <w:sz w:val="32"/>
        </w:rPr>
        <w:t>)”.</w:t>
      </w:r>
    </w:p>
    <w:p>
      <w:pPr>
        <w:pStyle w:val="BodyText"/>
        <w:rPr>
          <w:sz w:val="32"/>
        </w:rPr>
      </w:pPr>
    </w:p>
    <w:p>
      <w:pPr>
        <w:pStyle w:val="BodyText"/>
        <w:spacing w:before="7"/>
        <w:rPr>
          <w:sz w:val="32"/>
        </w:rPr>
      </w:pPr>
    </w:p>
    <w:p>
      <w:pPr>
        <w:spacing w:before="0"/>
        <w:ind w:left="1700" w:right="523" w:firstLine="0"/>
        <w:jc w:val="center"/>
        <w:rPr>
          <w:b/>
          <w:sz w:val="32"/>
        </w:rPr>
      </w:pPr>
      <w:r>
        <w:rPr>
          <w:b/>
          <w:sz w:val="32"/>
        </w:rPr>
        <w:t>T E S I S</w:t>
      </w:r>
    </w:p>
    <w:p>
      <w:pPr>
        <w:pStyle w:val="BodyText"/>
        <w:rPr>
          <w:b/>
          <w:sz w:val="20"/>
        </w:rPr>
      </w:pPr>
    </w:p>
    <w:p>
      <w:pPr>
        <w:pStyle w:val="BodyText"/>
        <w:rPr>
          <w:b/>
          <w:sz w:val="20"/>
        </w:rPr>
      </w:pPr>
    </w:p>
    <w:p>
      <w:pPr>
        <w:pStyle w:val="BodyText"/>
        <w:spacing w:before="3"/>
        <w:rPr>
          <w:b/>
          <w:sz w:val="18"/>
        </w:rPr>
      </w:pPr>
    </w:p>
    <w:p>
      <w:pPr>
        <w:spacing w:line="242" w:lineRule="auto" w:before="59"/>
        <w:ind w:left="1696" w:right="523" w:firstLine="0"/>
        <w:jc w:val="center"/>
        <w:rPr>
          <w:sz w:val="32"/>
        </w:rPr>
      </w:pPr>
      <w:r>
        <w:rPr>
          <w:sz w:val="32"/>
        </w:rPr>
        <w:t>QUE PARA OBTENER EL GRADO DE DOCTOR EN CIENCIAS AGROPECUARIAS Y RECURSOS NATURALES</w:t>
      </w:r>
    </w:p>
    <w:p>
      <w:pPr>
        <w:pStyle w:val="BodyText"/>
        <w:rPr>
          <w:sz w:val="32"/>
        </w:rPr>
      </w:pPr>
    </w:p>
    <w:p>
      <w:pPr>
        <w:pStyle w:val="BodyText"/>
        <w:spacing w:before="2"/>
        <w:rPr>
          <w:sz w:val="32"/>
        </w:rPr>
      </w:pPr>
    </w:p>
    <w:p>
      <w:pPr>
        <w:spacing w:before="0"/>
        <w:ind w:left="1702" w:right="523" w:firstLine="0"/>
        <w:jc w:val="center"/>
        <w:rPr>
          <w:b/>
          <w:sz w:val="28"/>
        </w:rPr>
      </w:pPr>
      <w:r>
        <w:rPr>
          <w:b/>
          <w:sz w:val="28"/>
        </w:rPr>
        <w:t>PRESENTA:</w:t>
      </w:r>
    </w:p>
    <w:p>
      <w:pPr>
        <w:pStyle w:val="BodyText"/>
        <w:spacing w:before="5"/>
        <w:rPr>
          <w:b/>
          <w:sz w:val="27"/>
        </w:rPr>
      </w:pPr>
    </w:p>
    <w:p>
      <w:pPr>
        <w:spacing w:before="1"/>
        <w:ind w:left="1699" w:right="523" w:firstLine="0"/>
        <w:jc w:val="center"/>
        <w:rPr>
          <w:sz w:val="28"/>
        </w:rPr>
      </w:pPr>
      <w:r>
        <w:rPr>
          <w:sz w:val="28"/>
        </w:rPr>
        <w:t>ANDREA PALOMA ZEPEDA VELÁZQUEZ</w:t>
      </w:r>
    </w:p>
    <w:p>
      <w:pPr>
        <w:pStyle w:val="BodyText"/>
        <w:rPr>
          <w:sz w:val="28"/>
        </w:rPr>
      </w:pPr>
    </w:p>
    <w:p>
      <w:pPr>
        <w:pStyle w:val="BodyText"/>
        <w:rPr>
          <w:sz w:val="28"/>
        </w:rPr>
      </w:pPr>
    </w:p>
    <w:p>
      <w:pPr>
        <w:pStyle w:val="BodyText"/>
        <w:spacing w:before="4"/>
        <w:rPr>
          <w:sz w:val="40"/>
        </w:rPr>
      </w:pPr>
    </w:p>
    <w:p>
      <w:pPr>
        <w:spacing w:before="0"/>
        <w:ind w:left="1702" w:right="523" w:firstLine="0"/>
        <w:jc w:val="center"/>
        <w:rPr>
          <w:b/>
          <w:sz w:val="28"/>
        </w:rPr>
      </w:pPr>
      <w:r>
        <w:rPr>
          <w:b/>
          <w:sz w:val="28"/>
        </w:rPr>
        <w:t>COMITÉ DE TUTORES</w:t>
      </w:r>
    </w:p>
    <w:p>
      <w:pPr>
        <w:pStyle w:val="BodyText"/>
        <w:spacing w:before="5"/>
        <w:rPr>
          <w:b/>
          <w:sz w:val="31"/>
        </w:rPr>
      </w:pPr>
    </w:p>
    <w:p>
      <w:pPr>
        <w:pStyle w:val="BodyText"/>
        <w:ind w:left="4123" w:right="2631" w:hanging="293"/>
      </w:pPr>
      <w:r>
        <w:rPr/>
        <w:t>Dr. Edgardo Soriano Vargas. Tutor Académico Dr. César Ortega Santana. Tutor Adjunto Dr. Miguel Rubio Godoy. Tutor Adjunto</w:t>
      </w:r>
    </w:p>
    <w:p>
      <w:pPr>
        <w:pStyle w:val="BodyText"/>
      </w:pPr>
    </w:p>
    <w:p>
      <w:pPr>
        <w:pStyle w:val="BodyText"/>
        <w:spacing w:before="1"/>
        <w:rPr>
          <w:sz w:val="32"/>
        </w:rPr>
      </w:pPr>
    </w:p>
    <w:p>
      <w:pPr>
        <w:pStyle w:val="BodyText"/>
        <w:ind w:left="1703" w:right="523"/>
        <w:jc w:val="center"/>
      </w:pPr>
      <w:r>
        <w:rPr/>
        <w:t>El Cerrillo Piedras Blancas. Toluca, Estado de México. Noviembre 2015</w:t>
      </w:r>
    </w:p>
    <w:p>
      <w:pPr>
        <w:spacing w:after="0"/>
        <w:jc w:val="center"/>
        <w:sectPr>
          <w:footerReference w:type="default" r:id="rId5"/>
          <w:type w:val="continuous"/>
          <w:pgSz w:w="12240" w:h="15840"/>
          <w:pgMar w:footer="695" w:top="600" w:bottom="880" w:left="20" w:right="1200"/>
          <w:pgNumType w:start="1"/>
        </w:sectPr>
      </w:pPr>
    </w:p>
    <w:p>
      <w:pPr>
        <w:pStyle w:val="Heading1"/>
        <w:spacing w:before="44"/>
        <w:ind w:right="99"/>
      </w:pPr>
      <w:r>
        <w:rPr/>
        <w:t>“ESTUDIO DE LA PATOGENICIDAD DE DIFERENTES ESPECIES DE </w:t>
      </w:r>
      <w:r>
        <w:rPr>
          <w:b w:val="0"/>
          <w:i/>
        </w:rPr>
        <w:t>Aeromonas </w:t>
      </w:r>
      <w:r>
        <w:rPr/>
        <w:t>EN</w:t>
      </w:r>
    </w:p>
    <w:p>
      <w:pPr>
        <w:pStyle w:val="BodyText"/>
        <w:rPr>
          <w:b/>
        </w:rPr>
      </w:pPr>
    </w:p>
    <w:p>
      <w:pPr>
        <w:spacing w:before="0"/>
        <w:ind w:left="103" w:right="99" w:firstLine="0"/>
        <w:jc w:val="left"/>
        <w:rPr>
          <w:sz w:val="24"/>
        </w:rPr>
      </w:pPr>
      <w:r>
        <w:rPr>
          <w:b/>
          <w:sz w:val="24"/>
        </w:rPr>
        <w:t>LA TRUCHA ARCOÍRIS </w:t>
      </w:r>
      <w:r>
        <w:rPr>
          <w:sz w:val="24"/>
        </w:rPr>
        <w:t>(</w:t>
      </w:r>
      <w:r>
        <w:rPr>
          <w:i/>
          <w:sz w:val="24"/>
        </w:rPr>
        <w:t>Oncorhynchus mykiss</w:t>
      </w:r>
      <w:r>
        <w:rPr>
          <w:sz w:val="24"/>
        </w:rPr>
        <w:t>)”.</w:t>
      </w:r>
    </w:p>
    <w:p>
      <w:pPr>
        <w:pStyle w:val="BodyText"/>
      </w:pPr>
    </w:p>
    <w:p>
      <w:pPr>
        <w:pStyle w:val="BodyText"/>
      </w:pPr>
    </w:p>
    <w:p>
      <w:pPr>
        <w:pStyle w:val="BodyText"/>
      </w:pPr>
    </w:p>
    <w:p>
      <w:pPr>
        <w:pStyle w:val="BodyText"/>
        <w:spacing w:line="480" w:lineRule="auto"/>
        <w:ind w:left="103" w:right="99" w:firstLine="707"/>
        <w:jc w:val="both"/>
      </w:pPr>
      <w:r>
        <w:rPr/>
        <w:t>El género </w:t>
      </w:r>
      <w:r>
        <w:rPr>
          <w:i/>
        </w:rPr>
        <w:t>Aeromonas </w:t>
      </w:r>
      <w:r>
        <w:rPr/>
        <w:t>incluye bacterias que habitan naturalmente el medio acuático, capaces de infectar diferentes especies animales, incluido el humano. Las enfermedades causadas por este género ocasionan pérdidas económicas significativas para la industria trutícola. Con el objeto de conocer la patogenicidad y virulencia de diferentes especies de </w:t>
      </w:r>
      <w:r>
        <w:rPr>
          <w:i/>
        </w:rPr>
        <w:t>Aeromonas </w:t>
      </w:r>
      <w:r>
        <w:rPr/>
        <w:t>spp.,  en  la  trucha arcoíris (</w:t>
      </w:r>
      <w:r>
        <w:rPr>
          <w:i/>
        </w:rPr>
        <w:t>Oncorhynchus mykiss</w:t>
      </w:r>
      <w:r>
        <w:rPr/>
        <w:t>), en el presente estudio se caracterizaron las lesiones macroscópicas  e histológicas presentes en truchas naturalmente infectadas por </w:t>
      </w:r>
      <w:r>
        <w:rPr>
          <w:i/>
        </w:rPr>
        <w:t>A</w:t>
      </w:r>
      <w:r>
        <w:rPr/>
        <w:t>. </w:t>
      </w:r>
      <w:r>
        <w:rPr>
          <w:i/>
        </w:rPr>
        <w:t>salmonicida </w:t>
      </w:r>
      <w:r>
        <w:rPr/>
        <w:t>biovariedad móvil, </w:t>
      </w:r>
      <w:r>
        <w:rPr>
          <w:i/>
        </w:rPr>
        <w:t>A</w:t>
      </w:r>
      <w:r>
        <w:rPr/>
        <w:t>. </w:t>
      </w:r>
      <w:r>
        <w:rPr>
          <w:i/>
        </w:rPr>
        <w:t>hydrophila </w:t>
      </w:r>
      <w:r>
        <w:rPr/>
        <w:t>y </w:t>
      </w:r>
      <w:r>
        <w:rPr>
          <w:i/>
        </w:rPr>
        <w:t>A</w:t>
      </w:r>
      <w:r>
        <w:rPr/>
        <w:t>. </w:t>
      </w:r>
      <w:r>
        <w:rPr>
          <w:i/>
        </w:rPr>
        <w:t>veronii</w:t>
      </w:r>
      <w:r>
        <w:rPr/>
        <w:t>; asimismo se realizó la infección experimental de crías de truchas arcoíris mediante baño de inmersión con una de las 10 especies </w:t>
      </w:r>
      <w:r>
        <w:rPr>
          <w:i/>
        </w:rPr>
        <w:t>Aeromonas </w:t>
      </w:r>
      <w:r>
        <w:rPr/>
        <w:t>incluidas en el estudio (</w:t>
      </w:r>
      <w:r>
        <w:rPr>
          <w:i/>
        </w:rPr>
        <w:t>A</w:t>
      </w:r>
      <w:r>
        <w:rPr/>
        <w:t>. </w:t>
      </w:r>
      <w:r>
        <w:rPr>
          <w:i/>
        </w:rPr>
        <w:t>allosaccharophila</w:t>
      </w:r>
      <w:r>
        <w:rPr/>
        <w:t>, </w:t>
      </w:r>
      <w:r>
        <w:rPr>
          <w:i/>
        </w:rPr>
        <w:t>A</w:t>
      </w:r>
      <w:r>
        <w:rPr/>
        <w:t>. </w:t>
      </w:r>
      <w:r>
        <w:rPr>
          <w:i/>
        </w:rPr>
        <w:t>bestiarum</w:t>
      </w:r>
      <w:r>
        <w:rPr/>
        <w:t>, </w:t>
      </w:r>
      <w:r>
        <w:rPr>
          <w:i/>
        </w:rPr>
        <w:t>A</w:t>
      </w:r>
      <w:r>
        <w:rPr/>
        <w:t>. </w:t>
      </w:r>
      <w:r>
        <w:rPr>
          <w:i/>
        </w:rPr>
        <w:t>caviae</w:t>
      </w:r>
      <w:r>
        <w:rPr/>
        <w:t>, </w:t>
      </w:r>
      <w:r>
        <w:rPr>
          <w:i/>
        </w:rPr>
        <w:t>A</w:t>
      </w:r>
      <w:r>
        <w:rPr/>
        <w:t>. </w:t>
      </w:r>
      <w:r>
        <w:rPr>
          <w:i/>
        </w:rPr>
        <w:t>hydrophila</w:t>
      </w:r>
      <w:r>
        <w:rPr/>
        <w:t>, </w:t>
      </w:r>
      <w:r>
        <w:rPr>
          <w:i/>
        </w:rPr>
        <w:t>A</w:t>
      </w:r>
      <w:r>
        <w:rPr/>
        <w:t>. </w:t>
      </w:r>
      <w:r>
        <w:rPr>
          <w:i/>
        </w:rPr>
        <w:t>lusitana</w:t>
      </w:r>
      <w:r>
        <w:rPr/>
        <w:t>, </w:t>
      </w:r>
      <w:r>
        <w:rPr>
          <w:i/>
        </w:rPr>
        <w:t>A</w:t>
      </w:r>
      <w:r>
        <w:rPr/>
        <w:t>. </w:t>
      </w:r>
      <w:r>
        <w:rPr>
          <w:i/>
        </w:rPr>
        <w:t>media</w:t>
      </w:r>
      <w:r>
        <w:rPr/>
        <w:t>, </w:t>
      </w:r>
      <w:r>
        <w:rPr>
          <w:i/>
        </w:rPr>
        <w:t>A</w:t>
      </w:r>
      <w:r>
        <w:rPr/>
        <w:t>. </w:t>
      </w:r>
      <w:r>
        <w:rPr>
          <w:i/>
        </w:rPr>
        <w:t>popoffii</w:t>
      </w:r>
      <w:r>
        <w:rPr/>
        <w:t>, </w:t>
      </w:r>
      <w:r>
        <w:rPr>
          <w:i/>
        </w:rPr>
        <w:t>A</w:t>
      </w:r>
      <w:r>
        <w:rPr/>
        <w:t>. </w:t>
      </w:r>
      <w:r>
        <w:rPr>
          <w:i/>
        </w:rPr>
        <w:t>salmonicida </w:t>
      </w:r>
      <w:r>
        <w:rPr/>
        <w:t>biotipo móvil, </w:t>
      </w:r>
      <w:r>
        <w:rPr>
          <w:i/>
        </w:rPr>
        <w:t>A</w:t>
      </w:r>
      <w:r>
        <w:rPr/>
        <w:t>. </w:t>
      </w:r>
      <w:r>
        <w:rPr>
          <w:i/>
        </w:rPr>
        <w:t>sobria </w:t>
      </w:r>
      <w:r>
        <w:rPr/>
        <w:t>y </w:t>
      </w:r>
      <w:r>
        <w:rPr>
          <w:i/>
        </w:rPr>
        <w:t>A</w:t>
      </w:r>
      <w:r>
        <w:rPr/>
        <w:t>. </w:t>
      </w:r>
      <w:r>
        <w:rPr>
          <w:i/>
        </w:rPr>
        <w:t>veronii</w:t>
      </w:r>
      <w:r>
        <w:rPr/>
        <w:t>). Se realizó la eutanasia de 2 peces de cada grupo para obtener aislamientos bacteriológicos y evaluar las lesiones microscópicas durante la hora 1, 2,  3, 4 y 5 post-infección (pi) y se realizó la eutanasia de 5 peces de cada grupo a los días 1, 2, 7 y 14 pi. Los tejidos obtenidos fueron fijados en formalina buferizada al 10% y procesados para su evaluación bajo un microscopio</w:t>
      </w:r>
      <w:r>
        <w:rPr>
          <w:spacing w:val="-7"/>
        </w:rPr>
        <w:t> </w:t>
      </w:r>
      <w:r>
        <w:rPr/>
        <w:t>compuesto.</w:t>
      </w:r>
    </w:p>
    <w:p>
      <w:pPr>
        <w:pStyle w:val="BodyText"/>
      </w:pPr>
    </w:p>
    <w:p>
      <w:pPr>
        <w:pStyle w:val="BodyText"/>
        <w:spacing w:before="10"/>
      </w:pPr>
    </w:p>
    <w:p>
      <w:pPr>
        <w:pStyle w:val="BodyText"/>
        <w:spacing w:line="480" w:lineRule="auto"/>
        <w:ind w:left="103" w:right="159" w:firstLine="707"/>
        <w:jc w:val="both"/>
      </w:pPr>
      <w:r>
        <w:rPr/>
        <w:t>Se obtuvo el aislamiento de </w:t>
      </w:r>
      <w:r>
        <w:rPr>
          <w:i/>
        </w:rPr>
        <w:t>A</w:t>
      </w:r>
      <w:r>
        <w:rPr/>
        <w:t>. </w:t>
      </w:r>
      <w:r>
        <w:rPr>
          <w:i/>
        </w:rPr>
        <w:t>veronii </w:t>
      </w:r>
      <w:r>
        <w:rPr/>
        <w:t>de una trucha infectada naturalmente, en la cual se observó erosión de la dermis y exposición del hueso premaxilar; a la evaluación histopatológica se observó infiltrado de macrófagos y neutrófilos, edema y melanina libre en el área afectada; en hígado se observaron hemorragias multifocales en parénquima, infiltrado de centros melanomacrófagos  (CMM),  degeneración   y  necrosis  hepatocelular;  asimismo,  estas     lesiones</w:t>
      </w:r>
    </w:p>
    <w:p>
      <w:pPr>
        <w:spacing w:after="0" w:line="480" w:lineRule="auto"/>
        <w:jc w:val="both"/>
        <w:sectPr>
          <w:pgSz w:w="12240" w:h="15840"/>
          <w:pgMar w:header="0" w:footer="695" w:top="1080" w:bottom="940" w:left="1200" w:right="1140"/>
        </w:sectPr>
      </w:pPr>
    </w:p>
    <w:p>
      <w:pPr>
        <w:pStyle w:val="BodyText"/>
        <w:spacing w:line="480" w:lineRule="auto" w:before="44"/>
        <w:ind w:left="103" w:right="117"/>
        <w:jc w:val="both"/>
      </w:pPr>
      <w:r>
        <w:rPr/>
        <w:t>hepáticas estuvieron presentes en otra trucha infectada con la misma especie de </w:t>
      </w:r>
      <w:r>
        <w:rPr>
          <w:i/>
        </w:rPr>
        <w:t>Aeromonas</w:t>
      </w:r>
      <w:r>
        <w:rPr/>
        <w:t>, la cual presentó erosión de la aleta dorsal con infiltrado moderado de CMM en la zona afectada. El aislamiento de </w:t>
      </w:r>
      <w:r>
        <w:rPr>
          <w:i/>
        </w:rPr>
        <w:t>A</w:t>
      </w:r>
      <w:r>
        <w:rPr/>
        <w:t>. </w:t>
      </w:r>
      <w:r>
        <w:rPr>
          <w:i/>
        </w:rPr>
        <w:t>salmonicida </w:t>
      </w:r>
      <w:r>
        <w:rPr/>
        <w:t>biovariedad móvil en una trucha en la que se observó una úlcera localizada en la base de la aleta pélvica, se observó infiltración de macrófagos, hiperemia y edema en el área afectada. En hígado, se observó infiltrado de linfocitos y degeneración hepatocelular; además de infiltración de CMM en riñón. Por su parte, el aislamiento de </w:t>
      </w:r>
      <w:r>
        <w:rPr>
          <w:i/>
        </w:rPr>
        <w:t>A</w:t>
      </w:r>
      <w:r>
        <w:rPr/>
        <w:t>. </w:t>
      </w:r>
      <w:r>
        <w:rPr>
          <w:i/>
        </w:rPr>
        <w:t>hydrophila </w:t>
      </w:r>
      <w:r>
        <w:rPr/>
        <w:t>en una  trucha en la cual se observó una úlcera localizada en la base de la aleta ventral, histológicamente se mostró infiltración de macrófagos y edema con presencia de formas cocobacilares Gram negativas; en hígado se observó CMM en la periferia de los conductos biliares, infiltración de linfocitos y degeneración hepatocelular. En riñón se observó infiltrado de</w:t>
      </w:r>
      <w:r>
        <w:rPr>
          <w:spacing w:val="-9"/>
        </w:rPr>
        <w:t> </w:t>
      </w:r>
      <w:r>
        <w:rPr/>
        <w:t>CMM.</w:t>
      </w:r>
    </w:p>
    <w:p>
      <w:pPr>
        <w:pStyle w:val="BodyText"/>
        <w:spacing w:line="480" w:lineRule="auto" w:before="10"/>
        <w:ind w:left="103" w:right="118" w:firstLine="707"/>
      </w:pPr>
      <w:r>
        <w:rPr/>
        <w:t>Los peces infectados experimentalmente con los diferentes aislamientos de </w:t>
      </w:r>
      <w:r>
        <w:rPr>
          <w:i/>
        </w:rPr>
        <w:t>Aeromonas</w:t>
      </w:r>
      <w:r>
        <w:rPr/>
        <w:t>, mostraron los siguientes porcentajes de mortalidad: </w:t>
      </w:r>
      <w:r>
        <w:rPr>
          <w:i/>
        </w:rPr>
        <w:t>A</w:t>
      </w:r>
      <w:r>
        <w:rPr/>
        <w:t>. </w:t>
      </w:r>
      <w:r>
        <w:rPr>
          <w:i/>
        </w:rPr>
        <w:t>salmonicida</w:t>
      </w:r>
      <w:r>
        <w:rPr/>
        <w:t>, 18.8%; </w:t>
      </w:r>
      <w:r>
        <w:rPr>
          <w:i/>
        </w:rPr>
        <w:t>A</w:t>
      </w:r>
      <w:r>
        <w:rPr/>
        <w:t>. </w:t>
      </w:r>
      <w:r>
        <w:rPr>
          <w:i/>
        </w:rPr>
        <w:t>hydrophila</w:t>
      </w:r>
      <w:r>
        <w:rPr/>
        <w:t>,    12.2%;</w:t>
      </w:r>
    </w:p>
    <w:p>
      <w:pPr>
        <w:spacing w:line="480" w:lineRule="auto" w:before="10"/>
        <w:ind w:left="103" w:right="119" w:firstLine="0"/>
        <w:jc w:val="both"/>
        <w:rPr>
          <w:sz w:val="24"/>
        </w:rPr>
      </w:pPr>
      <w:r>
        <w:rPr>
          <w:i/>
          <w:sz w:val="24"/>
        </w:rPr>
        <w:t>A</w:t>
      </w:r>
      <w:r>
        <w:rPr>
          <w:sz w:val="24"/>
        </w:rPr>
        <w:t>. </w:t>
      </w:r>
      <w:r>
        <w:rPr>
          <w:i/>
          <w:sz w:val="24"/>
        </w:rPr>
        <w:t>bestiarum</w:t>
      </w:r>
      <w:r>
        <w:rPr>
          <w:sz w:val="24"/>
        </w:rPr>
        <w:t>, 8.8%; </w:t>
      </w:r>
      <w:r>
        <w:rPr>
          <w:i/>
          <w:sz w:val="24"/>
        </w:rPr>
        <w:t>A</w:t>
      </w:r>
      <w:r>
        <w:rPr>
          <w:sz w:val="24"/>
        </w:rPr>
        <w:t>. </w:t>
      </w:r>
      <w:r>
        <w:rPr>
          <w:i/>
          <w:sz w:val="24"/>
        </w:rPr>
        <w:t>veronii</w:t>
      </w:r>
      <w:r>
        <w:rPr>
          <w:sz w:val="24"/>
        </w:rPr>
        <w:t>, 8.8%; </w:t>
      </w:r>
      <w:r>
        <w:rPr>
          <w:i/>
          <w:sz w:val="24"/>
        </w:rPr>
        <w:t>A</w:t>
      </w:r>
      <w:r>
        <w:rPr>
          <w:sz w:val="24"/>
        </w:rPr>
        <w:t>. </w:t>
      </w:r>
      <w:r>
        <w:rPr>
          <w:i/>
          <w:sz w:val="24"/>
        </w:rPr>
        <w:t>caviae</w:t>
      </w:r>
      <w:r>
        <w:rPr>
          <w:sz w:val="24"/>
        </w:rPr>
        <w:t>, 3.3% y </w:t>
      </w:r>
      <w:r>
        <w:rPr>
          <w:i/>
          <w:sz w:val="24"/>
        </w:rPr>
        <w:t>A</w:t>
      </w:r>
      <w:r>
        <w:rPr>
          <w:sz w:val="24"/>
        </w:rPr>
        <w:t>. </w:t>
      </w:r>
      <w:r>
        <w:rPr>
          <w:i/>
          <w:sz w:val="24"/>
        </w:rPr>
        <w:t>sobria</w:t>
      </w:r>
      <w:r>
        <w:rPr>
          <w:sz w:val="24"/>
        </w:rPr>
        <w:t>, 1.1 %. Los grupos de peces infectados con </w:t>
      </w:r>
      <w:r>
        <w:rPr>
          <w:i/>
          <w:sz w:val="24"/>
        </w:rPr>
        <w:t>A</w:t>
      </w:r>
      <w:r>
        <w:rPr>
          <w:sz w:val="24"/>
        </w:rPr>
        <w:t>. </w:t>
      </w:r>
      <w:r>
        <w:rPr>
          <w:i/>
          <w:sz w:val="24"/>
        </w:rPr>
        <w:t>allosaccharophila</w:t>
      </w:r>
      <w:r>
        <w:rPr>
          <w:sz w:val="24"/>
        </w:rPr>
        <w:t>, </w:t>
      </w:r>
      <w:r>
        <w:rPr>
          <w:i/>
          <w:sz w:val="24"/>
        </w:rPr>
        <w:t>A</w:t>
      </w:r>
      <w:r>
        <w:rPr>
          <w:sz w:val="24"/>
        </w:rPr>
        <w:t>. </w:t>
      </w:r>
      <w:r>
        <w:rPr>
          <w:i/>
          <w:sz w:val="24"/>
        </w:rPr>
        <w:t>lusitana</w:t>
      </w:r>
      <w:r>
        <w:rPr>
          <w:sz w:val="24"/>
        </w:rPr>
        <w:t>, </w:t>
      </w:r>
      <w:r>
        <w:rPr>
          <w:i/>
          <w:sz w:val="24"/>
        </w:rPr>
        <w:t>A</w:t>
      </w:r>
      <w:r>
        <w:rPr>
          <w:sz w:val="24"/>
        </w:rPr>
        <w:t>. </w:t>
      </w:r>
      <w:r>
        <w:rPr>
          <w:i/>
          <w:sz w:val="24"/>
        </w:rPr>
        <w:t>popoffii </w:t>
      </w:r>
      <w:r>
        <w:rPr>
          <w:sz w:val="24"/>
        </w:rPr>
        <w:t>y </w:t>
      </w:r>
      <w:r>
        <w:rPr>
          <w:i/>
          <w:sz w:val="24"/>
        </w:rPr>
        <w:t>A</w:t>
      </w:r>
      <w:r>
        <w:rPr>
          <w:sz w:val="24"/>
        </w:rPr>
        <w:t>. </w:t>
      </w:r>
      <w:r>
        <w:rPr>
          <w:i/>
          <w:sz w:val="24"/>
        </w:rPr>
        <w:t>media </w:t>
      </w:r>
      <w:r>
        <w:rPr>
          <w:sz w:val="24"/>
        </w:rPr>
        <w:t>no registraron mortalidad. Asimismo, se obtuvo el reaislamiento de las 10 especies a partir de branquias; el porcentaje de reaislamiento obtenido de hígado para el grupo infectado con </w:t>
      </w:r>
      <w:r>
        <w:rPr>
          <w:i/>
          <w:sz w:val="24"/>
        </w:rPr>
        <w:t>A. popoffii </w:t>
      </w:r>
      <w:r>
        <w:rPr>
          <w:sz w:val="24"/>
        </w:rPr>
        <w:t>fue de 86.6%, </w:t>
      </w:r>
      <w:r>
        <w:rPr>
          <w:i/>
          <w:sz w:val="24"/>
        </w:rPr>
        <w:t>A</w:t>
      </w:r>
      <w:r>
        <w:rPr>
          <w:sz w:val="24"/>
        </w:rPr>
        <w:t>. </w:t>
      </w:r>
      <w:r>
        <w:rPr>
          <w:i/>
          <w:sz w:val="24"/>
        </w:rPr>
        <w:t>media</w:t>
      </w:r>
      <w:r>
        <w:rPr>
          <w:sz w:val="24"/>
        </w:rPr>
        <w:t>, 64.4%; </w:t>
      </w:r>
      <w:r>
        <w:rPr>
          <w:i/>
          <w:sz w:val="24"/>
        </w:rPr>
        <w:t>A</w:t>
      </w:r>
      <w:r>
        <w:rPr>
          <w:sz w:val="24"/>
        </w:rPr>
        <w:t>. </w:t>
      </w:r>
      <w:r>
        <w:rPr>
          <w:i/>
          <w:sz w:val="24"/>
        </w:rPr>
        <w:t>sobria</w:t>
      </w:r>
      <w:r>
        <w:rPr>
          <w:sz w:val="24"/>
        </w:rPr>
        <w:t>, 45.5%; </w:t>
      </w:r>
      <w:r>
        <w:rPr>
          <w:i/>
          <w:sz w:val="24"/>
        </w:rPr>
        <w:t>A</w:t>
      </w:r>
      <w:r>
        <w:rPr>
          <w:sz w:val="24"/>
        </w:rPr>
        <w:t>. </w:t>
      </w:r>
      <w:r>
        <w:rPr>
          <w:i/>
          <w:sz w:val="24"/>
        </w:rPr>
        <w:t>veronii</w:t>
      </w:r>
      <w:r>
        <w:rPr>
          <w:sz w:val="24"/>
        </w:rPr>
        <w:t>, 44.4%; </w:t>
      </w:r>
      <w:r>
        <w:rPr>
          <w:i/>
          <w:sz w:val="24"/>
        </w:rPr>
        <w:t>A</w:t>
      </w:r>
      <w:r>
        <w:rPr>
          <w:sz w:val="24"/>
        </w:rPr>
        <w:t>. </w:t>
      </w:r>
      <w:r>
        <w:rPr>
          <w:i/>
          <w:sz w:val="24"/>
        </w:rPr>
        <w:t>hydrophila</w:t>
      </w:r>
      <w:r>
        <w:rPr>
          <w:sz w:val="24"/>
        </w:rPr>
        <w:t>, 41.1%, </w:t>
      </w:r>
      <w:r>
        <w:rPr>
          <w:i/>
          <w:sz w:val="24"/>
        </w:rPr>
        <w:t>A. salmonicida</w:t>
      </w:r>
      <w:r>
        <w:rPr>
          <w:sz w:val="24"/>
        </w:rPr>
        <w:t>, 35.5%; </w:t>
      </w:r>
      <w:r>
        <w:rPr>
          <w:i/>
          <w:sz w:val="24"/>
        </w:rPr>
        <w:t>A</w:t>
      </w:r>
      <w:r>
        <w:rPr>
          <w:sz w:val="24"/>
        </w:rPr>
        <w:t>. </w:t>
      </w:r>
      <w:r>
        <w:rPr>
          <w:i/>
          <w:sz w:val="24"/>
        </w:rPr>
        <w:t>allosaccharophila</w:t>
      </w:r>
      <w:r>
        <w:rPr>
          <w:sz w:val="24"/>
        </w:rPr>
        <w:t>, 32.2%; </w:t>
      </w:r>
      <w:r>
        <w:rPr>
          <w:i/>
          <w:sz w:val="24"/>
        </w:rPr>
        <w:t>A</w:t>
      </w:r>
      <w:r>
        <w:rPr>
          <w:sz w:val="24"/>
        </w:rPr>
        <w:t>. </w:t>
      </w:r>
      <w:r>
        <w:rPr>
          <w:i/>
          <w:sz w:val="24"/>
        </w:rPr>
        <w:t>bestiarum</w:t>
      </w:r>
      <w:r>
        <w:rPr>
          <w:sz w:val="24"/>
        </w:rPr>
        <w:t>, 24.4%; </w:t>
      </w:r>
      <w:r>
        <w:rPr>
          <w:i/>
          <w:sz w:val="24"/>
        </w:rPr>
        <w:t>A</w:t>
      </w:r>
      <w:r>
        <w:rPr>
          <w:sz w:val="24"/>
        </w:rPr>
        <w:t>. </w:t>
      </w:r>
      <w:r>
        <w:rPr>
          <w:i/>
          <w:sz w:val="24"/>
        </w:rPr>
        <w:t>lusitana</w:t>
      </w:r>
      <w:r>
        <w:rPr>
          <w:sz w:val="24"/>
        </w:rPr>
        <w:t>, 17.7%, y </w:t>
      </w:r>
      <w:r>
        <w:rPr>
          <w:i/>
          <w:sz w:val="24"/>
        </w:rPr>
        <w:t>A</w:t>
      </w:r>
      <w:r>
        <w:rPr>
          <w:sz w:val="24"/>
        </w:rPr>
        <w:t>. </w:t>
      </w:r>
      <w:r>
        <w:rPr>
          <w:i/>
          <w:sz w:val="24"/>
        </w:rPr>
        <w:t>caviae</w:t>
      </w:r>
      <w:r>
        <w:rPr>
          <w:sz w:val="24"/>
        </w:rPr>
        <w:t>, 12.2%; se obtuvo aislamiento de riñón y bazo, sin embargo no se observaron diferencias estadísticas significativas. Únicamente los peces infectados con cuatro especies de </w:t>
      </w:r>
      <w:r>
        <w:rPr>
          <w:i/>
          <w:sz w:val="24"/>
        </w:rPr>
        <w:t>Aeromonas </w:t>
      </w:r>
      <w:r>
        <w:rPr>
          <w:sz w:val="24"/>
        </w:rPr>
        <w:t>desarrollaron lesiones macroscópicas. En un pez infectado con </w:t>
      </w:r>
      <w:r>
        <w:rPr>
          <w:i/>
          <w:sz w:val="24"/>
        </w:rPr>
        <w:t>A</w:t>
      </w:r>
      <w:r>
        <w:rPr>
          <w:sz w:val="24"/>
        </w:rPr>
        <w:t>. </w:t>
      </w:r>
      <w:r>
        <w:rPr>
          <w:i/>
          <w:sz w:val="24"/>
        </w:rPr>
        <w:t>salmonicida </w:t>
      </w:r>
      <w:r>
        <w:rPr>
          <w:sz w:val="24"/>
        </w:rPr>
        <w:t>se observaron petequias en la superficie ventral cerca del ano y en la zona ventral del opérculo; en un pez infectado con </w:t>
      </w:r>
      <w:r>
        <w:rPr>
          <w:i/>
          <w:sz w:val="24"/>
        </w:rPr>
        <w:t>A</w:t>
      </w:r>
      <w:r>
        <w:rPr>
          <w:sz w:val="24"/>
        </w:rPr>
        <w:t>. </w:t>
      </w:r>
      <w:r>
        <w:rPr>
          <w:i/>
          <w:sz w:val="24"/>
        </w:rPr>
        <w:t>hydrophila </w:t>
      </w:r>
      <w:r>
        <w:rPr>
          <w:sz w:val="24"/>
        </w:rPr>
        <w:t>se presentó exoftalmia unilateral con presencia de hemorragia; en un pez infectado con </w:t>
      </w:r>
      <w:r>
        <w:rPr>
          <w:i/>
          <w:sz w:val="24"/>
        </w:rPr>
        <w:t>A</w:t>
      </w:r>
      <w:r>
        <w:rPr>
          <w:sz w:val="24"/>
        </w:rPr>
        <w:t>. </w:t>
      </w:r>
      <w:r>
        <w:rPr>
          <w:i/>
          <w:sz w:val="24"/>
        </w:rPr>
        <w:t>veronii </w:t>
      </w:r>
      <w:r>
        <w:rPr>
          <w:sz w:val="24"/>
        </w:rPr>
        <w:t>se</w:t>
      </w:r>
    </w:p>
    <w:p>
      <w:pPr>
        <w:spacing w:after="0" w:line="480" w:lineRule="auto"/>
        <w:jc w:val="both"/>
        <w:rPr>
          <w:sz w:val="24"/>
        </w:rPr>
        <w:sectPr>
          <w:pgSz w:w="12240" w:h="15840"/>
          <w:pgMar w:header="0" w:footer="695" w:top="1080" w:bottom="940" w:left="1200" w:right="1180"/>
        </w:sectPr>
      </w:pPr>
    </w:p>
    <w:p>
      <w:pPr>
        <w:pStyle w:val="BodyText"/>
        <w:spacing w:line="480" w:lineRule="auto" w:before="44"/>
        <w:ind w:left="103" w:right="103"/>
        <w:jc w:val="both"/>
      </w:pPr>
      <w:r>
        <w:rPr/>
        <w:t>presentó palidez hepática; y en un pez infectado con </w:t>
      </w:r>
      <w:r>
        <w:rPr>
          <w:i/>
        </w:rPr>
        <w:t>A</w:t>
      </w:r>
      <w:r>
        <w:rPr/>
        <w:t>. </w:t>
      </w:r>
      <w:r>
        <w:rPr>
          <w:i/>
        </w:rPr>
        <w:t>bestiarum </w:t>
      </w:r>
      <w:r>
        <w:rPr/>
        <w:t>se presentó congestión hepática severa.</w:t>
      </w:r>
    </w:p>
    <w:p>
      <w:pPr>
        <w:pStyle w:val="BodyText"/>
        <w:spacing w:line="480" w:lineRule="auto" w:before="10"/>
        <w:ind w:left="103" w:right="99" w:firstLine="707"/>
        <w:jc w:val="both"/>
      </w:pPr>
      <w:r>
        <w:rPr/>
        <w:t>Sin embargo, pese a que no todas las especies de </w:t>
      </w:r>
      <w:r>
        <w:rPr>
          <w:i/>
        </w:rPr>
        <w:t>Aeromonas </w:t>
      </w:r>
      <w:r>
        <w:rPr/>
        <w:t>indujeron cambios macroscópicos, en todos los grupos infectados, a la histopatología se observó congestión hepática con diferentes niveles de severidad, con los siguientes porcentajes de lesiones microscópicas: </w:t>
      </w:r>
      <w:r>
        <w:rPr>
          <w:i/>
        </w:rPr>
        <w:t>A</w:t>
      </w:r>
      <w:r>
        <w:rPr/>
        <w:t>. </w:t>
      </w:r>
      <w:r>
        <w:rPr>
          <w:i/>
        </w:rPr>
        <w:t>allosaccharophila  </w:t>
      </w:r>
      <w:r>
        <w:rPr/>
        <w:t>83.3%,  </w:t>
      </w:r>
      <w:r>
        <w:rPr>
          <w:i/>
        </w:rPr>
        <w:t>A.  salmonicida  </w:t>
      </w:r>
      <w:r>
        <w:rPr/>
        <w:t>68.8%,  </w:t>
      </w:r>
      <w:r>
        <w:rPr>
          <w:i/>
        </w:rPr>
        <w:t>A</w:t>
      </w:r>
      <w:r>
        <w:rPr/>
        <w:t>.  </w:t>
      </w:r>
      <w:r>
        <w:rPr>
          <w:i/>
        </w:rPr>
        <w:t>lusitana  </w:t>
      </w:r>
      <w:r>
        <w:rPr/>
        <w:t>66.6%,  </w:t>
      </w:r>
      <w:r>
        <w:rPr>
          <w:i/>
        </w:rPr>
        <w:t>A</w:t>
      </w:r>
      <w:r>
        <w:rPr/>
        <w:t>.  </w:t>
      </w:r>
      <w:r>
        <w:rPr>
          <w:i/>
        </w:rPr>
        <w:t>hydrophila  </w:t>
      </w:r>
      <w:r>
        <w:rPr/>
        <w:t>60.0%,  </w:t>
      </w:r>
      <w:r>
        <w:rPr>
          <w:i/>
        </w:rPr>
        <w:t>A</w:t>
      </w:r>
      <w:r>
        <w:rPr/>
        <w:t>.</w:t>
      </w:r>
    </w:p>
    <w:p>
      <w:pPr>
        <w:pStyle w:val="BodyText"/>
        <w:spacing w:line="480" w:lineRule="auto" w:before="10"/>
        <w:ind w:left="103" w:right="102"/>
        <w:jc w:val="both"/>
      </w:pPr>
      <w:r>
        <w:rPr>
          <w:i/>
        </w:rPr>
        <w:t>bestiarum </w:t>
      </w:r>
      <w:r>
        <w:rPr/>
        <w:t>55.5%, </w:t>
      </w:r>
      <w:r>
        <w:rPr>
          <w:i/>
        </w:rPr>
        <w:t>A</w:t>
      </w:r>
      <w:r>
        <w:rPr/>
        <w:t>. </w:t>
      </w:r>
      <w:r>
        <w:rPr>
          <w:i/>
        </w:rPr>
        <w:t>popoffii </w:t>
      </w:r>
      <w:r>
        <w:rPr/>
        <w:t>52.2%, </w:t>
      </w:r>
      <w:r>
        <w:rPr>
          <w:i/>
        </w:rPr>
        <w:t>A</w:t>
      </w:r>
      <w:r>
        <w:rPr/>
        <w:t>. </w:t>
      </w:r>
      <w:r>
        <w:rPr>
          <w:i/>
        </w:rPr>
        <w:t>sobria </w:t>
      </w:r>
      <w:r>
        <w:rPr/>
        <w:t>52.2%, </w:t>
      </w:r>
      <w:r>
        <w:rPr>
          <w:i/>
        </w:rPr>
        <w:t>A</w:t>
      </w:r>
      <w:r>
        <w:rPr/>
        <w:t>. </w:t>
      </w:r>
      <w:r>
        <w:rPr>
          <w:i/>
        </w:rPr>
        <w:t>veronii </w:t>
      </w:r>
      <w:r>
        <w:rPr/>
        <w:t>45.5%, </w:t>
      </w:r>
      <w:r>
        <w:rPr>
          <w:i/>
        </w:rPr>
        <w:t>A</w:t>
      </w:r>
      <w:r>
        <w:rPr/>
        <w:t>. </w:t>
      </w:r>
      <w:r>
        <w:rPr>
          <w:i/>
        </w:rPr>
        <w:t>caviae </w:t>
      </w:r>
      <w:r>
        <w:rPr/>
        <w:t>34.4%, las cuales mostraron diferencias estadísticas significativas con respecto a la congestión hepática con el grupo infectado con </w:t>
      </w:r>
      <w:r>
        <w:rPr>
          <w:i/>
        </w:rPr>
        <w:t>A</w:t>
      </w:r>
      <w:r>
        <w:rPr/>
        <w:t>. </w:t>
      </w:r>
      <w:r>
        <w:rPr>
          <w:i/>
        </w:rPr>
        <w:t>media </w:t>
      </w:r>
      <w:r>
        <w:rPr/>
        <w:t>27.7 % y el grupo control. Los peces del grupo control no mostraron cambios patológicos aparentes, con mortalidad y aislamiento nulo. Estos resultados indican que las especies incluidas en el estudio poseen diferencias en su virulencia y son capaces de diseminarse en tejido interno.</w:t>
      </w:r>
    </w:p>
    <w:p>
      <w:pPr>
        <w:spacing w:after="0" w:line="480" w:lineRule="auto"/>
        <w:jc w:val="both"/>
        <w:sectPr>
          <w:pgSz w:w="12240" w:h="15840"/>
          <w:pgMar w:header="0" w:footer="695" w:top="1080" w:bottom="940" w:left="1200" w:right="1200"/>
        </w:sectPr>
      </w:pPr>
    </w:p>
    <w:p>
      <w:pPr>
        <w:pStyle w:val="Heading1"/>
        <w:jc w:val="both"/>
      </w:pPr>
      <w:r>
        <w:rPr/>
        <w:t>ABSTRACT</w:t>
      </w:r>
    </w:p>
    <w:p>
      <w:pPr>
        <w:pStyle w:val="BodyText"/>
        <w:rPr>
          <w:b/>
        </w:rPr>
      </w:pPr>
    </w:p>
    <w:p>
      <w:pPr>
        <w:pStyle w:val="BodyText"/>
        <w:rPr>
          <w:b/>
        </w:rPr>
      </w:pPr>
    </w:p>
    <w:p>
      <w:pPr>
        <w:pStyle w:val="BodyText"/>
        <w:spacing w:before="7"/>
        <w:rPr>
          <w:b/>
          <w:sz w:val="23"/>
        </w:rPr>
      </w:pPr>
    </w:p>
    <w:p>
      <w:pPr>
        <w:pStyle w:val="BodyText"/>
        <w:spacing w:line="480" w:lineRule="auto"/>
        <w:ind w:left="103" w:right="99"/>
        <w:jc w:val="both"/>
      </w:pPr>
      <w:r>
        <w:rPr>
          <w:i/>
        </w:rPr>
        <w:t>Aeromonas </w:t>
      </w:r>
      <w:r>
        <w:rPr/>
        <w:t>includes bacteria that naturally inhabit aquatic environments, which are capable of infecting different animal species including humans. Disease by this agent causes significant economic losses in trout farms. In the present study, we analyzed macroscopic and histologic skin lesions in rainbow trout (</w:t>
      </w:r>
      <w:r>
        <w:rPr>
          <w:i/>
        </w:rPr>
        <w:t>Oncorhynchus mykiss</w:t>
      </w:r>
      <w:r>
        <w:rPr/>
        <w:t>) naturally-infected by </w:t>
      </w:r>
      <w:r>
        <w:rPr>
          <w:i/>
        </w:rPr>
        <w:t>A. salmonicida </w:t>
      </w:r>
      <w:r>
        <w:rPr/>
        <w:t>motile biotype,</w:t>
      </w:r>
    </w:p>
    <w:p>
      <w:pPr>
        <w:spacing w:line="480" w:lineRule="auto" w:before="10"/>
        <w:ind w:left="103" w:right="159" w:firstLine="0"/>
        <w:jc w:val="both"/>
        <w:rPr>
          <w:sz w:val="24"/>
        </w:rPr>
      </w:pPr>
      <w:r>
        <w:rPr>
          <w:i/>
          <w:sz w:val="24"/>
        </w:rPr>
        <w:t>A</w:t>
      </w:r>
      <w:r>
        <w:rPr>
          <w:sz w:val="24"/>
        </w:rPr>
        <w:t>. </w:t>
      </w:r>
      <w:r>
        <w:rPr>
          <w:i/>
          <w:sz w:val="24"/>
        </w:rPr>
        <w:t>hydrophila </w:t>
      </w:r>
      <w:r>
        <w:rPr>
          <w:sz w:val="24"/>
        </w:rPr>
        <w:t>and </w:t>
      </w:r>
      <w:r>
        <w:rPr>
          <w:i/>
          <w:sz w:val="24"/>
        </w:rPr>
        <w:t>A</w:t>
      </w:r>
      <w:r>
        <w:rPr>
          <w:sz w:val="24"/>
        </w:rPr>
        <w:t>. </w:t>
      </w:r>
      <w:r>
        <w:rPr>
          <w:i/>
          <w:sz w:val="24"/>
        </w:rPr>
        <w:t>veronii </w:t>
      </w:r>
      <w:r>
        <w:rPr>
          <w:sz w:val="24"/>
        </w:rPr>
        <w:t>isolates. We also assessed the pathogenicity and virulence of ten different, genetically-characterized species of </w:t>
      </w:r>
      <w:r>
        <w:rPr>
          <w:i/>
          <w:sz w:val="24"/>
        </w:rPr>
        <w:t>Aeromonas </w:t>
      </w:r>
      <w:r>
        <w:rPr>
          <w:sz w:val="24"/>
        </w:rPr>
        <w:t>isolated from healthy and diseased rainbow trout: </w:t>
      </w:r>
      <w:r>
        <w:rPr>
          <w:i/>
          <w:sz w:val="24"/>
        </w:rPr>
        <w:t>A</w:t>
      </w:r>
      <w:r>
        <w:rPr>
          <w:sz w:val="24"/>
        </w:rPr>
        <w:t>. </w:t>
      </w:r>
      <w:r>
        <w:rPr>
          <w:i/>
          <w:sz w:val="24"/>
        </w:rPr>
        <w:t>allosaccharophila</w:t>
      </w:r>
      <w:r>
        <w:rPr>
          <w:sz w:val="24"/>
        </w:rPr>
        <w:t>, </w:t>
      </w:r>
      <w:r>
        <w:rPr>
          <w:i/>
          <w:sz w:val="24"/>
        </w:rPr>
        <w:t>A</w:t>
      </w:r>
      <w:r>
        <w:rPr>
          <w:sz w:val="24"/>
        </w:rPr>
        <w:t>. </w:t>
      </w:r>
      <w:r>
        <w:rPr>
          <w:i/>
          <w:sz w:val="24"/>
        </w:rPr>
        <w:t>bestiarum</w:t>
      </w:r>
      <w:r>
        <w:rPr>
          <w:sz w:val="24"/>
        </w:rPr>
        <w:t>, </w:t>
      </w:r>
      <w:r>
        <w:rPr>
          <w:i/>
          <w:sz w:val="24"/>
        </w:rPr>
        <w:t>A</w:t>
      </w:r>
      <w:r>
        <w:rPr>
          <w:sz w:val="24"/>
        </w:rPr>
        <w:t>. </w:t>
      </w:r>
      <w:r>
        <w:rPr>
          <w:i/>
          <w:sz w:val="24"/>
        </w:rPr>
        <w:t>caviae</w:t>
      </w:r>
      <w:r>
        <w:rPr>
          <w:sz w:val="24"/>
        </w:rPr>
        <w:t>, </w:t>
      </w:r>
      <w:r>
        <w:rPr>
          <w:i/>
          <w:sz w:val="24"/>
        </w:rPr>
        <w:t>A</w:t>
      </w:r>
      <w:r>
        <w:rPr>
          <w:sz w:val="24"/>
        </w:rPr>
        <w:t>. </w:t>
      </w:r>
      <w:r>
        <w:rPr>
          <w:i/>
          <w:sz w:val="24"/>
        </w:rPr>
        <w:t>hydrophila</w:t>
      </w:r>
      <w:r>
        <w:rPr>
          <w:sz w:val="24"/>
        </w:rPr>
        <w:t>, </w:t>
      </w:r>
      <w:r>
        <w:rPr>
          <w:i/>
          <w:sz w:val="24"/>
        </w:rPr>
        <w:t>A</w:t>
      </w:r>
      <w:r>
        <w:rPr>
          <w:sz w:val="24"/>
        </w:rPr>
        <w:t>. </w:t>
      </w:r>
      <w:r>
        <w:rPr>
          <w:i/>
          <w:sz w:val="24"/>
        </w:rPr>
        <w:t>lusitana</w:t>
      </w:r>
      <w:r>
        <w:rPr>
          <w:sz w:val="24"/>
        </w:rPr>
        <w:t>, </w:t>
      </w:r>
      <w:r>
        <w:rPr>
          <w:i/>
          <w:sz w:val="24"/>
        </w:rPr>
        <w:t>A</w:t>
      </w:r>
      <w:r>
        <w:rPr>
          <w:sz w:val="24"/>
        </w:rPr>
        <w:t>.    </w:t>
      </w:r>
      <w:r>
        <w:rPr>
          <w:i/>
          <w:sz w:val="24"/>
        </w:rPr>
        <w:t>media</w:t>
      </w:r>
      <w:r>
        <w:rPr>
          <w:sz w:val="24"/>
        </w:rPr>
        <w:t>,</w:t>
      </w:r>
    </w:p>
    <w:p>
      <w:pPr>
        <w:pStyle w:val="ListParagraph"/>
        <w:numPr>
          <w:ilvl w:val="0"/>
          <w:numId w:val="1"/>
        </w:numPr>
        <w:tabs>
          <w:tab w:pos="431" w:val="left" w:leader="none"/>
        </w:tabs>
        <w:spacing w:line="480" w:lineRule="auto" w:before="10" w:after="0"/>
        <w:ind w:left="103" w:right="159" w:firstLine="0"/>
        <w:jc w:val="both"/>
        <w:rPr>
          <w:sz w:val="24"/>
        </w:rPr>
      </w:pPr>
      <w:r>
        <w:rPr>
          <w:i/>
          <w:sz w:val="24"/>
        </w:rPr>
        <w:t>popoffii</w:t>
      </w:r>
      <w:r>
        <w:rPr>
          <w:sz w:val="24"/>
        </w:rPr>
        <w:t>, motile biotype </w:t>
      </w:r>
      <w:r>
        <w:rPr>
          <w:i/>
          <w:sz w:val="24"/>
        </w:rPr>
        <w:t>A</w:t>
      </w:r>
      <w:r>
        <w:rPr>
          <w:sz w:val="24"/>
        </w:rPr>
        <w:t>. </w:t>
      </w:r>
      <w:r>
        <w:rPr>
          <w:i/>
          <w:sz w:val="24"/>
        </w:rPr>
        <w:t>salmonicida</w:t>
      </w:r>
      <w:r>
        <w:rPr>
          <w:sz w:val="24"/>
        </w:rPr>
        <w:t>, </w:t>
      </w:r>
      <w:r>
        <w:rPr>
          <w:i/>
          <w:sz w:val="24"/>
        </w:rPr>
        <w:t>A</w:t>
      </w:r>
      <w:r>
        <w:rPr>
          <w:sz w:val="24"/>
        </w:rPr>
        <w:t>. </w:t>
      </w:r>
      <w:r>
        <w:rPr>
          <w:i/>
          <w:sz w:val="24"/>
        </w:rPr>
        <w:t>sobria </w:t>
      </w:r>
      <w:r>
        <w:rPr>
          <w:sz w:val="24"/>
        </w:rPr>
        <w:t>and </w:t>
      </w:r>
      <w:r>
        <w:rPr>
          <w:i/>
          <w:sz w:val="24"/>
        </w:rPr>
        <w:t>A</w:t>
      </w:r>
      <w:r>
        <w:rPr>
          <w:sz w:val="24"/>
        </w:rPr>
        <w:t>. </w:t>
      </w:r>
      <w:r>
        <w:rPr>
          <w:i/>
          <w:sz w:val="24"/>
        </w:rPr>
        <w:t>veronii</w:t>
      </w:r>
      <w:r>
        <w:rPr>
          <w:sz w:val="24"/>
        </w:rPr>
        <w:t>. Rainbow trout fry were experimentally infected by immersion bath; on the day of inoculation, 2 fish from each group were euthanized at 1, 2, 3, 4 and 5 hours post-infection (pi), then on days 1, 2, 7 and 14 pi, 5 fish were euthanized to obtain bacteriological isolates and for microscopic evaluation by histopathology. In both investigations, tissues were fixed in 10% formalin and processed for evaluation and observed with a compound microscope. </w:t>
      </w:r>
      <w:r>
        <w:rPr>
          <w:i/>
          <w:sz w:val="24"/>
        </w:rPr>
        <w:t>A</w:t>
      </w:r>
      <w:r>
        <w:rPr>
          <w:sz w:val="24"/>
        </w:rPr>
        <w:t>. </w:t>
      </w:r>
      <w:r>
        <w:rPr>
          <w:i/>
          <w:sz w:val="24"/>
        </w:rPr>
        <w:t>veronii </w:t>
      </w:r>
      <w:r>
        <w:rPr>
          <w:sz w:val="24"/>
        </w:rPr>
        <w:t>was isolated from a trout in which erosion and dermal exposure of premaxillary bone were observed; histopathological evaluation showed the presence of infiltration, edema and free melanin in the affected area. In liver samples, multifocal parenchymal hemorrhage, infiltration of melanomacrophage centers (MMC), hepatocellular degeneration and necrosis were observed; these hepatic lesions were observed in another trout infected with the same </w:t>
      </w:r>
      <w:r>
        <w:rPr>
          <w:i/>
          <w:sz w:val="24"/>
        </w:rPr>
        <w:t>Aeromonas </w:t>
      </w:r>
      <w:r>
        <w:rPr>
          <w:sz w:val="24"/>
        </w:rPr>
        <w:t>species, with an eroded dorsal fin showing moderately infiltrated MMC. </w:t>
      </w:r>
      <w:r>
        <w:rPr>
          <w:i/>
          <w:sz w:val="24"/>
        </w:rPr>
        <w:t>A</w:t>
      </w:r>
      <w:r>
        <w:rPr>
          <w:sz w:val="24"/>
        </w:rPr>
        <w:t>. </w:t>
      </w:r>
      <w:r>
        <w:rPr>
          <w:i/>
          <w:sz w:val="24"/>
        </w:rPr>
        <w:t>salmonicida </w:t>
      </w:r>
      <w:r>
        <w:rPr>
          <w:sz w:val="24"/>
        </w:rPr>
        <w:t>mobile biovar was isolated from an ulcer located at the base of the right pelvic fin in a trout, in which histopathology showed macrophage infiltration, hyperemia and edema in the affected area. In liver,  lymphocyte  infiltration  and  hepatocellular  degeneration  were  observed;   MMC    </w:t>
      </w:r>
      <w:r>
        <w:rPr>
          <w:spacing w:val="52"/>
          <w:sz w:val="24"/>
        </w:rPr>
        <w:t> </w:t>
      </w:r>
      <w:r>
        <w:rPr>
          <w:sz w:val="24"/>
        </w:rPr>
        <w:t>further</w:t>
      </w:r>
    </w:p>
    <w:p>
      <w:pPr>
        <w:spacing w:after="0" w:line="480" w:lineRule="auto"/>
        <w:jc w:val="both"/>
        <w:rPr>
          <w:sz w:val="24"/>
        </w:rPr>
        <w:sectPr>
          <w:pgSz w:w="12240" w:h="15840"/>
          <w:pgMar w:header="0" w:footer="695" w:top="1080" w:bottom="940" w:left="1200" w:right="1140"/>
        </w:sectPr>
      </w:pPr>
    </w:p>
    <w:p>
      <w:pPr>
        <w:spacing w:line="480" w:lineRule="auto" w:before="44"/>
        <w:ind w:left="103" w:right="159" w:firstLine="0"/>
        <w:jc w:val="right"/>
        <w:rPr>
          <w:sz w:val="24"/>
        </w:rPr>
      </w:pPr>
      <w:r>
        <w:rPr>
          <w:sz w:val="24"/>
        </w:rPr>
        <w:t>infiltrated kidney. </w:t>
      </w:r>
      <w:r>
        <w:rPr>
          <w:i/>
          <w:sz w:val="24"/>
        </w:rPr>
        <w:t>A</w:t>
      </w:r>
      <w:r>
        <w:rPr>
          <w:sz w:val="24"/>
        </w:rPr>
        <w:t>. </w:t>
      </w:r>
      <w:r>
        <w:rPr>
          <w:i/>
          <w:sz w:val="24"/>
        </w:rPr>
        <w:t>hydrophila </w:t>
      </w:r>
      <w:r>
        <w:rPr>
          <w:sz w:val="24"/>
        </w:rPr>
        <w:t>was isolated from an ulcer located at the base of the</w:t>
      </w:r>
      <w:r>
        <w:rPr>
          <w:spacing w:val="59"/>
          <w:sz w:val="24"/>
        </w:rPr>
        <w:t> </w:t>
      </w:r>
      <w:r>
        <w:rPr>
          <w:sz w:val="24"/>
        </w:rPr>
        <w:t>ventral fin in trout showing macrophage infiltration, edema and the presence of Gram negative coccobacillary</w:t>
      </w:r>
      <w:r>
        <w:rPr>
          <w:w w:val="99"/>
          <w:sz w:val="24"/>
        </w:rPr>
        <w:t> </w:t>
      </w:r>
      <w:r>
        <w:rPr>
          <w:sz w:val="24"/>
        </w:rPr>
        <w:t>forms in the affected area. </w:t>
      </w:r>
      <w:r>
        <w:rPr>
          <w:spacing w:val="-3"/>
          <w:sz w:val="24"/>
        </w:rPr>
        <w:t>In </w:t>
      </w:r>
      <w:r>
        <w:rPr>
          <w:sz w:val="24"/>
        </w:rPr>
        <w:t>liver, MMC was observed at the periphery of the bile ducts, as well as</w:t>
      </w:r>
      <w:r>
        <w:rPr>
          <w:w w:val="99"/>
          <w:sz w:val="24"/>
        </w:rPr>
        <w:t> </w:t>
      </w:r>
      <w:r>
        <w:rPr>
          <w:sz w:val="24"/>
        </w:rPr>
        <w:t>lymphocyte infiltration and hepatocellular degeneration. In kidney, infiltrated MMC were observed.</w:t>
      </w:r>
      <w:r>
        <w:rPr>
          <w:w w:val="99"/>
          <w:sz w:val="24"/>
        </w:rPr>
        <w:t> </w:t>
      </w:r>
      <w:r>
        <w:rPr>
          <w:sz w:val="24"/>
        </w:rPr>
        <w:t>Assays with fry experimentally-infected with different isolates of </w:t>
      </w:r>
      <w:r>
        <w:rPr>
          <w:i/>
          <w:sz w:val="24"/>
        </w:rPr>
        <w:t>Aeromonas </w:t>
      </w:r>
      <w:r>
        <w:rPr>
          <w:sz w:val="24"/>
        </w:rPr>
        <w:t>showed mortality</w:t>
      </w:r>
      <w:r>
        <w:rPr>
          <w:spacing w:val="25"/>
          <w:sz w:val="24"/>
        </w:rPr>
        <w:t> </w:t>
      </w:r>
      <w:r>
        <w:rPr>
          <w:sz w:val="24"/>
        </w:rPr>
        <w:t>rates of 18.8% for </w:t>
      </w:r>
      <w:r>
        <w:rPr>
          <w:i/>
          <w:sz w:val="24"/>
        </w:rPr>
        <w:t>A</w:t>
      </w:r>
      <w:r>
        <w:rPr>
          <w:sz w:val="24"/>
        </w:rPr>
        <w:t>. </w:t>
      </w:r>
      <w:r>
        <w:rPr>
          <w:i/>
          <w:sz w:val="24"/>
        </w:rPr>
        <w:t>salmonicida A</w:t>
      </w:r>
      <w:r>
        <w:rPr>
          <w:sz w:val="24"/>
        </w:rPr>
        <w:t>. </w:t>
      </w:r>
      <w:r>
        <w:rPr>
          <w:i/>
          <w:sz w:val="24"/>
        </w:rPr>
        <w:t>hydrophila </w:t>
      </w:r>
      <w:r>
        <w:rPr>
          <w:sz w:val="24"/>
        </w:rPr>
        <w:t>12.2%, </w:t>
      </w:r>
      <w:r>
        <w:rPr>
          <w:i/>
          <w:sz w:val="24"/>
        </w:rPr>
        <w:t>A</w:t>
      </w:r>
      <w:r>
        <w:rPr>
          <w:sz w:val="24"/>
        </w:rPr>
        <w:t>. </w:t>
      </w:r>
      <w:r>
        <w:rPr>
          <w:i/>
          <w:sz w:val="24"/>
        </w:rPr>
        <w:t>bestiarum </w:t>
      </w:r>
      <w:r>
        <w:rPr>
          <w:sz w:val="24"/>
        </w:rPr>
        <w:t>8.8%, </w:t>
      </w:r>
      <w:r>
        <w:rPr>
          <w:i/>
          <w:sz w:val="24"/>
        </w:rPr>
        <w:t>A</w:t>
      </w:r>
      <w:r>
        <w:rPr>
          <w:sz w:val="24"/>
        </w:rPr>
        <w:t>. </w:t>
      </w:r>
      <w:r>
        <w:rPr>
          <w:i/>
          <w:sz w:val="24"/>
        </w:rPr>
        <w:t>veronii</w:t>
      </w:r>
      <w:r>
        <w:rPr>
          <w:i/>
          <w:sz w:val="24"/>
        </w:rPr>
        <w:t> </w:t>
      </w:r>
      <w:r>
        <w:rPr>
          <w:sz w:val="24"/>
        </w:rPr>
        <w:t>8.8%, </w:t>
      </w:r>
      <w:r>
        <w:rPr>
          <w:i/>
          <w:sz w:val="24"/>
        </w:rPr>
        <w:t>A</w:t>
      </w:r>
      <w:r>
        <w:rPr>
          <w:sz w:val="24"/>
        </w:rPr>
        <w:t>. </w:t>
      </w:r>
      <w:r>
        <w:rPr>
          <w:i/>
          <w:sz w:val="24"/>
        </w:rPr>
        <w:t>caviae </w:t>
      </w:r>
      <w:r>
        <w:rPr>
          <w:sz w:val="24"/>
        </w:rPr>
        <w:t>3.3% and </w:t>
      </w:r>
      <w:r>
        <w:rPr>
          <w:i/>
          <w:sz w:val="24"/>
        </w:rPr>
        <w:t>A</w:t>
      </w:r>
      <w:r>
        <w:rPr>
          <w:sz w:val="24"/>
        </w:rPr>
        <w:t>. </w:t>
      </w:r>
      <w:r>
        <w:rPr>
          <w:i/>
          <w:sz w:val="24"/>
        </w:rPr>
        <w:t>sobria </w:t>
      </w:r>
      <w:r>
        <w:rPr>
          <w:sz w:val="24"/>
        </w:rPr>
        <w:t>1.1 %, respectively. No mortality was recorded in</w:t>
      </w:r>
      <w:r>
        <w:rPr>
          <w:spacing w:val="58"/>
          <w:sz w:val="24"/>
        </w:rPr>
        <w:t> </w:t>
      </w:r>
      <w:r>
        <w:rPr>
          <w:sz w:val="24"/>
        </w:rPr>
        <w:t>fry infected with </w:t>
      </w:r>
      <w:r>
        <w:rPr>
          <w:i/>
          <w:sz w:val="24"/>
        </w:rPr>
        <w:t>A</w:t>
      </w:r>
      <w:r>
        <w:rPr>
          <w:sz w:val="24"/>
        </w:rPr>
        <w:t>.</w:t>
      </w:r>
      <w:r>
        <w:rPr>
          <w:spacing w:val="26"/>
          <w:sz w:val="24"/>
        </w:rPr>
        <w:t> </w:t>
      </w:r>
      <w:r>
        <w:rPr>
          <w:i/>
          <w:sz w:val="24"/>
        </w:rPr>
        <w:t>allosaccharophila</w:t>
      </w:r>
      <w:r>
        <w:rPr>
          <w:sz w:val="24"/>
        </w:rPr>
        <w:t>, </w:t>
      </w:r>
      <w:r>
        <w:rPr>
          <w:i/>
          <w:sz w:val="24"/>
        </w:rPr>
        <w:t>A</w:t>
      </w:r>
      <w:r>
        <w:rPr>
          <w:sz w:val="24"/>
        </w:rPr>
        <w:t>. </w:t>
      </w:r>
      <w:r>
        <w:rPr>
          <w:i/>
          <w:sz w:val="24"/>
        </w:rPr>
        <w:t>lusitana</w:t>
      </w:r>
      <w:r>
        <w:rPr>
          <w:sz w:val="24"/>
        </w:rPr>
        <w:t>, </w:t>
      </w:r>
      <w:r>
        <w:rPr>
          <w:i/>
          <w:sz w:val="24"/>
        </w:rPr>
        <w:t>A</w:t>
      </w:r>
      <w:r>
        <w:rPr>
          <w:sz w:val="24"/>
        </w:rPr>
        <w:t>. </w:t>
      </w:r>
      <w:r>
        <w:rPr>
          <w:i/>
          <w:sz w:val="24"/>
        </w:rPr>
        <w:t>popoffii </w:t>
      </w:r>
      <w:r>
        <w:rPr>
          <w:sz w:val="24"/>
        </w:rPr>
        <w:t>and </w:t>
      </w:r>
      <w:r>
        <w:rPr>
          <w:i/>
          <w:sz w:val="24"/>
        </w:rPr>
        <w:t>A</w:t>
      </w:r>
      <w:r>
        <w:rPr>
          <w:sz w:val="24"/>
        </w:rPr>
        <w:t>. </w:t>
      </w:r>
      <w:r>
        <w:rPr>
          <w:i/>
          <w:sz w:val="24"/>
        </w:rPr>
        <w:t>media</w:t>
      </w:r>
      <w:r>
        <w:rPr>
          <w:sz w:val="24"/>
        </w:rPr>
        <w:t>. All bacterial isolates inoculated were</w:t>
      </w:r>
      <w:r>
        <w:rPr>
          <w:spacing w:val="29"/>
          <w:sz w:val="24"/>
        </w:rPr>
        <w:t> </w:t>
      </w:r>
      <w:r>
        <w:rPr>
          <w:sz w:val="24"/>
        </w:rPr>
        <w:t>reisolated from gill. Percentages of bacterial isolation obtained from liver differed between bacterial species: </w:t>
      </w:r>
      <w:r>
        <w:rPr>
          <w:i/>
          <w:sz w:val="24"/>
        </w:rPr>
        <w:t>A. popoffii </w:t>
      </w:r>
      <w:r>
        <w:rPr>
          <w:sz w:val="24"/>
        </w:rPr>
        <w:t>86.6%, </w:t>
      </w:r>
      <w:r>
        <w:rPr>
          <w:i/>
          <w:sz w:val="24"/>
        </w:rPr>
        <w:t>A</w:t>
      </w:r>
      <w:r>
        <w:rPr>
          <w:sz w:val="24"/>
        </w:rPr>
        <w:t>. </w:t>
      </w:r>
      <w:r>
        <w:rPr>
          <w:i/>
          <w:sz w:val="24"/>
        </w:rPr>
        <w:t>media </w:t>
      </w:r>
      <w:r>
        <w:rPr>
          <w:sz w:val="24"/>
        </w:rPr>
        <w:t>64.4%, </w:t>
      </w:r>
      <w:r>
        <w:rPr>
          <w:i/>
          <w:sz w:val="24"/>
        </w:rPr>
        <w:t>A</w:t>
      </w:r>
      <w:r>
        <w:rPr>
          <w:sz w:val="24"/>
        </w:rPr>
        <w:t>. </w:t>
      </w:r>
      <w:r>
        <w:rPr>
          <w:i/>
          <w:sz w:val="24"/>
        </w:rPr>
        <w:t>sobria </w:t>
      </w:r>
      <w:r>
        <w:rPr>
          <w:sz w:val="24"/>
        </w:rPr>
        <w:t>45.5%, </w:t>
      </w:r>
      <w:r>
        <w:rPr>
          <w:i/>
          <w:sz w:val="24"/>
        </w:rPr>
        <w:t>A</w:t>
      </w:r>
      <w:r>
        <w:rPr>
          <w:sz w:val="24"/>
        </w:rPr>
        <w:t>. </w:t>
      </w:r>
      <w:r>
        <w:rPr>
          <w:i/>
          <w:sz w:val="24"/>
        </w:rPr>
        <w:t>veronii </w:t>
      </w:r>
      <w:r>
        <w:rPr>
          <w:sz w:val="24"/>
        </w:rPr>
        <w:t>44.4%,</w:t>
      </w:r>
      <w:r>
        <w:rPr>
          <w:spacing w:val="58"/>
          <w:sz w:val="24"/>
        </w:rPr>
        <w:t> </w:t>
      </w:r>
      <w:r>
        <w:rPr>
          <w:i/>
          <w:sz w:val="24"/>
        </w:rPr>
        <w:t>A</w:t>
      </w:r>
      <w:r>
        <w:rPr>
          <w:sz w:val="24"/>
        </w:rPr>
        <w:t>. </w:t>
      </w:r>
      <w:r>
        <w:rPr>
          <w:i/>
          <w:sz w:val="24"/>
        </w:rPr>
        <w:t>hydrophila </w:t>
      </w:r>
      <w:r>
        <w:rPr>
          <w:sz w:val="24"/>
        </w:rPr>
        <w:t>41.1%, </w:t>
      </w:r>
      <w:r>
        <w:rPr>
          <w:i/>
          <w:sz w:val="24"/>
        </w:rPr>
        <w:t>A. salmonicida </w:t>
      </w:r>
      <w:r>
        <w:rPr>
          <w:sz w:val="24"/>
        </w:rPr>
        <w:t>35.5%, </w:t>
      </w:r>
      <w:r>
        <w:rPr>
          <w:i/>
          <w:sz w:val="24"/>
        </w:rPr>
        <w:t>A</w:t>
      </w:r>
      <w:r>
        <w:rPr>
          <w:sz w:val="24"/>
        </w:rPr>
        <w:t>. </w:t>
      </w:r>
      <w:r>
        <w:rPr>
          <w:i/>
          <w:sz w:val="24"/>
        </w:rPr>
        <w:t>allosaccharophila </w:t>
      </w:r>
      <w:r>
        <w:rPr>
          <w:sz w:val="24"/>
        </w:rPr>
        <w:t>32.2%, </w:t>
      </w:r>
      <w:r>
        <w:rPr>
          <w:i/>
          <w:sz w:val="24"/>
        </w:rPr>
        <w:t>A</w:t>
      </w:r>
      <w:r>
        <w:rPr>
          <w:sz w:val="24"/>
        </w:rPr>
        <w:t>. </w:t>
      </w:r>
      <w:r>
        <w:rPr>
          <w:i/>
          <w:sz w:val="24"/>
        </w:rPr>
        <w:t>bestiarum </w:t>
      </w:r>
      <w:r>
        <w:rPr>
          <w:sz w:val="24"/>
        </w:rPr>
        <w:t>24.4%, </w:t>
      </w:r>
      <w:r>
        <w:rPr>
          <w:i/>
          <w:sz w:val="24"/>
        </w:rPr>
        <w:t>A</w:t>
      </w:r>
      <w:r>
        <w:rPr>
          <w:sz w:val="24"/>
        </w:rPr>
        <w:t>. </w:t>
      </w:r>
      <w:r>
        <w:rPr>
          <w:i/>
          <w:sz w:val="24"/>
        </w:rPr>
        <w:t>lusitana  </w:t>
      </w:r>
      <w:r>
        <w:rPr>
          <w:sz w:val="24"/>
        </w:rPr>
        <w:t>17.7%  and  </w:t>
      </w:r>
      <w:r>
        <w:rPr>
          <w:i/>
          <w:sz w:val="24"/>
        </w:rPr>
        <w:t>A</w:t>
      </w:r>
      <w:r>
        <w:rPr>
          <w:sz w:val="24"/>
        </w:rPr>
        <w:t>.  </w:t>
      </w:r>
      <w:r>
        <w:rPr>
          <w:i/>
          <w:sz w:val="24"/>
        </w:rPr>
        <w:t>caviae  </w:t>
      </w:r>
      <w:r>
        <w:rPr>
          <w:sz w:val="24"/>
        </w:rPr>
        <w:t>12.2%.  Kidney  and  liver  isolations  were  also  obtained,  but no</w:t>
      </w:r>
    </w:p>
    <w:p>
      <w:pPr>
        <w:pStyle w:val="BodyText"/>
        <w:spacing w:before="10"/>
        <w:ind w:left="103"/>
        <w:jc w:val="both"/>
      </w:pPr>
      <w:r>
        <w:rPr/>
        <w:t>statistically significant differences were observed.</w:t>
      </w:r>
    </w:p>
    <w:p>
      <w:pPr>
        <w:pStyle w:val="BodyText"/>
      </w:pPr>
    </w:p>
    <w:p>
      <w:pPr>
        <w:pStyle w:val="BodyText"/>
        <w:spacing w:line="480" w:lineRule="auto"/>
        <w:ind w:left="103" w:right="99"/>
        <w:jc w:val="both"/>
      </w:pPr>
      <w:r>
        <w:rPr/>
        <w:t>Infection with four </w:t>
      </w:r>
      <w:r>
        <w:rPr>
          <w:i/>
        </w:rPr>
        <w:t>Aeromonas </w:t>
      </w:r>
      <w:r>
        <w:rPr/>
        <w:t>species resulted in gross lesions in trout fry. </w:t>
      </w:r>
      <w:r>
        <w:rPr>
          <w:i/>
        </w:rPr>
        <w:t>A</w:t>
      </w:r>
      <w:r>
        <w:rPr/>
        <w:t>.  </w:t>
      </w:r>
      <w:r>
        <w:rPr>
          <w:i/>
        </w:rPr>
        <w:t>salmonicida  </w:t>
      </w:r>
      <w:r>
        <w:rPr/>
        <w:t>infection in a fry induced congestion of the ventral surface near the anus and petechial hemorrages  in the ventral part of the opercula; in a fry trout infected with </w:t>
      </w:r>
      <w:r>
        <w:rPr>
          <w:i/>
        </w:rPr>
        <w:t>A</w:t>
      </w:r>
      <w:r>
        <w:rPr/>
        <w:t>. </w:t>
      </w:r>
      <w:r>
        <w:rPr>
          <w:i/>
        </w:rPr>
        <w:t>hydrophila</w:t>
      </w:r>
      <w:r>
        <w:rPr/>
        <w:t>, unilateral exophthalmia and hemorrhage were observed. </w:t>
      </w:r>
      <w:r>
        <w:rPr>
          <w:i/>
        </w:rPr>
        <w:t>A</w:t>
      </w:r>
      <w:r>
        <w:rPr/>
        <w:t>. </w:t>
      </w:r>
      <w:r>
        <w:rPr>
          <w:i/>
        </w:rPr>
        <w:t>veronii </w:t>
      </w:r>
      <w:r>
        <w:rPr/>
        <w:t>infection in a fry induced pale liver, and infection with </w:t>
      </w:r>
      <w:r>
        <w:rPr>
          <w:i/>
        </w:rPr>
        <w:t>A</w:t>
      </w:r>
      <w:r>
        <w:rPr/>
        <w:t>. </w:t>
      </w:r>
      <w:r>
        <w:rPr>
          <w:i/>
        </w:rPr>
        <w:t>bestiarum </w:t>
      </w:r>
      <w:r>
        <w:rPr/>
        <w:t>severe liver congestion. Livers of infected animals showed congestion with different  levels of severity: </w:t>
      </w:r>
      <w:r>
        <w:rPr>
          <w:i/>
        </w:rPr>
        <w:t>A</w:t>
      </w:r>
      <w:r>
        <w:rPr/>
        <w:t>. </w:t>
      </w:r>
      <w:r>
        <w:rPr>
          <w:i/>
        </w:rPr>
        <w:t>allosaccharophila </w:t>
      </w:r>
      <w:r>
        <w:rPr/>
        <w:t>83.3 %, </w:t>
      </w:r>
      <w:r>
        <w:rPr>
          <w:i/>
        </w:rPr>
        <w:t>A</w:t>
      </w:r>
      <w:r>
        <w:rPr/>
        <w:t>. </w:t>
      </w:r>
      <w:r>
        <w:rPr>
          <w:i/>
        </w:rPr>
        <w:t>salmonicida </w:t>
      </w:r>
      <w:r>
        <w:rPr/>
        <w:t>68.8 %, </w:t>
      </w:r>
      <w:r>
        <w:rPr>
          <w:i/>
        </w:rPr>
        <w:t>A</w:t>
      </w:r>
      <w:r>
        <w:rPr/>
        <w:t>. </w:t>
      </w:r>
      <w:r>
        <w:rPr>
          <w:i/>
        </w:rPr>
        <w:t>lusitana </w:t>
      </w:r>
      <w:r>
        <w:rPr/>
        <w:t>66.6 %, </w:t>
      </w:r>
      <w:r>
        <w:rPr>
          <w:i/>
        </w:rPr>
        <w:t>A</w:t>
      </w:r>
      <w:r>
        <w:rPr/>
        <w:t>. </w:t>
      </w:r>
      <w:r>
        <w:rPr>
          <w:i/>
        </w:rPr>
        <w:t>hydrophila </w:t>
      </w:r>
      <w:r>
        <w:rPr/>
        <w:t>60.0 %, </w:t>
      </w:r>
      <w:r>
        <w:rPr>
          <w:i/>
        </w:rPr>
        <w:t>A</w:t>
      </w:r>
      <w:r>
        <w:rPr/>
        <w:t>. </w:t>
      </w:r>
      <w:r>
        <w:rPr>
          <w:i/>
        </w:rPr>
        <w:t>bestiarum </w:t>
      </w:r>
      <w:r>
        <w:rPr/>
        <w:t>55.5 %, </w:t>
      </w:r>
      <w:r>
        <w:rPr>
          <w:i/>
        </w:rPr>
        <w:t>A</w:t>
      </w:r>
      <w:r>
        <w:rPr/>
        <w:t>. </w:t>
      </w:r>
      <w:r>
        <w:rPr>
          <w:i/>
        </w:rPr>
        <w:t>popoffii </w:t>
      </w:r>
      <w:r>
        <w:rPr/>
        <w:t>52.2 %, </w:t>
      </w:r>
      <w:r>
        <w:rPr>
          <w:i/>
        </w:rPr>
        <w:t>A</w:t>
      </w:r>
      <w:r>
        <w:rPr/>
        <w:t>. </w:t>
      </w:r>
      <w:r>
        <w:rPr>
          <w:i/>
        </w:rPr>
        <w:t>sobria </w:t>
      </w:r>
      <w:r>
        <w:rPr/>
        <w:t>52.2 %, </w:t>
      </w:r>
      <w:r>
        <w:rPr>
          <w:i/>
        </w:rPr>
        <w:t>A</w:t>
      </w:r>
      <w:r>
        <w:rPr/>
        <w:t>. </w:t>
      </w:r>
      <w:r>
        <w:rPr>
          <w:i/>
        </w:rPr>
        <w:t>veronii </w:t>
      </w:r>
      <w:r>
        <w:rPr/>
        <w:t>45.5 %  and </w:t>
      </w:r>
      <w:r>
        <w:rPr>
          <w:i/>
        </w:rPr>
        <w:t>A</w:t>
      </w:r>
      <w:r>
        <w:rPr/>
        <w:t>. </w:t>
      </w:r>
      <w:r>
        <w:rPr>
          <w:i/>
        </w:rPr>
        <w:t>caviae </w:t>
      </w:r>
      <w:r>
        <w:rPr/>
        <w:t>34.4 %; statistically significant differences were observed when contrasting the latter to fry infected with </w:t>
      </w:r>
      <w:r>
        <w:rPr>
          <w:i/>
        </w:rPr>
        <w:t>A</w:t>
      </w:r>
      <w:r>
        <w:rPr/>
        <w:t>. </w:t>
      </w:r>
      <w:r>
        <w:rPr>
          <w:i/>
        </w:rPr>
        <w:t>media </w:t>
      </w:r>
      <w:r>
        <w:rPr/>
        <w:t>27.7 % and the uninfected control group. The uninfected control group showed no obvious pathological  changes, with  no mortality and bacterial  isolation. These  </w:t>
      </w:r>
      <w:r>
        <w:rPr>
          <w:spacing w:val="37"/>
        </w:rPr>
        <w:t> </w:t>
      </w:r>
      <w:r>
        <w:rPr/>
        <w:t>results</w:t>
      </w:r>
    </w:p>
    <w:p>
      <w:pPr>
        <w:spacing w:after="0" w:line="480" w:lineRule="auto"/>
        <w:jc w:val="both"/>
        <w:sectPr>
          <w:pgSz w:w="12240" w:h="15840"/>
          <w:pgMar w:header="0" w:footer="695" w:top="1080" w:bottom="940" w:left="1200" w:right="1140"/>
        </w:sectPr>
      </w:pPr>
    </w:p>
    <w:p>
      <w:pPr>
        <w:pStyle w:val="BodyText"/>
        <w:spacing w:line="480" w:lineRule="auto" w:before="44"/>
        <w:ind w:left="103" w:right="59"/>
      </w:pPr>
      <w:r>
        <w:rPr/>
        <w:t>indicate that the bacterial species included in the study are different in their virulence and ability to spread in host internal tissues.</w:t>
      </w:r>
    </w:p>
    <w:p>
      <w:pPr>
        <w:spacing w:after="0" w:line="480" w:lineRule="auto"/>
        <w:sectPr>
          <w:pgSz w:w="12240" w:h="15840"/>
          <w:pgMar w:header="0" w:footer="695" w:top="1080" w:bottom="940" w:left="1200" w:right="1200"/>
        </w:sectPr>
      </w:pPr>
    </w:p>
    <w:p>
      <w:pPr>
        <w:pStyle w:val="Heading1"/>
        <w:ind w:left="223"/>
      </w:pPr>
      <w:r>
        <w:rPr/>
        <w:t>CONTENIDO</w:t>
      </w:r>
    </w:p>
    <w:p>
      <w:pPr>
        <w:pStyle w:val="BodyText"/>
        <w:spacing w:before="3"/>
        <w:rPr>
          <w:b/>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314"/>
        <w:gridCol w:w="1216"/>
      </w:tblGrid>
      <w:tr>
        <w:trPr>
          <w:trHeight w:val="576" w:hRule="exact"/>
        </w:trPr>
        <w:tc>
          <w:tcPr>
            <w:tcW w:w="8314" w:type="dxa"/>
            <w:tcBorders>
              <w:top w:val="single" w:sz="12" w:space="0" w:color="008000"/>
              <w:bottom w:val="single" w:sz="6" w:space="0" w:color="008000"/>
            </w:tcBorders>
          </w:tcPr>
          <w:p>
            <w:pPr>
              <w:pStyle w:val="TableParagraph"/>
              <w:spacing w:line="270" w:lineRule="exact"/>
              <w:ind w:left="122"/>
              <w:rPr>
                <w:sz w:val="24"/>
              </w:rPr>
            </w:pPr>
            <w:r>
              <w:rPr>
                <w:sz w:val="24"/>
              </w:rPr>
              <w:t>INTRODUCCIÓN GENERAL</w:t>
            </w:r>
          </w:p>
        </w:tc>
        <w:tc>
          <w:tcPr>
            <w:tcW w:w="1216" w:type="dxa"/>
            <w:tcBorders>
              <w:top w:val="single" w:sz="12" w:space="0" w:color="008000"/>
              <w:bottom w:val="single" w:sz="6" w:space="0" w:color="008000"/>
            </w:tcBorders>
          </w:tcPr>
          <w:p>
            <w:pPr>
              <w:pStyle w:val="TableParagraph"/>
              <w:spacing w:line="270" w:lineRule="exact"/>
              <w:ind w:left="363"/>
              <w:rPr>
                <w:sz w:val="24"/>
              </w:rPr>
            </w:pPr>
            <w:r>
              <w:rPr>
                <w:sz w:val="24"/>
              </w:rPr>
              <w:t>11</w:t>
            </w:r>
          </w:p>
        </w:tc>
      </w:tr>
      <w:tr>
        <w:trPr>
          <w:trHeight w:val="978" w:hRule="exact"/>
        </w:trPr>
        <w:tc>
          <w:tcPr>
            <w:tcW w:w="8314" w:type="dxa"/>
            <w:tcBorders>
              <w:top w:val="single" w:sz="6" w:space="0" w:color="008000"/>
            </w:tcBorders>
          </w:tcPr>
          <w:p>
            <w:pPr>
              <w:pStyle w:val="TableParagraph"/>
              <w:rPr>
                <w:b/>
                <w:sz w:val="24"/>
              </w:rPr>
            </w:pPr>
          </w:p>
          <w:p>
            <w:pPr>
              <w:pStyle w:val="TableParagraph"/>
              <w:spacing w:before="3"/>
              <w:rPr>
                <w:b/>
                <w:sz w:val="23"/>
              </w:rPr>
            </w:pPr>
          </w:p>
          <w:p>
            <w:pPr>
              <w:pStyle w:val="TableParagraph"/>
              <w:tabs>
                <w:tab w:pos="830" w:val="left" w:leader="none"/>
              </w:tabs>
              <w:ind w:left="482"/>
              <w:rPr>
                <w:sz w:val="24"/>
              </w:rPr>
            </w:pPr>
            <w:r>
              <w:rPr>
                <w:sz w:val="24"/>
              </w:rPr>
              <w:t>I.</w:t>
              <w:tab/>
              <w:t>REVISIÓN DE</w:t>
            </w:r>
            <w:r>
              <w:rPr>
                <w:spacing w:val="-10"/>
                <w:sz w:val="24"/>
              </w:rPr>
              <w:t> </w:t>
            </w:r>
            <w:r>
              <w:rPr>
                <w:sz w:val="24"/>
              </w:rPr>
              <w:t>LITERATURA</w:t>
            </w:r>
          </w:p>
        </w:tc>
        <w:tc>
          <w:tcPr>
            <w:tcW w:w="1216" w:type="dxa"/>
            <w:tcBorders>
              <w:top w:val="single" w:sz="6" w:space="0" w:color="008000"/>
            </w:tcBorders>
          </w:tcPr>
          <w:p>
            <w:pPr>
              <w:pStyle w:val="TableParagraph"/>
              <w:rPr>
                <w:b/>
                <w:sz w:val="24"/>
              </w:rPr>
            </w:pPr>
          </w:p>
          <w:p>
            <w:pPr>
              <w:pStyle w:val="TableParagraph"/>
              <w:spacing w:before="3"/>
              <w:rPr>
                <w:b/>
                <w:sz w:val="23"/>
              </w:rPr>
            </w:pPr>
          </w:p>
          <w:p>
            <w:pPr>
              <w:pStyle w:val="TableParagraph"/>
              <w:ind w:left="363"/>
              <w:rPr>
                <w:sz w:val="24"/>
              </w:rPr>
            </w:pPr>
            <w:r>
              <w:rPr>
                <w:sz w:val="24"/>
              </w:rPr>
              <w:t>12</w:t>
            </w:r>
          </w:p>
        </w:tc>
      </w:tr>
      <w:tr>
        <w:trPr>
          <w:trHeight w:val="552" w:hRule="exact"/>
        </w:trPr>
        <w:tc>
          <w:tcPr>
            <w:tcW w:w="8314" w:type="dxa"/>
          </w:tcPr>
          <w:p>
            <w:pPr>
              <w:pStyle w:val="TableParagraph"/>
              <w:spacing w:before="125"/>
              <w:ind w:left="974"/>
              <w:rPr>
                <w:sz w:val="24"/>
              </w:rPr>
            </w:pPr>
            <w:r>
              <w:rPr>
                <w:sz w:val="24"/>
              </w:rPr>
              <w:t>a.   Taxonomía</w:t>
            </w:r>
          </w:p>
        </w:tc>
        <w:tc>
          <w:tcPr>
            <w:tcW w:w="1216" w:type="dxa"/>
          </w:tcPr>
          <w:p>
            <w:pPr>
              <w:pStyle w:val="TableParagraph"/>
              <w:spacing w:before="125"/>
              <w:ind w:left="363"/>
              <w:rPr>
                <w:sz w:val="24"/>
              </w:rPr>
            </w:pPr>
            <w:r>
              <w:rPr>
                <w:sz w:val="24"/>
              </w:rPr>
              <w:t>12</w:t>
            </w:r>
          </w:p>
        </w:tc>
      </w:tr>
      <w:tr>
        <w:trPr>
          <w:trHeight w:val="552" w:hRule="exact"/>
        </w:trPr>
        <w:tc>
          <w:tcPr>
            <w:tcW w:w="8314" w:type="dxa"/>
          </w:tcPr>
          <w:p>
            <w:pPr>
              <w:pStyle w:val="TableParagraph"/>
              <w:spacing w:before="125"/>
              <w:ind w:left="974"/>
              <w:rPr>
                <w:sz w:val="24"/>
              </w:rPr>
            </w:pPr>
            <w:r>
              <w:rPr>
                <w:sz w:val="24"/>
              </w:rPr>
              <w:t>b.   Morfología y tinción</w:t>
            </w:r>
          </w:p>
        </w:tc>
        <w:tc>
          <w:tcPr>
            <w:tcW w:w="1216" w:type="dxa"/>
          </w:tcPr>
          <w:p>
            <w:pPr>
              <w:pStyle w:val="TableParagraph"/>
              <w:spacing w:before="125"/>
              <w:ind w:left="363"/>
              <w:rPr>
                <w:sz w:val="24"/>
              </w:rPr>
            </w:pPr>
            <w:r>
              <w:rPr>
                <w:sz w:val="24"/>
              </w:rPr>
              <w:t>13</w:t>
            </w:r>
          </w:p>
        </w:tc>
      </w:tr>
      <w:tr>
        <w:trPr>
          <w:trHeight w:val="828" w:hRule="exact"/>
        </w:trPr>
        <w:tc>
          <w:tcPr>
            <w:tcW w:w="8314" w:type="dxa"/>
          </w:tcPr>
          <w:p>
            <w:pPr>
              <w:pStyle w:val="TableParagraph"/>
              <w:spacing w:before="125"/>
              <w:ind w:left="974"/>
              <w:rPr>
                <w:sz w:val="24"/>
              </w:rPr>
            </w:pPr>
            <w:r>
              <w:rPr>
                <w:sz w:val="24"/>
              </w:rPr>
              <w:t>c.   Propiedades bioquímicas</w:t>
            </w:r>
          </w:p>
        </w:tc>
        <w:tc>
          <w:tcPr>
            <w:tcW w:w="1216" w:type="dxa"/>
          </w:tcPr>
          <w:p>
            <w:pPr>
              <w:pStyle w:val="TableParagraph"/>
              <w:spacing w:before="125"/>
              <w:ind w:left="363"/>
              <w:rPr>
                <w:sz w:val="24"/>
              </w:rPr>
            </w:pPr>
            <w:r>
              <w:rPr>
                <w:sz w:val="24"/>
              </w:rPr>
              <w:t>13</w:t>
            </w:r>
          </w:p>
        </w:tc>
      </w:tr>
      <w:tr>
        <w:trPr>
          <w:trHeight w:val="828" w:hRule="exact"/>
        </w:trPr>
        <w:tc>
          <w:tcPr>
            <w:tcW w:w="8314" w:type="dxa"/>
          </w:tcPr>
          <w:p>
            <w:pPr>
              <w:pStyle w:val="TableParagraph"/>
              <w:spacing w:before="10"/>
              <w:rPr>
                <w:b/>
                <w:sz w:val="34"/>
              </w:rPr>
            </w:pPr>
          </w:p>
          <w:p>
            <w:pPr>
              <w:pStyle w:val="TableParagraph"/>
              <w:ind w:left="482"/>
              <w:rPr>
                <w:sz w:val="24"/>
              </w:rPr>
            </w:pPr>
            <w:r>
              <w:rPr>
                <w:sz w:val="24"/>
              </w:rPr>
              <w:t>II.  ECOLOGÍA</w:t>
            </w:r>
          </w:p>
        </w:tc>
        <w:tc>
          <w:tcPr>
            <w:tcW w:w="1216" w:type="dxa"/>
          </w:tcPr>
          <w:p>
            <w:pPr>
              <w:pStyle w:val="TableParagraph"/>
              <w:spacing w:before="10"/>
              <w:rPr>
                <w:b/>
                <w:sz w:val="34"/>
              </w:rPr>
            </w:pPr>
          </w:p>
          <w:p>
            <w:pPr>
              <w:pStyle w:val="TableParagraph"/>
              <w:ind w:left="363"/>
              <w:rPr>
                <w:sz w:val="24"/>
              </w:rPr>
            </w:pPr>
            <w:r>
              <w:rPr>
                <w:sz w:val="24"/>
              </w:rPr>
              <w:t>14</w:t>
            </w:r>
          </w:p>
        </w:tc>
      </w:tr>
      <w:tr>
        <w:trPr>
          <w:trHeight w:val="552" w:hRule="exact"/>
        </w:trPr>
        <w:tc>
          <w:tcPr>
            <w:tcW w:w="8314" w:type="dxa"/>
          </w:tcPr>
          <w:p>
            <w:pPr>
              <w:pStyle w:val="TableParagraph"/>
              <w:spacing w:before="125"/>
              <w:ind w:left="974"/>
              <w:rPr>
                <w:sz w:val="24"/>
              </w:rPr>
            </w:pPr>
            <w:r>
              <w:rPr>
                <w:sz w:val="24"/>
              </w:rPr>
              <w:t>a.   Reservorio y hospederos</w:t>
            </w:r>
          </w:p>
        </w:tc>
        <w:tc>
          <w:tcPr>
            <w:tcW w:w="1216" w:type="dxa"/>
          </w:tcPr>
          <w:p>
            <w:pPr>
              <w:pStyle w:val="TableParagraph"/>
              <w:spacing w:before="125"/>
              <w:ind w:left="363"/>
              <w:rPr>
                <w:sz w:val="24"/>
              </w:rPr>
            </w:pPr>
            <w:r>
              <w:rPr>
                <w:sz w:val="24"/>
              </w:rPr>
              <w:t>14</w:t>
            </w:r>
          </w:p>
        </w:tc>
      </w:tr>
      <w:tr>
        <w:trPr>
          <w:trHeight w:val="552" w:hRule="exact"/>
        </w:trPr>
        <w:tc>
          <w:tcPr>
            <w:tcW w:w="8314" w:type="dxa"/>
          </w:tcPr>
          <w:p>
            <w:pPr>
              <w:pStyle w:val="TableParagraph"/>
              <w:spacing w:before="125"/>
              <w:ind w:left="974"/>
              <w:rPr>
                <w:sz w:val="24"/>
              </w:rPr>
            </w:pPr>
            <w:r>
              <w:rPr>
                <w:sz w:val="24"/>
              </w:rPr>
              <w:t>b. </w:t>
            </w:r>
            <w:r>
              <w:rPr>
                <w:spacing w:val="59"/>
                <w:sz w:val="24"/>
              </w:rPr>
              <w:t> </w:t>
            </w:r>
            <w:r>
              <w:rPr>
                <w:sz w:val="24"/>
              </w:rPr>
              <w:t>Transmisión</w:t>
            </w:r>
          </w:p>
        </w:tc>
        <w:tc>
          <w:tcPr>
            <w:tcW w:w="1216" w:type="dxa"/>
          </w:tcPr>
          <w:p>
            <w:pPr>
              <w:pStyle w:val="TableParagraph"/>
              <w:spacing w:before="125"/>
              <w:ind w:left="363"/>
              <w:rPr>
                <w:sz w:val="24"/>
              </w:rPr>
            </w:pPr>
            <w:r>
              <w:rPr>
                <w:sz w:val="24"/>
              </w:rPr>
              <w:t>15</w:t>
            </w:r>
          </w:p>
        </w:tc>
      </w:tr>
      <w:tr>
        <w:trPr>
          <w:trHeight w:val="552" w:hRule="exact"/>
        </w:trPr>
        <w:tc>
          <w:tcPr>
            <w:tcW w:w="8314" w:type="dxa"/>
          </w:tcPr>
          <w:p>
            <w:pPr>
              <w:pStyle w:val="TableParagraph"/>
              <w:spacing w:before="125"/>
              <w:ind w:left="974"/>
              <w:rPr>
                <w:sz w:val="24"/>
              </w:rPr>
            </w:pPr>
            <w:r>
              <w:rPr>
                <w:sz w:val="24"/>
              </w:rPr>
              <w:t>c.   Signología y patogenia</w:t>
            </w:r>
          </w:p>
        </w:tc>
        <w:tc>
          <w:tcPr>
            <w:tcW w:w="1216" w:type="dxa"/>
          </w:tcPr>
          <w:p>
            <w:pPr>
              <w:pStyle w:val="TableParagraph"/>
              <w:spacing w:before="125"/>
              <w:ind w:left="363"/>
              <w:rPr>
                <w:sz w:val="24"/>
              </w:rPr>
            </w:pPr>
            <w:r>
              <w:rPr>
                <w:sz w:val="24"/>
              </w:rPr>
              <w:t>15</w:t>
            </w:r>
          </w:p>
        </w:tc>
      </w:tr>
      <w:tr>
        <w:trPr>
          <w:trHeight w:val="552" w:hRule="exact"/>
        </w:trPr>
        <w:tc>
          <w:tcPr>
            <w:tcW w:w="8314" w:type="dxa"/>
          </w:tcPr>
          <w:p>
            <w:pPr>
              <w:pStyle w:val="TableParagraph"/>
              <w:spacing w:before="125"/>
              <w:ind w:left="974"/>
              <w:rPr>
                <w:sz w:val="24"/>
              </w:rPr>
            </w:pPr>
            <w:r>
              <w:rPr>
                <w:sz w:val="24"/>
              </w:rPr>
              <w:t>d.   Lesiones macroscópicas</w:t>
            </w:r>
          </w:p>
        </w:tc>
        <w:tc>
          <w:tcPr>
            <w:tcW w:w="1216" w:type="dxa"/>
          </w:tcPr>
          <w:p>
            <w:pPr>
              <w:pStyle w:val="TableParagraph"/>
              <w:spacing w:before="125"/>
              <w:ind w:left="363"/>
              <w:rPr>
                <w:sz w:val="24"/>
              </w:rPr>
            </w:pPr>
            <w:r>
              <w:rPr>
                <w:sz w:val="24"/>
              </w:rPr>
              <w:t>17</w:t>
            </w:r>
          </w:p>
        </w:tc>
      </w:tr>
      <w:tr>
        <w:trPr>
          <w:trHeight w:val="828" w:hRule="exact"/>
        </w:trPr>
        <w:tc>
          <w:tcPr>
            <w:tcW w:w="8314" w:type="dxa"/>
          </w:tcPr>
          <w:p>
            <w:pPr>
              <w:pStyle w:val="TableParagraph"/>
              <w:spacing w:before="125"/>
              <w:ind w:left="974"/>
              <w:rPr>
                <w:sz w:val="24"/>
              </w:rPr>
            </w:pPr>
            <w:r>
              <w:rPr>
                <w:sz w:val="24"/>
              </w:rPr>
              <w:t>e.   Lesiones microscópicas</w:t>
            </w:r>
          </w:p>
        </w:tc>
        <w:tc>
          <w:tcPr>
            <w:tcW w:w="1216" w:type="dxa"/>
          </w:tcPr>
          <w:p>
            <w:pPr>
              <w:pStyle w:val="TableParagraph"/>
              <w:spacing w:before="125"/>
              <w:ind w:left="363"/>
              <w:rPr>
                <w:sz w:val="24"/>
              </w:rPr>
            </w:pPr>
            <w:r>
              <w:rPr>
                <w:sz w:val="24"/>
              </w:rPr>
              <w:t>18</w:t>
            </w:r>
          </w:p>
        </w:tc>
      </w:tr>
      <w:tr>
        <w:trPr>
          <w:trHeight w:val="1656" w:hRule="exact"/>
        </w:trPr>
        <w:tc>
          <w:tcPr>
            <w:tcW w:w="8314" w:type="dxa"/>
          </w:tcPr>
          <w:p>
            <w:pPr>
              <w:pStyle w:val="TableParagraph"/>
              <w:spacing w:before="10"/>
              <w:rPr>
                <w:b/>
                <w:sz w:val="34"/>
              </w:rPr>
            </w:pPr>
          </w:p>
          <w:p>
            <w:pPr>
              <w:pStyle w:val="TableParagraph"/>
              <w:spacing w:line="480" w:lineRule="auto"/>
              <w:ind w:left="1202" w:hanging="720"/>
              <w:rPr>
                <w:sz w:val="24"/>
              </w:rPr>
            </w:pPr>
            <w:r>
              <w:rPr>
                <w:sz w:val="24"/>
              </w:rPr>
              <w:t>III. ESPECIES DE </w:t>
            </w:r>
            <w:r>
              <w:rPr>
                <w:i/>
                <w:sz w:val="24"/>
              </w:rPr>
              <w:t>Aeromonas </w:t>
            </w:r>
            <w:r>
              <w:rPr>
                <w:sz w:val="24"/>
              </w:rPr>
              <w:t>DE IMPORTANCIA CLÍNICA PARA LA TRUCHA ARCOÍRIS</w:t>
            </w:r>
          </w:p>
        </w:tc>
        <w:tc>
          <w:tcPr>
            <w:tcW w:w="1216" w:type="dxa"/>
          </w:tcPr>
          <w:p>
            <w:pPr>
              <w:pStyle w:val="TableParagraph"/>
              <w:spacing w:before="10"/>
              <w:rPr>
                <w:b/>
                <w:sz w:val="34"/>
              </w:rPr>
            </w:pPr>
          </w:p>
          <w:p>
            <w:pPr>
              <w:pStyle w:val="TableParagraph"/>
              <w:ind w:left="363"/>
              <w:rPr>
                <w:sz w:val="24"/>
              </w:rPr>
            </w:pPr>
            <w:r>
              <w:rPr>
                <w:sz w:val="24"/>
              </w:rPr>
              <w:t>20</w:t>
            </w:r>
          </w:p>
        </w:tc>
      </w:tr>
      <w:tr>
        <w:trPr>
          <w:trHeight w:val="1104" w:hRule="exact"/>
        </w:trPr>
        <w:tc>
          <w:tcPr>
            <w:tcW w:w="8314" w:type="dxa"/>
          </w:tcPr>
          <w:p>
            <w:pPr>
              <w:pStyle w:val="TableParagraph"/>
              <w:spacing w:before="10"/>
              <w:rPr>
                <w:b/>
                <w:sz w:val="34"/>
              </w:rPr>
            </w:pPr>
          </w:p>
          <w:p>
            <w:pPr>
              <w:pStyle w:val="TableParagraph"/>
              <w:ind w:left="482"/>
              <w:rPr>
                <w:sz w:val="24"/>
              </w:rPr>
            </w:pPr>
            <w:r>
              <w:rPr>
                <w:sz w:val="24"/>
              </w:rPr>
              <w:t>IV. PRESENCIA DE </w:t>
            </w:r>
            <w:r>
              <w:rPr>
                <w:i/>
                <w:sz w:val="24"/>
              </w:rPr>
              <w:t>Aeromonas </w:t>
            </w:r>
            <w:r>
              <w:rPr>
                <w:sz w:val="24"/>
              </w:rPr>
              <w:t>spp. EN MÉXICO.</w:t>
            </w:r>
          </w:p>
        </w:tc>
        <w:tc>
          <w:tcPr>
            <w:tcW w:w="1216" w:type="dxa"/>
          </w:tcPr>
          <w:p>
            <w:pPr>
              <w:pStyle w:val="TableParagraph"/>
              <w:spacing w:before="10"/>
              <w:rPr>
                <w:b/>
                <w:sz w:val="34"/>
              </w:rPr>
            </w:pPr>
          </w:p>
          <w:p>
            <w:pPr>
              <w:pStyle w:val="TableParagraph"/>
              <w:ind w:left="363"/>
              <w:rPr>
                <w:sz w:val="24"/>
              </w:rPr>
            </w:pPr>
            <w:r>
              <w:rPr>
                <w:sz w:val="24"/>
              </w:rPr>
              <w:t>24</w:t>
            </w:r>
          </w:p>
        </w:tc>
      </w:tr>
      <w:tr>
        <w:trPr>
          <w:trHeight w:val="1104" w:hRule="exact"/>
        </w:trPr>
        <w:tc>
          <w:tcPr>
            <w:tcW w:w="8314" w:type="dxa"/>
          </w:tcPr>
          <w:p>
            <w:pPr>
              <w:pStyle w:val="TableParagraph"/>
              <w:spacing w:before="10"/>
              <w:rPr>
                <w:b/>
                <w:sz w:val="34"/>
              </w:rPr>
            </w:pPr>
          </w:p>
          <w:p>
            <w:pPr>
              <w:pStyle w:val="TableParagraph"/>
              <w:ind w:left="122"/>
              <w:rPr>
                <w:sz w:val="24"/>
              </w:rPr>
            </w:pPr>
            <w:r>
              <w:rPr>
                <w:sz w:val="24"/>
              </w:rPr>
              <w:t>JUSTIFICACIÓN</w:t>
            </w:r>
          </w:p>
        </w:tc>
        <w:tc>
          <w:tcPr>
            <w:tcW w:w="1216" w:type="dxa"/>
          </w:tcPr>
          <w:p>
            <w:pPr>
              <w:pStyle w:val="TableParagraph"/>
              <w:spacing w:before="10"/>
              <w:rPr>
                <w:b/>
                <w:sz w:val="34"/>
              </w:rPr>
            </w:pPr>
          </w:p>
          <w:p>
            <w:pPr>
              <w:pStyle w:val="TableParagraph"/>
              <w:ind w:left="363"/>
              <w:rPr>
                <w:sz w:val="24"/>
              </w:rPr>
            </w:pPr>
            <w:r>
              <w:rPr>
                <w:sz w:val="24"/>
              </w:rPr>
              <w:t>26</w:t>
            </w:r>
          </w:p>
        </w:tc>
      </w:tr>
      <w:tr>
        <w:trPr>
          <w:trHeight w:val="975" w:hRule="exact"/>
        </w:trPr>
        <w:tc>
          <w:tcPr>
            <w:tcW w:w="8314" w:type="dxa"/>
            <w:tcBorders>
              <w:bottom w:val="single" w:sz="12" w:space="0" w:color="008000"/>
            </w:tcBorders>
          </w:tcPr>
          <w:p>
            <w:pPr>
              <w:pStyle w:val="TableParagraph"/>
              <w:spacing w:before="10"/>
              <w:rPr>
                <w:b/>
                <w:sz w:val="34"/>
              </w:rPr>
            </w:pPr>
          </w:p>
          <w:p>
            <w:pPr>
              <w:pStyle w:val="TableParagraph"/>
              <w:ind w:left="122"/>
              <w:rPr>
                <w:sz w:val="24"/>
              </w:rPr>
            </w:pPr>
            <w:r>
              <w:rPr>
                <w:sz w:val="24"/>
              </w:rPr>
              <w:t>HIPÓTESIS</w:t>
            </w:r>
          </w:p>
        </w:tc>
        <w:tc>
          <w:tcPr>
            <w:tcW w:w="1216" w:type="dxa"/>
            <w:tcBorders>
              <w:bottom w:val="single" w:sz="12" w:space="0" w:color="008000"/>
            </w:tcBorders>
          </w:tcPr>
          <w:p>
            <w:pPr>
              <w:pStyle w:val="TableParagraph"/>
              <w:spacing w:before="10"/>
              <w:rPr>
                <w:b/>
                <w:sz w:val="34"/>
              </w:rPr>
            </w:pPr>
          </w:p>
          <w:p>
            <w:pPr>
              <w:pStyle w:val="TableParagraph"/>
              <w:ind w:left="363"/>
              <w:rPr>
                <w:sz w:val="24"/>
              </w:rPr>
            </w:pPr>
            <w:r>
              <w:rPr>
                <w:sz w:val="24"/>
              </w:rPr>
              <w:t>27</w:t>
            </w:r>
          </w:p>
        </w:tc>
      </w:tr>
    </w:tbl>
    <w:p>
      <w:pPr>
        <w:spacing w:after="0"/>
        <w:rPr>
          <w:sz w:val="24"/>
        </w:rPr>
        <w:sectPr>
          <w:pgSz w:w="12240" w:h="15840"/>
          <w:pgMar w:header="0" w:footer="695" w:top="1080" w:bottom="940" w:left="1080" w:right="1200"/>
        </w:sectPr>
      </w:pPr>
    </w:p>
    <w:p>
      <w:pPr>
        <w:pStyle w:val="BodyText"/>
        <w:spacing w:line="29" w:lineRule="exact"/>
        <w:ind w:left="120"/>
        <w:rPr>
          <w:sz w:val="2"/>
        </w:rPr>
      </w:pPr>
      <w:r>
        <w:rPr/>
        <w:pict>
          <v:group style="position:absolute;margin-left:58.314999pt;margin-top:693.091003pt;width:477.95pt;height:1.45pt;mso-position-horizontal-relative:page;mso-position-vertical-relative:page;z-index:-73840" coordorigin="1166,13862" coordsize="9559,29">
            <v:line style="position:absolute" from="1181,13876" to="9244,13876" stroked="true" strokeweight="1.44pt" strokecolor="#008000"/>
            <v:line style="position:absolute" from="9230,13876" to="9259,13876" stroked="true" strokeweight="1.44pt" strokecolor="#008000"/>
            <v:line style="position:absolute" from="9259,13876" to="10711,13876" stroked="true" strokeweight="1.44pt" strokecolor="#008000"/>
            <w10:wrap type="none"/>
          </v:group>
        </w:pict>
      </w:r>
      <w:r>
        <w:rPr>
          <w:position w:val="0"/>
          <w:sz w:val="2"/>
        </w:rPr>
        <w:pict>
          <v:group style="width:477.25pt;height:1.45pt;mso-position-horizontal-relative:char;mso-position-vertical-relative:line" coordorigin="0,0" coordsize="9545,29">
            <v:line style="position:absolute" from="15,15" to="8064,15" stroked="true" strokeweight="1.44pt" strokecolor="#008000"/>
            <v:line style="position:absolute" from="8064,15" to="8092,15" stroked="true" strokeweight="1.44pt" strokecolor="#008000"/>
            <v:line style="position:absolute" from="8093,15" to="9530,15" stroked="true" strokeweight="1.44pt" strokecolor="#008000"/>
          </v:group>
        </w:pict>
      </w:r>
      <w:r>
        <w:rPr>
          <w:position w:val="0"/>
          <w:sz w:val="2"/>
        </w:rPr>
      </w:r>
    </w:p>
    <w:p>
      <w:pPr>
        <w:pStyle w:val="BodyText"/>
        <w:rPr>
          <w:b/>
          <w:sz w:val="20"/>
        </w:rPr>
      </w:pPr>
    </w:p>
    <w:p>
      <w:pPr>
        <w:pStyle w:val="BodyText"/>
        <w:spacing w:before="6" w:after="1"/>
        <w:rPr>
          <w:b/>
          <w:sz w:val="29"/>
        </w:rPr>
      </w:pP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316"/>
        <w:gridCol w:w="802"/>
      </w:tblGrid>
      <w:tr>
        <w:trPr>
          <w:trHeight w:val="396" w:hRule="exact"/>
        </w:trPr>
        <w:tc>
          <w:tcPr>
            <w:tcW w:w="8316" w:type="dxa"/>
          </w:tcPr>
          <w:p>
            <w:pPr>
              <w:pStyle w:val="TableParagraph"/>
              <w:spacing w:line="245" w:lineRule="exact"/>
              <w:ind w:left="122" w:right="359"/>
              <w:rPr>
                <w:sz w:val="24"/>
              </w:rPr>
            </w:pPr>
            <w:r>
              <w:rPr>
                <w:sz w:val="24"/>
              </w:rPr>
              <w:t>OBJETIVO GENERAL</w:t>
            </w:r>
          </w:p>
        </w:tc>
        <w:tc>
          <w:tcPr>
            <w:tcW w:w="802" w:type="dxa"/>
          </w:tcPr>
          <w:p>
            <w:pPr>
              <w:pStyle w:val="TableParagraph"/>
              <w:spacing w:line="245" w:lineRule="exact"/>
              <w:ind w:right="198"/>
              <w:jc w:val="right"/>
              <w:rPr>
                <w:sz w:val="24"/>
              </w:rPr>
            </w:pPr>
            <w:r>
              <w:rPr>
                <w:sz w:val="24"/>
              </w:rPr>
              <w:t>28</w:t>
            </w:r>
          </w:p>
        </w:tc>
      </w:tr>
      <w:tr>
        <w:trPr>
          <w:trHeight w:val="828" w:hRule="exact"/>
        </w:trPr>
        <w:tc>
          <w:tcPr>
            <w:tcW w:w="8316" w:type="dxa"/>
          </w:tcPr>
          <w:p>
            <w:pPr>
              <w:pStyle w:val="TableParagraph"/>
              <w:spacing w:before="125"/>
              <w:ind w:left="482" w:right="359"/>
              <w:rPr>
                <w:sz w:val="24"/>
              </w:rPr>
            </w:pPr>
            <w:r>
              <w:rPr>
                <w:sz w:val="24"/>
              </w:rPr>
              <w:t>a.   Objetivos específicos</w:t>
            </w:r>
          </w:p>
        </w:tc>
        <w:tc>
          <w:tcPr>
            <w:tcW w:w="802" w:type="dxa"/>
          </w:tcPr>
          <w:p>
            <w:pPr>
              <w:pStyle w:val="TableParagraph"/>
              <w:spacing w:before="125"/>
              <w:ind w:right="198"/>
              <w:jc w:val="right"/>
              <w:rPr>
                <w:sz w:val="24"/>
              </w:rPr>
            </w:pPr>
            <w:r>
              <w:rPr>
                <w:sz w:val="24"/>
              </w:rPr>
              <w:t>28</w:t>
            </w:r>
          </w:p>
        </w:tc>
      </w:tr>
      <w:tr>
        <w:trPr>
          <w:trHeight w:val="828" w:hRule="exact"/>
        </w:trPr>
        <w:tc>
          <w:tcPr>
            <w:tcW w:w="8316" w:type="dxa"/>
          </w:tcPr>
          <w:p>
            <w:pPr>
              <w:pStyle w:val="TableParagraph"/>
              <w:spacing w:before="10"/>
              <w:rPr>
                <w:b/>
                <w:sz w:val="34"/>
              </w:rPr>
            </w:pPr>
          </w:p>
          <w:p>
            <w:pPr>
              <w:pStyle w:val="TableParagraph"/>
              <w:ind w:left="122" w:right="359"/>
              <w:rPr>
                <w:sz w:val="24"/>
              </w:rPr>
            </w:pPr>
            <w:r>
              <w:rPr>
                <w:sz w:val="24"/>
              </w:rPr>
              <w:t>MATERIAL Y MÉTODOS</w:t>
            </w:r>
          </w:p>
        </w:tc>
        <w:tc>
          <w:tcPr>
            <w:tcW w:w="802" w:type="dxa"/>
          </w:tcPr>
          <w:p>
            <w:pPr>
              <w:pStyle w:val="TableParagraph"/>
              <w:spacing w:before="10"/>
              <w:rPr>
                <w:b/>
                <w:sz w:val="34"/>
              </w:rPr>
            </w:pPr>
          </w:p>
          <w:p>
            <w:pPr>
              <w:pStyle w:val="TableParagraph"/>
              <w:ind w:right="198"/>
              <w:jc w:val="right"/>
              <w:rPr>
                <w:sz w:val="24"/>
              </w:rPr>
            </w:pPr>
            <w:r>
              <w:rPr>
                <w:sz w:val="24"/>
              </w:rPr>
              <w:t>29</w:t>
            </w:r>
          </w:p>
        </w:tc>
      </w:tr>
      <w:tr>
        <w:trPr>
          <w:trHeight w:val="552" w:hRule="exact"/>
        </w:trPr>
        <w:tc>
          <w:tcPr>
            <w:tcW w:w="8316" w:type="dxa"/>
          </w:tcPr>
          <w:p>
            <w:pPr>
              <w:pStyle w:val="TableParagraph"/>
              <w:spacing w:before="125"/>
              <w:ind w:left="482" w:right="359"/>
              <w:rPr>
                <w:sz w:val="24"/>
              </w:rPr>
            </w:pPr>
            <w:r>
              <w:rPr>
                <w:sz w:val="24"/>
              </w:rPr>
              <w:t>a. </w:t>
            </w:r>
            <w:r>
              <w:rPr>
                <w:spacing w:val="55"/>
                <w:sz w:val="24"/>
              </w:rPr>
              <w:t> </w:t>
            </w:r>
            <w:r>
              <w:rPr>
                <w:sz w:val="24"/>
              </w:rPr>
              <w:t>Bacterias</w:t>
            </w:r>
          </w:p>
        </w:tc>
        <w:tc>
          <w:tcPr>
            <w:tcW w:w="802" w:type="dxa"/>
          </w:tcPr>
          <w:p>
            <w:pPr>
              <w:pStyle w:val="TableParagraph"/>
              <w:spacing w:before="125"/>
              <w:ind w:right="198"/>
              <w:jc w:val="right"/>
              <w:rPr>
                <w:sz w:val="24"/>
              </w:rPr>
            </w:pPr>
            <w:r>
              <w:rPr>
                <w:sz w:val="24"/>
              </w:rPr>
              <w:t>29</w:t>
            </w:r>
          </w:p>
        </w:tc>
      </w:tr>
      <w:tr>
        <w:trPr>
          <w:trHeight w:val="552" w:hRule="exact"/>
        </w:trPr>
        <w:tc>
          <w:tcPr>
            <w:tcW w:w="8316" w:type="dxa"/>
          </w:tcPr>
          <w:p>
            <w:pPr>
              <w:pStyle w:val="TableParagraph"/>
              <w:spacing w:before="125"/>
              <w:ind w:left="482" w:right="359"/>
              <w:rPr>
                <w:sz w:val="24"/>
              </w:rPr>
            </w:pPr>
            <w:r>
              <w:rPr>
                <w:sz w:val="24"/>
              </w:rPr>
              <w:t>b.   Medio de cultivo</w:t>
            </w:r>
          </w:p>
        </w:tc>
        <w:tc>
          <w:tcPr>
            <w:tcW w:w="802" w:type="dxa"/>
          </w:tcPr>
          <w:p>
            <w:pPr>
              <w:pStyle w:val="TableParagraph"/>
              <w:spacing w:before="125"/>
              <w:ind w:right="198"/>
              <w:jc w:val="right"/>
              <w:rPr>
                <w:sz w:val="24"/>
              </w:rPr>
            </w:pPr>
            <w:r>
              <w:rPr>
                <w:sz w:val="24"/>
              </w:rPr>
              <w:t>29</w:t>
            </w:r>
          </w:p>
        </w:tc>
      </w:tr>
      <w:tr>
        <w:trPr>
          <w:trHeight w:val="552" w:hRule="exact"/>
        </w:trPr>
        <w:tc>
          <w:tcPr>
            <w:tcW w:w="8316" w:type="dxa"/>
          </w:tcPr>
          <w:p>
            <w:pPr>
              <w:pStyle w:val="TableParagraph"/>
              <w:spacing w:before="125"/>
              <w:ind w:left="482" w:right="359"/>
              <w:rPr>
                <w:sz w:val="24"/>
              </w:rPr>
            </w:pPr>
            <w:r>
              <w:rPr>
                <w:sz w:val="24"/>
              </w:rPr>
              <w:t>c.   Preparación del inóculo</w:t>
            </w:r>
          </w:p>
        </w:tc>
        <w:tc>
          <w:tcPr>
            <w:tcW w:w="802" w:type="dxa"/>
          </w:tcPr>
          <w:p>
            <w:pPr>
              <w:pStyle w:val="TableParagraph"/>
              <w:spacing w:before="125"/>
              <w:ind w:right="198"/>
              <w:jc w:val="right"/>
              <w:rPr>
                <w:sz w:val="24"/>
              </w:rPr>
            </w:pPr>
            <w:r>
              <w:rPr>
                <w:sz w:val="24"/>
              </w:rPr>
              <w:t>30</w:t>
            </w:r>
          </w:p>
        </w:tc>
      </w:tr>
      <w:tr>
        <w:trPr>
          <w:trHeight w:val="552" w:hRule="exact"/>
        </w:trPr>
        <w:tc>
          <w:tcPr>
            <w:tcW w:w="8316" w:type="dxa"/>
          </w:tcPr>
          <w:p>
            <w:pPr>
              <w:pStyle w:val="TableParagraph"/>
              <w:spacing w:before="125"/>
              <w:ind w:left="482" w:right="359"/>
              <w:rPr>
                <w:sz w:val="24"/>
              </w:rPr>
            </w:pPr>
            <w:r>
              <w:rPr>
                <w:sz w:val="24"/>
              </w:rPr>
              <w:t>d.   Peces y alojamiento</w:t>
            </w:r>
          </w:p>
        </w:tc>
        <w:tc>
          <w:tcPr>
            <w:tcW w:w="802" w:type="dxa"/>
          </w:tcPr>
          <w:p>
            <w:pPr>
              <w:pStyle w:val="TableParagraph"/>
              <w:spacing w:before="125"/>
              <w:ind w:right="198"/>
              <w:jc w:val="right"/>
              <w:rPr>
                <w:sz w:val="24"/>
              </w:rPr>
            </w:pPr>
            <w:r>
              <w:rPr>
                <w:sz w:val="24"/>
              </w:rPr>
              <w:t>30</w:t>
            </w:r>
          </w:p>
        </w:tc>
      </w:tr>
      <w:tr>
        <w:trPr>
          <w:trHeight w:val="552" w:hRule="exact"/>
        </w:trPr>
        <w:tc>
          <w:tcPr>
            <w:tcW w:w="8316" w:type="dxa"/>
          </w:tcPr>
          <w:p>
            <w:pPr>
              <w:pStyle w:val="TableParagraph"/>
              <w:spacing w:before="125"/>
              <w:ind w:left="482" w:right="359"/>
              <w:rPr>
                <w:sz w:val="24"/>
              </w:rPr>
            </w:pPr>
            <w:r>
              <w:rPr>
                <w:sz w:val="24"/>
              </w:rPr>
              <w:t>e.   Eutanasia de los peces</w:t>
            </w:r>
          </w:p>
        </w:tc>
        <w:tc>
          <w:tcPr>
            <w:tcW w:w="802" w:type="dxa"/>
          </w:tcPr>
          <w:p>
            <w:pPr>
              <w:pStyle w:val="TableParagraph"/>
              <w:spacing w:before="125"/>
              <w:ind w:right="198"/>
              <w:jc w:val="right"/>
              <w:rPr>
                <w:sz w:val="24"/>
              </w:rPr>
            </w:pPr>
            <w:r>
              <w:rPr>
                <w:sz w:val="24"/>
              </w:rPr>
              <w:t>31</w:t>
            </w:r>
          </w:p>
        </w:tc>
      </w:tr>
      <w:tr>
        <w:trPr>
          <w:trHeight w:val="552" w:hRule="exact"/>
        </w:trPr>
        <w:tc>
          <w:tcPr>
            <w:tcW w:w="8316" w:type="dxa"/>
          </w:tcPr>
          <w:p>
            <w:pPr>
              <w:pStyle w:val="TableParagraph"/>
              <w:tabs>
                <w:tab w:pos="830" w:val="left" w:leader="none"/>
              </w:tabs>
              <w:spacing w:before="125"/>
              <w:ind w:left="482" w:right="359"/>
              <w:rPr>
                <w:sz w:val="24"/>
              </w:rPr>
            </w:pPr>
            <w:r>
              <w:rPr>
                <w:sz w:val="24"/>
              </w:rPr>
              <w:t>f.</w:t>
              <w:tab/>
              <w:t>Diseño</w:t>
            </w:r>
            <w:r>
              <w:rPr>
                <w:spacing w:val="-3"/>
                <w:sz w:val="24"/>
              </w:rPr>
              <w:t> </w:t>
            </w:r>
            <w:r>
              <w:rPr>
                <w:sz w:val="24"/>
              </w:rPr>
              <w:t>experimental</w:t>
            </w:r>
          </w:p>
        </w:tc>
        <w:tc>
          <w:tcPr>
            <w:tcW w:w="802" w:type="dxa"/>
          </w:tcPr>
          <w:p>
            <w:pPr>
              <w:pStyle w:val="TableParagraph"/>
              <w:spacing w:before="125"/>
              <w:ind w:right="198"/>
              <w:jc w:val="right"/>
              <w:rPr>
                <w:sz w:val="24"/>
              </w:rPr>
            </w:pPr>
            <w:r>
              <w:rPr>
                <w:sz w:val="24"/>
              </w:rPr>
              <w:t>31</w:t>
            </w:r>
          </w:p>
        </w:tc>
      </w:tr>
      <w:tr>
        <w:trPr>
          <w:trHeight w:val="552" w:hRule="exact"/>
        </w:trPr>
        <w:tc>
          <w:tcPr>
            <w:tcW w:w="8316" w:type="dxa"/>
          </w:tcPr>
          <w:p>
            <w:pPr>
              <w:pStyle w:val="TableParagraph"/>
              <w:spacing w:before="125"/>
              <w:ind w:left="482" w:right="359"/>
              <w:rPr>
                <w:sz w:val="24"/>
              </w:rPr>
            </w:pPr>
            <w:r>
              <w:rPr>
                <w:sz w:val="24"/>
              </w:rPr>
              <w:t>g.  Necropsia</w:t>
            </w:r>
          </w:p>
        </w:tc>
        <w:tc>
          <w:tcPr>
            <w:tcW w:w="802" w:type="dxa"/>
          </w:tcPr>
          <w:p>
            <w:pPr>
              <w:pStyle w:val="TableParagraph"/>
              <w:spacing w:before="125"/>
              <w:ind w:right="198"/>
              <w:jc w:val="right"/>
              <w:rPr>
                <w:sz w:val="24"/>
              </w:rPr>
            </w:pPr>
            <w:r>
              <w:rPr>
                <w:sz w:val="24"/>
              </w:rPr>
              <w:t>32</w:t>
            </w:r>
          </w:p>
        </w:tc>
      </w:tr>
      <w:tr>
        <w:trPr>
          <w:trHeight w:val="552" w:hRule="exact"/>
        </w:trPr>
        <w:tc>
          <w:tcPr>
            <w:tcW w:w="8316" w:type="dxa"/>
          </w:tcPr>
          <w:p>
            <w:pPr>
              <w:pStyle w:val="TableParagraph"/>
              <w:spacing w:before="125"/>
              <w:ind w:left="482" w:right="359"/>
              <w:rPr>
                <w:sz w:val="24"/>
              </w:rPr>
            </w:pPr>
            <w:r>
              <w:rPr>
                <w:sz w:val="24"/>
              </w:rPr>
              <w:t>h.   Aislamiento bacteriológico</w:t>
            </w:r>
          </w:p>
        </w:tc>
        <w:tc>
          <w:tcPr>
            <w:tcW w:w="802" w:type="dxa"/>
          </w:tcPr>
          <w:p>
            <w:pPr>
              <w:pStyle w:val="TableParagraph"/>
              <w:spacing w:before="125"/>
              <w:ind w:right="198"/>
              <w:jc w:val="right"/>
              <w:rPr>
                <w:sz w:val="24"/>
              </w:rPr>
            </w:pPr>
            <w:r>
              <w:rPr>
                <w:sz w:val="24"/>
              </w:rPr>
              <w:t>32</w:t>
            </w:r>
          </w:p>
        </w:tc>
      </w:tr>
      <w:tr>
        <w:trPr>
          <w:trHeight w:val="552" w:hRule="exact"/>
        </w:trPr>
        <w:tc>
          <w:tcPr>
            <w:tcW w:w="8316" w:type="dxa"/>
          </w:tcPr>
          <w:p>
            <w:pPr>
              <w:pStyle w:val="TableParagraph"/>
              <w:tabs>
                <w:tab w:pos="830" w:val="left" w:leader="none"/>
              </w:tabs>
              <w:spacing w:before="125"/>
              <w:ind w:left="482" w:right="359"/>
              <w:rPr>
                <w:sz w:val="24"/>
              </w:rPr>
            </w:pPr>
            <w:r>
              <w:rPr>
                <w:sz w:val="24"/>
              </w:rPr>
              <w:t>i.</w:t>
              <w:tab/>
              <w:t>Histopatología</w:t>
            </w:r>
          </w:p>
        </w:tc>
        <w:tc>
          <w:tcPr>
            <w:tcW w:w="802" w:type="dxa"/>
          </w:tcPr>
          <w:p>
            <w:pPr>
              <w:pStyle w:val="TableParagraph"/>
              <w:spacing w:before="125"/>
              <w:ind w:right="198"/>
              <w:jc w:val="right"/>
              <w:rPr>
                <w:sz w:val="24"/>
              </w:rPr>
            </w:pPr>
            <w:r>
              <w:rPr>
                <w:sz w:val="24"/>
              </w:rPr>
              <w:t>33</w:t>
            </w:r>
          </w:p>
        </w:tc>
      </w:tr>
      <w:tr>
        <w:trPr>
          <w:trHeight w:val="552" w:hRule="exact"/>
        </w:trPr>
        <w:tc>
          <w:tcPr>
            <w:tcW w:w="8316" w:type="dxa"/>
          </w:tcPr>
          <w:p>
            <w:pPr>
              <w:pStyle w:val="TableParagraph"/>
              <w:tabs>
                <w:tab w:pos="830" w:val="left" w:leader="none"/>
              </w:tabs>
              <w:spacing w:before="125"/>
              <w:ind w:left="482" w:right="359"/>
              <w:rPr>
                <w:sz w:val="24"/>
              </w:rPr>
            </w:pPr>
            <w:r>
              <w:rPr>
                <w:sz w:val="24"/>
              </w:rPr>
              <w:t>j.</w:t>
              <w:tab/>
              <w:t>ERIC-PCR</w:t>
            </w:r>
          </w:p>
        </w:tc>
        <w:tc>
          <w:tcPr>
            <w:tcW w:w="802" w:type="dxa"/>
          </w:tcPr>
          <w:p>
            <w:pPr>
              <w:pStyle w:val="TableParagraph"/>
              <w:spacing w:before="125"/>
              <w:ind w:right="198"/>
              <w:jc w:val="right"/>
              <w:rPr>
                <w:sz w:val="24"/>
              </w:rPr>
            </w:pPr>
            <w:r>
              <w:rPr>
                <w:sz w:val="24"/>
              </w:rPr>
              <w:t>35</w:t>
            </w:r>
          </w:p>
        </w:tc>
      </w:tr>
      <w:tr>
        <w:trPr>
          <w:trHeight w:val="828" w:hRule="exact"/>
        </w:trPr>
        <w:tc>
          <w:tcPr>
            <w:tcW w:w="8316" w:type="dxa"/>
          </w:tcPr>
          <w:p>
            <w:pPr>
              <w:pStyle w:val="TableParagraph"/>
              <w:spacing w:before="125"/>
              <w:ind w:left="482" w:right="359"/>
              <w:rPr>
                <w:sz w:val="24"/>
              </w:rPr>
            </w:pPr>
            <w:r>
              <w:rPr>
                <w:sz w:val="24"/>
              </w:rPr>
              <w:t>k.   Análisis estadístico</w:t>
            </w:r>
          </w:p>
        </w:tc>
        <w:tc>
          <w:tcPr>
            <w:tcW w:w="802" w:type="dxa"/>
          </w:tcPr>
          <w:p>
            <w:pPr>
              <w:pStyle w:val="TableParagraph"/>
              <w:spacing w:before="125"/>
              <w:ind w:right="198"/>
              <w:jc w:val="right"/>
              <w:rPr>
                <w:sz w:val="24"/>
              </w:rPr>
            </w:pPr>
            <w:r>
              <w:rPr>
                <w:sz w:val="24"/>
              </w:rPr>
              <w:t>35</w:t>
            </w:r>
          </w:p>
        </w:tc>
      </w:tr>
      <w:tr>
        <w:trPr>
          <w:trHeight w:val="828" w:hRule="exact"/>
        </w:trPr>
        <w:tc>
          <w:tcPr>
            <w:tcW w:w="8316" w:type="dxa"/>
          </w:tcPr>
          <w:p>
            <w:pPr>
              <w:pStyle w:val="TableParagraph"/>
              <w:spacing w:before="10"/>
              <w:rPr>
                <w:b/>
                <w:sz w:val="34"/>
              </w:rPr>
            </w:pPr>
          </w:p>
          <w:p>
            <w:pPr>
              <w:pStyle w:val="TableParagraph"/>
              <w:ind w:left="122" w:right="359"/>
              <w:rPr>
                <w:sz w:val="24"/>
              </w:rPr>
            </w:pPr>
            <w:r>
              <w:rPr>
                <w:sz w:val="24"/>
              </w:rPr>
              <w:t>RESULTADOS</w:t>
            </w:r>
          </w:p>
        </w:tc>
        <w:tc>
          <w:tcPr>
            <w:tcW w:w="802" w:type="dxa"/>
          </w:tcPr>
          <w:p>
            <w:pPr>
              <w:pStyle w:val="TableParagraph"/>
              <w:spacing w:before="10"/>
              <w:rPr>
                <w:b/>
                <w:sz w:val="34"/>
              </w:rPr>
            </w:pPr>
          </w:p>
          <w:p>
            <w:pPr>
              <w:pStyle w:val="TableParagraph"/>
              <w:ind w:right="198"/>
              <w:jc w:val="right"/>
              <w:rPr>
                <w:sz w:val="24"/>
              </w:rPr>
            </w:pPr>
            <w:r>
              <w:rPr>
                <w:sz w:val="24"/>
              </w:rPr>
              <w:t>36</w:t>
            </w:r>
          </w:p>
        </w:tc>
      </w:tr>
      <w:tr>
        <w:trPr>
          <w:trHeight w:val="1657" w:hRule="exact"/>
        </w:trPr>
        <w:tc>
          <w:tcPr>
            <w:tcW w:w="8316" w:type="dxa"/>
          </w:tcPr>
          <w:p>
            <w:pPr>
              <w:pStyle w:val="TableParagraph"/>
              <w:spacing w:line="480" w:lineRule="auto" w:before="125"/>
              <w:ind w:left="842" w:right="359" w:hanging="360"/>
              <w:rPr>
                <w:i/>
                <w:sz w:val="24"/>
              </w:rPr>
            </w:pPr>
            <w:r>
              <w:rPr>
                <w:sz w:val="24"/>
              </w:rPr>
              <w:t>a. Artículo publicado. Histopathological findings in farmed rainbow trout (</w:t>
            </w:r>
            <w:r>
              <w:rPr>
                <w:i/>
                <w:sz w:val="24"/>
              </w:rPr>
              <w:t>Oncorhynchus  mykiss</w:t>
            </w:r>
            <w:r>
              <w:rPr>
                <w:sz w:val="24"/>
              </w:rPr>
              <w:t>)  naturally  infected  with  3  different </w:t>
            </w:r>
            <w:r>
              <w:rPr>
                <w:i/>
                <w:sz w:val="24"/>
              </w:rPr>
              <w:t>Aeromonas</w:t>
            </w:r>
          </w:p>
          <w:p>
            <w:pPr>
              <w:pStyle w:val="TableParagraph"/>
              <w:spacing w:before="10"/>
              <w:ind w:left="842" w:right="359"/>
              <w:rPr>
                <w:sz w:val="24"/>
              </w:rPr>
            </w:pPr>
            <w:r>
              <w:rPr>
                <w:sz w:val="24"/>
              </w:rPr>
              <w:t>species.</w:t>
            </w:r>
          </w:p>
        </w:tc>
        <w:tc>
          <w:tcPr>
            <w:tcW w:w="802" w:type="dxa"/>
          </w:tcPr>
          <w:p>
            <w:pPr>
              <w:pStyle w:val="TableParagraph"/>
              <w:spacing w:before="125"/>
              <w:ind w:right="198"/>
              <w:jc w:val="right"/>
              <w:rPr>
                <w:sz w:val="24"/>
              </w:rPr>
            </w:pPr>
            <w:r>
              <w:rPr>
                <w:sz w:val="24"/>
              </w:rPr>
              <w:t>38</w:t>
            </w:r>
          </w:p>
        </w:tc>
      </w:tr>
      <w:tr>
        <w:trPr>
          <w:trHeight w:val="1251" w:hRule="exact"/>
        </w:trPr>
        <w:tc>
          <w:tcPr>
            <w:tcW w:w="8316" w:type="dxa"/>
          </w:tcPr>
          <w:p>
            <w:pPr>
              <w:pStyle w:val="TableParagraph"/>
              <w:tabs>
                <w:tab w:pos="1864" w:val="left" w:leader="none"/>
                <w:tab w:pos="2921" w:val="left" w:leader="none"/>
                <w:tab w:pos="4102" w:val="left" w:leader="none"/>
                <w:tab w:pos="4538" w:val="left" w:leader="none"/>
                <w:tab w:pos="5068" w:val="left" w:leader="none"/>
                <w:tab w:pos="5998" w:val="left" w:leader="none"/>
                <w:tab w:pos="6435" w:val="left" w:leader="none"/>
                <w:tab w:pos="7767" w:val="left" w:leader="none"/>
              </w:tabs>
              <w:spacing w:line="480" w:lineRule="auto" w:before="125"/>
              <w:ind w:left="842" w:right="359" w:hanging="360"/>
              <w:rPr>
                <w:sz w:val="24"/>
              </w:rPr>
            </w:pPr>
            <w:r>
              <w:rPr>
                <w:sz w:val="24"/>
              </w:rPr>
              <w:t>b. </w:t>
            </w:r>
            <w:r>
              <w:rPr>
                <w:spacing w:val="45"/>
                <w:sz w:val="24"/>
              </w:rPr>
              <w:t> </w:t>
            </w:r>
            <w:r>
              <w:rPr>
                <w:sz w:val="24"/>
              </w:rPr>
              <w:t>Artículo</w:t>
              <w:tab/>
              <w:t>enviado.</w:t>
              <w:tab/>
              <w:t>Virulence</w:t>
              <w:tab/>
              <w:t>of</w:t>
              <w:tab/>
              <w:t>ten</w:t>
              <w:tab/>
              <w:t>species</w:t>
              <w:tab/>
              <w:t>of</w:t>
              <w:tab/>
            </w:r>
            <w:r>
              <w:rPr>
                <w:i/>
                <w:sz w:val="24"/>
              </w:rPr>
              <w:t>Aeromonas</w:t>
              <w:tab/>
            </w:r>
            <w:r>
              <w:rPr>
                <w:sz w:val="24"/>
              </w:rPr>
              <w:t>in experimentally-infected rainbow trout (</w:t>
            </w:r>
            <w:r>
              <w:rPr>
                <w:i/>
                <w:sz w:val="24"/>
              </w:rPr>
              <w:t>Oncorhynchus</w:t>
            </w:r>
            <w:r>
              <w:rPr>
                <w:i/>
                <w:spacing w:val="-13"/>
                <w:sz w:val="24"/>
              </w:rPr>
              <w:t> </w:t>
            </w:r>
            <w:r>
              <w:rPr>
                <w:i/>
                <w:sz w:val="24"/>
              </w:rPr>
              <w:t>mykiss</w:t>
            </w:r>
            <w:r>
              <w:rPr>
                <w:sz w:val="24"/>
              </w:rPr>
              <w:t>).</w:t>
            </w:r>
          </w:p>
        </w:tc>
        <w:tc>
          <w:tcPr>
            <w:tcW w:w="802" w:type="dxa"/>
          </w:tcPr>
          <w:p>
            <w:pPr>
              <w:pStyle w:val="TableParagraph"/>
              <w:spacing w:before="125"/>
              <w:ind w:right="198"/>
              <w:jc w:val="right"/>
              <w:rPr>
                <w:sz w:val="24"/>
              </w:rPr>
            </w:pPr>
            <w:r>
              <w:rPr>
                <w:sz w:val="24"/>
              </w:rPr>
              <w:t>51</w:t>
            </w:r>
          </w:p>
        </w:tc>
      </w:tr>
    </w:tbl>
    <w:p>
      <w:pPr>
        <w:spacing w:after="0"/>
        <w:jc w:val="right"/>
        <w:rPr>
          <w:sz w:val="24"/>
        </w:rPr>
        <w:sectPr>
          <w:pgSz w:w="12240" w:h="15840"/>
          <w:pgMar w:header="0" w:footer="695" w:top="1140" w:bottom="880" w:left="1060" w:right="1200"/>
        </w:sect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284"/>
        <w:gridCol w:w="1246"/>
      </w:tblGrid>
      <w:tr>
        <w:trPr>
          <w:trHeight w:val="1264" w:hRule="exact"/>
        </w:trPr>
        <w:tc>
          <w:tcPr>
            <w:tcW w:w="8284" w:type="dxa"/>
            <w:tcBorders>
              <w:top w:val="single" w:sz="12" w:space="0" w:color="008000"/>
            </w:tcBorders>
          </w:tcPr>
          <w:p>
            <w:pPr>
              <w:pStyle w:val="TableParagraph"/>
              <w:spacing w:line="480" w:lineRule="auto"/>
              <w:ind w:left="842" w:hanging="360"/>
              <w:rPr>
                <w:sz w:val="24"/>
              </w:rPr>
            </w:pPr>
            <w:r>
              <w:rPr>
                <w:sz w:val="24"/>
              </w:rPr>
              <w:t>c. Artículo aceptado. </w:t>
            </w:r>
            <w:r>
              <w:rPr>
                <w:i/>
                <w:sz w:val="24"/>
              </w:rPr>
              <w:t>Aeromonas </w:t>
            </w:r>
            <w:r>
              <w:rPr>
                <w:sz w:val="24"/>
              </w:rPr>
              <w:t>spp.: la infección en la trucha arcoíris (</w:t>
            </w:r>
            <w:r>
              <w:rPr>
                <w:i/>
                <w:sz w:val="24"/>
              </w:rPr>
              <w:t>Oncorhynchus mykiss</w:t>
            </w:r>
            <w:r>
              <w:rPr>
                <w:sz w:val="24"/>
              </w:rPr>
              <w:t>) y su aislamiento en México.</w:t>
            </w:r>
          </w:p>
        </w:tc>
        <w:tc>
          <w:tcPr>
            <w:tcW w:w="1246" w:type="dxa"/>
            <w:tcBorders>
              <w:top w:val="single" w:sz="12" w:space="0" w:color="008000"/>
            </w:tcBorders>
          </w:tcPr>
          <w:p>
            <w:pPr>
              <w:pStyle w:val="TableParagraph"/>
              <w:spacing w:line="263" w:lineRule="exact"/>
              <w:ind w:right="611"/>
              <w:jc w:val="right"/>
              <w:rPr>
                <w:sz w:val="24"/>
              </w:rPr>
            </w:pPr>
            <w:r>
              <w:rPr>
                <w:sz w:val="24"/>
              </w:rPr>
              <w:t>67</w:t>
            </w:r>
          </w:p>
        </w:tc>
      </w:tr>
      <w:tr>
        <w:trPr>
          <w:trHeight w:val="1104" w:hRule="exact"/>
        </w:trPr>
        <w:tc>
          <w:tcPr>
            <w:tcW w:w="8284" w:type="dxa"/>
          </w:tcPr>
          <w:p>
            <w:pPr>
              <w:pStyle w:val="TableParagraph"/>
              <w:spacing w:before="2"/>
              <w:rPr>
                <w:b/>
                <w:sz w:val="34"/>
              </w:rPr>
            </w:pPr>
          </w:p>
          <w:p>
            <w:pPr>
              <w:pStyle w:val="TableParagraph"/>
              <w:spacing w:before="1"/>
              <w:ind w:left="122"/>
              <w:rPr>
                <w:sz w:val="24"/>
              </w:rPr>
            </w:pPr>
            <w:r>
              <w:rPr>
                <w:sz w:val="24"/>
              </w:rPr>
              <w:t>DISCUSIÓN GENERAL</w:t>
            </w:r>
          </w:p>
        </w:tc>
        <w:tc>
          <w:tcPr>
            <w:tcW w:w="1246" w:type="dxa"/>
          </w:tcPr>
          <w:p>
            <w:pPr>
              <w:pStyle w:val="TableParagraph"/>
              <w:spacing w:before="2"/>
              <w:rPr>
                <w:b/>
                <w:sz w:val="34"/>
              </w:rPr>
            </w:pPr>
          </w:p>
          <w:p>
            <w:pPr>
              <w:pStyle w:val="TableParagraph"/>
              <w:spacing w:before="1"/>
              <w:ind w:right="551"/>
              <w:jc w:val="right"/>
              <w:rPr>
                <w:sz w:val="24"/>
              </w:rPr>
            </w:pPr>
            <w:r>
              <w:rPr>
                <w:sz w:val="24"/>
              </w:rPr>
              <w:t>102</w:t>
            </w:r>
          </w:p>
        </w:tc>
      </w:tr>
      <w:tr>
        <w:trPr>
          <w:trHeight w:val="1521" w:hRule="exact"/>
        </w:trPr>
        <w:tc>
          <w:tcPr>
            <w:tcW w:w="8284" w:type="dxa"/>
            <w:tcBorders>
              <w:bottom w:val="single" w:sz="6" w:space="0" w:color="008000"/>
            </w:tcBorders>
          </w:tcPr>
          <w:p>
            <w:pPr>
              <w:pStyle w:val="TableParagraph"/>
              <w:spacing w:before="2"/>
              <w:rPr>
                <w:b/>
                <w:sz w:val="34"/>
              </w:rPr>
            </w:pPr>
          </w:p>
          <w:p>
            <w:pPr>
              <w:pStyle w:val="TableParagraph"/>
              <w:spacing w:before="1"/>
              <w:ind w:left="122"/>
              <w:rPr>
                <w:sz w:val="24"/>
              </w:rPr>
            </w:pPr>
            <w:r>
              <w:rPr>
                <w:sz w:val="24"/>
              </w:rPr>
              <w:t>CONCLUSIÓN GENERAL</w:t>
            </w:r>
          </w:p>
        </w:tc>
        <w:tc>
          <w:tcPr>
            <w:tcW w:w="1246" w:type="dxa"/>
            <w:tcBorders>
              <w:bottom w:val="single" w:sz="6" w:space="0" w:color="008000"/>
            </w:tcBorders>
          </w:tcPr>
          <w:p>
            <w:pPr>
              <w:pStyle w:val="TableParagraph"/>
              <w:spacing w:before="2"/>
              <w:rPr>
                <w:b/>
                <w:sz w:val="34"/>
              </w:rPr>
            </w:pPr>
          </w:p>
          <w:p>
            <w:pPr>
              <w:pStyle w:val="TableParagraph"/>
              <w:spacing w:before="1"/>
              <w:ind w:right="551"/>
              <w:jc w:val="right"/>
              <w:rPr>
                <w:sz w:val="24"/>
              </w:rPr>
            </w:pPr>
            <w:r>
              <w:rPr>
                <w:sz w:val="24"/>
              </w:rPr>
              <w:t>109</w:t>
            </w:r>
          </w:p>
        </w:tc>
      </w:tr>
      <w:tr>
        <w:trPr>
          <w:trHeight w:val="576" w:hRule="exact"/>
        </w:trPr>
        <w:tc>
          <w:tcPr>
            <w:tcW w:w="8284" w:type="dxa"/>
            <w:tcBorders>
              <w:top w:val="single" w:sz="6" w:space="0" w:color="008000"/>
              <w:bottom w:val="single" w:sz="12" w:space="0" w:color="008000"/>
            </w:tcBorders>
          </w:tcPr>
          <w:p>
            <w:pPr>
              <w:pStyle w:val="TableParagraph"/>
              <w:spacing w:line="261" w:lineRule="exact"/>
              <w:ind w:left="122"/>
              <w:rPr>
                <w:sz w:val="24"/>
              </w:rPr>
            </w:pPr>
            <w:r>
              <w:rPr>
                <w:sz w:val="24"/>
              </w:rPr>
              <w:t>REFERENCIAS BIBLIOGRÁFICAS</w:t>
            </w:r>
          </w:p>
        </w:tc>
        <w:tc>
          <w:tcPr>
            <w:tcW w:w="1246" w:type="dxa"/>
            <w:tcBorders>
              <w:top w:val="single" w:sz="6" w:space="0" w:color="008000"/>
              <w:bottom w:val="single" w:sz="12" w:space="0" w:color="008000"/>
            </w:tcBorders>
          </w:tcPr>
          <w:p>
            <w:pPr>
              <w:pStyle w:val="TableParagraph"/>
              <w:spacing w:line="261" w:lineRule="exact"/>
              <w:ind w:right="551"/>
              <w:jc w:val="right"/>
              <w:rPr>
                <w:sz w:val="24"/>
              </w:rPr>
            </w:pPr>
            <w:r>
              <w:rPr>
                <w:sz w:val="24"/>
              </w:rPr>
              <w:t>110</w:t>
            </w:r>
          </w:p>
        </w:tc>
      </w:tr>
    </w:tbl>
    <w:p>
      <w:pPr>
        <w:pStyle w:val="BodyText"/>
        <w:rPr>
          <w:b/>
          <w:sz w:val="20"/>
        </w:rPr>
      </w:pPr>
    </w:p>
    <w:p>
      <w:pPr>
        <w:pStyle w:val="BodyText"/>
        <w:rPr>
          <w:b/>
          <w:sz w:val="20"/>
        </w:rPr>
      </w:pPr>
    </w:p>
    <w:p>
      <w:pPr>
        <w:pStyle w:val="BodyText"/>
        <w:rPr>
          <w:b/>
          <w:sz w:val="20"/>
        </w:rPr>
      </w:pPr>
    </w:p>
    <w:p>
      <w:pPr>
        <w:pStyle w:val="BodyText"/>
        <w:spacing w:before="1"/>
        <w:rPr>
          <w:b/>
          <w:sz w:val="29"/>
        </w:rPr>
      </w:pPr>
    </w:p>
    <w:p>
      <w:pPr>
        <w:spacing w:before="69"/>
        <w:ind w:left="223" w:right="0" w:firstLine="0"/>
        <w:jc w:val="left"/>
        <w:rPr>
          <w:b/>
          <w:sz w:val="24"/>
        </w:rPr>
      </w:pPr>
      <w:r>
        <w:rPr>
          <w:b/>
          <w:sz w:val="24"/>
        </w:rPr>
        <w:t>ÍNDICE DE CUADROS Y FIGURAS</w:t>
      </w:r>
    </w:p>
    <w:p>
      <w:pPr>
        <w:pStyle w:val="BodyText"/>
        <w:spacing w:before="3"/>
        <w:rPr>
          <w:b/>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782"/>
        <w:gridCol w:w="1747"/>
      </w:tblGrid>
      <w:tr>
        <w:trPr>
          <w:trHeight w:val="1126" w:hRule="exact"/>
        </w:trPr>
        <w:tc>
          <w:tcPr>
            <w:tcW w:w="7782" w:type="dxa"/>
            <w:tcBorders>
              <w:top w:val="single" w:sz="12" w:space="0" w:color="008000"/>
              <w:bottom w:val="single" w:sz="6" w:space="0" w:color="008000"/>
            </w:tcBorders>
          </w:tcPr>
          <w:p>
            <w:pPr>
              <w:pStyle w:val="TableParagraph"/>
              <w:spacing w:line="480" w:lineRule="auto"/>
              <w:ind w:left="122" w:right="540"/>
              <w:rPr>
                <w:sz w:val="24"/>
              </w:rPr>
            </w:pPr>
            <w:r>
              <w:rPr>
                <w:b/>
                <w:sz w:val="24"/>
              </w:rPr>
              <w:t>Cuadro 1</w:t>
            </w:r>
            <w:r>
              <w:rPr>
                <w:sz w:val="24"/>
              </w:rPr>
              <w:t>. Especies de </w:t>
            </w:r>
            <w:r>
              <w:rPr>
                <w:i/>
                <w:sz w:val="24"/>
              </w:rPr>
              <w:t>Aeromonas </w:t>
            </w:r>
            <w:r>
              <w:rPr>
                <w:sz w:val="24"/>
              </w:rPr>
              <w:t>spp. usadas en la infección experimental.</w:t>
            </w:r>
          </w:p>
        </w:tc>
        <w:tc>
          <w:tcPr>
            <w:tcW w:w="1747" w:type="dxa"/>
            <w:tcBorders>
              <w:top w:val="single" w:sz="12" w:space="0" w:color="008000"/>
              <w:bottom w:val="single" w:sz="6" w:space="0" w:color="008000"/>
            </w:tcBorders>
          </w:tcPr>
          <w:p>
            <w:pPr>
              <w:pStyle w:val="TableParagraph"/>
              <w:spacing w:line="268" w:lineRule="exact"/>
              <w:ind w:left="540"/>
              <w:rPr>
                <w:sz w:val="24"/>
              </w:rPr>
            </w:pPr>
            <w:r>
              <w:rPr>
                <w:sz w:val="24"/>
              </w:rPr>
              <w:t>29</w:t>
            </w:r>
          </w:p>
        </w:tc>
      </w:tr>
      <w:tr>
        <w:trPr>
          <w:trHeight w:val="1670" w:hRule="exact"/>
        </w:trPr>
        <w:tc>
          <w:tcPr>
            <w:tcW w:w="7782" w:type="dxa"/>
            <w:tcBorders>
              <w:top w:val="single" w:sz="6" w:space="0" w:color="008000"/>
              <w:bottom w:val="single" w:sz="6" w:space="0" w:color="008000"/>
            </w:tcBorders>
          </w:tcPr>
          <w:p>
            <w:pPr>
              <w:pStyle w:val="TableParagraph"/>
              <w:rPr>
                <w:b/>
                <w:sz w:val="24"/>
              </w:rPr>
            </w:pPr>
          </w:p>
          <w:p>
            <w:pPr>
              <w:pStyle w:val="TableParagraph"/>
              <w:spacing w:before="3"/>
              <w:rPr>
                <w:b/>
                <w:sz w:val="23"/>
              </w:rPr>
            </w:pPr>
          </w:p>
          <w:p>
            <w:pPr>
              <w:pStyle w:val="TableParagraph"/>
              <w:ind w:left="122" w:right="540"/>
              <w:rPr>
                <w:sz w:val="24"/>
              </w:rPr>
            </w:pPr>
            <w:r>
              <w:rPr>
                <w:b/>
                <w:sz w:val="24"/>
              </w:rPr>
              <w:t>Cuadro 2</w:t>
            </w:r>
            <w:r>
              <w:rPr>
                <w:sz w:val="24"/>
              </w:rPr>
              <w:t>. Cronograma del diseño experimental.</w:t>
            </w:r>
          </w:p>
        </w:tc>
        <w:tc>
          <w:tcPr>
            <w:tcW w:w="1747" w:type="dxa"/>
            <w:tcBorders>
              <w:top w:val="single" w:sz="6" w:space="0" w:color="008000"/>
              <w:bottom w:val="single" w:sz="6" w:space="0" w:color="008000"/>
            </w:tcBorders>
          </w:tcPr>
          <w:p>
            <w:pPr>
              <w:pStyle w:val="TableParagraph"/>
              <w:rPr>
                <w:b/>
                <w:sz w:val="24"/>
              </w:rPr>
            </w:pPr>
          </w:p>
          <w:p>
            <w:pPr>
              <w:pStyle w:val="TableParagraph"/>
              <w:spacing w:before="3"/>
              <w:rPr>
                <w:b/>
                <w:sz w:val="23"/>
              </w:rPr>
            </w:pPr>
          </w:p>
          <w:p>
            <w:pPr>
              <w:pStyle w:val="TableParagraph"/>
              <w:ind w:left="540"/>
              <w:rPr>
                <w:sz w:val="24"/>
              </w:rPr>
            </w:pPr>
            <w:r>
              <w:rPr>
                <w:sz w:val="24"/>
              </w:rPr>
              <w:t>32</w:t>
            </w:r>
          </w:p>
        </w:tc>
      </w:tr>
      <w:tr>
        <w:trPr>
          <w:trHeight w:val="1128" w:hRule="exact"/>
        </w:trPr>
        <w:tc>
          <w:tcPr>
            <w:tcW w:w="7782" w:type="dxa"/>
            <w:tcBorders>
              <w:top w:val="single" w:sz="6" w:space="0" w:color="008000"/>
              <w:bottom w:val="single" w:sz="12" w:space="0" w:color="008000"/>
            </w:tcBorders>
          </w:tcPr>
          <w:p>
            <w:pPr>
              <w:pStyle w:val="TableParagraph"/>
              <w:tabs>
                <w:tab w:pos="6255" w:val="left" w:leader="none"/>
              </w:tabs>
              <w:spacing w:line="480" w:lineRule="auto"/>
              <w:ind w:left="122" w:right="540"/>
              <w:rPr>
                <w:sz w:val="24"/>
              </w:rPr>
            </w:pPr>
            <w:r>
              <w:rPr>
                <w:b/>
                <w:sz w:val="24"/>
              </w:rPr>
              <w:t>Cuadro  3.  </w:t>
            </w:r>
            <w:r>
              <w:rPr>
                <w:sz w:val="24"/>
              </w:rPr>
              <w:t>Registro  de  lesiones  histológicas</w:t>
            </w:r>
            <w:r>
              <w:rPr>
                <w:spacing w:val="-17"/>
                <w:sz w:val="24"/>
              </w:rPr>
              <w:t> </w:t>
            </w:r>
            <w:r>
              <w:rPr>
                <w:sz w:val="24"/>
              </w:rPr>
              <w:t>en</w:t>
            </w:r>
            <w:r>
              <w:rPr>
                <w:spacing w:val="46"/>
                <w:sz w:val="24"/>
              </w:rPr>
              <w:t> </w:t>
            </w:r>
            <w:r>
              <w:rPr>
                <w:sz w:val="24"/>
              </w:rPr>
              <w:t>individuos</w:t>
              <w:tab/>
            </w:r>
            <w:r>
              <w:rPr>
                <w:spacing w:val="-1"/>
                <w:sz w:val="24"/>
              </w:rPr>
              <w:t>infectados </w:t>
            </w:r>
            <w:r>
              <w:rPr>
                <w:sz w:val="24"/>
              </w:rPr>
              <w:t>experimentalmente con </w:t>
            </w:r>
            <w:r>
              <w:rPr>
                <w:i/>
                <w:sz w:val="24"/>
              </w:rPr>
              <w:t>Aeromonas </w:t>
            </w:r>
            <w:r>
              <w:rPr>
                <w:sz w:val="24"/>
              </w:rPr>
              <w:t>spp., durante el periodo</w:t>
            </w:r>
            <w:r>
              <w:rPr>
                <w:spacing w:val="-9"/>
                <w:sz w:val="24"/>
              </w:rPr>
              <w:t> </w:t>
            </w:r>
            <w:r>
              <w:rPr>
                <w:sz w:val="24"/>
              </w:rPr>
              <w:t>experimental.</w:t>
            </w:r>
          </w:p>
        </w:tc>
        <w:tc>
          <w:tcPr>
            <w:tcW w:w="1747" w:type="dxa"/>
            <w:tcBorders>
              <w:top w:val="single" w:sz="6" w:space="0" w:color="008000"/>
              <w:bottom w:val="single" w:sz="12" w:space="0" w:color="008000"/>
            </w:tcBorders>
          </w:tcPr>
          <w:p>
            <w:pPr>
              <w:pStyle w:val="TableParagraph"/>
              <w:spacing w:line="268" w:lineRule="exact"/>
              <w:ind w:left="540"/>
              <w:rPr>
                <w:sz w:val="24"/>
              </w:rPr>
            </w:pPr>
            <w:r>
              <w:rPr>
                <w:sz w:val="24"/>
              </w:rPr>
              <w:t>34</w:t>
            </w:r>
          </w:p>
        </w:tc>
      </w:tr>
    </w:tbl>
    <w:p>
      <w:pPr>
        <w:spacing w:after="0" w:line="268" w:lineRule="exact"/>
        <w:rPr>
          <w:sz w:val="24"/>
        </w:rPr>
        <w:sectPr>
          <w:pgSz w:w="12240" w:h="15840"/>
          <w:pgMar w:header="0" w:footer="695" w:top="1140" w:bottom="880" w:left="1080" w:right="1200"/>
        </w:sectPr>
      </w:pPr>
    </w:p>
    <w:p>
      <w:pPr>
        <w:spacing w:before="49"/>
        <w:ind w:left="103" w:right="59" w:firstLine="0"/>
        <w:jc w:val="left"/>
        <w:rPr>
          <w:b/>
          <w:sz w:val="24"/>
        </w:rPr>
      </w:pPr>
      <w:r>
        <w:rPr>
          <w:b/>
          <w:sz w:val="24"/>
        </w:rPr>
        <w:t>INTRODUCCIÓN GENERAL</w:t>
      </w:r>
    </w:p>
    <w:p>
      <w:pPr>
        <w:pStyle w:val="BodyText"/>
        <w:rPr>
          <w:b/>
        </w:rPr>
      </w:pPr>
    </w:p>
    <w:p>
      <w:pPr>
        <w:pStyle w:val="BodyText"/>
        <w:rPr>
          <w:b/>
        </w:rPr>
      </w:pPr>
    </w:p>
    <w:p>
      <w:pPr>
        <w:pStyle w:val="BodyText"/>
        <w:spacing w:before="7"/>
        <w:rPr>
          <w:b/>
          <w:sz w:val="23"/>
        </w:rPr>
      </w:pPr>
    </w:p>
    <w:p>
      <w:pPr>
        <w:pStyle w:val="BodyText"/>
        <w:spacing w:line="480" w:lineRule="auto"/>
        <w:ind w:left="103" w:right="99" w:firstLine="707"/>
        <w:jc w:val="both"/>
      </w:pPr>
      <w:r>
        <w:rPr/>
        <w:t>El género </w:t>
      </w:r>
      <w:r>
        <w:rPr>
          <w:i/>
        </w:rPr>
        <w:t>Aeromonas </w:t>
      </w:r>
      <w:r>
        <w:rPr/>
        <w:t>spp. está compuesto por bacterias Gram negativas que pertenecen a la familia </w:t>
      </w:r>
      <w:r>
        <w:rPr>
          <w:i/>
        </w:rPr>
        <w:t>Aeromonadaceae </w:t>
      </w:r>
      <w:r>
        <w:rPr/>
        <w:t>y que forman parte de la microbiota simbiótica de animales acuáticos y terrestres (Merino </w:t>
      </w:r>
      <w:r>
        <w:rPr>
          <w:i/>
        </w:rPr>
        <w:t>et al</w:t>
      </w:r>
      <w:r>
        <w:rPr/>
        <w:t>., 1995). Este agente se encuentra ampliamente distribuido en el ambiente acuático y es capaz de producir diferentes tipos de infecciones clínicas tanto en organismos homeotermos y poiquilotermos (Igbinosa </w:t>
      </w:r>
      <w:r>
        <w:rPr>
          <w:i/>
        </w:rPr>
        <w:t>et al</w:t>
      </w:r>
      <w:r>
        <w:rPr/>
        <w:t>., 2012), de los cuales los peces son los hospederos principales. Bacterias de este género también han sido aisladas de humanos con diversos cuadros clínicos, como son: infecciones cutáneas, oculares, infecciones respiratorias (Murray </w:t>
      </w:r>
      <w:r>
        <w:rPr>
          <w:i/>
        </w:rPr>
        <w:t>et al</w:t>
      </w:r>
      <w:r>
        <w:rPr/>
        <w:t>., 2005), diarreas en niños menores de 5 años (Guevara </w:t>
      </w:r>
      <w:r>
        <w:rPr>
          <w:i/>
        </w:rPr>
        <w:t>et al</w:t>
      </w:r>
      <w:r>
        <w:rPr/>
        <w:t>., 2002), en personas con diálisis peritoneal ambulatoria continua (Yang </w:t>
      </w:r>
      <w:r>
        <w:rPr>
          <w:i/>
        </w:rPr>
        <w:t>et al</w:t>
      </w:r>
      <w:r>
        <w:rPr/>
        <w:t>., 2008), incluso se han aislado de muestras de pescado congelado  y otros alimentos (Yogananth </w:t>
      </w:r>
      <w:r>
        <w:rPr>
          <w:i/>
        </w:rPr>
        <w:t>et al</w:t>
      </w:r>
      <w:r>
        <w:rPr/>
        <w:t>., 2009; Palumbo </w:t>
      </w:r>
      <w:r>
        <w:rPr>
          <w:i/>
        </w:rPr>
        <w:t>et al</w:t>
      </w:r>
      <w:r>
        <w:rPr/>
        <w:t>., 1989), así como también de agua potable (Tequianes-Bravo </w:t>
      </w:r>
      <w:r>
        <w:rPr>
          <w:i/>
        </w:rPr>
        <w:t>et al</w:t>
      </w:r>
      <w:r>
        <w:rPr/>
        <w:t>., 2005), lo que sugiere que esta bacteria es muy versátil y de gran potencial patogénico, que le permite adaptarse a diversos ambientes (Janda, 1991). A lo largo de la historia de este género se han realizado extensos estudios de los cuales se ha obtenido información referente a la signología clínica, lesiones anatomopatológicas y lesiones histopatológicas, asicomo la obtención de aislamientos de infecciones naturales y el empleo de estos mismos aislamientos para realizar infecciones experimentales, en diferentes especies de peces empleados como modelo de infección (Ping-Chung </w:t>
      </w:r>
      <w:r>
        <w:rPr>
          <w:i/>
        </w:rPr>
        <w:t>et al</w:t>
      </w:r>
      <w:r>
        <w:rPr/>
        <w:t>., 2010; Paniagua </w:t>
      </w:r>
      <w:r>
        <w:rPr>
          <w:i/>
        </w:rPr>
        <w:t>et al</w:t>
      </w:r>
      <w:r>
        <w:rPr/>
        <w:t>., 1990; Kozińska,</w:t>
      </w:r>
      <w:r>
        <w:rPr>
          <w:spacing w:val="-3"/>
        </w:rPr>
        <w:t> </w:t>
      </w:r>
      <w:r>
        <w:rPr/>
        <w:t>2007).</w:t>
      </w:r>
    </w:p>
    <w:p>
      <w:pPr>
        <w:spacing w:line="480" w:lineRule="auto" w:before="11"/>
        <w:ind w:left="103" w:right="99" w:firstLine="707"/>
        <w:jc w:val="both"/>
        <w:rPr>
          <w:sz w:val="24"/>
        </w:rPr>
      </w:pPr>
      <w:r>
        <w:rPr>
          <w:sz w:val="24"/>
        </w:rPr>
        <w:t>Debido a la diversidad de patógenos que habitan en ambientes acuáticos, en los que destacan los géneros bacterianos: </w:t>
      </w:r>
      <w:r>
        <w:rPr>
          <w:i/>
          <w:sz w:val="24"/>
        </w:rPr>
        <w:t>Aeromonas</w:t>
      </w:r>
      <w:r>
        <w:rPr>
          <w:sz w:val="24"/>
        </w:rPr>
        <w:t>, </w:t>
      </w:r>
      <w:r>
        <w:rPr>
          <w:i/>
          <w:sz w:val="24"/>
        </w:rPr>
        <w:t>Pseudomonas</w:t>
      </w:r>
      <w:r>
        <w:rPr>
          <w:sz w:val="24"/>
        </w:rPr>
        <w:t>, </w:t>
      </w:r>
      <w:r>
        <w:rPr>
          <w:i/>
          <w:sz w:val="24"/>
        </w:rPr>
        <w:t>Yersinia</w:t>
      </w:r>
      <w:r>
        <w:rPr>
          <w:sz w:val="24"/>
        </w:rPr>
        <w:t>, </w:t>
      </w:r>
      <w:r>
        <w:rPr>
          <w:i/>
          <w:sz w:val="24"/>
        </w:rPr>
        <w:t>Vibrio</w:t>
      </w:r>
      <w:r>
        <w:rPr>
          <w:sz w:val="24"/>
        </w:rPr>
        <w:t>, </w:t>
      </w:r>
      <w:r>
        <w:rPr>
          <w:i/>
          <w:sz w:val="24"/>
        </w:rPr>
        <w:t>Renibacterium</w:t>
      </w:r>
      <w:r>
        <w:rPr>
          <w:sz w:val="24"/>
        </w:rPr>
        <w:t>, </w:t>
      </w:r>
      <w:r>
        <w:rPr>
          <w:i/>
          <w:sz w:val="24"/>
        </w:rPr>
        <w:t>Edwardsiella</w:t>
      </w:r>
      <w:r>
        <w:rPr>
          <w:sz w:val="24"/>
        </w:rPr>
        <w:t>, </w:t>
      </w:r>
      <w:r>
        <w:rPr>
          <w:i/>
          <w:sz w:val="24"/>
        </w:rPr>
        <w:t>Lactococcus </w:t>
      </w:r>
      <w:r>
        <w:rPr>
          <w:sz w:val="24"/>
        </w:rPr>
        <w:t>y </w:t>
      </w:r>
      <w:r>
        <w:rPr>
          <w:i/>
          <w:sz w:val="24"/>
        </w:rPr>
        <w:t>Streptococcus </w:t>
      </w:r>
      <w:r>
        <w:rPr>
          <w:sz w:val="24"/>
        </w:rPr>
        <w:t>(Austin y Austin, 2007); y al crecimiento de la truticultura como fuente de proteína en la cultura mexicana, es necesario investigar y conocer a fondo los patógenos</w:t>
      </w:r>
      <w:r>
        <w:rPr>
          <w:spacing w:val="29"/>
          <w:sz w:val="24"/>
        </w:rPr>
        <w:t> </w:t>
      </w:r>
      <w:r>
        <w:rPr>
          <w:sz w:val="24"/>
        </w:rPr>
        <w:t>a</w:t>
      </w:r>
    </w:p>
    <w:p>
      <w:pPr>
        <w:spacing w:after="0" w:line="480" w:lineRule="auto"/>
        <w:jc w:val="both"/>
        <w:rPr>
          <w:sz w:val="24"/>
        </w:rPr>
        <w:sectPr>
          <w:pgSz w:w="12240" w:h="15840"/>
          <w:pgMar w:header="0" w:footer="695" w:top="1080" w:bottom="940" w:left="1200" w:right="1200"/>
        </w:sectPr>
      </w:pPr>
    </w:p>
    <w:p>
      <w:pPr>
        <w:pStyle w:val="BodyText"/>
        <w:spacing w:line="480" w:lineRule="auto" w:before="44"/>
        <w:ind w:left="103" w:right="100"/>
        <w:jc w:val="both"/>
      </w:pPr>
      <w:r>
        <w:rPr/>
        <w:t>los que están expuestas las truchas arcoíris, particularmente el género </w:t>
      </w:r>
      <w:r>
        <w:rPr>
          <w:i/>
        </w:rPr>
        <w:t>Aeromonas </w:t>
      </w:r>
      <w:r>
        <w:rPr/>
        <w:t>que posee un amplio poder patogénico, ha sido identificado en granjas truticolas en un 48.78% (Salgado-Miranda </w:t>
      </w:r>
      <w:r>
        <w:rPr>
          <w:i/>
        </w:rPr>
        <w:t>et al</w:t>
      </w:r>
      <w:r>
        <w:rPr/>
        <w:t>., 2010) y se ha aislado de truchas clínicamente sanas así como de enfermas (Roberts, 2001), el propósito del presente trabajo fue investigar la patogenicidad y virulencia de diferentes especies de </w:t>
      </w:r>
      <w:r>
        <w:rPr>
          <w:i/>
        </w:rPr>
        <w:t>Aeromonas </w:t>
      </w:r>
      <w:r>
        <w:rPr/>
        <w:t>obtenidas de trucha arcoíris (</w:t>
      </w:r>
      <w:r>
        <w:rPr>
          <w:i/>
        </w:rPr>
        <w:t>Oncorhynchus mykiss</w:t>
      </w:r>
      <w:r>
        <w:rPr/>
        <w:t>).</w:t>
      </w:r>
    </w:p>
    <w:p>
      <w:pPr>
        <w:pStyle w:val="BodyText"/>
      </w:pPr>
    </w:p>
    <w:p>
      <w:pPr>
        <w:pStyle w:val="BodyText"/>
        <w:spacing w:before="3"/>
        <w:rPr>
          <w:sz w:val="25"/>
        </w:rPr>
      </w:pPr>
    </w:p>
    <w:p>
      <w:pPr>
        <w:pStyle w:val="Heading1"/>
        <w:numPr>
          <w:ilvl w:val="1"/>
          <w:numId w:val="1"/>
        </w:numPr>
        <w:tabs>
          <w:tab w:pos="812" w:val="left" w:leader="none"/>
        </w:tabs>
        <w:spacing w:line="240" w:lineRule="auto" w:before="0" w:after="0"/>
        <w:ind w:left="811" w:right="0" w:hanging="348"/>
        <w:jc w:val="left"/>
      </w:pPr>
      <w:r>
        <w:rPr/>
        <w:t>REVISIÓN DE</w:t>
      </w:r>
      <w:r>
        <w:rPr>
          <w:spacing w:val="-5"/>
        </w:rPr>
        <w:t> </w:t>
      </w:r>
      <w:r>
        <w:rPr/>
        <w:t>LITERATURA</w:t>
      </w:r>
    </w:p>
    <w:p>
      <w:pPr>
        <w:pStyle w:val="BodyText"/>
        <w:rPr>
          <w:b/>
        </w:rPr>
      </w:pPr>
    </w:p>
    <w:p>
      <w:pPr>
        <w:pStyle w:val="BodyText"/>
        <w:rPr>
          <w:b/>
        </w:rPr>
      </w:pPr>
    </w:p>
    <w:p>
      <w:pPr>
        <w:pStyle w:val="BodyText"/>
        <w:rPr>
          <w:b/>
        </w:rPr>
      </w:pPr>
    </w:p>
    <w:p>
      <w:pPr>
        <w:pStyle w:val="ListParagraph"/>
        <w:numPr>
          <w:ilvl w:val="2"/>
          <w:numId w:val="1"/>
        </w:numPr>
        <w:tabs>
          <w:tab w:pos="1174" w:val="left" w:leader="none"/>
        </w:tabs>
        <w:spacing w:line="240" w:lineRule="auto" w:before="0" w:after="0"/>
        <w:ind w:left="1174" w:right="0" w:hanging="360"/>
        <w:jc w:val="left"/>
        <w:rPr>
          <w:b/>
          <w:sz w:val="24"/>
        </w:rPr>
      </w:pPr>
      <w:r>
        <w:rPr>
          <w:b/>
          <w:sz w:val="24"/>
        </w:rPr>
        <w:t>Taxonomía</w:t>
      </w:r>
    </w:p>
    <w:p>
      <w:pPr>
        <w:pStyle w:val="BodyText"/>
        <w:spacing w:before="6"/>
        <w:rPr>
          <w:b/>
          <w:sz w:val="23"/>
        </w:rPr>
      </w:pPr>
    </w:p>
    <w:p>
      <w:pPr>
        <w:spacing w:line="480" w:lineRule="auto" w:before="0"/>
        <w:ind w:left="103" w:right="99" w:firstLine="707"/>
        <w:jc w:val="both"/>
        <w:rPr>
          <w:i/>
          <w:sz w:val="24"/>
        </w:rPr>
      </w:pPr>
      <w:r>
        <w:rPr>
          <w:sz w:val="24"/>
        </w:rPr>
        <w:t>El género </w:t>
      </w:r>
      <w:r>
        <w:rPr>
          <w:i/>
          <w:sz w:val="24"/>
        </w:rPr>
        <w:t>Aeromonas </w:t>
      </w:r>
      <w:r>
        <w:rPr>
          <w:sz w:val="24"/>
        </w:rPr>
        <w:t>este género pertenece a la familia </w:t>
      </w:r>
      <w:r>
        <w:rPr>
          <w:i/>
          <w:sz w:val="24"/>
        </w:rPr>
        <w:t>Aeromonadaceae</w:t>
      </w:r>
      <w:r>
        <w:rPr>
          <w:sz w:val="24"/>
        </w:rPr>
        <w:t>, orden </w:t>
      </w:r>
      <w:r>
        <w:rPr>
          <w:i/>
          <w:sz w:val="24"/>
        </w:rPr>
        <w:t>Aeromonadales </w:t>
      </w:r>
      <w:r>
        <w:rPr>
          <w:sz w:val="24"/>
        </w:rPr>
        <w:t>y clase </w:t>
      </w:r>
      <w:r>
        <w:rPr>
          <w:i/>
          <w:sz w:val="24"/>
        </w:rPr>
        <w:t>Gammaproteobacteria </w:t>
      </w:r>
      <w:r>
        <w:rPr>
          <w:sz w:val="24"/>
        </w:rPr>
        <w:t>(Castro-Escarpulli </w:t>
      </w:r>
      <w:r>
        <w:rPr>
          <w:i/>
          <w:sz w:val="24"/>
        </w:rPr>
        <w:t>et al</w:t>
      </w:r>
      <w:r>
        <w:rPr>
          <w:sz w:val="24"/>
        </w:rPr>
        <w:t>., 2003). Actualmente el género incluye 30 especies: </w:t>
      </w:r>
      <w:r>
        <w:rPr>
          <w:i/>
          <w:sz w:val="24"/>
        </w:rPr>
        <w:t>A. allosaccharophila, A</w:t>
      </w:r>
      <w:r>
        <w:rPr>
          <w:sz w:val="24"/>
        </w:rPr>
        <w:t>. </w:t>
      </w:r>
      <w:r>
        <w:rPr>
          <w:i/>
          <w:sz w:val="24"/>
        </w:rPr>
        <w:t>dhakensis, A</w:t>
      </w:r>
      <w:r>
        <w:rPr>
          <w:sz w:val="24"/>
        </w:rPr>
        <w:t>. </w:t>
      </w:r>
      <w:r>
        <w:rPr>
          <w:i/>
          <w:sz w:val="24"/>
        </w:rPr>
        <w:t>aquatica, A</w:t>
      </w:r>
      <w:r>
        <w:rPr>
          <w:sz w:val="24"/>
        </w:rPr>
        <w:t>. </w:t>
      </w:r>
      <w:r>
        <w:rPr>
          <w:i/>
          <w:sz w:val="24"/>
        </w:rPr>
        <w:t>australiensis</w:t>
      </w:r>
      <w:r>
        <w:rPr>
          <w:sz w:val="24"/>
        </w:rPr>
        <w:t>, </w:t>
      </w:r>
      <w:r>
        <w:rPr>
          <w:i/>
          <w:sz w:val="24"/>
        </w:rPr>
        <w:t>A</w:t>
      </w:r>
      <w:r>
        <w:rPr>
          <w:sz w:val="24"/>
        </w:rPr>
        <w:t>. </w:t>
      </w:r>
      <w:r>
        <w:rPr>
          <w:i/>
          <w:sz w:val="24"/>
        </w:rPr>
        <w:t>bestiarum</w:t>
      </w:r>
      <w:r>
        <w:rPr>
          <w:sz w:val="24"/>
        </w:rPr>
        <w:t>, </w:t>
      </w:r>
      <w:r>
        <w:rPr>
          <w:i/>
          <w:sz w:val="24"/>
        </w:rPr>
        <w:t>A</w:t>
      </w:r>
      <w:r>
        <w:rPr>
          <w:sz w:val="24"/>
        </w:rPr>
        <w:t>. </w:t>
      </w:r>
      <w:r>
        <w:rPr>
          <w:i/>
          <w:sz w:val="24"/>
        </w:rPr>
        <w:t>bivalvium, A. cavernicola, A</w:t>
      </w:r>
      <w:r>
        <w:rPr>
          <w:sz w:val="24"/>
        </w:rPr>
        <w:t>. </w:t>
      </w:r>
      <w:r>
        <w:rPr>
          <w:i/>
          <w:sz w:val="24"/>
        </w:rPr>
        <w:t>caviae</w:t>
      </w:r>
      <w:r>
        <w:rPr>
          <w:sz w:val="24"/>
        </w:rPr>
        <w:t>, </w:t>
      </w:r>
      <w:r>
        <w:rPr>
          <w:i/>
          <w:sz w:val="24"/>
        </w:rPr>
        <w:t>A</w:t>
      </w:r>
      <w:r>
        <w:rPr>
          <w:sz w:val="24"/>
        </w:rPr>
        <w:t>. </w:t>
      </w:r>
      <w:r>
        <w:rPr>
          <w:i/>
          <w:sz w:val="24"/>
        </w:rPr>
        <w:t>diversa</w:t>
      </w:r>
      <w:r>
        <w:rPr>
          <w:sz w:val="24"/>
        </w:rPr>
        <w:t>, </w:t>
      </w:r>
      <w:r>
        <w:rPr>
          <w:i/>
          <w:sz w:val="24"/>
        </w:rPr>
        <w:t>A. encheleia</w:t>
      </w:r>
      <w:r>
        <w:rPr>
          <w:sz w:val="24"/>
        </w:rPr>
        <w:t>, </w:t>
      </w:r>
      <w:r>
        <w:rPr>
          <w:i/>
          <w:sz w:val="24"/>
        </w:rPr>
        <w:t>A. eucrenophila</w:t>
      </w:r>
      <w:r>
        <w:rPr>
          <w:sz w:val="24"/>
        </w:rPr>
        <w:t>, </w:t>
      </w:r>
      <w:r>
        <w:rPr>
          <w:i/>
          <w:sz w:val="24"/>
        </w:rPr>
        <w:t>A</w:t>
      </w:r>
      <w:r>
        <w:rPr>
          <w:sz w:val="24"/>
        </w:rPr>
        <w:t>. </w:t>
      </w:r>
      <w:r>
        <w:rPr>
          <w:i/>
          <w:sz w:val="24"/>
        </w:rPr>
        <w:t>filandiensis</w:t>
      </w:r>
      <w:r>
        <w:rPr>
          <w:sz w:val="24"/>
        </w:rPr>
        <w:t>, </w:t>
      </w:r>
      <w:r>
        <w:rPr>
          <w:i/>
          <w:sz w:val="24"/>
        </w:rPr>
        <w:t>A. fluvialis, A. hydrophila, A. jandaei</w:t>
      </w:r>
      <w:r>
        <w:rPr>
          <w:sz w:val="24"/>
        </w:rPr>
        <w:t>, </w:t>
      </w:r>
      <w:r>
        <w:rPr>
          <w:i/>
          <w:sz w:val="24"/>
        </w:rPr>
        <w:t>A</w:t>
      </w:r>
      <w:r>
        <w:rPr>
          <w:sz w:val="24"/>
        </w:rPr>
        <w:t>. </w:t>
      </w:r>
      <w:r>
        <w:rPr>
          <w:i/>
          <w:sz w:val="24"/>
        </w:rPr>
        <w:t>lactus</w:t>
      </w:r>
      <w:r>
        <w:rPr>
          <w:sz w:val="24"/>
        </w:rPr>
        <w:t>, </w:t>
      </w:r>
      <w:r>
        <w:rPr>
          <w:i/>
          <w:sz w:val="24"/>
        </w:rPr>
        <w:t>A</w:t>
      </w:r>
      <w:r>
        <w:rPr>
          <w:sz w:val="24"/>
        </w:rPr>
        <w:t>. </w:t>
      </w:r>
      <w:r>
        <w:rPr>
          <w:i/>
          <w:sz w:val="24"/>
        </w:rPr>
        <w:t>lusitana, A. media</w:t>
      </w:r>
      <w:r>
        <w:rPr>
          <w:sz w:val="24"/>
        </w:rPr>
        <w:t>, </w:t>
      </w:r>
      <w:r>
        <w:rPr>
          <w:i/>
          <w:sz w:val="24"/>
        </w:rPr>
        <w:t>A. molluscorum,</w:t>
      </w:r>
    </w:p>
    <w:p>
      <w:pPr>
        <w:spacing w:before="10"/>
        <w:ind w:left="103" w:right="0" w:firstLine="0"/>
        <w:jc w:val="both"/>
        <w:rPr>
          <w:i/>
          <w:sz w:val="24"/>
        </w:rPr>
      </w:pPr>
      <w:r>
        <w:rPr>
          <w:i/>
          <w:sz w:val="24"/>
        </w:rPr>
        <w:t>A. piscicola</w:t>
      </w:r>
      <w:r>
        <w:rPr>
          <w:sz w:val="24"/>
        </w:rPr>
        <w:t>, </w:t>
      </w:r>
      <w:r>
        <w:rPr>
          <w:i/>
          <w:sz w:val="24"/>
        </w:rPr>
        <w:t>A. popoffii</w:t>
      </w:r>
      <w:r>
        <w:rPr>
          <w:sz w:val="24"/>
        </w:rPr>
        <w:t>, </w:t>
      </w:r>
      <w:r>
        <w:rPr>
          <w:i/>
          <w:sz w:val="24"/>
        </w:rPr>
        <w:t>A. rivuli,  A. salmonicida, A.  sanarellii</w:t>
      </w:r>
      <w:r>
        <w:rPr>
          <w:sz w:val="24"/>
        </w:rPr>
        <w:t>, </w:t>
      </w:r>
      <w:r>
        <w:rPr>
          <w:i/>
          <w:sz w:val="24"/>
        </w:rPr>
        <w:t>A. schubertii</w:t>
      </w:r>
      <w:r>
        <w:rPr>
          <w:sz w:val="24"/>
        </w:rPr>
        <w:t>, </w:t>
      </w:r>
      <w:r>
        <w:rPr>
          <w:i/>
          <w:sz w:val="24"/>
        </w:rPr>
        <w:t>A. simiae, A. sobria,</w:t>
      </w:r>
    </w:p>
    <w:p>
      <w:pPr>
        <w:pStyle w:val="BodyText"/>
        <w:rPr>
          <w:i/>
        </w:rPr>
      </w:pPr>
    </w:p>
    <w:p>
      <w:pPr>
        <w:pStyle w:val="BodyText"/>
        <w:spacing w:line="480" w:lineRule="auto"/>
        <w:ind w:left="103" w:right="99"/>
        <w:jc w:val="both"/>
      </w:pPr>
      <w:r>
        <w:rPr>
          <w:i/>
        </w:rPr>
        <w:t>A. taiwanensis, A. tecta, A. trota </w:t>
      </w:r>
      <w:r>
        <w:rPr/>
        <w:t>y </w:t>
      </w:r>
      <w:r>
        <w:rPr>
          <w:i/>
        </w:rPr>
        <w:t>A. veronii </w:t>
      </w:r>
      <w:r>
        <w:rPr/>
        <w:t>(Beaz-Hidalgo </w:t>
      </w:r>
      <w:r>
        <w:rPr>
          <w:i/>
        </w:rPr>
        <w:t>et al</w:t>
      </w:r>
      <w:r>
        <w:rPr/>
        <w:t>., 2013; Martínez-Murcia </w:t>
      </w:r>
      <w:r>
        <w:rPr>
          <w:i/>
        </w:rPr>
        <w:t>et al</w:t>
      </w:r>
      <w:r>
        <w:rPr/>
        <w:t>., 2013; Beaz-Hidalgo </w:t>
      </w:r>
      <w:r>
        <w:rPr>
          <w:i/>
        </w:rPr>
        <w:t>et al</w:t>
      </w:r>
      <w:r>
        <w:rPr/>
        <w:t>., 2015). Para su estudio, el género ha sido dividido en dos grandes grupos: el grupo mesófilico, que está conformado por las especies móviles, que pueden causar una signología clínica similar entre ellas, siendo la más frecuente </w:t>
      </w:r>
      <w:r>
        <w:rPr>
          <w:i/>
        </w:rPr>
        <w:t>A</w:t>
      </w:r>
      <w:r>
        <w:rPr/>
        <w:t>. </w:t>
      </w:r>
      <w:r>
        <w:rPr>
          <w:i/>
        </w:rPr>
        <w:t>hydrophila</w:t>
      </w:r>
      <w:r>
        <w:rPr/>
        <w:t>, capaz de causar alta mortalidad y provocar pérdidas económicas significativas en la acuicultura (Noga, 2010); y un  grupo psicrófilo, que incluye las especies no móviles: </w:t>
      </w:r>
      <w:r>
        <w:rPr>
          <w:i/>
        </w:rPr>
        <w:t>A. media</w:t>
      </w:r>
      <w:r>
        <w:rPr/>
        <w:t>, que causa infecciones clínicas en humanos y </w:t>
      </w:r>
      <w:r>
        <w:rPr>
          <w:i/>
        </w:rPr>
        <w:t>A. salmonicida, </w:t>
      </w:r>
      <w:r>
        <w:rPr/>
        <w:t>la cual infecta en su mayoría a los salmónidos y es el agente causal de la enfermedad conocida como furunculosis (Austin y Austin,</w:t>
      </w:r>
      <w:r>
        <w:rPr>
          <w:spacing w:val="-9"/>
        </w:rPr>
        <w:t> </w:t>
      </w:r>
      <w:r>
        <w:rPr/>
        <w:t>2007).</w:t>
      </w:r>
    </w:p>
    <w:p>
      <w:pPr>
        <w:spacing w:after="0" w:line="480" w:lineRule="auto"/>
        <w:jc w:val="both"/>
        <w:sectPr>
          <w:pgSz w:w="12240" w:h="15840"/>
          <w:pgMar w:header="0" w:footer="695" w:top="1080" w:bottom="940" w:left="1200" w:right="1200"/>
        </w:sectPr>
      </w:pPr>
    </w:p>
    <w:p>
      <w:pPr>
        <w:pStyle w:val="Heading1"/>
        <w:numPr>
          <w:ilvl w:val="2"/>
          <w:numId w:val="1"/>
        </w:numPr>
        <w:tabs>
          <w:tab w:pos="1174" w:val="left" w:leader="none"/>
        </w:tabs>
        <w:spacing w:line="240" w:lineRule="auto" w:before="49" w:after="0"/>
        <w:ind w:left="1174" w:right="0" w:hanging="360"/>
        <w:jc w:val="left"/>
      </w:pPr>
      <w:r>
        <w:rPr/>
        <w:t>Morfología y</w:t>
      </w:r>
      <w:r>
        <w:rPr>
          <w:spacing w:val="-3"/>
        </w:rPr>
        <w:t> </w:t>
      </w:r>
      <w:r>
        <w:rPr/>
        <w:t>tinción</w:t>
      </w:r>
    </w:p>
    <w:p>
      <w:pPr>
        <w:pStyle w:val="BodyText"/>
        <w:spacing w:before="7"/>
        <w:rPr>
          <w:b/>
          <w:sz w:val="23"/>
        </w:rPr>
      </w:pPr>
    </w:p>
    <w:p>
      <w:pPr>
        <w:pStyle w:val="BodyText"/>
        <w:spacing w:line="480" w:lineRule="auto"/>
        <w:ind w:left="103" w:right="98" w:firstLine="360"/>
        <w:jc w:val="both"/>
      </w:pPr>
      <w:r>
        <w:rPr/>
        <w:t>Éste género está conformado por bacterias Gram negativas, anaerobias facultativas, que presentan morfología poco variable (cocobacilar o bacilar pequeña) y miden aproximadamente 0.3- 1.0 × 1.0-3.5 μm (Janda y Abbott, 2010).</w:t>
      </w:r>
    </w:p>
    <w:p>
      <w:pPr>
        <w:pStyle w:val="BodyText"/>
      </w:pPr>
    </w:p>
    <w:p>
      <w:pPr>
        <w:pStyle w:val="BodyText"/>
        <w:spacing w:before="3"/>
        <w:rPr>
          <w:sz w:val="25"/>
        </w:rPr>
      </w:pPr>
    </w:p>
    <w:p>
      <w:pPr>
        <w:pStyle w:val="Heading1"/>
        <w:numPr>
          <w:ilvl w:val="2"/>
          <w:numId w:val="1"/>
        </w:numPr>
        <w:tabs>
          <w:tab w:pos="1174" w:val="left" w:leader="none"/>
        </w:tabs>
        <w:spacing w:line="240" w:lineRule="auto" w:before="0" w:after="0"/>
        <w:ind w:left="1174" w:right="0" w:hanging="360"/>
        <w:jc w:val="left"/>
      </w:pPr>
      <w:r>
        <w:rPr/>
        <w:t>Propiedades</w:t>
      </w:r>
      <w:r>
        <w:rPr>
          <w:spacing w:val="-6"/>
        </w:rPr>
        <w:t> </w:t>
      </w:r>
      <w:r>
        <w:rPr/>
        <w:t>bioquímicas</w:t>
      </w:r>
    </w:p>
    <w:p>
      <w:pPr>
        <w:pStyle w:val="BodyText"/>
        <w:spacing w:before="6"/>
        <w:rPr>
          <w:b/>
          <w:sz w:val="23"/>
        </w:rPr>
      </w:pPr>
    </w:p>
    <w:p>
      <w:pPr>
        <w:pStyle w:val="BodyText"/>
        <w:spacing w:line="480" w:lineRule="auto"/>
        <w:ind w:left="103" w:right="99" w:firstLine="360"/>
        <w:jc w:val="both"/>
      </w:pPr>
      <w:r>
        <w:rPr/>
        <w:t>Las bacterias de género </w:t>
      </w:r>
      <w:r>
        <w:rPr>
          <w:i/>
        </w:rPr>
        <w:t>Aeromonas </w:t>
      </w:r>
      <w:r>
        <w:rPr/>
        <w:t>son catalasa positiva, productores de gas en glucosa y urea negativos; no obstante, se necesita de un mínimo de 19 pruebas, entre bioquímicas y de susceptibilidad a distintos antimicrobianos para lograr la identificación de la mayoría de las  especies (Castro-Escarpulli </w:t>
      </w:r>
      <w:r>
        <w:rPr>
          <w:i/>
        </w:rPr>
        <w:t>et al</w:t>
      </w:r>
      <w:r>
        <w:rPr/>
        <w:t>., 2003a). Existen subespecies de </w:t>
      </w:r>
      <w:r>
        <w:rPr>
          <w:i/>
        </w:rPr>
        <w:t>A</w:t>
      </w:r>
      <w:r>
        <w:rPr/>
        <w:t>. </w:t>
      </w:r>
      <w:r>
        <w:rPr>
          <w:i/>
        </w:rPr>
        <w:t>salmonicida </w:t>
      </w:r>
      <w:r>
        <w:rPr/>
        <w:t>que no comparten las características generales del género y han sido catalogadas como atípicas, debido a la poca o lenta presentación del pigmento café observada en el crecimiento de los aislamientos; reacción negativa en la prueba de catalasa, oxidasa negativa, nutricionalmente son fastidiosos y su crecimiento es lento (más de 5 días de incubación) (Austin y Austin, 2007; Buller, 2004). Algunas de las pruebas utilizadas para la identificación general del género se basan: en la sensibilidad al agente vibriostático O/129 (2,4-diamino 6-7 diisopropilpteridina), crecimiento a diferentes concentraciones de cloruro de sodio (NaCl), crecimiento negativo en agar tiosulfato citrato bilis sacarosa (TCBS) e inositol negativo (14). </w:t>
      </w:r>
      <w:r>
        <w:rPr>
          <w:spacing w:val="-3"/>
        </w:rPr>
        <w:t>La </w:t>
      </w:r>
      <w:r>
        <w:rPr/>
        <w:t>utilización de marcadores moleculares permite la diferenciación genética, tales como: 16S rRNA, gyrB (subunidad B ADN gyrosa), rpoD (factor σ), rpoB</w:t>
      </w:r>
      <w:r>
        <w:rPr>
          <w:spacing w:val="13"/>
        </w:rPr>
        <w:t> </w:t>
      </w:r>
      <w:r>
        <w:rPr/>
        <w:t>(subunidad</w:t>
      </w:r>
      <w:r>
        <w:rPr>
          <w:spacing w:val="15"/>
        </w:rPr>
        <w:t> </w:t>
      </w:r>
      <w:r>
        <w:rPr/>
        <w:t>β,</w:t>
      </w:r>
      <w:r>
        <w:rPr>
          <w:spacing w:val="15"/>
        </w:rPr>
        <w:t> </w:t>
      </w:r>
      <w:r>
        <w:rPr/>
        <w:t>DNA</w:t>
      </w:r>
      <w:r>
        <w:rPr>
          <w:spacing w:val="15"/>
        </w:rPr>
        <w:t> </w:t>
      </w:r>
      <w:r>
        <w:rPr/>
        <w:t>dependiente</w:t>
      </w:r>
      <w:r>
        <w:rPr>
          <w:spacing w:val="14"/>
        </w:rPr>
        <w:t> </w:t>
      </w:r>
      <w:r>
        <w:rPr/>
        <w:t>de</w:t>
      </w:r>
      <w:r>
        <w:rPr>
          <w:spacing w:val="14"/>
        </w:rPr>
        <w:t> </w:t>
      </w:r>
      <w:r>
        <w:rPr/>
        <w:t>la</w:t>
      </w:r>
      <w:r>
        <w:rPr>
          <w:spacing w:val="15"/>
        </w:rPr>
        <w:t> </w:t>
      </w:r>
      <w:r>
        <w:rPr/>
        <w:t>RNA</w:t>
      </w:r>
      <w:r>
        <w:rPr>
          <w:spacing w:val="15"/>
        </w:rPr>
        <w:t> </w:t>
      </w:r>
      <w:r>
        <w:rPr/>
        <w:t>polimerasa)</w:t>
      </w:r>
      <w:r>
        <w:rPr>
          <w:spacing w:val="19"/>
        </w:rPr>
        <w:t> </w:t>
      </w:r>
      <w:r>
        <w:rPr/>
        <w:t>y</w:t>
      </w:r>
      <w:r>
        <w:rPr>
          <w:spacing w:val="10"/>
        </w:rPr>
        <w:t> </w:t>
      </w:r>
      <w:r>
        <w:rPr/>
        <w:t>la</w:t>
      </w:r>
      <w:r>
        <w:rPr>
          <w:spacing w:val="15"/>
        </w:rPr>
        <w:t> </w:t>
      </w:r>
      <w:r>
        <w:rPr/>
        <w:t>dnaJ</w:t>
      </w:r>
      <w:r>
        <w:rPr>
          <w:spacing w:val="17"/>
        </w:rPr>
        <w:t> </w:t>
      </w:r>
      <w:r>
        <w:rPr/>
        <w:t>(cabeza</w:t>
      </w:r>
      <w:r>
        <w:rPr>
          <w:spacing w:val="14"/>
        </w:rPr>
        <w:t> </w:t>
      </w:r>
      <w:r>
        <w:rPr/>
        <w:t>de</w:t>
      </w:r>
      <w:r>
        <w:rPr>
          <w:spacing w:val="14"/>
        </w:rPr>
        <w:t> </w:t>
      </w:r>
      <w:r>
        <w:rPr/>
        <w:t>proteína</w:t>
      </w:r>
      <w:r>
        <w:rPr>
          <w:spacing w:val="15"/>
        </w:rPr>
        <w:t> </w:t>
      </w:r>
      <w:r>
        <w:rPr/>
        <w:t>shock</w:t>
      </w:r>
    </w:p>
    <w:p>
      <w:pPr>
        <w:pStyle w:val="BodyText"/>
        <w:spacing w:line="480" w:lineRule="auto" w:before="10"/>
        <w:ind w:left="103" w:right="59"/>
      </w:pPr>
      <w:r>
        <w:rPr/>
        <w:t>40) (Nhung </w:t>
      </w:r>
      <w:r>
        <w:rPr>
          <w:i/>
        </w:rPr>
        <w:t>et al</w:t>
      </w:r>
      <w:r>
        <w:rPr/>
        <w:t>., 2007), además de la prueba de polimorfismo de longitud de los fragmentos de restricción (por sus siglas en inglés, RFLP) (Borrell </w:t>
      </w:r>
      <w:r>
        <w:rPr>
          <w:i/>
        </w:rPr>
        <w:t>et al</w:t>
      </w:r>
      <w:r>
        <w:rPr/>
        <w:t>., 1997).</w:t>
      </w:r>
    </w:p>
    <w:p>
      <w:pPr>
        <w:spacing w:after="0" w:line="480" w:lineRule="auto"/>
        <w:sectPr>
          <w:pgSz w:w="12240" w:h="15840"/>
          <w:pgMar w:header="0" w:footer="695" w:top="1080" w:bottom="940" w:left="1200" w:right="1200"/>
        </w:sectPr>
      </w:pPr>
    </w:p>
    <w:p>
      <w:pPr>
        <w:pStyle w:val="Heading1"/>
        <w:numPr>
          <w:ilvl w:val="1"/>
          <w:numId w:val="1"/>
        </w:numPr>
        <w:tabs>
          <w:tab w:pos="812" w:val="left" w:leader="none"/>
        </w:tabs>
        <w:spacing w:line="240" w:lineRule="auto" w:before="49" w:after="0"/>
        <w:ind w:left="811" w:right="0" w:hanging="348"/>
        <w:jc w:val="left"/>
      </w:pPr>
      <w:r>
        <w:rPr/>
        <w:t>ECOLOGÍA</w:t>
      </w:r>
    </w:p>
    <w:p>
      <w:pPr>
        <w:pStyle w:val="BodyText"/>
        <w:rPr>
          <w:b/>
        </w:rPr>
      </w:pPr>
    </w:p>
    <w:p>
      <w:pPr>
        <w:pStyle w:val="ListParagraph"/>
        <w:numPr>
          <w:ilvl w:val="2"/>
          <w:numId w:val="1"/>
        </w:numPr>
        <w:tabs>
          <w:tab w:pos="1174" w:val="left" w:leader="none"/>
        </w:tabs>
        <w:spacing w:line="240" w:lineRule="auto" w:before="0" w:after="0"/>
        <w:ind w:left="1174" w:right="0" w:hanging="360"/>
        <w:jc w:val="left"/>
        <w:rPr>
          <w:b/>
          <w:sz w:val="24"/>
        </w:rPr>
      </w:pPr>
      <w:r>
        <w:rPr>
          <w:b/>
          <w:sz w:val="24"/>
        </w:rPr>
        <w:t>Reservorio y</w:t>
      </w:r>
      <w:r>
        <w:rPr>
          <w:b/>
          <w:spacing w:val="-5"/>
          <w:sz w:val="24"/>
        </w:rPr>
        <w:t> </w:t>
      </w:r>
      <w:r>
        <w:rPr>
          <w:b/>
          <w:sz w:val="24"/>
        </w:rPr>
        <w:t>hospederos</w:t>
      </w:r>
    </w:p>
    <w:p>
      <w:pPr>
        <w:pStyle w:val="BodyText"/>
        <w:spacing w:before="6"/>
        <w:rPr>
          <w:b/>
          <w:sz w:val="23"/>
        </w:rPr>
      </w:pPr>
    </w:p>
    <w:p>
      <w:pPr>
        <w:pStyle w:val="BodyText"/>
        <w:spacing w:line="480" w:lineRule="auto"/>
        <w:ind w:left="103" w:right="99" w:firstLine="707"/>
      </w:pPr>
      <w:r>
        <w:rPr/>
        <w:t>La distribución del género incluye cuerpos de agua limpia y contaminada, así como sistemas marinos sin extrema salinidad y lodazales, además de formar parte de la flora intestinal de peces sanos (Austin y Austin, 2007). Estos microorganismos cuentan con una amplia variedad de hospederos que incluyen diferentes especies poiquilotermas: tilapia (</w:t>
      </w:r>
      <w:r>
        <w:rPr>
          <w:i/>
        </w:rPr>
        <w:t>Oreochromis </w:t>
      </w:r>
      <w:r>
        <w:rPr/>
        <w:t>sp) (Vásquez- Piñeros </w:t>
      </w:r>
      <w:r>
        <w:rPr>
          <w:i/>
        </w:rPr>
        <w:t>et al., </w:t>
      </w:r>
      <w:r>
        <w:rPr/>
        <w:t>2010), carpa común (</w:t>
      </w:r>
      <w:r>
        <w:rPr>
          <w:i/>
        </w:rPr>
        <w:t>Cyprinus carpio</w:t>
      </w:r>
      <w:r>
        <w:rPr/>
        <w:t>) (Kozińska </w:t>
      </w:r>
      <w:r>
        <w:rPr>
          <w:i/>
        </w:rPr>
        <w:t>et al</w:t>
      </w:r>
      <w:r>
        <w:rPr/>
        <w:t>., 2002), bagre (</w:t>
      </w:r>
      <w:r>
        <w:rPr>
          <w:i/>
        </w:rPr>
        <w:t>Ictalurus </w:t>
      </w:r>
      <w:r>
        <w:rPr>
          <w:i/>
        </w:rPr>
        <w:t>punctatus</w:t>
      </w:r>
      <w:r>
        <w:rPr/>
        <w:t>) (Nawaz </w:t>
      </w:r>
      <w:r>
        <w:rPr>
          <w:i/>
        </w:rPr>
        <w:t>et al</w:t>
      </w:r>
      <w:r>
        <w:rPr/>
        <w:t>., 2006), anguila común (</w:t>
      </w:r>
      <w:r>
        <w:rPr>
          <w:i/>
        </w:rPr>
        <w:t>Anguilla anguilla</w:t>
      </w:r>
      <w:r>
        <w:rPr/>
        <w:t>) (Austin </w:t>
      </w:r>
      <w:r>
        <w:rPr>
          <w:i/>
        </w:rPr>
        <w:t>et al</w:t>
      </w:r>
      <w:r>
        <w:rPr/>
        <w:t>., 1998), pez   dorado (</w:t>
      </w:r>
      <w:r>
        <w:rPr>
          <w:i/>
        </w:rPr>
        <w:t>Carassius auratus</w:t>
      </w:r>
      <w:r>
        <w:rPr/>
        <w:t>) (Rahman </w:t>
      </w:r>
      <w:r>
        <w:rPr>
          <w:i/>
        </w:rPr>
        <w:t>et al</w:t>
      </w:r>
      <w:r>
        <w:rPr/>
        <w:t>., 2001), carpa Koi (</w:t>
      </w:r>
      <w:r>
        <w:rPr>
          <w:i/>
        </w:rPr>
        <w:t>Cyprinus carpio koi</w:t>
      </w:r>
      <w:r>
        <w:rPr/>
        <w:t>) (Cizek </w:t>
      </w:r>
      <w:r>
        <w:rPr>
          <w:i/>
        </w:rPr>
        <w:t>et al</w:t>
      </w:r>
      <w:r>
        <w:rPr/>
        <w:t>., 2010), lenguado (</w:t>
      </w:r>
      <w:r>
        <w:rPr>
          <w:i/>
        </w:rPr>
        <w:t>Scophthalmus maximus</w:t>
      </w:r>
      <w:r>
        <w:rPr/>
        <w:t>) (Pérez </w:t>
      </w:r>
      <w:r>
        <w:rPr>
          <w:i/>
        </w:rPr>
        <w:t>et al</w:t>
      </w:r>
      <w:r>
        <w:rPr/>
        <w:t>., 1996), salmón atlántico (</w:t>
      </w:r>
      <w:r>
        <w:rPr>
          <w:i/>
        </w:rPr>
        <w:t>Salmo salar</w:t>
      </w:r>
      <w:r>
        <w:rPr/>
        <w:t>) (Holten-Andersen </w:t>
      </w:r>
      <w:r>
        <w:rPr>
          <w:i/>
        </w:rPr>
        <w:t>et al</w:t>
      </w:r>
      <w:r>
        <w:rPr/>
        <w:t>., 2012), trucha arcoíris (</w:t>
      </w:r>
      <w:r>
        <w:rPr>
          <w:i/>
        </w:rPr>
        <w:t>Oncorhynchus mykiss</w:t>
      </w:r>
      <w:r>
        <w:rPr/>
        <w:t>) (Fuentes y Pérez, 1998), pez roca negro (</w:t>
      </w:r>
      <w:r>
        <w:rPr>
          <w:i/>
        </w:rPr>
        <w:t>Sebastes schlegeli</w:t>
      </w:r>
      <w:r>
        <w:rPr/>
        <w:t>) (Han </w:t>
      </w:r>
      <w:r>
        <w:rPr>
          <w:i/>
        </w:rPr>
        <w:t>et al</w:t>
      </w:r>
      <w:r>
        <w:rPr/>
        <w:t>., 2011), cocodrilo (</w:t>
      </w:r>
      <w:r>
        <w:rPr>
          <w:i/>
        </w:rPr>
        <w:t>Crocodylus niloticus</w:t>
      </w:r>
      <w:r>
        <w:rPr/>
        <w:t>) (Turutoglu </w:t>
      </w:r>
      <w:r>
        <w:rPr>
          <w:i/>
        </w:rPr>
        <w:t>et al</w:t>
      </w:r>
      <w:r>
        <w:rPr/>
        <w:t>., 2005), rana (</w:t>
      </w:r>
      <w:r>
        <w:rPr>
          <w:i/>
        </w:rPr>
        <w:t>Rana tigerina </w:t>
      </w:r>
      <w:r>
        <w:rPr/>
        <w:t>y </w:t>
      </w:r>
      <w:r>
        <w:rPr>
          <w:i/>
        </w:rPr>
        <w:t>R</w:t>
      </w:r>
      <w:r>
        <w:rPr/>
        <w:t>. </w:t>
      </w:r>
      <w:r>
        <w:rPr>
          <w:i/>
        </w:rPr>
        <w:t>rugulosa</w:t>
      </w:r>
      <w:r>
        <w:rPr/>
        <w:t>) (Pearson </w:t>
      </w:r>
      <w:r>
        <w:rPr>
          <w:i/>
        </w:rPr>
        <w:t>et al</w:t>
      </w:r>
      <w:r>
        <w:rPr/>
        <w:t>., 2000); y en el mamífero lobo marino (</w:t>
      </w:r>
      <w:r>
        <w:rPr>
          <w:i/>
        </w:rPr>
        <w:t>Otaria flavescens</w:t>
      </w:r>
      <w:r>
        <w:rPr/>
        <w:t>) (González </w:t>
      </w:r>
      <w:r>
        <w:rPr>
          <w:i/>
        </w:rPr>
        <w:t>et al</w:t>
      </w:r>
      <w:r>
        <w:rPr/>
        <w:t>., 2009); especies terrestres como: cerdo, pollos, perros, gatos y humanos (Paniagua </w:t>
      </w:r>
      <w:r>
        <w:rPr>
          <w:i/>
        </w:rPr>
        <w:t>et al</w:t>
      </w:r>
      <w:r>
        <w:rPr/>
        <w:t>., 1990); incluso ha sido aislado de alimentos como pescado congelado (Castro-Escarpillu </w:t>
      </w:r>
      <w:r>
        <w:rPr>
          <w:i/>
        </w:rPr>
        <w:t>et al</w:t>
      </w:r>
      <w:r>
        <w:rPr/>
        <w:t>., 2003a), verduras, leche, carne de bovino y embutidos (Janda y Abbott, 2010). La importancia de este microorganismo en la salud pública radica en su poder zoonótico. Asimismo se ha relacionado el desarrollo de la enfermedad con el mal manejo y altas temperaturas registradas en el agua en los periodos de primavera y verano (Amstutz </w:t>
      </w:r>
      <w:r>
        <w:rPr>
          <w:i/>
        </w:rPr>
        <w:t>et al</w:t>
      </w:r>
      <w:r>
        <w:rPr/>
        <w:t>., 2000). En humanos producen diarrea (Guevara </w:t>
      </w:r>
      <w:r>
        <w:rPr>
          <w:i/>
        </w:rPr>
        <w:t>et al</w:t>
      </w:r>
      <w:r>
        <w:rPr/>
        <w:t>., 2003), infecciones cutáneas (Meik </w:t>
      </w:r>
      <w:r>
        <w:rPr>
          <w:i/>
        </w:rPr>
        <w:t>et al</w:t>
      </w:r>
      <w:r>
        <w:rPr/>
        <w:t>., 2011), infecciones oculares (presencia de úlceras en la córnea) (Puri </w:t>
      </w:r>
      <w:r>
        <w:rPr>
          <w:i/>
        </w:rPr>
        <w:t>et al</w:t>
      </w:r>
      <w:r>
        <w:rPr/>
        <w:t>., 2003), bacteremia (Chih-Cheng  </w:t>
      </w:r>
      <w:r>
        <w:rPr>
          <w:i/>
        </w:rPr>
        <w:t>et  al</w:t>
      </w:r>
      <w:r>
        <w:rPr/>
        <w:t>., 2007), mortalidad de pacientes inmunocomprometidos (Yang </w:t>
      </w:r>
      <w:r>
        <w:rPr>
          <w:i/>
        </w:rPr>
        <w:t>et al</w:t>
      </w:r>
      <w:r>
        <w:rPr/>
        <w:t>., 2008), artritis, entre  otras (Isoken </w:t>
      </w:r>
      <w:r>
        <w:rPr>
          <w:i/>
        </w:rPr>
        <w:t>et al</w:t>
      </w:r>
      <w:r>
        <w:rPr/>
        <w:t>.,</w:t>
      </w:r>
      <w:r>
        <w:rPr>
          <w:spacing w:val="-8"/>
        </w:rPr>
        <w:t> </w:t>
      </w:r>
      <w:r>
        <w:rPr/>
        <w:t>2012).</w:t>
      </w:r>
    </w:p>
    <w:p>
      <w:pPr>
        <w:spacing w:after="0" w:line="480" w:lineRule="auto"/>
        <w:sectPr>
          <w:pgSz w:w="12240" w:h="15840"/>
          <w:pgMar w:header="0" w:footer="695" w:top="1080" w:bottom="940" w:left="1200" w:right="1140"/>
        </w:sectPr>
      </w:pPr>
    </w:p>
    <w:p>
      <w:pPr>
        <w:pStyle w:val="Heading1"/>
        <w:numPr>
          <w:ilvl w:val="2"/>
          <w:numId w:val="1"/>
        </w:numPr>
        <w:tabs>
          <w:tab w:pos="1174" w:val="left" w:leader="none"/>
        </w:tabs>
        <w:spacing w:line="240" w:lineRule="auto" w:before="49" w:after="0"/>
        <w:ind w:left="1174" w:right="0" w:hanging="360"/>
        <w:jc w:val="left"/>
      </w:pPr>
      <w:r>
        <w:rPr/>
        <w:t>Transmisión</w:t>
      </w:r>
    </w:p>
    <w:p>
      <w:pPr>
        <w:pStyle w:val="BodyText"/>
        <w:spacing w:before="7"/>
        <w:rPr>
          <w:b/>
          <w:sz w:val="23"/>
        </w:rPr>
      </w:pPr>
    </w:p>
    <w:p>
      <w:pPr>
        <w:pStyle w:val="BodyText"/>
        <w:spacing w:line="480" w:lineRule="auto"/>
        <w:ind w:left="103" w:right="99" w:firstLine="707"/>
        <w:jc w:val="both"/>
      </w:pPr>
      <w:r>
        <w:rPr/>
        <w:t>Las manifestaciones clínicas de la enfermedad pueden variar de aguda a crónica, dependiendo de la edad y la especie de los peces afectados, la cepa bacteriana implicada y las condiciones ambientales (Brown, 2000). Los peces infectados con el grupo de </w:t>
      </w:r>
      <w:r>
        <w:rPr>
          <w:i/>
        </w:rPr>
        <w:t>Aeromonas </w:t>
      </w:r>
      <w:r>
        <w:rPr/>
        <w:t>móviles, generalmente muestran cuadros subclínicos, clínicos y en ocasiones crónicos (John </w:t>
      </w:r>
      <w:r>
        <w:rPr>
          <w:i/>
        </w:rPr>
        <w:t>et al</w:t>
      </w:r>
      <w:r>
        <w:rPr/>
        <w:t>., 2011), mientras que el grupo no móvil, tiende a presentar cuadros subagudos y crónicos en donde se observa la formación de lesiones dérmicas que pueden evolucionar hasta producir la lesión  conocida como furúnculo (Noga, 2010). La transmisión horizontal de ambos grupos es causada por la diseminación del agente al ambiente, </w:t>
      </w:r>
      <w:r>
        <w:rPr>
          <w:spacing w:val="-3"/>
        </w:rPr>
        <w:t>ya </w:t>
      </w:r>
      <w:r>
        <w:rPr/>
        <w:t>sea a través de las excreciones y la sobrevivencia de la bacteria en el material orgánico, como ocurre en el caso de </w:t>
      </w:r>
      <w:r>
        <w:rPr>
          <w:i/>
        </w:rPr>
        <w:t>A</w:t>
      </w:r>
      <w:r>
        <w:rPr/>
        <w:t>. </w:t>
      </w:r>
      <w:r>
        <w:rPr>
          <w:i/>
        </w:rPr>
        <w:t>salmonicida</w:t>
      </w:r>
      <w:r>
        <w:rPr/>
        <w:t>; o por la formación de úlceras en la piel, siendo éstas el mayor foco de infección durante los brotes. Sin embargo, el aislamiento de bacterias a partir de branquias e intestino es común debido a la exposición al ambiente acuático (Inglis </w:t>
      </w:r>
      <w:r>
        <w:rPr>
          <w:i/>
        </w:rPr>
        <w:t>et al</w:t>
      </w:r>
      <w:r>
        <w:rPr/>
        <w:t>., 1993). En un estudio realizado por Rahman y colaboradores (2007), se mostró que la vegetación en plantas tratadoras de agua residuales puede servir como reservorio de </w:t>
      </w:r>
      <w:r>
        <w:rPr>
          <w:i/>
        </w:rPr>
        <w:t>Aeromonas </w:t>
      </w:r>
      <w:r>
        <w:rPr/>
        <w:t>spp., por lo que el empleo de agua reciclada para la acuicultura posee un alto grado de riesgo para las especies acuáticas así como para la salud</w:t>
      </w:r>
      <w:r>
        <w:rPr>
          <w:spacing w:val="-16"/>
        </w:rPr>
        <w:t> </w:t>
      </w:r>
      <w:r>
        <w:rPr/>
        <w:t>pública.</w:t>
      </w:r>
    </w:p>
    <w:p>
      <w:pPr>
        <w:pStyle w:val="BodyText"/>
      </w:pPr>
    </w:p>
    <w:p>
      <w:pPr>
        <w:pStyle w:val="BodyText"/>
        <w:spacing w:before="3"/>
        <w:rPr>
          <w:sz w:val="25"/>
        </w:rPr>
      </w:pPr>
    </w:p>
    <w:p>
      <w:pPr>
        <w:pStyle w:val="Heading1"/>
        <w:numPr>
          <w:ilvl w:val="2"/>
          <w:numId w:val="1"/>
        </w:numPr>
        <w:tabs>
          <w:tab w:pos="1174" w:val="left" w:leader="none"/>
        </w:tabs>
        <w:spacing w:line="240" w:lineRule="auto" w:before="0" w:after="0"/>
        <w:ind w:left="1174" w:right="0" w:hanging="360"/>
        <w:jc w:val="left"/>
      </w:pPr>
      <w:r>
        <w:rPr/>
        <w:t>Signología y</w:t>
      </w:r>
      <w:r>
        <w:rPr>
          <w:spacing w:val="-5"/>
        </w:rPr>
        <w:t> </w:t>
      </w:r>
      <w:r>
        <w:rPr/>
        <w:t>patogenia</w:t>
      </w:r>
    </w:p>
    <w:p>
      <w:pPr>
        <w:pStyle w:val="BodyText"/>
        <w:spacing w:before="6"/>
        <w:rPr>
          <w:b/>
          <w:sz w:val="23"/>
        </w:rPr>
      </w:pPr>
    </w:p>
    <w:p>
      <w:pPr>
        <w:pStyle w:val="BodyText"/>
        <w:spacing w:line="480" w:lineRule="auto"/>
        <w:ind w:left="103" w:right="100" w:firstLine="707"/>
        <w:jc w:val="both"/>
      </w:pPr>
      <w:r>
        <w:rPr/>
        <w:t>Cabe destacar que la descripción de la signología y patogenia para el grupo de las </w:t>
      </w:r>
      <w:r>
        <w:rPr>
          <w:i/>
        </w:rPr>
        <w:t>Aeromonas </w:t>
      </w:r>
      <w:r>
        <w:rPr/>
        <w:t>móviles es similar entre las especies móviles y en la mayoría de los casos </w:t>
      </w:r>
      <w:r>
        <w:rPr>
          <w:i/>
        </w:rPr>
        <w:t>A</w:t>
      </w:r>
      <w:r>
        <w:rPr/>
        <w:t>. </w:t>
      </w:r>
      <w:r>
        <w:rPr>
          <w:i/>
        </w:rPr>
        <w:t>hydrophila </w:t>
      </w:r>
      <w:r>
        <w:rPr/>
        <w:t>es la especie más reportada (Noga, 2010). Por ello, la infección causada por este grupo es conocida de manera general como “septicemia por </w:t>
      </w:r>
      <w:r>
        <w:rPr>
          <w:i/>
        </w:rPr>
        <w:t>Aeromonas </w:t>
      </w:r>
      <w:r>
        <w:rPr/>
        <w:t>móviles (SAM)” (Roberts, 2001), la signología no es específica y los peces infectados muestran una morbilidad del 80% y </w:t>
      </w:r>
      <w:r>
        <w:rPr>
          <w:spacing w:val="25"/>
        </w:rPr>
        <w:t> </w:t>
      </w:r>
      <w:r>
        <w:rPr/>
        <w:t>mortalidades</w:t>
      </w:r>
    </w:p>
    <w:p>
      <w:pPr>
        <w:spacing w:after="0" w:line="480" w:lineRule="auto"/>
        <w:jc w:val="both"/>
        <w:sectPr>
          <w:pgSz w:w="12240" w:h="15840"/>
          <w:pgMar w:header="0" w:footer="695" w:top="1080" w:bottom="940" w:left="1200" w:right="1200"/>
        </w:sectPr>
      </w:pPr>
    </w:p>
    <w:p>
      <w:pPr>
        <w:pStyle w:val="BodyText"/>
        <w:spacing w:line="480" w:lineRule="auto" w:before="44"/>
        <w:ind w:left="103" w:right="99"/>
        <w:jc w:val="both"/>
      </w:pPr>
      <w:r>
        <w:rPr/>
        <w:t>acumuladas aproximadas de 50% (Fuentes y Pérez, 1998). </w:t>
      </w:r>
      <w:r>
        <w:rPr>
          <w:spacing w:val="-3"/>
        </w:rPr>
        <w:t>La </w:t>
      </w:r>
      <w:r>
        <w:rPr/>
        <w:t>SAM se caracteriza por producir lesiones en la dermis, en donde se presentan diferencias en: características morfológicas (úlceras  y/o hemorragias), localización (focal y/o multifocal), zonas infectadas (craneal, caudal, dorsal, ventral </w:t>
      </w:r>
      <w:r>
        <w:rPr>
          <w:spacing w:val="-3"/>
        </w:rPr>
        <w:t>y/o </w:t>
      </w:r>
      <w:r>
        <w:rPr/>
        <w:t>lateral) y la presencia lesiones en aletas (dorsales, caudales, ventral, pectorales y/o anal) (Noga, 2010). Las hemorragias producidas por las hemolisinas pueden volverse procesos septicémicos, los hallazgos macroscópicos identificados en los peces incluyen: exoftalmia, ulceración ocular e hidropesía (Cipriano, 2001), hiperpigmentación de la dermis, protrusión rectal, presencia de petequias, necrosis en la base de las aletas y/o putrefacción en las aletas, que puede desarrollarse sin la necesidad de lesiones en la piel (Nam </w:t>
      </w:r>
      <w:r>
        <w:rPr>
          <w:i/>
        </w:rPr>
        <w:t>et al</w:t>
      </w:r>
      <w:r>
        <w:rPr/>
        <w:t>., 2007; Saavedra </w:t>
      </w:r>
      <w:r>
        <w:rPr>
          <w:i/>
        </w:rPr>
        <w:t>et al</w:t>
      </w:r>
      <w:r>
        <w:rPr/>
        <w:t>.,</w:t>
      </w:r>
      <w:r>
        <w:rPr>
          <w:spacing w:val="-11"/>
        </w:rPr>
        <w:t> </w:t>
      </w:r>
      <w:r>
        <w:rPr/>
        <w:t>2004).</w:t>
      </w:r>
    </w:p>
    <w:p>
      <w:pPr>
        <w:pStyle w:val="BodyText"/>
        <w:spacing w:line="480" w:lineRule="auto" w:before="10"/>
        <w:ind w:left="103" w:right="102" w:firstLine="707"/>
        <w:jc w:val="both"/>
      </w:pPr>
      <w:r>
        <w:rPr/>
        <w:t>En el caso de </w:t>
      </w:r>
      <w:r>
        <w:rPr>
          <w:i/>
        </w:rPr>
        <w:t>A</w:t>
      </w:r>
      <w:r>
        <w:rPr/>
        <w:t>. </w:t>
      </w:r>
      <w:r>
        <w:rPr>
          <w:i/>
        </w:rPr>
        <w:t>salmonicida </w:t>
      </w:r>
      <w:r>
        <w:rPr/>
        <w:t>puede sobrevivir afuera del hospedero, dependiendo de las condiciones presentes en el agua (Hiney </w:t>
      </w:r>
      <w:r>
        <w:rPr>
          <w:i/>
        </w:rPr>
        <w:t>et al</w:t>
      </w:r>
      <w:r>
        <w:rPr/>
        <w:t>., 1997). Todas las edades son susceptibles a presentar la enfermedad, aunque los peces jóvenes son infectados en menor frecuencia pero cuando esto ocurre saltan fuera del estanque, la dermis puede presentar hiperpigmentación y los peces mueren (Roberts, 2001). Sin embargo, peces enfermos pueden llegar a recuperarse, incluso cuando la lesión se localiza en músculo esquelético sin llegar a la cavidad celómica (Hiney </w:t>
      </w:r>
      <w:r>
        <w:rPr>
          <w:i/>
        </w:rPr>
        <w:t>et al</w:t>
      </w:r>
      <w:r>
        <w:rPr/>
        <w:t>., 1997). Los signos clínicos de la enfermedad dependen del tiempo y curso de la infección; los casos hiperagudos se presentan generalmente en crías de salmónidos con muerte súbita (Noga, 2010). En peces de mayor edad la presentación subaguda y crónica tiende a desarrollar el furúnculo; en la presentación aguda se manifiesta con una septicemia hemorrágica que puede generarse sin la presentación de lesiones furunculosas en la piel. En casos donde el furúnculo logra desarrollarse, la ulceración y erosión de éste origina la secreción de fluido sanguinolento en el agua, lo que permite la diseminación del agente (Inglis </w:t>
      </w:r>
      <w:r>
        <w:rPr>
          <w:i/>
        </w:rPr>
        <w:t>et al</w:t>
      </w:r>
      <w:r>
        <w:rPr/>
        <w:t>., 1993).</w:t>
      </w:r>
    </w:p>
    <w:p>
      <w:pPr>
        <w:spacing w:after="0" w:line="480" w:lineRule="auto"/>
        <w:jc w:val="both"/>
        <w:sectPr>
          <w:pgSz w:w="12240" w:h="15840"/>
          <w:pgMar w:header="0" w:footer="695" w:top="1080" w:bottom="940" w:left="1200" w:right="1200"/>
        </w:sectPr>
      </w:pPr>
    </w:p>
    <w:p>
      <w:pPr>
        <w:pStyle w:val="BodyText"/>
        <w:spacing w:line="480" w:lineRule="auto" w:before="44"/>
        <w:ind w:left="103" w:right="99" w:firstLine="707"/>
        <w:jc w:val="both"/>
      </w:pPr>
      <w:r>
        <w:rPr/>
        <w:t>En los casos crónicos el progreso de la infección es lento y resulta en una localización generalizada del agente en las vísceras, infectando diferentes tejidos, como son: branquias, hígado bazo, riñón, células epiteliales de los vasos sanguíneos e intestino (Inglis </w:t>
      </w:r>
      <w:r>
        <w:rPr>
          <w:i/>
        </w:rPr>
        <w:t>et al</w:t>
      </w:r>
      <w:r>
        <w:rPr/>
        <w:t>., 1993). También es común la presentación de letargia, inapetencia, petequias y en algunas ocasiones se observa hinchazón en la base de las aletas, si el proceso infeccioso persiste puede transformarse en una úlcera; adicionalmente, se ha observado exoftalmia y secreción sanguinolenta en narinas (Noga, 2010).</w:t>
      </w:r>
    </w:p>
    <w:p>
      <w:pPr>
        <w:pStyle w:val="BodyText"/>
      </w:pPr>
    </w:p>
    <w:p>
      <w:pPr>
        <w:pStyle w:val="BodyText"/>
        <w:spacing w:before="4"/>
        <w:rPr>
          <w:sz w:val="25"/>
        </w:rPr>
      </w:pPr>
    </w:p>
    <w:p>
      <w:pPr>
        <w:pStyle w:val="Heading1"/>
        <w:numPr>
          <w:ilvl w:val="2"/>
          <w:numId w:val="1"/>
        </w:numPr>
        <w:tabs>
          <w:tab w:pos="1174" w:val="left" w:leader="none"/>
        </w:tabs>
        <w:spacing w:line="240" w:lineRule="auto" w:before="0" w:after="0"/>
        <w:ind w:left="1174" w:right="0" w:hanging="360"/>
        <w:jc w:val="left"/>
      </w:pPr>
      <w:r>
        <w:rPr/>
        <w:t>Lesiones</w:t>
      </w:r>
      <w:r>
        <w:rPr>
          <w:spacing w:val="-6"/>
        </w:rPr>
        <w:t> </w:t>
      </w:r>
      <w:r>
        <w:rPr/>
        <w:t>macroscópicas</w:t>
      </w:r>
    </w:p>
    <w:p>
      <w:pPr>
        <w:pStyle w:val="BodyText"/>
        <w:spacing w:before="6"/>
        <w:rPr>
          <w:b/>
          <w:sz w:val="23"/>
        </w:rPr>
      </w:pPr>
    </w:p>
    <w:p>
      <w:pPr>
        <w:pStyle w:val="BodyText"/>
        <w:spacing w:line="480" w:lineRule="auto"/>
        <w:ind w:left="103" w:right="99" w:firstLine="427"/>
        <w:jc w:val="both"/>
      </w:pPr>
      <w:r>
        <w:rPr/>
        <w:t>Para el caso de las </w:t>
      </w:r>
      <w:r>
        <w:rPr>
          <w:i/>
        </w:rPr>
        <w:t>Aeromonas </w:t>
      </w:r>
      <w:r>
        <w:rPr/>
        <w:t>móviles, a la necropsia se ha observado branquias hemorrágicas y congestión en órganos internos; de manera similar el riñón puede presentar hemorragias (Fuentes de Pérez, 1998); el bazo y el riñón pueden encontrarse tumefactos, originando la salida de líquido; además se han observado petequias en órganos internos e hinchazón del intestino (Inglis </w:t>
      </w:r>
      <w:r>
        <w:rPr>
          <w:i/>
        </w:rPr>
        <w:t>et al</w:t>
      </w:r>
      <w:r>
        <w:rPr/>
        <w:t>., 1993). En la infección experimental con </w:t>
      </w:r>
      <w:r>
        <w:rPr>
          <w:i/>
        </w:rPr>
        <w:t>A</w:t>
      </w:r>
      <w:r>
        <w:rPr/>
        <w:t>. </w:t>
      </w:r>
      <w:r>
        <w:rPr>
          <w:i/>
        </w:rPr>
        <w:t>hydrophila </w:t>
      </w:r>
      <w:r>
        <w:rPr/>
        <w:t>subespecie </w:t>
      </w:r>
      <w:r>
        <w:rPr>
          <w:i/>
        </w:rPr>
        <w:t>dhakensis </w:t>
      </w:r>
      <w:r>
        <w:rPr/>
        <w:t>(actualmente </w:t>
      </w:r>
      <w:r>
        <w:rPr>
          <w:i/>
        </w:rPr>
        <w:t>A</w:t>
      </w:r>
      <w:r>
        <w:rPr/>
        <w:t>. </w:t>
      </w:r>
      <w:r>
        <w:rPr>
          <w:i/>
        </w:rPr>
        <w:t>dhakensis</w:t>
      </w:r>
      <w:r>
        <w:rPr/>
        <w:t>) inoculada por vía intramuscular (IM) en trucha arcoíris, se observó septicemia hemorrágica generalizada con presencia de lesiones tipo furunculosas alrededor del sitio de inyección, así como lesiones hemorrágicas en cabeza, ojos y branquias (Kozińska, 2007).</w:t>
      </w:r>
    </w:p>
    <w:p>
      <w:pPr>
        <w:pStyle w:val="BodyText"/>
        <w:spacing w:line="480" w:lineRule="auto" w:before="10"/>
        <w:ind w:left="103" w:right="101" w:firstLine="707"/>
        <w:jc w:val="both"/>
      </w:pPr>
      <w:r>
        <w:rPr/>
        <w:t>En peces infectados con </w:t>
      </w:r>
      <w:r>
        <w:rPr>
          <w:i/>
        </w:rPr>
        <w:t>A</w:t>
      </w:r>
      <w:r>
        <w:rPr/>
        <w:t>. </w:t>
      </w:r>
      <w:r>
        <w:rPr>
          <w:i/>
        </w:rPr>
        <w:t>salmonicida </w:t>
      </w:r>
      <w:r>
        <w:rPr/>
        <w:t>se ha observado la presencia de hemorragias en la base de las aletas y en las branquias, además de la presencia de úlceras (Kinkelin, 1991). La presentación crónica de la enfermedad se observa generalmente en peces de mayor edad, en donde la presencia de lesiones furúnculosas se hace evidente, dependiendo de la virulencia de la bacteria  la lesión puede extenderse hasta cavidad celómica, provocando una infección sistémica y la muerte del  pez  (Noga,  2010).  En  intestino  se  han  observado  lesiones  hemorrágicas  y  necróticas, </w:t>
      </w:r>
      <w:r>
        <w:rPr>
          <w:spacing w:val="24"/>
        </w:rPr>
        <w:t> </w:t>
      </w:r>
      <w:r>
        <w:rPr/>
        <w:t>los</w:t>
      </w:r>
    </w:p>
    <w:p>
      <w:pPr>
        <w:spacing w:after="0" w:line="480" w:lineRule="auto"/>
        <w:jc w:val="both"/>
        <w:sectPr>
          <w:pgSz w:w="12240" w:h="15840"/>
          <w:pgMar w:header="0" w:footer="695" w:top="1080" w:bottom="940" w:left="1200" w:right="1200"/>
        </w:sectPr>
      </w:pPr>
    </w:p>
    <w:p>
      <w:pPr>
        <w:pStyle w:val="BodyText"/>
        <w:spacing w:line="480" w:lineRule="auto" w:before="44"/>
        <w:ind w:left="103" w:right="99"/>
        <w:jc w:val="both"/>
      </w:pPr>
      <w:r>
        <w:rPr/>
        <w:t>animales por lo general dejan de comer y el contenido del intestino está constituido por moco y sangre (Mulder </w:t>
      </w:r>
      <w:r>
        <w:rPr>
          <w:i/>
        </w:rPr>
        <w:t>et al</w:t>
      </w:r>
      <w:r>
        <w:rPr/>
        <w:t>., 2007). En corazón, se ha observado infiltración de fluido en pericardio, además de una coloración rojo cereza del bazo y color gris en hígado (Inglis </w:t>
      </w:r>
      <w:r>
        <w:rPr>
          <w:i/>
        </w:rPr>
        <w:t>et al</w:t>
      </w:r>
      <w:r>
        <w:rPr/>
        <w:t>., 1993).</w:t>
      </w:r>
    </w:p>
    <w:p>
      <w:pPr>
        <w:pStyle w:val="BodyText"/>
      </w:pPr>
    </w:p>
    <w:p>
      <w:pPr>
        <w:pStyle w:val="BodyText"/>
        <w:spacing w:before="3"/>
        <w:rPr>
          <w:sz w:val="25"/>
        </w:rPr>
      </w:pPr>
    </w:p>
    <w:p>
      <w:pPr>
        <w:pStyle w:val="Heading1"/>
        <w:numPr>
          <w:ilvl w:val="2"/>
          <w:numId w:val="1"/>
        </w:numPr>
        <w:tabs>
          <w:tab w:pos="1174" w:val="left" w:leader="none"/>
        </w:tabs>
        <w:spacing w:line="240" w:lineRule="auto" w:before="0" w:after="0"/>
        <w:ind w:left="1174" w:right="0" w:hanging="360"/>
        <w:jc w:val="left"/>
      </w:pPr>
      <w:r>
        <w:rPr/>
        <w:t>Lesiones</w:t>
      </w:r>
      <w:r>
        <w:rPr>
          <w:spacing w:val="-3"/>
        </w:rPr>
        <w:t> </w:t>
      </w:r>
      <w:r>
        <w:rPr/>
        <w:t>histológicos</w:t>
      </w:r>
    </w:p>
    <w:p>
      <w:pPr>
        <w:pStyle w:val="BodyText"/>
        <w:spacing w:before="6"/>
        <w:rPr>
          <w:b/>
          <w:sz w:val="23"/>
        </w:rPr>
      </w:pPr>
    </w:p>
    <w:p>
      <w:pPr>
        <w:pStyle w:val="BodyText"/>
        <w:spacing w:line="480" w:lineRule="auto"/>
        <w:ind w:left="103" w:right="100" w:firstLine="707"/>
        <w:jc w:val="both"/>
      </w:pPr>
      <w:r>
        <w:rPr/>
        <w:t>La histopatología de peces con SAM ocasiona depleción hematopoyética, necrosis de  células renales y esplénicas, necrosis en el lumen y en la membrana mucosa del intestino, además  de observarse necrosis focal en tejido cardiaco, hígado, gónadas y páncreas; en encéfalo se ha observado congestión leptomeníngea (Cipriano, 2001); en hígado se ha observado hepatitis multifocal no supurativa y colangiohepatitis (Saavedra </w:t>
      </w:r>
      <w:r>
        <w:rPr>
          <w:i/>
        </w:rPr>
        <w:t>et al</w:t>
      </w:r>
      <w:r>
        <w:rPr/>
        <w:t>., 2004). En la dermis se ha observado edema severo, hiperemia del estrato reticular, ulceración y necrosis hemorrágica, que puede extenderse hasta músculo esquelético en casos severos (Rey </w:t>
      </w:r>
      <w:r>
        <w:rPr>
          <w:i/>
        </w:rPr>
        <w:t>et al</w:t>
      </w:r>
      <w:r>
        <w:rPr/>
        <w:t>., 2009). En piel y músculo se ha observado dermatitis y miositis aguda-crónica, con presencia de infiltrado conformado principalmente por neutrófilos (Saavedra </w:t>
      </w:r>
      <w:r>
        <w:rPr>
          <w:i/>
        </w:rPr>
        <w:t>et al</w:t>
      </w:r>
      <w:r>
        <w:rPr/>
        <w:t>., 2004). En ojos se ha observado trombosis e inflamación en la región periesclerótica así como en el epitelio corneal. Cuando un pez se recupera de la SAM, la presencia de úlceras en la dermis es seguida de la regeneración del tejido y la eliminación del patógeno (Fuentes y Pérez,</w:t>
      </w:r>
      <w:r>
        <w:rPr>
          <w:spacing w:val="-8"/>
        </w:rPr>
        <w:t> </w:t>
      </w:r>
      <w:r>
        <w:rPr/>
        <w:t>1998).</w:t>
      </w:r>
    </w:p>
    <w:p>
      <w:pPr>
        <w:pStyle w:val="BodyText"/>
        <w:spacing w:line="480" w:lineRule="auto" w:before="10"/>
        <w:ind w:left="103" w:right="103" w:firstLine="707"/>
        <w:jc w:val="both"/>
      </w:pPr>
      <w:r>
        <w:rPr/>
        <w:t>Se ha observado que aislamientos obtenidos de truchas arcoíris clínicamente sanas, de diferentes especies de </w:t>
      </w:r>
      <w:r>
        <w:rPr>
          <w:i/>
        </w:rPr>
        <w:t>Aeromonas </w:t>
      </w:r>
      <w:r>
        <w:rPr/>
        <w:t>(</w:t>
      </w:r>
      <w:r>
        <w:rPr>
          <w:i/>
        </w:rPr>
        <w:t>A</w:t>
      </w:r>
      <w:r>
        <w:rPr/>
        <w:t>. </w:t>
      </w:r>
      <w:r>
        <w:rPr>
          <w:i/>
        </w:rPr>
        <w:t>bestiarum </w:t>
      </w:r>
      <w:r>
        <w:rPr/>
        <w:t>y </w:t>
      </w:r>
      <w:r>
        <w:rPr>
          <w:i/>
        </w:rPr>
        <w:t>A</w:t>
      </w:r>
      <w:r>
        <w:rPr/>
        <w:t>. </w:t>
      </w:r>
      <w:r>
        <w:rPr>
          <w:i/>
        </w:rPr>
        <w:t>veronii</w:t>
      </w:r>
      <w:r>
        <w:rPr/>
        <w:t>) usadas para infectar experimentalmente truchas sanas, son capaces de provocar mortalidad y signología, manifestadas en diferentes niveles de virulencia en donde las lesiones se manifestaron por úlceras y necrosis en casos crónicos y subagudos, distensión abdominal, anemia y hemorragias en tejidos internos (Kozińska,  2007).  Otras  diferentes  rutas  de  infección  experimental  incluyen  la      </w:t>
      </w:r>
      <w:r>
        <w:rPr>
          <w:spacing w:val="23"/>
        </w:rPr>
        <w:t> </w:t>
      </w:r>
      <w:r>
        <w:rPr/>
        <w:t>inoculación</w:t>
      </w:r>
    </w:p>
    <w:p>
      <w:pPr>
        <w:spacing w:after="0" w:line="480" w:lineRule="auto"/>
        <w:jc w:val="both"/>
        <w:sectPr>
          <w:pgSz w:w="12240" w:h="15840"/>
          <w:pgMar w:header="0" w:footer="695" w:top="1080" w:bottom="940" w:left="1200" w:right="1200"/>
        </w:sectPr>
      </w:pPr>
    </w:p>
    <w:p>
      <w:pPr>
        <w:pStyle w:val="BodyText"/>
        <w:spacing w:line="480" w:lineRule="auto" w:before="44"/>
        <w:ind w:left="103" w:right="99"/>
        <w:jc w:val="both"/>
      </w:pPr>
      <w:r>
        <w:rPr/>
        <w:t>intraperitoneal (IP) con aislamientos de </w:t>
      </w:r>
      <w:r>
        <w:rPr>
          <w:i/>
        </w:rPr>
        <w:t>A</w:t>
      </w:r>
      <w:r>
        <w:rPr/>
        <w:t>. </w:t>
      </w:r>
      <w:r>
        <w:rPr>
          <w:i/>
        </w:rPr>
        <w:t>hydrophila </w:t>
      </w:r>
      <w:r>
        <w:rPr/>
        <w:t>obtenidos de sedimentos de agua de río, las cuales provocaron lesiones hemorrágicas en la pared de la cavidad celómica, palidez en hígado y ascitis (Paniagua </w:t>
      </w:r>
      <w:r>
        <w:rPr>
          <w:i/>
        </w:rPr>
        <w:t>et al</w:t>
      </w:r>
      <w:r>
        <w:rPr/>
        <w:t>., 1990). De manera similar, un estudio realizado por Nya y Austin (2010) en donde se inyectaron por vía </w:t>
      </w:r>
      <w:r>
        <w:rPr>
          <w:spacing w:val="-3"/>
        </w:rPr>
        <w:t>IP </w:t>
      </w:r>
      <w:r>
        <w:rPr/>
        <w:t>lipopolisacáridos (LPS) obtenidos de un aislamiento de </w:t>
      </w:r>
      <w:r>
        <w:rPr>
          <w:i/>
        </w:rPr>
        <w:t>A</w:t>
      </w:r>
      <w:r>
        <w:rPr/>
        <w:t>. </w:t>
      </w:r>
      <w:r>
        <w:rPr>
          <w:i/>
        </w:rPr>
        <w:t>hydrophila </w:t>
      </w:r>
      <w:r>
        <w:rPr/>
        <w:t>de un barramundi (</w:t>
      </w:r>
      <w:r>
        <w:rPr>
          <w:i/>
        </w:rPr>
        <w:t>Lates calcarifer</w:t>
      </w:r>
      <w:r>
        <w:rPr/>
        <w:t>) para infectar experimentalmente a truchas arcoíris, no provocaron signología durante el periodo de infección; sin embargo, se presentó una mortalidad del 45%, observada en la mitad del periodo experimental y un incremento en las células inmunológicas de los peces</w:t>
      </w:r>
      <w:r>
        <w:rPr>
          <w:spacing w:val="-7"/>
        </w:rPr>
        <w:t> </w:t>
      </w:r>
      <w:r>
        <w:rPr/>
        <w:t>infectados.</w:t>
      </w:r>
    </w:p>
    <w:p>
      <w:pPr>
        <w:pStyle w:val="BodyText"/>
        <w:spacing w:line="480" w:lineRule="auto" w:before="10"/>
        <w:ind w:left="103" w:right="99" w:firstLine="707"/>
        <w:jc w:val="both"/>
      </w:pPr>
      <w:r>
        <w:rPr/>
        <w:t>Los hallazgos histopatológicos en la epidermis de peces infectados con </w:t>
      </w:r>
      <w:r>
        <w:rPr>
          <w:i/>
        </w:rPr>
        <w:t>A</w:t>
      </w:r>
      <w:r>
        <w:rPr/>
        <w:t>. </w:t>
      </w:r>
      <w:r>
        <w:rPr>
          <w:i/>
        </w:rPr>
        <w:t>salmonicida </w:t>
      </w:r>
      <w:r>
        <w:rPr/>
        <w:t>incluyen la presencia agregados basófilos (colonias bacterianas) localizados de manera focal o multifocal, con o sin presencia de celulas inflamatorias como son los macrófagos, así como la presencia de focos de necrosis licuefactiva al centro de las lesiones, presente de manera similar en tejido conectivo del riñón (Inglis </w:t>
      </w:r>
      <w:r>
        <w:rPr>
          <w:i/>
        </w:rPr>
        <w:t>et al</w:t>
      </w:r>
      <w:r>
        <w:rPr/>
        <w:t>., 1993).</w:t>
      </w:r>
    </w:p>
    <w:p>
      <w:pPr>
        <w:pStyle w:val="BodyText"/>
        <w:spacing w:line="480" w:lineRule="auto" w:before="10"/>
        <w:ind w:left="103" w:right="102" w:firstLine="707"/>
        <w:jc w:val="both"/>
      </w:pPr>
      <w:r>
        <w:rPr/>
        <w:t>En la superficie del intestino se observan petequias y en tejido cardiaco se ha observado necrosis cardiaca tóxica especialmente en los atrios, así como la localización focal de agregados basófilos y una marcada depleción linfocitaria en riñón y bazo; además de observarse la desgranulación de eosinófilos en la mucosa del intestino, que puede extenderse y presentarse en menor grado en las branquias (Hiney </w:t>
      </w:r>
      <w:r>
        <w:rPr>
          <w:i/>
        </w:rPr>
        <w:t>et al</w:t>
      </w:r>
      <w:r>
        <w:rPr/>
        <w:t>., 1997, Powell </w:t>
      </w:r>
      <w:r>
        <w:rPr>
          <w:i/>
        </w:rPr>
        <w:t>et al</w:t>
      </w:r>
      <w:r>
        <w:rPr/>
        <w:t>., 1991). Un estudio realizado por Jutfelt y colaboradores (2006) demostró que </w:t>
      </w:r>
      <w:r>
        <w:rPr>
          <w:i/>
        </w:rPr>
        <w:t>A</w:t>
      </w:r>
      <w:r>
        <w:rPr/>
        <w:t>. </w:t>
      </w:r>
      <w:r>
        <w:rPr>
          <w:i/>
        </w:rPr>
        <w:t>salmonicida </w:t>
      </w:r>
      <w:r>
        <w:rPr/>
        <w:t>emplea la translocación desde  el epitelio intestinal a diversos órganos, siendo esta una ruta de infección eficiente en hospederos inmunodeprimidos.</w:t>
      </w:r>
    </w:p>
    <w:p>
      <w:pPr>
        <w:pStyle w:val="BodyText"/>
        <w:spacing w:line="480" w:lineRule="auto" w:before="10"/>
        <w:ind w:left="103" w:right="101" w:firstLine="707"/>
        <w:jc w:val="both"/>
      </w:pPr>
      <w:r>
        <w:rPr/>
        <w:t>Los peces que logran recuperarse de la enfermedad pueden fungir como reservorios, eliminando el agente etiológico al medio acuático y predisponer a la población susceptible a un</w:t>
      </w:r>
    </w:p>
    <w:p>
      <w:pPr>
        <w:spacing w:after="0" w:line="480" w:lineRule="auto"/>
        <w:jc w:val="both"/>
        <w:sectPr>
          <w:pgSz w:w="12240" w:h="15840"/>
          <w:pgMar w:header="0" w:footer="695" w:top="1080" w:bottom="940" w:left="1200" w:right="1200"/>
        </w:sectPr>
      </w:pPr>
    </w:p>
    <w:p>
      <w:pPr>
        <w:pStyle w:val="BodyText"/>
        <w:spacing w:line="480" w:lineRule="auto" w:before="44"/>
        <w:ind w:left="103" w:right="101"/>
        <w:jc w:val="both"/>
      </w:pPr>
      <w:r>
        <w:rPr/>
        <w:t>nuevo brote (John </w:t>
      </w:r>
      <w:r>
        <w:rPr>
          <w:i/>
        </w:rPr>
        <w:t>et al</w:t>
      </w:r>
      <w:r>
        <w:rPr/>
        <w:t>., 2011; Allejo y Ellis, 1989). La tasa de morbilidad en peces estresados representa el 90% (Dror </w:t>
      </w:r>
      <w:r>
        <w:rPr>
          <w:i/>
        </w:rPr>
        <w:t>et al</w:t>
      </w:r>
      <w:r>
        <w:rPr/>
        <w:t>., 2006), mientras que la mortalidad en peces infectados con </w:t>
      </w:r>
      <w:r>
        <w:rPr>
          <w:i/>
        </w:rPr>
        <w:t>A</w:t>
      </w:r>
      <w:r>
        <w:rPr/>
        <w:t>. </w:t>
      </w:r>
      <w:r>
        <w:rPr>
          <w:i/>
        </w:rPr>
        <w:t>salmonicida </w:t>
      </w:r>
      <w:r>
        <w:rPr/>
        <w:t>oscila entre el 80 y 90%, siendo este agente patógeno uno de los primeros sospechosos que provocan pérdidas económicas en granjas de peces (Kirkan </w:t>
      </w:r>
      <w:r>
        <w:rPr>
          <w:i/>
        </w:rPr>
        <w:t>et al</w:t>
      </w:r>
      <w:r>
        <w:rPr/>
        <w:t>., 2003; Kozińska </w:t>
      </w:r>
      <w:r>
        <w:rPr>
          <w:i/>
        </w:rPr>
        <w:t>et al</w:t>
      </w:r>
      <w:r>
        <w:rPr/>
        <w:t>., 2002).</w:t>
      </w:r>
    </w:p>
    <w:p>
      <w:pPr>
        <w:pStyle w:val="BodyText"/>
      </w:pPr>
    </w:p>
    <w:p>
      <w:pPr>
        <w:pStyle w:val="BodyText"/>
        <w:spacing w:before="3"/>
        <w:rPr>
          <w:sz w:val="25"/>
        </w:rPr>
      </w:pPr>
    </w:p>
    <w:p>
      <w:pPr>
        <w:pStyle w:val="Heading1"/>
        <w:numPr>
          <w:ilvl w:val="1"/>
          <w:numId w:val="1"/>
        </w:numPr>
        <w:tabs>
          <w:tab w:pos="872" w:val="left" w:leader="none"/>
        </w:tabs>
        <w:spacing w:line="240" w:lineRule="auto" w:before="0" w:after="0"/>
        <w:ind w:left="871" w:right="0" w:hanging="408"/>
        <w:jc w:val="left"/>
      </w:pPr>
      <w:r>
        <w:rPr/>
        <w:t>Especies de </w:t>
      </w:r>
      <w:r>
        <w:rPr>
          <w:i/>
        </w:rPr>
        <w:t>Aeromonas </w:t>
      </w:r>
      <w:r>
        <w:rPr/>
        <w:t>de importancia clínica para la trucha</w:t>
      </w:r>
      <w:r>
        <w:rPr>
          <w:spacing w:val="-15"/>
        </w:rPr>
        <w:t> </w:t>
      </w:r>
      <w:r>
        <w:rPr/>
        <w:t>arcoíris</w:t>
      </w:r>
    </w:p>
    <w:p>
      <w:pPr>
        <w:pStyle w:val="BodyText"/>
        <w:rPr>
          <w:b/>
        </w:rPr>
      </w:pPr>
    </w:p>
    <w:p>
      <w:pPr>
        <w:pStyle w:val="BodyText"/>
        <w:rPr>
          <w:b/>
        </w:rPr>
      </w:pPr>
    </w:p>
    <w:p>
      <w:pPr>
        <w:pStyle w:val="BodyText"/>
        <w:spacing w:before="7"/>
        <w:rPr>
          <w:b/>
          <w:sz w:val="23"/>
        </w:rPr>
      </w:pPr>
    </w:p>
    <w:p>
      <w:pPr>
        <w:spacing w:before="0"/>
        <w:ind w:left="103" w:right="0" w:firstLine="0"/>
        <w:jc w:val="both"/>
        <w:rPr>
          <w:i/>
          <w:sz w:val="24"/>
        </w:rPr>
      </w:pPr>
      <w:r>
        <w:rPr>
          <w:i/>
          <w:sz w:val="24"/>
        </w:rPr>
        <w:t>Aeromonas hydrophila</w:t>
      </w:r>
    </w:p>
    <w:p>
      <w:pPr>
        <w:pStyle w:val="BodyText"/>
        <w:rPr>
          <w:i/>
        </w:rPr>
      </w:pPr>
    </w:p>
    <w:p>
      <w:pPr>
        <w:pStyle w:val="BodyText"/>
        <w:spacing w:line="480" w:lineRule="auto"/>
        <w:ind w:left="103" w:right="104" w:firstLine="427"/>
        <w:jc w:val="both"/>
      </w:pPr>
      <w:r>
        <w:rPr/>
        <w:t>Este agente ha sido considerado patógeno secundario asociado con brotes de enfermedad, sin embargo existe abundante evidencia que indica que las lesiones causadas por esta bacteria son tan significativas que pudieran posicionarlo como un agente patógeno primario, ya que se sabe que es capaz de causar brotes en granjas con altos porcentajes de mortalidad que provocan pérdidas económicas significativas en la industria acuícola alrededor del mundo (Pridgeon </w:t>
      </w:r>
      <w:r>
        <w:rPr>
          <w:i/>
        </w:rPr>
        <w:t>et al</w:t>
      </w:r>
      <w:r>
        <w:rPr/>
        <w:t>., 2011).</w:t>
      </w:r>
    </w:p>
    <w:p>
      <w:pPr>
        <w:pStyle w:val="BodyText"/>
        <w:spacing w:line="480" w:lineRule="auto" w:before="10"/>
        <w:ind w:left="103" w:right="99" w:firstLine="427"/>
        <w:jc w:val="both"/>
      </w:pPr>
      <w:r>
        <w:rPr/>
        <w:t>Es una bacteria móvil, que se encuentra ampliamente distribuida en ambientes acuáticos  (Austin y Austin, 2007), es responsable de causar infecciones clínicas a una gran variedad de peces de agua dulce y en ocasiones también a peces marinos, además infectar al humano (Paniagua </w:t>
      </w:r>
      <w:r>
        <w:rPr>
          <w:i/>
        </w:rPr>
        <w:t>et al</w:t>
      </w:r>
      <w:r>
        <w:rPr/>
        <w:t>., 1990). La morfología de sus colonias es de tipo convexas, blanquecinas y circulares, crece a temperaturas que van desde los 22- 24 e incluso hasta 37° C, en un periodo de 24- 48 horas en medios enriquecidos como el agar tripticasa soya (TSA por sus siglas en inglés, </w:t>
      </w:r>
      <w:r>
        <w:rPr>
          <w:i/>
        </w:rPr>
        <w:t>trypticase soy agar</w:t>
      </w:r>
      <w:r>
        <w:rPr/>
        <w:t>) y agar sangre adicionado con 10% de sangre de ovino (John </w:t>
      </w:r>
      <w:r>
        <w:rPr>
          <w:i/>
        </w:rPr>
        <w:t>et al</w:t>
      </w:r>
      <w:r>
        <w:rPr/>
        <w:t>., 2011; Janda y Abbott 2010; Aguilera-Arreola </w:t>
      </w:r>
      <w:r>
        <w:rPr>
          <w:i/>
        </w:rPr>
        <w:t>et al</w:t>
      </w:r>
      <w:r>
        <w:rPr/>
        <w:t>.,</w:t>
      </w:r>
      <w:r>
        <w:rPr>
          <w:spacing w:val="-6"/>
        </w:rPr>
        <w:t> </w:t>
      </w:r>
      <w:r>
        <w:rPr/>
        <w:t>2009).</w:t>
      </w:r>
    </w:p>
    <w:p>
      <w:pPr>
        <w:pStyle w:val="BodyText"/>
        <w:spacing w:line="480" w:lineRule="auto" w:before="10"/>
        <w:ind w:left="103" w:right="99" w:firstLine="427"/>
        <w:jc w:val="both"/>
      </w:pPr>
      <w:r>
        <w:rPr/>
        <w:t>Este microorganismo está asociado al desarrollo SAM e infecta a peces que se han sido sometido a estrés de cualquier naturaleza (Kozińska </w:t>
      </w:r>
      <w:r>
        <w:rPr>
          <w:i/>
        </w:rPr>
        <w:t>et al</w:t>
      </w:r>
      <w:r>
        <w:rPr/>
        <w:t>., 2002). La presentación aguda de la</w:t>
      </w:r>
    </w:p>
    <w:p>
      <w:pPr>
        <w:spacing w:after="0" w:line="480" w:lineRule="auto"/>
        <w:jc w:val="both"/>
        <w:sectPr>
          <w:pgSz w:w="12240" w:h="15840"/>
          <w:pgMar w:header="0" w:footer="695" w:top="1080" w:bottom="940" w:left="1200" w:right="1200"/>
        </w:sectPr>
      </w:pPr>
    </w:p>
    <w:p>
      <w:pPr>
        <w:pStyle w:val="BodyText"/>
        <w:spacing w:line="480" w:lineRule="auto" w:before="44"/>
        <w:ind w:left="103" w:right="102"/>
        <w:jc w:val="both"/>
      </w:pPr>
      <w:r>
        <w:rPr/>
        <w:t>enfermedad se relaciona con el manejo y las altas temperaturas registradas en el agua en los periodos de primavera y verano, provocando una alta mortalidad (Inglis </w:t>
      </w:r>
      <w:r>
        <w:rPr>
          <w:i/>
        </w:rPr>
        <w:t>et al</w:t>
      </w:r>
      <w:r>
        <w:rPr/>
        <w:t>., 1993). Los peces infectados tienden a mostrar hiperpigmentación, con o sin presencia de hemorragias que presentan variación en la extensión de la superficie afectada, puede haber la presencia de ascitis, además de la de úlceras y zonas necróticas en el tejido lesionado (Austin y Austin, 2007). A la necropsia los tejidos internos se ven congestionados y/o presentar hemorragias; el bazo y el riñón se encuentran tumefactos, lo que origina la salida de líquido semifluido, dando la apariencia de que el tejido goteara, de ahí se derivó su antiguo nombre </w:t>
      </w:r>
      <w:r>
        <w:rPr>
          <w:i/>
        </w:rPr>
        <w:t>Aeromonas liquefaciens </w:t>
      </w:r>
      <w:r>
        <w:rPr/>
        <w:t>(Roberts, 2001). Al estudio histopatológico del tejido interno se observa: depleción hematopoyética, necrosis de las células renales y esplénicas, necrosis en el lumen y la membrana mucosa del intestino, además de observarse necrosis en tejido cardiaco, hígado, gónadas y páncreas. En la dermis se ha observado edema en grado severo, hiperemia del estrato reticular, ulceración y necrosis hemorrágica (Lund </w:t>
      </w:r>
      <w:r>
        <w:rPr>
          <w:i/>
        </w:rPr>
        <w:t>et </w:t>
      </w:r>
      <w:r>
        <w:rPr>
          <w:i/>
        </w:rPr>
        <w:t>al</w:t>
      </w:r>
      <w:r>
        <w:rPr/>
        <w:t>., 2009; Rey </w:t>
      </w:r>
      <w:r>
        <w:rPr>
          <w:i/>
        </w:rPr>
        <w:t>et al</w:t>
      </w:r>
      <w:r>
        <w:rPr/>
        <w:t>., 2009; Roberts, 2001; Janda,</w:t>
      </w:r>
      <w:r>
        <w:rPr>
          <w:spacing w:val="-8"/>
        </w:rPr>
        <w:t> </w:t>
      </w:r>
      <w:r>
        <w:rPr/>
        <w:t>1991).</w:t>
      </w:r>
    </w:p>
    <w:p>
      <w:pPr>
        <w:pStyle w:val="BodyText"/>
      </w:pPr>
    </w:p>
    <w:p>
      <w:pPr>
        <w:pStyle w:val="BodyText"/>
        <w:spacing w:before="10"/>
      </w:pPr>
    </w:p>
    <w:p>
      <w:pPr>
        <w:spacing w:before="0"/>
        <w:ind w:left="103" w:right="0" w:firstLine="0"/>
        <w:jc w:val="both"/>
        <w:rPr>
          <w:i/>
          <w:sz w:val="24"/>
        </w:rPr>
      </w:pPr>
      <w:r>
        <w:rPr>
          <w:i/>
          <w:sz w:val="24"/>
        </w:rPr>
        <w:t>Aeromonas bestiarum</w:t>
      </w:r>
    </w:p>
    <w:p>
      <w:pPr>
        <w:pStyle w:val="BodyText"/>
        <w:rPr>
          <w:i/>
        </w:rPr>
      </w:pPr>
    </w:p>
    <w:p>
      <w:pPr>
        <w:pStyle w:val="BodyText"/>
        <w:spacing w:line="480" w:lineRule="auto"/>
        <w:ind w:left="103" w:right="100" w:firstLine="427"/>
        <w:jc w:val="both"/>
      </w:pPr>
      <w:r>
        <w:rPr/>
        <w:t>Es uno de los agentes causales de septicemia en peces, considerado importante en las </w:t>
      </w:r>
      <w:r>
        <w:rPr>
          <w:i/>
        </w:rPr>
        <w:t>Aeromonas </w:t>
      </w:r>
      <w:r>
        <w:rPr/>
        <w:t>móviles (Kozińska y Guz, 2004), la signología clínicas en los peces infectados puede manifestarse como úlceras oftálmicas, afecciones de la piel, incluyendo septicemia hemorrágica (Turska-Szewczuk </w:t>
      </w:r>
      <w:r>
        <w:rPr>
          <w:i/>
        </w:rPr>
        <w:t>et al</w:t>
      </w:r>
      <w:r>
        <w:rPr/>
        <w:t>., 2011). En un aislamiento de esta especie obtenido de una muestra de agua de río, se identifico la presencia de un plásmido multirresistente denominado pAB5S9 (Gordon </w:t>
      </w:r>
      <w:r>
        <w:rPr>
          <w:i/>
        </w:rPr>
        <w:t>et </w:t>
      </w:r>
      <w:r>
        <w:rPr>
          <w:i/>
        </w:rPr>
        <w:t>al</w:t>
      </w:r>
      <w:r>
        <w:rPr/>
        <w:t>., 2008). Asimismo, un estudio realizado por Kozińska y colaboradores (2002) mostraron que 13 aislamientos de </w:t>
      </w:r>
      <w:r>
        <w:rPr>
          <w:i/>
        </w:rPr>
        <w:t>A</w:t>
      </w:r>
      <w:r>
        <w:rPr/>
        <w:t>. </w:t>
      </w:r>
      <w:r>
        <w:rPr>
          <w:i/>
        </w:rPr>
        <w:t>bestiarum </w:t>
      </w:r>
      <w:r>
        <w:rPr/>
        <w:t>obtenidos de carpa común y 3 de truchas arcoíris inmunodeprimidas, pueden causar que el patógeno se torne severamente virulento y se desarrollen úlceras y necrosis</w:t>
      </w:r>
      <w:r>
        <w:rPr>
          <w:spacing w:val="50"/>
        </w:rPr>
        <w:t> </w:t>
      </w:r>
      <w:r>
        <w:rPr/>
        <w:t>en</w:t>
      </w:r>
    </w:p>
    <w:p>
      <w:pPr>
        <w:spacing w:after="0" w:line="480" w:lineRule="auto"/>
        <w:jc w:val="both"/>
        <w:sectPr>
          <w:pgSz w:w="12240" w:h="15840"/>
          <w:pgMar w:header="0" w:footer="695" w:top="1080" w:bottom="940" w:left="1200" w:right="1200"/>
        </w:sectPr>
      </w:pPr>
    </w:p>
    <w:p>
      <w:pPr>
        <w:pStyle w:val="BodyText"/>
        <w:spacing w:line="480" w:lineRule="auto" w:before="44"/>
        <w:ind w:left="103" w:right="128"/>
        <w:jc w:val="both"/>
      </w:pPr>
      <w:r>
        <w:rPr/>
        <w:t>la piel. Además se ha reportado que puede ser aislada de riñón sin cambios patológicos aparentes, lo que sugiere que posee la capacidad de infección e invasión (Soriano-Vargas </w:t>
      </w:r>
      <w:r>
        <w:rPr>
          <w:i/>
        </w:rPr>
        <w:t>et al</w:t>
      </w:r>
      <w:r>
        <w:rPr/>
        <w:t>., 2010).</w:t>
      </w:r>
    </w:p>
    <w:p>
      <w:pPr>
        <w:pStyle w:val="BodyText"/>
      </w:pPr>
    </w:p>
    <w:p>
      <w:pPr>
        <w:pStyle w:val="BodyText"/>
        <w:spacing w:before="10"/>
      </w:pPr>
    </w:p>
    <w:p>
      <w:pPr>
        <w:spacing w:before="0"/>
        <w:ind w:left="103" w:right="0" w:firstLine="0"/>
        <w:jc w:val="both"/>
        <w:rPr>
          <w:i/>
          <w:sz w:val="24"/>
        </w:rPr>
      </w:pPr>
      <w:r>
        <w:rPr>
          <w:i/>
          <w:sz w:val="24"/>
        </w:rPr>
        <w:t>Aeromonas sobria</w:t>
      </w:r>
    </w:p>
    <w:p>
      <w:pPr>
        <w:pStyle w:val="BodyText"/>
        <w:rPr>
          <w:i/>
        </w:rPr>
      </w:pPr>
    </w:p>
    <w:p>
      <w:pPr>
        <w:pStyle w:val="BodyText"/>
        <w:spacing w:line="480" w:lineRule="auto"/>
        <w:ind w:left="103" w:right="119" w:firstLine="487"/>
        <w:jc w:val="both"/>
      </w:pPr>
      <w:r>
        <w:rPr/>
        <w:t>Anteriormente era conocida como </w:t>
      </w:r>
      <w:r>
        <w:rPr>
          <w:i/>
        </w:rPr>
        <w:t>Aeromonas popoffii </w:t>
      </w:r>
      <w:r>
        <w:rPr/>
        <w:t>y </w:t>
      </w:r>
      <w:r>
        <w:rPr>
          <w:i/>
        </w:rPr>
        <w:t>A</w:t>
      </w:r>
      <w:r>
        <w:rPr/>
        <w:t>. </w:t>
      </w:r>
      <w:r>
        <w:rPr>
          <w:i/>
        </w:rPr>
        <w:t>veronii</w:t>
      </w:r>
      <w:r>
        <w:rPr/>
        <w:t>, pertenece al grupo de las </w:t>
      </w:r>
      <w:r>
        <w:rPr>
          <w:i/>
        </w:rPr>
        <w:t>Aeromonas </w:t>
      </w:r>
      <w:r>
        <w:rPr/>
        <w:t>móviles. Su morfología es bacilar con polos redondeados. Generalmente habita estanques lodosos y zonas acuáticas con temperaturas elevadas (Austin y Austin, 2007). El aislamiento de esta bacteria en casos de septicemia hemorrágica es poco frecuente en comparación con </w:t>
      </w:r>
      <w:r>
        <w:rPr>
          <w:i/>
        </w:rPr>
        <w:t>A</w:t>
      </w:r>
      <w:r>
        <w:rPr/>
        <w:t>. </w:t>
      </w:r>
      <w:r>
        <w:rPr>
          <w:i/>
        </w:rPr>
        <w:t>hydrophila</w:t>
      </w:r>
      <w:r>
        <w:rPr/>
        <w:t>; la diferencia entre ambas especies en la presentación clínica no es clara (Janda y Abbott, 2010). Un estudio realizado por Ya y Shuang-Hu (2001), reportaron que un aislamiento   de</w:t>
      </w:r>
    </w:p>
    <w:p>
      <w:pPr>
        <w:pStyle w:val="ListParagraph"/>
        <w:numPr>
          <w:ilvl w:val="0"/>
          <w:numId w:val="2"/>
        </w:numPr>
        <w:tabs>
          <w:tab w:pos="404" w:val="left" w:leader="none"/>
        </w:tabs>
        <w:spacing w:line="480" w:lineRule="auto" w:before="10" w:after="0"/>
        <w:ind w:left="103" w:right="121" w:firstLine="0"/>
        <w:jc w:val="both"/>
        <w:rPr>
          <w:sz w:val="24"/>
        </w:rPr>
      </w:pPr>
      <w:r>
        <w:rPr>
          <w:i/>
          <w:sz w:val="24"/>
        </w:rPr>
        <w:t>sobria </w:t>
      </w:r>
      <w:r>
        <w:rPr>
          <w:sz w:val="24"/>
        </w:rPr>
        <w:t>identificado como PY36, puede infectar a tilapias jóvenes provocando signos clínicos, como son: putrefacción de la cola, ascitis con o sin distención abdominal y anorexia. Algunos cambios patológicos incluyen hiperpigmentación de la dermis y la presencia de erosión en aletas caudales y hemorragias en hígado, asimismo ha sido reportada como una bacteria no patógena (Lallier </w:t>
      </w:r>
      <w:r>
        <w:rPr>
          <w:i/>
          <w:sz w:val="24"/>
        </w:rPr>
        <w:t>et al</w:t>
      </w:r>
      <w:r>
        <w:rPr>
          <w:sz w:val="24"/>
        </w:rPr>
        <w:t>.,</w:t>
      </w:r>
      <w:r>
        <w:rPr>
          <w:spacing w:val="-5"/>
          <w:sz w:val="24"/>
        </w:rPr>
        <w:t> </w:t>
      </w:r>
      <w:r>
        <w:rPr>
          <w:sz w:val="24"/>
        </w:rPr>
        <w:t>1981).</w:t>
      </w:r>
    </w:p>
    <w:p>
      <w:pPr>
        <w:pStyle w:val="BodyText"/>
      </w:pPr>
    </w:p>
    <w:p>
      <w:pPr>
        <w:pStyle w:val="BodyText"/>
        <w:spacing w:before="10"/>
      </w:pPr>
    </w:p>
    <w:p>
      <w:pPr>
        <w:spacing w:before="0"/>
        <w:ind w:left="103" w:right="0" w:firstLine="0"/>
        <w:jc w:val="both"/>
        <w:rPr>
          <w:i/>
          <w:sz w:val="24"/>
        </w:rPr>
      </w:pPr>
      <w:r>
        <w:rPr>
          <w:i/>
          <w:sz w:val="24"/>
        </w:rPr>
        <w:t>Aeromonas piscicola</w:t>
      </w:r>
    </w:p>
    <w:p>
      <w:pPr>
        <w:pStyle w:val="BodyText"/>
        <w:rPr>
          <w:i/>
        </w:rPr>
      </w:pPr>
    </w:p>
    <w:p>
      <w:pPr>
        <w:pStyle w:val="BodyText"/>
        <w:spacing w:line="480" w:lineRule="auto"/>
        <w:ind w:left="103" w:right="119" w:firstLine="707"/>
        <w:jc w:val="both"/>
      </w:pPr>
      <w:r>
        <w:rPr/>
        <w:t>Su nombre proviene de –piscis- que significa pez y de –cola- que significa morador o habitante, por lo que la traducción de su nombre sería “bacteria que habita en el pez”. Posee un flagelo polar, las colonias bacterianas miden 1.5-2.0 µm de largo y 0.6-1.0 µm de ancho, no es productora de pigmento marrón. El aislamiento de esta bacteria fue obtenido de un pez moribundo (Beaz-Hidalgo </w:t>
      </w:r>
      <w:r>
        <w:rPr>
          <w:i/>
        </w:rPr>
        <w:t>et al</w:t>
      </w:r>
      <w:r>
        <w:rPr/>
        <w:t>., 2009).</w:t>
      </w:r>
    </w:p>
    <w:p>
      <w:pPr>
        <w:spacing w:after="0" w:line="480" w:lineRule="auto"/>
        <w:jc w:val="both"/>
        <w:sectPr>
          <w:pgSz w:w="12240" w:h="15840"/>
          <w:pgMar w:header="0" w:footer="695" w:top="1080" w:bottom="940" w:left="1200" w:right="1180"/>
        </w:sectPr>
      </w:pPr>
    </w:p>
    <w:p>
      <w:pPr>
        <w:spacing w:before="44"/>
        <w:ind w:left="103" w:right="59" w:firstLine="0"/>
        <w:jc w:val="left"/>
        <w:rPr>
          <w:i/>
          <w:sz w:val="24"/>
        </w:rPr>
      </w:pPr>
      <w:r>
        <w:rPr>
          <w:i/>
          <w:sz w:val="24"/>
        </w:rPr>
        <w:t>Aeromonas salmonicida</w:t>
      </w:r>
    </w:p>
    <w:p>
      <w:pPr>
        <w:pStyle w:val="BodyText"/>
        <w:rPr>
          <w:i/>
        </w:rPr>
      </w:pPr>
    </w:p>
    <w:p>
      <w:pPr>
        <w:pStyle w:val="BodyText"/>
        <w:spacing w:line="480" w:lineRule="auto"/>
        <w:ind w:left="103" w:right="98" w:firstLine="707"/>
        <w:jc w:val="both"/>
      </w:pPr>
      <w:r>
        <w:rPr/>
        <w:t>Fue aislada por primera vez en Alemania en 1894 y era conocida como </w:t>
      </w:r>
      <w:r>
        <w:rPr>
          <w:i/>
        </w:rPr>
        <w:t>Bacillus </w:t>
      </w:r>
      <w:r>
        <w:rPr>
          <w:i/>
        </w:rPr>
        <w:t>forellenseuche </w:t>
      </w:r>
      <w:r>
        <w:rPr/>
        <w:t>o bacilo de la enfermedad contagiosa de la trucha (Belland y Trust, 1988); actualmente la enfermedad es conocida como furunculosis (Noga, 2010). Esta bacteria se diferencia de las demás especies por ser no móvil; sin embargo se ha identificado un biotipo móvil (Kozińska 2007 </w:t>
      </w:r>
      <w:r>
        <w:rPr>
          <w:i/>
        </w:rPr>
        <w:t>et al</w:t>
      </w:r>
      <w:r>
        <w:rPr/>
        <w:t>., 2007; Vega-Sánchez </w:t>
      </w:r>
      <w:r>
        <w:rPr>
          <w:i/>
        </w:rPr>
        <w:t>et al</w:t>
      </w:r>
      <w:r>
        <w:rPr/>
        <w:t>., 2014a). Posee una forma coco bacilar y en la mayoría de los casos produce un pigmento café en agar tripticasa de soya (Austin y Austin, 2007). Sin embargo dentro de este grupo existen </w:t>
      </w:r>
      <w:r>
        <w:rPr>
          <w:i/>
        </w:rPr>
        <w:t>Aeromonas </w:t>
      </w:r>
      <w:r>
        <w:rPr/>
        <w:t>que no comparten estas características y han sido catalogadas como atípicas debido a la poca, leve o lenta presentación del pigmento café de los aislamientos, reacción negativa a la prueba de catalasa, oxidasa negativa, nutricionalmente son fastidiosos y presentan lento crecimiento (más de 5 días de incubación) (Buller, 2004).</w:t>
      </w:r>
    </w:p>
    <w:p>
      <w:pPr>
        <w:pStyle w:val="ListParagraph"/>
        <w:numPr>
          <w:ilvl w:val="1"/>
          <w:numId w:val="2"/>
        </w:numPr>
        <w:tabs>
          <w:tab w:pos="1148" w:val="left" w:leader="none"/>
        </w:tabs>
        <w:spacing w:line="480" w:lineRule="auto" w:before="10" w:after="0"/>
        <w:ind w:left="103" w:right="101" w:firstLine="708"/>
        <w:jc w:val="both"/>
        <w:rPr>
          <w:sz w:val="24"/>
        </w:rPr>
      </w:pPr>
      <w:r>
        <w:rPr>
          <w:i/>
          <w:sz w:val="24"/>
        </w:rPr>
        <w:t>salmonicida </w:t>
      </w:r>
      <w:r>
        <w:rPr>
          <w:sz w:val="24"/>
        </w:rPr>
        <w:t>es considerado como patógeno primario, se ha aislado de una amplia variedad de salmónidos y no salmónidos que presentan infecciones clínicas, así como de peces clínicamente sanos (Roberts, 2001; Wiklund y Dalsgaar, 1998). Este patógeno puede sobrevivir fuera del hospedero, dependiendo de las condiciones que se presenten en el agua, tales como: salinidad, pH, temperatura y contaminación (Hiney </w:t>
      </w:r>
      <w:r>
        <w:rPr>
          <w:i/>
          <w:sz w:val="24"/>
        </w:rPr>
        <w:t>et al</w:t>
      </w:r>
      <w:r>
        <w:rPr>
          <w:sz w:val="24"/>
        </w:rPr>
        <w:t>., 1997). Algunos factores predisponentes para que los peces de agua dulce o marinos, en su medio natural o en granjas tengan una presentación clínica de la enfermedad son: manejo inadecuado, pobre calidad y dureza del agua, altas temperaturas de los estanques, trauma o lesiones en la piel de los peces, la patogenicidad y virulencia del agente infeccioso (Roberts, 2001; Inglis </w:t>
      </w:r>
      <w:r>
        <w:rPr>
          <w:i/>
          <w:sz w:val="24"/>
        </w:rPr>
        <w:t>et al</w:t>
      </w:r>
      <w:r>
        <w:rPr>
          <w:sz w:val="24"/>
        </w:rPr>
        <w:t>.,</w:t>
      </w:r>
      <w:r>
        <w:rPr>
          <w:spacing w:val="-11"/>
          <w:sz w:val="24"/>
        </w:rPr>
        <w:t> </w:t>
      </w:r>
      <w:r>
        <w:rPr>
          <w:sz w:val="24"/>
        </w:rPr>
        <w:t>1993).</w:t>
      </w:r>
    </w:p>
    <w:p>
      <w:pPr>
        <w:spacing w:after="0" w:line="480" w:lineRule="auto"/>
        <w:jc w:val="both"/>
        <w:rPr>
          <w:sz w:val="24"/>
        </w:rPr>
        <w:sectPr>
          <w:pgSz w:w="12240" w:h="15840"/>
          <w:pgMar w:header="0" w:footer="695" w:top="1080" w:bottom="940" w:left="1200" w:right="1200"/>
        </w:sectPr>
      </w:pPr>
    </w:p>
    <w:p>
      <w:pPr>
        <w:pStyle w:val="ListParagraph"/>
        <w:numPr>
          <w:ilvl w:val="1"/>
          <w:numId w:val="1"/>
        </w:numPr>
        <w:tabs>
          <w:tab w:pos="812" w:val="left" w:leader="none"/>
        </w:tabs>
        <w:spacing w:line="240" w:lineRule="auto" w:before="44" w:after="0"/>
        <w:ind w:left="811" w:right="0" w:hanging="348"/>
        <w:jc w:val="left"/>
        <w:rPr>
          <w:b/>
          <w:sz w:val="24"/>
        </w:rPr>
      </w:pPr>
      <w:r>
        <w:rPr>
          <w:b/>
          <w:sz w:val="24"/>
        </w:rPr>
        <w:t>PRESENCIA DE </w:t>
      </w:r>
      <w:r>
        <w:rPr>
          <w:i/>
          <w:sz w:val="24"/>
        </w:rPr>
        <w:t>Aeromonas </w:t>
      </w:r>
      <w:r>
        <w:rPr>
          <w:sz w:val="24"/>
        </w:rPr>
        <w:t>spp. </w:t>
      </w:r>
      <w:r>
        <w:rPr>
          <w:b/>
          <w:sz w:val="24"/>
        </w:rPr>
        <w:t>EN</w:t>
      </w:r>
      <w:r>
        <w:rPr>
          <w:b/>
          <w:spacing w:val="-8"/>
          <w:sz w:val="24"/>
        </w:rPr>
        <w:t> </w:t>
      </w:r>
      <w:r>
        <w:rPr>
          <w:b/>
          <w:sz w:val="24"/>
        </w:rPr>
        <w:t>MÉXICO.</w:t>
      </w:r>
    </w:p>
    <w:p>
      <w:pPr>
        <w:pStyle w:val="BodyText"/>
        <w:rPr>
          <w:b/>
        </w:rPr>
      </w:pPr>
    </w:p>
    <w:p>
      <w:pPr>
        <w:pStyle w:val="BodyText"/>
        <w:rPr>
          <w:b/>
        </w:rPr>
      </w:pPr>
    </w:p>
    <w:p>
      <w:pPr>
        <w:pStyle w:val="BodyText"/>
        <w:rPr>
          <w:b/>
        </w:rPr>
      </w:pPr>
    </w:p>
    <w:p>
      <w:pPr>
        <w:spacing w:line="480" w:lineRule="auto" w:before="0"/>
        <w:ind w:left="103" w:right="98" w:firstLine="707"/>
        <w:jc w:val="both"/>
        <w:rPr>
          <w:sz w:val="24"/>
        </w:rPr>
      </w:pPr>
      <w:r>
        <w:rPr>
          <w:sz w:val="24"/>
        </w:rPr>
        <w:t>Los estudios que se han realizado en México informan el aislamiento de diferentes especies de </w:t>
      </w:r>
      <w:r>
        <w:rPr>
          <w:i/>
          <w:sz w:val="24"/>
        </w:rPr>
        <w:t>Aeromonas</w:t>
      </w:r>
      <w:r>
        <w:rPr>
          <w:sz w:val="24"/>
        </w:rPr>
        <w:t>. Tal es el caso de </w:t>
      </w:r>
      <w:r>
        <w:rPr>
          <w:i/>
          <w:sz w:val="24"/>
        </w:rPr>
        <w:t>A</w:t>
      </w:r>
      <w:r>
        <w:rPr>
          <w:sz w:val="24"/>
        </w:rPr>
        <w:t>. </w:t>
      </w:r>
      <w:r>
        <w:rPr>
          <w:i/>
          <w:sz w:val="24"/>
        </w:rPr>
        <w:t>hydrophila </w:t>
      </w:r>
      <w:r>
        <w:rPr>
          <w:sz w:val="24"/>
        </w:rPr>
        <w:t>aislado de charales (</w:t>
      </w:r>
      <w:r>
        <w:rPr>
          <w:i/>
          <w:sz w:val="24"/>
        </w:rPr>
        <w:t>Chirostoma humboldtianum</w:t>
      </w:r>
      <w:r>
        <w:rPr>
          <w:sz w:val="24"/>
        </w:rPr>
        <w:t>, Valenciannes, 1835) para consumo humano (Paniagua </w:t>
      </w:r>
      <w:r>
        <w:rPr>
          <w:i/>
          <w:sz w:val="24"/>
        </w:rPr>
        <w:t>et al</w:t>
      </w:r>
      <w:r>
        <w:rPr>
          <w:sz w:val="24"/>
        </w:rPr>
        <w:t>., 2006); otras especies como </w:t>
      </w:r>
      <w:r>
        <w:rPr>
          <w:i/>
          <w:sz w:val="24"/>
        </w:rPr>
        <w:t>A</w:t>
      </w:r>
      <w:r>
        <w:rPr>
          <w:sz w:val="24"/>
        </w:rPr>
        <w:t>. </w:t>
      </w:r>
      <w:r>
        <w:rPr>
          <w:i/>
          <w:sz w:val="24"/>
        </w:rPr>
        <w:t>hydrophila</w:t>
      </w:r>
      <w:r>
        <w:rPr>
          <w:sz w:val="24"/>
        </w:rPr>
        <w:t>, </w:t>
      </w:r>
      <w:r>
        <w:rPr>
          <w:i/>
          <w:sz w:val="24"/>
        </w:rPr>
        <w:t>A</w:t>
      </w:r>
      <w:r>
        <w:rPr>
          <w:sz w:val="24"/>
        </w:rPr>
        <w:t>. </w:t>
      </w:r>
      <w:r>
        <w:rPr>
          <w:i/>
          <w:sz w:val="24"/>
        </w:rPr>
        <w:t>bestiarum</w:t>
      </w:r>
      <w:r>
        <w:rPr>
          <w:sz w:val="24"/>
        </w:rPr>
        <w:t>, </w:t>
      </w:r>
      <w:r>
        <w:rPr>
          <w:i/>
          <w:sz w:val="24"/>
        </w:rPr>
        <w:t>A</w:t>
      </w:r>
      <w:r>
        <w:rPr>
          <w:sz w:val="24"/>
        </w:rPr>
        <w:t>. </w:t>
      </w:r>
      <w:r>
        <w:rPr>
          <w:i/>
          <w:sz w:val="24"/>
        </w:rPr>
        <w:t>salmonicida</w:t>
      </w:r>
      <w:r>
        <w:rPr>
          <w:sz w:val="24"/>
        </w:rPr>
        <w:t>, </w:t>
      </w:r>
      <w:r>
        <w:rPr>
          <w:i/>
          <w:sz w:val="24"/>
        </w:rPr>
        <w:t>A</w:t>
      </w:r>
      <w:r>
        <w:rPr>
          <w:sz w:val="24"/>
        </w:rPr>
        <w:t>. </w:t>
      </w:r>
      <w:r>
        <w:rPr>
          <w:i/>
          <w:sz w:val="24"/>
        </w:rPr>
        <w:t>veronii </w:t>
      </w:r>
      <w:r>
        <w:rPr>
          <w:sz w:val="24"/>
        </w:rPr>
        <w:t>biovariedad </w:t>
      </w:r>
      <w:r>
        <w:rPr>
          <w:i/>
          <w:sz w:val="24"/>
        </w:rPr>
        <w:t>veronii </w:t>
      </w:r>
      <w:r>
        <w:rPr>
          <w:sz w:val="24"/>
        </w:rPr>
        <w:t>y </w:t>
      </w:r>
      <w:r>
        <w:rPr>
          <w:i/>
          <w:sz w:val="24"/>
        </w:rPr>
        <w:t>A</w:t>
      </w:r>
      <w:r>
        <w:rPr>
          <w:sz w:val="24"/>
        </w:rPr>
        <w:t>. </w:t>
      </w:r>
      <w:r>
        <w:rPr>
          <w:i/>
          <w:sz w:val="24"/>
        </w:rPr>
        <w:t>encheleia </w:t>
      </w:r>
      <w:r>
        <w:rPr>
          <w:sz w:val="24"/>
        </w:rPr>
        <w:t>han sido aisladas de tilapias (</w:t>
      </w:r>
      <w:r>
        <w:rPr>
          <w:i/>
          <w:sz w:val="24"/>
        </w:rPr>
        <w:t>Oreochromis niloticus</w:t>
      </w:r>
      <w:r>
        <w:rPr>
          <w:sz w:val="24"/>
        </w:rPr>
        <w:t>) congeladas en un mercado de la ciudad de México (Castro-Escarpulli </w:t>
      </w:r>
      <w:r>
        <w:rPr>
          <w:i/>
          <w:sz w:val="24"/>
        </w:rPr>
        <w:t>et al</w:t>
      </w:r>
      <w:r>
        <w:rPr>
          <w:sz w:val="24"/>
        </w:rPr>
        <w:t>., 2003); asimismo un brote </w:t>
      </w:r>
      <w:r>
        <w:rPr>
          <w:i/>
          <w:sz w:val="24"/>
        </w:rPr>
        <w:t>A</w:t>
      </w:r>
      <w:r>
        <w:rPr>
          <w:sz w:val="24"/>
        </w:rPr>
        <w:t>. </w:t>
      </w:r>
      <w:r>
        <w:rPr>
          <w:i/>
          <w:sz w:val="24"/>
        </w:rPr>
        <w:t>hydrophila </w:t>
      </w:r>
      <w:r>
        <w:rPr>
          <w:sz w:val="24"/>
        </w:rPr>
        <w:t>en una granja trutícola en el  estado de México, en el que se observo septicemia hemorrágica con morbilidad de 80% y mortalidad de 51.2%, (Fuentes y Pérez, 1998). Un estudio patológico en trucha arcoíris (</w:t>
      </w:r>
      <w:r>
        <w:rPr>
          <w:i/>
          <w:sz w:val="24"/>
        </w:rPr>
        <w:t>O</w:t>
      </w:r>
      <w:r>
        <w:rPr>
          <w:sz w:val="24"/>
        </w:rPr>
        <w:t>. </w:t>
      </w:r>
      <w:r>
        <w:rPr>
          <w:i/>
          <w:sz w:val="24"/>
        </w:rPr>
        <w:t>mykiss</w:t>
      </w:r>
      <w:r>
        <w:rPr>
          <w:sz w:val="24"/>
        </w:rPr>
        <w:t>) y en una tilapia (</w:t>
      </w:r>
      <w:r>
        <w:rPr>
          <w:i/>
          <w:sz w:val="24"/>
        </w:rPr>
        <w:t>Oreochromis aureus</w:t>
      </w:r>
      <w:r>
        <w:rPr>
          <w:sz w:val="24"/>
        </w:rPr>
        <w:t>, L.) que presentaban cogestión marcada y la infestación con </w:t>
      </w:r>
      <w:r>
        <w:rPr>
          <w:i/>
          <w:sz w:val="24"/>
        </w:rPr>
        <w:t>Ichthyophthirius multifiliis </w:t>
      </w:r>
      <w:r>
        <w:rPr>
          <w:sz w:val="24"/>
        </w:rPr>
        <w:t>en branquias, se reportó el aislamiento de </w:t>
      </w:r>
      <w:r>
        <w:rPr>
          <w:i/>
          <w:sz w:val="24"/>
        </w:rPr>
        <w:t>A</w:t>
      </w:r>
      <w:r>
        <w:rPr>
          <w:sz w:val="24"/>
        </w:rPr>
        <w:t>. </w:t>
      </w:r>
      <w:r>
        <w:rPr>
          <w:i/>
          <w:sz w:val="24"/>
        </w:rPr>
        <w:t>hydrophila </w:t>
      </w:r>
      <w:r>
        <w:rPr>
          <w:sz w:val="24"/>
        </w:rPr>
        <w:t>de branquias, hígado, riñón y bazo (Constantino </w:t>
      </w:r>
      <w:r>
        <w:rPr>
          <w:i/>
          <w:sz w:val="24"/>
        </w:rPr>
        <w:t>et al</w:t>
      </w:r>
      <w:r>
        <w:rPr>
          <w:sz w:val="24"/>
        </w:rPr>
        <w:t>., 1997); y el aislamiento de </w:t>
      </w:r>
      <w:r>
        <w:rPr>
          <w:i/>
          <w:sz w:val="24"/>
        </w:rPr>
        <w:t>A</w:t>
      </w:r>
      <w:r>
        <w:rPr>
          <w:sz w:val="24"/>
        </w:rPr>
        <w:t>. </w:t>
      </w:r>
      <w:r>
        <w:rPr>
          <w:i/>
          <w:sz w:val="24"/>
        </w:rPr>
        <w:t>bestiarum </w:t>
      </w:r>
      <w:r>
        <w:rPr>
          <w:sz w:val="24"/>
        </w:rPr>
        <w:t>a partir de carpa común (</w:t>
      </w:r>
      <w:r>
        <w:rPr>
          <w:i/>
          <w:sz w:val="24"/>
        </w:rPr>
        <w:t>Cyprinus carpio </w:t>
      </w:r>
      <w:r>
        <w:rPr>
          <w:sz w:val="24"/>
        </w:rPr>
        <w:t>L.) (Soriano-Vargas </w:t>
      </w:r>
      <w:r>
        <w:rPr>
          <w:i/>
          <w:sz w:val="24"/>
        </w:rPr>
        <w:t>et al</w:t>
      </w:r>
      <w:r>
        <w:rPr>
          <w:sz w:val="24"/>
        </w:rPr>
        <w:t>.,</w:t>
      </w:r>
      <w:r>
        <w:rPr>
          <w:spacing w:val="-12"/>
          <w:sz w:val="24"/>
        </w:rPr>
        <w:t> </w:t>
      </w:r>
      <w:r>
        <w:rPr>
          <w:sz w:val="24"/>
        </w:rPr>
        <w:t>2010).</w:t>
      </w:r>
    </w:p>
    <w:p>
      <w:pPr>
        <w:pStyle w:val="BodyText"/>
        <w:spacing w:line="480" w:lineRule="auto" w:before="10"/>
        <w:ind w:left="103" w:right="98" w:firstLine="707"/>
        <w:jc w:val="both"/>
      </w:pPr>
      <w:r>
        <w:rPr/>
        <w:t>En un estudio realizado por Salgado-Miranda y colaboradores (2010), identificaron aislamientos de </w:t>
      </w:r>
      <w:r>
        <w:rPr>
          <w:i/>
        </w:rPr>
        <w:t>Aeromonas </w:t>
      </w:r>
      <w:r>
        <w:rPr/>
        <w:t>obtenidas a partir de trucha arcoíris de cultivo, provenientes de diversas granjas de México, que fueron identificados como </w:t>
      </w:r>
      <w:r>
        <w:rPr>
          <w:i/>
        </w:rPr>
        <w:t>A</w:t>
      </w:r>
      <w:r>
        <w:rPr/>
        <w:t>. </w:t>
      </w:r>
      <w:r>
        <w:rPr>
          <w:i/>
        </w:rPr>
        <w:t>hydrophila</w:t>
      </w:r>
      <w:r>
        <w:rPr/>
        <w:t>, </w:t>
      </w:r>
      <w:r>
        <w:rPr>
          <w:i/>
        </w:rPr>
        <w:t>A</w:t>
      </w:r>
      <w:r>
        <w:rPr/>
        <w:t>. </w:t>
      </w:r>
      <w:r>
        <w:rPr>
          <w:i/>
        </w:rPr>
        <w:t>salmonicida </w:t>
      </w:r>
      <w:r>
        <w:rPr/>
        <w:t>y </w:t>
      </w:r>
      <w:r>
        <w:rPr>
          <w:i/>
        </w:rPr>
        <w:t>Aeromonas </w:t>
      </w:r>
      <w:r>
        <w:rPr/>
        <w:t>spp., en donde el 48.78 % de los aislamientos obtenidos pertenecieron al género </w:t>
      </w:r>
      <w:r>
        <w:rPr>
          <w:i/>
        </w:rPr>
        <w:t>Aeromonas</w:t>
      </w:r>
      <w:r>
        <w:rPr/>
        <w:t>. Recientemente se identificaron 10 especies de </w:t>
      </w:r>
      <w:r>
        <w:rPr>
          <w:i/>
        </w:rPr>
        <w:t>Aeromonas </w:t>
      </w:r>
      <w:r>
        <w:rPr/>
        <w:t>aisladas de trucha arcoíris (</w:t>
      </w:r>
      <w:r>
        <w:rPr>
          <w:i/>
        </w:rPr>
        <w:t>O</w:t>
      </w:r>
      <w:r>
        <w:rPr/>
        <w:t>. </w:t>
      </w:r>
      <w:r>
        <w:rPr>
          <w:i/>
        </w:rPr>
        <w:t>mykiss</w:t>
      </w:r>
      <w:r>
        <w:rPr/>
        <w:t>) provenientes de diferentes granjas de México, siendo </w:t>
      </w:r>
      <w:r>
        <w:rPr>
          <w:i/>
        </w:rPr>
        <w:t>A</w:t>
      </w:r>
      <w:r>
        <w:rPr/>
        <w:t>. </w:t>
      </w:r>
      <w:r>
        <w:rPr>
          <w:i/>
        </w:rPr>
        <w:t>veronii </w:t>
      </w:r>
      <w:r>
        <w:rPr/>
        <w:t>biovar </w:t>
      </w:r>
      <w:r>
        <w:rPr>
          <w:i/>
        </w:rPr>
        <w:t>sobria</w:t>
      </w:r>
      <w:r>
        <w:rPr/>
        <w:t>, </w:t>
      </w:r>
      <w:r>
        <w:rPr>
          <w:i/>
        </w:rPr>
        <w:t>A</w:t>
      </w:r>
      <w:r>
        <w:rPr/>
        <w:t>. </w:t>
      </w:r>
      <w:r>
        <w:rPr>
          <w:i/>
        </w:rPr>
        <w:t>hydrophila </w:t>
      </w:r>
      <w:r>
        <w:rPr/>
        <w:t>y </w:t>
      </w:r>
      <w:r>
        <w:rPr>
          <w:i/>
        </w:rPr>
        <w:t>A</w:t>
      </w:r>
      <w:r>
        <w:rPr/>
        <w:t>. </w:t>
      </w:r>
      <w:r>
        <w:rPr>
          <w:i/>
        </w:rPr>
        <w:t>bestiarum </w:t>
      </w:r>
      <w:r>
        <w:rPr/>
        <w:t>las especies más predominantes (Vega-Sánchez </w:t>
      </w:r>
      <w:r>
        <w:rPr>
          <w:i/>
        </w:rPr>
        <w:t>et al</w:t>
      </w:r>
      <w:r>
        <w:rPr/>
        <w:t>., 2014a).</w:t>
      </w:r>
    </w:p>
    <w:p>
      <w:pPr>
        <w:pStyle w:val="BodyText"/>
        <w:spacing w:line="480" w:lineRule="auto" w:before="10"/>
        <w:ind w:left="103" w:right="99" w:firstLine="707"/>
        <w:jc w:val="both"/>
      </w:pPr>
      <w:r>
        <w:rPr/>
        <w:t>La producción de trucha arcoíris en México es una actividad de gran importancia debido a  su</w:t>
      </w:r>
      <w:r>
        <w:rPr>
          <w:spacing w:val="32"/>
        </w:rPr>
        <w:t> </w:t>
      </w:r>
      <w:r>
        <w:rPr/>
        <w:t>alta</w:t>
      </w:r>
      <w:r>
        <w:rPr>
          <w:spacing w:val="31"/>
        </w:rPr>
        <w:t> </w:t>
      </w:r>
      <w:r>
        <w:rPr/>
        <w:t>demanda</w:t>
      </w:r>
      <w:r>
        <w:rPr>
          <w:spacing w:val="30"/>
        </w:rPr>
        <w:t> </w:t>
      </w:r>
      <w:r>
        <w:rPr/>
        <w:t>como</w:t>
      </w:r>
      <w:r>
        <w:rPr>
          <w:spacing w:val="32"/>
        </w:rPr>
        <w:t> </w:t>
      </w:r>
      <w:r>
        <w:rPr/>
        <w:t>fuente</w:t>
      </w:r>
      <w:r>
        <w:rPr>
          <w:spacing w:val="31"/>
        </w:rPr>
        <w:t> </w:t>
      </w:r>
      <w:r>
        <w:rPr/>
        <w:t>de</w:t>
      </w:r>
      <w:r>
        <w:rPr>
          <w:spacing w:val="31"/>
        </w:rPr>
        <w:t> </w:t>
      </w:r>
      <w:r>
        <w:rPr/>
        <w:t>proteínas,</w:t>
      </w:r>
      <w:r>
        <w:rPr>
          <w:spacing w:val="32"/>
        </w:rPr>
        <w:t> </w:t>
      </w:r>
      <w:r>
        <w:rPr/>
        <w:t>datos</w:t>
      </w:r>
      <w:r>
        <w:rPr>
          <w:spacing w:val="32"/>
        </w:rPr>
        <w:t> </w:t>
      </w:r>
      <w:r>
        <w:rPr/>
        <w:t>publicados</w:t>
      </w:r>
      <w:r>
        <w:rPr>
          <w:spacing w:val="32"/>
        </w:rPr>
        <w:t> </w:t>
      </w:r>
      <w:r>
        <w:rPr/>
        <w:t>en</w:t>
      </w:r>
      <w:r>
        <w:rPr>
          <w:spacing w:val="32"/>
        </w:rPr>
        <w:t> </w:t>
      </w:r>
      <w:r>
        <w:rPr/>
        <w:t>el</w:t>
      </w:r>
      <w:r>
        <w:rPr>
          <w:spacing w:val="36"/>
        </w:rPr>
        <w:t> </w:t>
      </w:r>
      <w:r>
        <w:rPr/>
        <w:t>mes</w:t>
      </w:r>
      <w:r>
        <w:rPr>
          <w:spacing w:val="29"/>
        </w:rPr>
        <w:t> </w:t>
      </w:r>
      <w:r>
        <w:rPr/>
        <w:t>de</w:t>
      </w:r>
      <w:r>
        <w:rPr>
          <w:spacing w:val="31"/>
        </w:rPr>
        <w:t> </w:t>
      </w:r>
      <w:r>
        <w:rPr/>
        <w:t>mayo</w:t>
      </w:r>
      <w:r>
        <w:rPr>
          <w:spacing w:val="32"/>
        </w:rPr>
        <w:t> </w:t>
      </w:r>
      <w:r>
        <w:rPr/>
        <w:t>del</w:t>
      </w:r>
      <w:r>
        <w:rPr>
          <w:spacing w:val="34"/>
        </w:rPr>
        <w:t> </w:t>
      </w:r>
      <w:r>
        <w:rPr/>
        <w:t>2015</w:t>
      </w:r>
      <w:r>
        <w:rPr>
          <w:spacing w:val="32"/>
        </w:rPr>
        <w:t> </w:t>
      </w:r>
      <w:r>
        <w:rPr/>
        <w:t>en</w:t>
      </w:r>
      <w:r>
        <w:rPr>
          <w:spacing w:val="32"/>
        </w:rPr>
        <w:t> </w:t>
      </w:r>
      <w:r>
        <w:rPr/>
        <w:t>un</w:t>
      </w:r>
    </w:p>
    <w:p>
      <w:pPr>
        <w:spacing w:after="0" w:line="480" w:lineRule="auto"/>
        <w:jc w:val="both"/>
        <w:sectPr>
          <w:pgSz w:w="12240" w:h="15840"/>
          <w:pgMar w:header="0" w:footer="695" w:top="1080" w:bottom="940" w:left="1200" w:right="1200"/>
        </w:sectPr>
      </w:pPr>
    </w:p>
    <w:p>
      <w:pPr>
        <w:pStyle w:val="BodyText"/>
        <w:spacing w:line="480" w:lineRule="auto" w:before="44"/>
        <w:ind w:left="103" w:right="100"/>
        <w:jc w:val="both"/>
      </w:pPr>
      <w:r>
        <w:rPr/>
        <w:t>comunicado de prensa; reportan que la producción nacional pesquera y acuícola del 2014 ascendió  a un millón 751 mil 952 toneladas, obteniéndose un 32.2 % de incremento del año 2013 al año  2014; siendo la mojarra, trucha y el ostión las principales especies en producción (SAGARPA, 2015). A finales del 2014 la producción de trucha arcoíris genero 527,247.11 kilos de peso vivo,  con un equivalente de 28, 582, 065.83 pesos en el estado de México (CONAPESCA, 2015). La producción de ésta especie se localiza principalmente en los estados de México, Puebla, Michoacán, Hidalgo, Chihuahua y Veracruz (SAGARPA, 2011); por lo que la presencia de este género en la truticultura debe ser considerada como una</w:t>
      </w:r>
      <w:r>
        <w:rPr>
          <w:spacing w:val="-7"/>
        </w:rPr>
        <w:t> </w:t>
      </w:r>
      <w:r>
        <w:rPr/>
        <w:t>amenaza.</w:t>
      </w:r>
    </w:p>
    <w:p>
      <w:pPr>
        <w:spacing w:after="0" w:line="480" w:lineRule="auto"/>
        <w:jc w:val="both"/>
        <w:sectPr>
          <w:pgSz w:w="12240" w:h="15840"/>
          <w:pgMar w:header="0" w:footer="695" w:top="1080" w:bottom="940" w:left="1200" w:right="1200"/>
        </w:sectPr>
      </w:pPr>
    </w:p>
    <w:p>
      <w:pPr>
        <w:pStyle w:val="Heading1"/>
        <w:jc w:val="both"/>
      </w:pPr>
      <w:r>
        <w:rPr/>
        <w:t>JUSTIFICACIÓN</w:t>
      </w:r>
    </w:p>
    <w:p>
      <w:pPr>
        <w:pStyle w:val="BodyText"/>
        <w:rPr>
          <w:b/>
        </w:rPr>
      </w:pPr>
    </w:p>
    <w:p>
      <w:pPr>
        <w:pStyle w:val="BodyText"/>
        <w:rPr>
          <w:b/>
        </w:rPr>
      </w:pPr>
    </w:p>
    <w:p>
      <w:pPr>
        <w:pStyle w:val="BodyText"/>
        <w:spacing w:before="7"/>
        <w:rPr>
          <w:b/>
          <w:sz w:val="23"/>
        </w:rPr>
      </w:pPr>
    </w:p>
    <w:p>
      <w:pPr>
        <w:pStyle w:val="BodyText"/>
        <w:spacing w:line="480" w:lineRule="auto"/>
        <w:ind w:left="103" w:right="100"/>
        <w:jc w:val="both"/>
      </w:pPr>
      <w:r>
        <w:rPr/>
        <w:t>Existen especies de </w:t>
      </w:r>
      <w:r>
        <w:rPr>
          <w:i/>
        </w:rPr>
        <w:t>Aeromonas </w:t>
      </w:r>
      <w:r>
        <w:rPr/>
        <w:t>que particularmente se asocian a enfermedad en humanos. Asimismo, ciertas especies de </w:t>
      </w:r>
      <w:r>
        <w:rPr>
          <w:i/>
        </w:rPr>
        <w:t>Aeromonas </w:t>
      </w:r>
      <w:r>
        <w:rPr/>
        <w:t>se asocian a enfermedad y otras han sido aisladas de peces asintomáticos. Diferentes especies particularmente se consideran ambientales, </w:t>
      </w:r>
      <w:r>
        <w:rPr>
          <w:spacing w:val="-3"/>
        </w:rPr>
        <w:t>ya </w:t>
      </w:r>
      <w:r>
        <w:rPr/>
        <w:t>que han  sido aisladas del medio acuático o vegetal. Recientemente, se tiene conocimiento de las especies de </w:t>
      </w:r>
      <w:r>
        <w:rPr>
          <w:i/>
        </w:rPr>
        <w:t>Aeromonas </w:t>
      </w:r>
      <w:r>
        <w:rPr/>
        <w:t>que infectan a la trucha arcoíris de cultivo en México. Sin embargo, se desconoce la patogenicidad de estas diferentes especies de </w:t>
      </w:r>
      <w:r>
        <w:rPr>
          <w:i/>
        </w:rPr>
        <w:t>Aeromonas </w:t>
      </w:r>
      <w:r>
        <w:rPr/>
        <w:t>aisladas de truchas arcoíris, y por tanto, surge la necesidad determinar la patogenicidad y virulencia de las especies de </w:t>
      </w:r>
      <w:r>
        <w:rPr>
          <w:i/>
        </w:rPr>
        <w:t>Aeromonas </w:t>
      </w:r>
      <w:r>
        <w:rPr/>
        <w:t>que infectan a la trucha</w:t>
      </w:r>
      <w:r>
        <w:rPr>
          <w:spacing w:val="-5"/>
        </w:rPr>
        <w:t> </w:t>
      </w:r>
      <w:r>
        <w:rPr/>
        <w:t>arcoíris.</w:t>
      </w:r>
    </w:p>
    <w:p>
      <w:pPr>
        <w:spacing w:after="0" w:line="480" w:lineRule="auto"/>
        <w:jc w:val="both"/>
        <w:sectPr>
          <w:pgSz w:w="12240" w:h="15840"/>
          <w:pgMar w:header="0" w:footer="695" w:top="1080" w:bottom="940" w:left="1200" w:right="1200"/>
        </w:sectPr>
      </w:pPr>
    </w:p>
    <w:p>
      <w:pPr>
        <w:pStyle w:val="Heading1"/>
        <w:jc w:val="both"/>
      </w:pPr>
      <w:r>
        <w:rPr/>
        <w:t>HIPÓTESIS</w:t>
      </w:r>
    </w:p>
    <w:p>
      <w:pPr>
        <w:pStyle w:val="BodyText"/>
        <w:rPr>
          <w:b/>
        </w:rPr>
      </w:pPr>
    </w:p>
    <w:p>
      <w:pPr>
        <w:pStyle w:val="BodyText"/>
        <w:rPr>
          <w:b/>
        </w:rPr>
      </w:pPr>
    </w:p>
    <w:p>
      <w:pPr>
        <w:pStyle w:val="BodyText"/>
        <w:spacing w:before="7"/>
        <w:rPr>
          <w:b/>
          <w:sz w:val="23"/>
        </w:rPr>
      </w:pPr>
    </w:p>
    <w:p>
      <w:pPr>
        <w:pStyle w:val="BodyText"/>
        <w:spacing w:line="480" w:lineRule="auto"/>
        <w:ind w:left="103" w:right="101"/>
        <w:jc w:val="both"/>
      </w:pPr>
      <w:r>
        <w:rPr/>
        <w:t>Las especies de </w:t>
      </w:r>
      <w:r>
        <w:rPr>
          <w:i/>
        </w:rPr>
        <w:t>Aeromonas </w:t>
      </w:r>
      <w:r>
        <w:rPr/>
        <w:t>spp. que se han asociadas a procesos patológicos en la trucha arcoíris son patogénicas y de mayor virulencia que las especies aisladas de peces clínicamente sanos o condiciones ambientales.</w:t>
      </w:r>
    </w:p>
    <w:p>
      <w:pPr>
        <w:spacing w:after="0" w:line="480" w:lineRule="auto"/>
        <w:jc w:val="both"/>
        <w:sectPr>
          <w:pgSz w:w="12240" w:h="15840"/>
          <w:pgMar w:header="0" w:footer="695" w:top="1080" w:bottom="940" w:left="1200" w:right="1200"/>
        </w:sectPr>
      </w:pPr>
    </w:p>
    <w:p>
      <w:pPr>
        <w:pStyle w:val="Heading1"/>
        <w:ind w:right="59"/>
      </w:pPr>
      <w:r>
        <w:rPr/>
        <w:t>OBJETIVO GENERAL</w:t>
      </w:r>
    </w:p>
    <w:p>
      <w:pPr>
        <w:pStyle w:val="BodyText"/>
        <w:rPr>
          <w:b/>
        </w:rPr>
      </w:pPr>
    </w:p>
    <w:p>
      <w:pPr>
        <w:pStyle w:val="BodyText"/>
        <w:rPr>
          <w:b/>
        </w:rPr>
      </w:pPr>
    </w:p>
    <w:p>
      <w:pPr>
        <w:pStyle w:val="BodyText"/>
        <w:spacing w:before="7"/>
        <w:rPr>
          <w:b/>
          <w:sz w:val="23"/>
        </w:rPr>
      </w:pPr>
    </w:p>
    <w:p>
      <w:pPr>
        <w:pStyle w:val="BodyText"/>
        <w:ind w:left="811" w:right="59"/>
        <w:rPr>
          <w:i/>
        </w:rPr>
      </w:pPr>
      <w:r>
        <w:rPr/>
        <w:t>Estudiar  la  patogenicidad   y  virulencia  de  diferentes   especies  del   género  </w:t>
      </w:r>
      <w:r>
        <w:rPr>
          <w:spacing w:val="59"/>
        </w:rPr>
        <w:t> </w:t>
      </w:r>
      <w:r>
        <w:rPr>
          <w:i/>
        </w:rPr>
        <w:t>Aeromonas</w:t>
      </w:r>
    </w:p>
    <w:p>
      <w:pPr>
        <w:pStyle w:val="BodyText"/>
        <w:rPr>
          <w:i/>
        </w:rPr>
      </w:pPr>
    </w:p>
    <w:p>
      <w:pPr>
        <w:spacing w:before="0"/>
        <w:ind w:left="103" w:right="59" w:firstLine="0"/>
        <w:jc w:val="left"/>
        <w:rPr>
          <w:sz w:val="24"/>
        </w:rPr>
      </w:pPr>
      <w:r>
        <w:rPr>
          <w:sz w:val="24"/>
        </w:rPr>
        <w:t>obtenidos de trucha arcoíris (</w:t>
      </w:r>
      <w:r>
        <w:rPr>
          <w:i/>
          <w:sz w:val="24"/>
        </w:rPr>
        <w:t>Oncorhynchus mykiss</w:t>
      </w:r>
      <w:r>
        <w:rPr>
          <w:sz w:val="24"/>
        </w:rPr>
        <w:t>) en México.</w:t>
      </w:r>
    </w:p>
    <w:p>
      <w:pPr>
        <w:pStyle w:val="BodyText"/>
      </w:pPr>
    </w:p>
    <w:p>
      <w:pPr>
        <w:pStyle w:val="BodyText"/>
      </w:pPr>
    </w:p>
    <w:p>
      <w:pPr>
        <w:pStyle w:val="BodyText"/>
        <w:spacing w:before="4"/>
      </w:pPr>
    </w:p>
    <w:p>
      <w:pPr>
        <w:pStyle w:val="Heading1"/>
        <w:spacing w:before="1"/>
        <w:ind w:right="59"/>
      </w:pPr>
      <w:r>
        <w:rPr/>
        <w:t>OBJETIVOS</w:t>
      </w:r>
      <w:r>
        <w:rPr>
          <w:spacing w:val="51"/>
        </w:rPr>
        <w:t> </w:t>
      </w:r>
      <w:r>
        <w:rPr/>
        <w:t>ESPECÍFICOS</w:t>
      </w:r>
    </w:p>
    <w:p>
      <w:pPr>
        <w:pStyle w:val="BodyText"/>
        <w:rPr>
          <w:b/>
        </w:rPr>
      </w:pPr>
    </w:p>
    <w:p>
      <w:pPr>
        <w:pStyle w:val="BodyText"/>
        <w:rPr>
          <w:b/>
        </w:rPr>
      </w:pPr>
    </w:p>
    <w:p>
      <w:pPr>
        <w:pStyle w:val="BodyText"/>
        <w:spacing w:before="9"/>
        <w:rPr>
          <w:b/>
          <w:sz w:val="23"/>
        </w:rPr>
      </w:pPr>
    </w:p>
    <w:p>
      <w:pPr>
        <w:pStyle w:val="ListParagraph"/>
        <w:numPr>
          <w:ilvl w:val="0"/>
          <w:numId w:val="3"/>
        </w:numPr>
        <w:tabs>
          <w:tab w:pos="1183" w:val="left" w:leader="none"/>
          <w:tab w:pos="1184" w:val="left" w:leader="none"/>
        </w:tabs>
        <w:spacing w:line="240" w:lineRule="auto" w:before="0" w:after="0"/>
        <w:ind w:left="1183" w:right="0" w:hanging="360"/>
        <w:jc w:val="left"/>
        <w:rPr>
          <w:sz w:val="24"/>
        </w:rPr>
      </w:pPr>
      <w:r>
        <w:rPr>
          <w:sz w:val="24"/>
        </w:rPr>
        <w:t>Describir las lesiones histológicas de truchas arcoíris infectadas naturalmente</w:t>
      </w:r>
      <w:r>
        <w:rPr>
          <w:spacing w:val="-16"/>
          <w:sz w:val="24"/>
        </w:rPr>
        <w:t> </w:t>
      </w:r>
      <w:r>
        <w:rPr>
          <w:sz w:val="24"/>
        </w:rPr>
        <w:t>con</w:t>
      </w:r>
    </w:p>
    <w:p>
      <w:pPr>
        <w:pStyle w:val="BodyText"/>
        <w:spacing w:before="10"/>
        <w:rPr>
          <w:sz w:val="23"/>
        </w:rPr>
      </w:pPr>
    </w:p>
    <w:p>
      <w:pPr>
        <w:spacing w:before="0"/>
        <w:ind w:left="1183" w:right="59" w:firstLine="0"/>
        <w:jc w:val="left"/>
        <w:rPr>
          <w:sz w:val="24"/>
        </w:rPr>
      </w:pPr>
      <w:r>
        <w:rPr>
          <w:i/>
          <w:sz w:val="24"/>
        </w:rPr>
        <w:t>Aeromonas </w:t>
      </w:r>
      <w:r>
        <w:rPr>
          <w:sz w:val="24"/>
        </w:rPr>
        <w:t>spp.</w:t>
      </w:r>
    </w:p>
    <w:p>
      <w:pPr>
        <w:pStyle w:val="BodyText"/>
        <w:spacing w:before="2"/>
      </w:pPr>
    </w:p>
    <w:p>
      <w:pPr>
        <w:pStyle w:val="ListParagraph"/>
        <w:numPr>
          <w:ilvl w:val="0"/>
          <w:numId w:val="3"/>
        </w:numPr>
        <w:tabs>
          <w:tab w:pos="1183" w:val="left" w:leader="none"/>
          <w:tab w:pos="1184" w:val="left" w:leader="none"/>
        </w:tabs>
        <w:spacing w:line="463" w:lineRule="auto" w:before="0" w:after="0"/>
        <w:ind w:left="1183" w:right="170" w:hanging="360"/>
        <w:jc w:val="left"/>
        <w:rPr>
          <w:sz w:val="24"/>
        </w:rPr>
      </w:pPr>
      <w:r>
        <w:rPr>
          <w:sz w:val="24"/>
        </w:rPr>
        <w:t>Determinar la patogenicidad y virulencia de las especies de </w:t>
      </w:r>
      <w:r>
        <w:rPr>
          <w:i/>
          <w:sz w:val="24"/>
        </w:rPr>
        <w:t>Aeromonas </w:t>
      </w:r>
      <w:r>
        <w:rPr>
          <w:sz w:val="24"/>
        </w:rPr>
        <w:t>que infectan a la trucha</w:t>
      </w:r>
      <w:r>
        <w:rPr>
          <w:spacing w:val="-4"/>
          <w:sz w:val="24"/>
        </w:rPr>
        <w:t> </w:t>
      </w:r>
      <w:r>
        <w:rPr>
          <w:sz w:val="24"/>
        </w:rPr>
        <w:t>arcoíris.</w:t>
      </w:r>
    </w:p>
    <w:p>
      <w:pPr>
        <w:spacing w:after="0" w:line="463" w:lineRule="auto"/>
        <w:jc w:val="left"/>
        <w:rPr>
          <w:sz w:val="24"/>
        </w:rPr>
        <w:sectPr>
          <w:pgSz w:w="12240" w:h="15840"/>
          <w:pgMar w:header="0" w:footer="695" w:top="1080" w:bottom="940" w:left="1200" w:right="1200"/>
        </w:sectPr>
      </w:pPr>
    </w:p>
    <w:p>
      <w:pPr>
        <w:pStyle w:val="Heading1"/>
        <w:ind w:left="1183" w:right="118"/>
      </w:pPr>
      <w:r>
        <w:rPr/>
        <w:t>MATERIAL Y MÉTODOS</w:t>
      </w:r>
    </w:p>
    <w:p>
      <w:pPr>
        <w:pStyle w:val="BodyText"/>
        <w:rPr>
          <w:b/>
        </w:rPr>
      </w:pPr>
    </w:p>
    <w:p>
      <w:pPr>
        <w:pStyle w:val="BodyText"/>
        <w:rPr>
          <w:b/>
        </w:rPr>
      </w:pPr>
    </w:p>
    <w:p>
      <w:pPr>
        <w:pStyle w:val="BodyText"/>
        <w:spacing w:before="7"/>
        <w:rPr>
          <w:b/>
          <w:sz w:val="23"/>
        </w:rPr>
      </w:pPr>
    </w:p>
    <w:p>
      <w:pPr>
        <w:spacing w:line="480" w:lineRule="auto" w:before="0"/>
        <w:ind w:left="103" w:right="118" w:firstLine="707"/>
        <w:jc w:val="left"/>
        <w:rPr>
          <w:sz w:val="24"/>
        </w:rPr>
      </w:pPr>
      <w:r>
        <w:rPr>
          <w:b/>
          <w:sz w:val="24"/>
        </w:rPr>
        <w:t>Bacterias. </w:t>
      </w:r>
      <w:r>
        <w:rPr>
          <w:sz w:val="24"/>
        </w:rPr>
        <w:t>Se emplearon 10 aislamientos diferentes de </w:t>
      </w:r>
      <w:r>
        <w:rPr>
          <w:i/>
          <w:sz w:val="24"/>
        </w:rPr>
        <w:t>Aeromonas </w:t>
      </w:r>
      <w:r>
        <w:rPr>
          <w:sz w:val="24"/>
        </w:rPr>
        <w:t>spp., previamente identificadas (Vega-Sánchez </w:t>
      </w:r>
      <w:r>
        <w:rPr>
          <w:i/>
          <w:sz w:val="24"/>
        </w:rPr>
        <w:t>et al</w:t>
      </w:r>
      <w:r>
        <w:rPr>
          <w:sz w:val="24"/>
        </w:rPr>
        <w:t>., 2014a) y obtenidas de truchas arcoíris (</w:t>
      </w:r>
      <w:r>
        <w:rPr>
          <w:b/>
          <w:sz w:val="24"/>
        </w:rPr>
        <w:t>Cuadro 1</w:t>
      </w:r>
      <w:r>
        <w:rPr>
          <w:sz w:val="24"/>
        </w:rPr>
        <w:t>).</w:t>
      </w:r>
    </w:p>
    <w:p>
      <w:pPr>
        <w:pStyle w:val="BodyText"/>
      </w:pPr>
    </w:p>
    <w:p>
      <w:pPr>
        <w:pStyle w:val="BodyText"/>
        <w:spacing w:before="10"/>
      </w:pPr>
    </w:p>
    <w:p>
      <w:pPr>
        <w:spacing w:before="0"/>
        <w:ind w:left="103" w:right="118" w:firstLine="0"/>
        <w:jc w:val="left"/>
        <w:rPr>
          <w:sz w:val="24"/>
        </w:rPr>
      </w:pPr>
      <w:r>
        <w:rPr>
          <w:b/>
          <w:sz w:val="24"/>
        </w:rPr>
        <w:t>Cuadro 1</w:t>
      </w:r>
      <w:r>
        <w:rPr>
          <w:sz w:val="24"/>
        </w:rPr>
        <w:t>. Especies de </w:t>
      </w:r>
      <w:r>
        <w:rPr>
          <w:i/>
          <w:sz w:val="24"/>
        </w:rPr>
        <w:t>Aeromonas </w:t>
      </w:r>
      <w:r>
        <w:rPr>
          <w:sz w:val="24"/>
        </w:rPr>
        <w:t>spp. usadas en la infección experimental.</w:t>
      </w:r>
    </w:p>
    <w:p>
      <w:pPr>
        <w:pStyle w:val="BodyText"/>
        <w:spacing w:before="8"/>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31"/>
        <w:gridCol w:w="1438"/>
        <w:gridCol w:w="2127"/>
        <w:gridCol w:w="2533"/>
      </w:tblGrid>
      <w:tr>
        <w:trPr>
          <w:trHeight w:val="565" w:hRule="exact"/>
        </w:trPr>
        <w:tc>
          <w:tcPr>
            <w:tcW w:w="3531" w:type="dxa"/>
          </w:tcPr>
          <w:p>
            <w:pPr>
              <w:pStyle w:val="TableParagraph"/>
              <w:spacing w:line="275" w:lineRule="exact"/>
              <w:ind w:left="105"/>
              <w:rPr>
                <w:b/>
                <w:sz w:val="24"/>
              </w:rPr>
            </w:pPr>
            <w:r>
              <w:rPr>
                <w:b/>
                <w:sz w:val="24"/>
              </w:rPr>
              <w:t>Aislamiento</w:t>
            </w:r>
          </w:p>
        </w:tc>
        <w:tc>
          <w:tcPr>
            <w:tcW w:w="1438" w:type="dxa"/>
          </w:tcPr>
          <w:p>
            <w:pPr>
              <w:pStyle w:val="TableParagraph"/>
              <w:spacing w:line="275" w:lineRule="exact"/>
              <w:ind w:left="103"/>
              <w:rPr>
                <w:b/>
                <w:sz w:val="24"/>
              </w:rPr>
            </w:pPr>
            <w:r>
              <w:rPr>
                <w:b/>
                <w:sz w:val="24"/>
              </w:rPr>
              <w:t>Origen</w:t>
            </w:r>
          </w:p>
        </w:tc>
        <w:tc>
          <w:tcPr>
            <w:tcW w:w="2127" w:type="dxa"/>
          </w:tcPr>
          <w:p>
            <w:pPr>
              <w:pStyle w:val="TableParagraph"/>
              <w:spacing w:line="275" w:lineRule="exact"/>
              <w:ind w:left="105"/>
              <w:rPr>
                <w:b/>
                <w:sz w:val="24"/>
              </w:rPr>
            </w:pPr>
            <w:r>
              <w:rPr>
                <w:b/>
                <w:sz w:val="24"/>
              </w:rPr>
              <w:t>Tipo de Agua</w:t>
            </w:r>
          </w:p>
        </w:tc>
        <w:tc>
          <w:tcPr>
            <w:tcW w:w="2533" w:type="dxa"/>
          </w:tcPr>
          <w:p>
            <w:pPr>
              <w:pStyle w:val="TableParagraph"/>
              <w:spacing w:line="275" w:lineRule="exact"/>
              <w:ind w:left="103"/>
              <w:rPr>
                <w:b/>
                <w:sz w:val="24"/>
              </w:rPr>
            </w:pPr>
            <w:r>
              <w:rPr>
                <w:b/>
                <w:sz w:val="24"/>
              </w:rPr>
              <w:t>Estado de la republica</w:t>
            </w:r>
          </w:p>
        </w:tc>
      </w:tr>
      <w:tr>
        <w:trPr>
          <w:trHeight w:val="562" w:hRule="exact"/>
        </w:trPr>
        <w:tc>
          <w:tcPr>
            <w:tcW w:w="3531" w:type="dxa"/>
          </w:tcPr>
          <w:p>
            <w:pPr>
              <w:pStyle w:val="TableParagraph"/>
              <w:spacing w:line="268" w:lineRule="exact"/>
              <w:ind w:left="105"/>
              <w:rPr>
                <w:sz w:val="24"/>
              </w:rPr>
            </w:pPr>
            <w:r>
              <w:rPr>
                <w:i/>
                <w:sz w:val="24"/>
              </w:rPr>
              <w:t>A. allosaccharophila </w:t>
            </w:r>
            <w:r>
              <w:rPr>
                <w:sz w:val="24"/>
              </w:rPr>
              <w:t>(ESV- 385)</w:t>
            </w:r>
          </w:p>
        </w:tc>
        <w:tc>
          <w:tcPr>
            <w:tcW w:w="1438" w:type="dxa"/>
          </w:tcPr>
          <w:p>
            <w:pPr>
              <w:pStyle w:val="TableParagraph"/>
              <w:spacing w:line="268" w:lineRule="exact"/>
              <w:ind w:left="103"/>
              <w:rPr>
                <w:sz w:val="24"/>
              </w:rPr>
            </w:pPr>
            <w:r>
              <w:rPr>
                <w:sz w:val="24"/>
              </w:rPr>
              <w:t>Branquias</w:t>
            </w:r>
          </w:p>
        </w:tc>
        <w:tc>
          <w:tcPr>
            <w:tcW w:w="2127" w:type="dxa"/>
          </w:tcPr>
          <w:p>
            <w:pPr>
              <w:pStyle w:val="TableParagraph"/>
              <w:spacing w:line="268" w:lineRule="exact"/>
              <w:ind w:left="105"/>
              <w:rPr>
                <w:sz w:val="24"/>
              </w:rPr>
            </w:pPr>
            <w:r>
              <w:rPr>
                <w:sz w:val="24"/>
              </w:rPr>
              <w:t>Río</w:t>
            </w:r>
          </w:p>
        </w:tc>
        <w:tc>
          <w:tcPr>
            <w:tcW w:w="2533" w:type="dxa"/>
          </w:tcPr>
          <w:p>
            <w:pPr>
              <w:pStyle w:val="TableParagraph"/>
              <w:spacing w:line="268" w:lineRule="exact"/>
              <w:ind w:left="103"/>
              <w:rPr>
                <w:sz w:val="24"/>
              </w:rPr>
            </w:pPr>
            <w:r>
              <w:rPr>
                <w:sz w:val="24"/>
              </w:rPr>
              <w:t>Hidalgo</w:t>
            </w:r>
          </w:p>
        </w:tc>
      </w:tr>
      <w:tr>
        <w:trPr>
          <w:trHeight w:val="562" w:hRule="exact"/>
        </w:trPr>
        <w:tc>
          <w:tcPr>
            <w:tcW w:w="3531" w:type="dxa"/>
          </w:tcPr>
          <w:p>
            <w:pPr>
              <w:pStyle w:val="TableParagraph"/>
              <w:spacing w:line="268" w:lineRule="exact"/>
              <w:ind w:left="105"/>
              <w:rPr>
                <w:sz w:val="24"/>
              </w:rPr>
            </w:pPr>
            <w:r>
              <w:rPr>
                <w:i/>
                <w:sz w:val="24"/>
              </w:rPr>
              <w:t>A. bestiarum </w:t>
            </w:r>
            <w:r>
              <w:rPr>
                <w:sz w:val="24"/>
              </w:rPr>
              <w:t>(ESV- 365)</w:t>
            </w:r>
          </w:p>
        </w:tc>
        <w:tc>
          <w:tcPr>
            <w:tcW w:w="1438" w:type="dxa"/>
          </w:tcPr>
          <w:p>
            <w:pPr>
              <w:pStyle w:val="TableParagraph"/>
              <w:spacing w:line="268" w:lineRule="exact"/>
              <w:ind w:left="103"/>
              <w:rPr>
                <w:sz w:val="24"/>
              </w:rPr>
            </w:pPr>
            <w:r>
              <w:rPr>
                <w:sz w:val="24"/>
              </w:rPr>
              <w:t>Lesión</w:t>
            </w:r>
          </w:p>
        </w:tc>
        <w:tc>
          <w:tcPr>
            <w:tcW w:w="2127" w:type="dxa"/>
          </w:tcPr>
          <w:p>
            <w:pPr>
              <w:pStyle w:val="TableParagraph"/>
              <w:spacing w:line="268" w:lineRule="exact"/>
              <w:ind w:left="105"/>
              <w:rPr>
                <w:sz w:val="24"/>
              </w:rPr>
            </w:pPr>
            <w:r>
              <w:rPr>
                <w:sz w:val="24"/>
              </w:rPr>
              <w:t>Río</w:t>
            </w:r>
          </w:p>
        </w:tc>
        <w:tc>
          <w:tcPr>
            <w:tcW w:w="2533" w:type="dxa"/>
          </w:tcPr>
          <w:p>
            <w:pPr>
              <w:pStyle w:val="TableParagraph"/>
              <w:spacing w:line="268" w:lineRule="exact"/>
              <w:ind w:left="103"/>
              <w:rPr>
                <w:sz w:val="24"/>
              </w:rPr>
            </w:pPr>
            <w:r>
              <w:rPr>
                <w:sz w:val="24"/>
              </w:rPr>
              <w:t>Edo. México</w:t>
            </w:r>
          </w:p>
        </w:tc>
      </w:tr>
      <w:tr>
        <w:trPr>
          <w:trHeight w:val="562" w:hRule="exact"/>
        </w:trPr>
        <w:tc>
          <w:tcPr>
            <w:tcW w:w="3531" w:type="dxa"/>
          </w:tcPr>
          <w:p>
            <w:pPr>
              <w:pStyle w:val="TableParagraph"/>
              <w:spacing w:line="268" w:lineRule="exact"/>
              <w:ind w:left="105"/>
              <w:rPr>
                <w:sz w:val="24"/>
              </w:rPr>
            </w:pPr>
            <w:r>
              <w:rPr>
                <w:i/>
                <w:sz w:val="24"/>
              </w:rPr>
              <w:t>A. caviae </w:t>
            </w:r>
            <w:r>
              <w:rPr>
                <w:sz w:val="24"/>
              </w:rPr>
              <w:t>(ESV- 378)</w:t>
            </w:r>
          </w:p>
        </w:tc>
        <w:tc>
          <w:tcPr>
            <w:tcW w:w="1438" w:type="dxa"/>
          </w:tcPr>
          <w:p>
            <w:pPr>
              <w:pStyle w:val="TableParagraph"/>
              <w:spacing w:line="268" w:lineRule="exact"/>
              <w:ind w:left="103"/>
              <w:rPr>
                <w:sz w:val="24"/>
              </w:rPr>
            </w:pPr>
            <w:r>
              <w:rPr>
                <w:sz w:val="24"/>
              </w:rPr>
              <w:t>Branquias</w:t>
            </w:r>
          </w:p>
        </w:tc>
        <w:tc>
          <w:tcPr>
            <w:tcW w:w="2127" w:type="dxa"/>
          </w:tcPr>
          <w:p>
            <w:pPr>
              <w:pStyle w:val="TableParagraph"/>
              <w:spacing w:line="268" w:lineRule="exact"/>
              <w:ind w:left="105"/>
              <w:rPr>
                <w:sz w:val="24"/>
              </w:rPr>
            </w:pPr>
            <w:r>
              <w:rPr>
                <w:sz w:val="24"/>
              </w:rPr>
              <w:t>Ojo de agua</w:t>
            </w:r>
          </w:p>
        </w:tc>
        <w:tc>
          <w:tcPr>
            <w:tcW w:w="2533" w:type="dxa"/>
          </w:tcPr>
          <w:p>
            <w:pPr>
              <w:pStyle w:val="TableParagraph"/>
              <w:spacing w:line="268" w:lineRule="exact"/>
              <w:ind w:left="103"/>
              <w:rPr>
                <w:sz w:val="24"/>
              </w:rPr>
            </w:pPr>
            <w:r>
              <w:rPr>
                <w:sz w:val="24"/>
              </w:rPr>
              <w:t>Veracruz</w:t>
            </w:r>
          </w:p>
        </w:tc>
      </w:tr>
      <w:tr>
        <w:trPr>
          <w:trHeight w:val="562" w:hRule="exact"/>
        </w:trPr>
        <w:tc>
          <w:tcPr>
            <w:tcW w:w="3531" w:type="dxa"/>
          </w:tcPr>
          <w:p>
            <w:pPr>
              <w:pStyle w:val="TableParagraph"/>
              <w:spacing w:line="268" w:lineRule="exact"/>
              <w:ind w:left="105"/>
              <w:rPr>
                <w:sz w:val="24"/>
              </w:rPr>
            </w:pPr>
            <w:r>
              <w:rPr>
                <w:i/>
                <w:sz w:val="24"/>
              </w:rPr>
              <w:t>A. hydrophila </w:t>
            </w:r>
            <w:r>
              <w:rPr>
                <w:sz w:val="24"/>
              </w:rPr>
              <w:t>(ESV- 394)</w:t>
            </w:r>
          </w:p>
        </w:tc>
        <w:tc>
          <w:tcPr>
            <w:tcW w:w="1438" w:type="dxa"/>
          </w:tcPr>
          <w:p>
            <w:pPr>
              <w:pStyle w:val="TableParagraph"/>
              <w:spacing w:line="268" w:lineRule="exact"/>
              <w:ind w:left="103"/>
              <w:rPr>
                <w:sz w:val="24"/>
              </w:rPr>
            </w:pPr>
            <w:r>
              <w:rPr>
                <w:sz w:val="24"/>
              </w:rPr>
              <w:t>Lesión</w:t>
            </w:r>
          </w:p>
        </w:tc>
        <w:tc>
          <w:tcPr>
            <w:tcW w:w="2127" w:type="dxa"/>
          </w:tcPr>
          <w:p>
            <w:pPr>
              <w:pStyle w:val="TableParagraph"/>
              <w:spacing w:line="268" w:lineRule="exact"/>
              <w:ind w:left="105"/>
              <w:rPr>
                <w:sz w:val="24"/>
              </w:rPr>
            </w:pPr>
            <w:r>
              <w:rPr>
                <w:sz w:val="24"/>
              </w:rPr>
              <w:t>Manantial</w:t>
            </w:r>
          </w:p>
        </w:tc>
        <w:tc>
          <w:tcPr>
            <w:tcW w:w="2533" w:type="dxa"/>
          </w:tcPr>
          <w:p>
            <w:pPr>
              <w:pStyle w:val="TableParagraph"/>
              <w:spacing w:line="268" w:lineRule="exact"/>
              <w:ind w:left="103"/>
              <w:rPr>
                <w:sz w:val="24"/>
              </w:rPr>
            </w:pPr>
            <w:r>
              <w:rPr>
                <w:sz w:val="24"/>
              </w:rPr>
              <w:t>Michoacán</w:t>
            </w:r>
          </w:p>
        </w:tc>
      </w:tr>
      <w:tr>
        <w:trPr>
          <w:trHeight w:val="562" w:hRule="exact"/>
        </w:trPr>
        <w:tc>
          <w:tcPr>
            <w:tcW w:w="3531" w:type="dxa"/>
          </w:tcPr>
          <w:p>
            <w:pPr>
              <w:pStyle w:val="TableParagraph"/>
              <w:spacing w:line="268" w:lineRule="exact"/>
              <w:ind w:left="105"/>
              <w:rPr>
                <w:sz w:val="24"/>
              </w:rPr>
            </w:pPr>
            <w:r>
              <w:rPr>
                <w:i/>
                <w:sz w:val="24"/>
              </w:rPr>
              <w:t>A. lusitana </w:t>
            </w:r>
            <w:r>
              <w:rPr>
                <w:sz w:val="24"/>
              </w:rPr>
              <w:t>(ESV- 351)</w:t>
            </w:r>
          </w:p>
        </w:tc>
        <w:tc>
          <w:tcPr>
            <w:tcW w:w="1438" w:type="dxa"/>
          </w:tcPr>
          <w:p>
            <w:pPr>
              <w:pStyle w:val="TableParagraph"/>
              <w:spacing w:line="268" w:lineRule="exact"/>
              <w:ind w:left="103"/>
              <w:rPr>
                <w:sz w:val="24"/>
              </w:rPr>
            </w:pPr>
            <w:r>
              <w:rPr>
                <w:sz w:val="24"/>
              </w:rPr>
              <w:t>Branquias</w:t>
            </w:r>
          </w:p>
        </w:tc>
        <w:tc>
          <w:tcPr>
            <w:tcW w:w="2127" w:type="dxa"/>
          </w:tcPr>
          <w:p>
            <w:pPr>
              <w:pStyle w:val="TableParagraph"/>
              <w:spacing w:line="268" w:lineRule="exact"/>
              <w:ind w:left="105"/>
              <w:rPr>
                <w:sz w:val="24"/>
              </w:rPr>
            </w:pPr>
            <w:r>
              <w:rPr>
                <w:sz w:val="24"/>
              </w:rPr>
              <w:t>Arroyo</w:t>
            </w:r>
          </w:p>
        </w:tc>
        <w:tc>
          <w:tcPr>
            <w:tcW w:w="2533" w:type="dxa"/>
          </w:tcPr>
          <w:p>
            <w:pPr>
              <w:pStyle w:val="TableParagraph"/>
              <w:spacing w:line="268" w:lineRule="exact"/>
              <w:ind w:left="103"/>
              <w:rPr>
                <w:sz w:val="24"/>
              </w:rPr>
            </w:pPr>
            <w:r>
              <w:rPr>
                <w:sz w:val="24"/>
              </w:rPr>
              <w:t>Hidalgo</w:t>
            </w:r>
          </w:p>
        </w:tc>
      </w:tr>
      <w:tr>
        <w:trPr>
          <w:trHeight w:val="562" w:hRule="exact"/>
        </w:trPr>
        <w:tc>
          <w:tcPr>
            <w:tcW w:w="3531" w:type="dxa"/>
          </w:tcPr>
          <w:p>
            <w:pPr>
              <w:pStyle w:val="TableParagraph"/>
              <w:spacing w:line="268" w:lineRule="exact"/>
              <w:ind w:left="105"/>
              <w:rPr>
                <w:sz w:val="24"/>
              </w:rPr>
            </w:pPr>
            <w:r>
              <w:rPr>
                <w:i/>
                <w:sz w:val="24"/>
              </w:rPr>
              <w:t>A. media </w:t>
            </w:r>
            <w:r>
              <w:rPr>
                <w:sz w:val="24"/>
              </w:rPr>
              <w:t>(ESV- 398)</w:t>
            </w:r>
          </w:p>
        </w:tc>
        <w:tc>
          <w:tcPr>
            <w:tcW w:w="1438" w:type="dxa"/>
          </w:tcPr>
          <w:p>
            <w:pPr>
              <w:pStyle w:val="TableParagraph"/>
              <w:spacing w:line="268" w:lineRule="exact"/>
              <w:ind w:left="103"/>
              <w:rPr>
                <w:sz w:val="24"/>
              </w:rPr>
            </w:pPr>
            <w:r>
              <w:rPr>
                <w:sz w:val="24"/>
              </w:rPr>
              <w:t>Bazo</w:t>
            </w:r>
          </w:p>
        </w:tc>
        <w:tc>
          <w:tcPr>
            <w:tcW w:w="2127" w:type="dxa"/>
          </w:tcPr>
          <w:p>
            <w:pPr>
              <w:pStyle w:val="TableParagraph"/>
              <w:spacing w:line="268" w:lineRule="exact"/>
              <w:ind w:left="105"/>
              <w:rPr>
                <w:sz w:val="24"/>
              </w:rPr>
            </w:pPr>
            <w:r>
              <w:rPr>
                <w:sz w:val="24"/>
              </w:rPr>
              <w:t>Río</w:t>
            </w:r>
          </w:p>
        </w:tc>
        <w:tc>
          <w:tcPr>
            <w:tcW w:w="2533" w:type="dxa"/>
          </w:tcPr>
          <w:p>
            <w:pPr>
              <w:pStyle w:val="TableParagraph"/>
              <w:spacing w:line="268" w:lineRule="exact"/>
              <w:ind w:left="103"/>
              <w:rPr>
                <w:sz w:val="24"/>
              </w:rPr>
            </w:pPr>
            <w:r>
              <w:rPr>
                <w:sz w:val="24"/>
              </w:rPr>
              <w:t>Hidalgo</w:t>
            </w:r>
          </w:p>
        </w:tc>
      </w:tr>
      <w:tr>
        <w:trPr>
          <w:trHeight w:val="564" w:hRule="exact"/>
        </w:trPr>
        <w:tc>
          <w:tcPr>
            <w:tcW w:w="3531" w:type="dxa"/>
          </w:tcPr>
          <w:p>
            <w:pPr>
              <w:pStyle w:val="TableParagraph"/>
              <w:spacing w:line="270" w:lineRule="exact"/>
              <w:ind w:left="105"/>
              <w:rPr>
                <w:sz w:val="24"/>
              </w:rPr>
            </w:pPr>
            <w:r>
              <w:rPr>
                <w:i/>
                <w:sz w:val="24"/>
              </w:rPr>
              <w:t>A. popoffii </w:t>
            </w:r>
            <w:r>
              <w:rPr>
                <w:sz w:val="24"/>
              </w:rPr>
              <w:t>(ESV- 354)</w:t>
            </w:r>
          </w:p>
        </w:tc>
        <w:tc>
          <w:tcPr>
            <w:tcW w:w="1438" w:type="dxa"/>
          </w:tcPr>
          <w:p>
            <w:pPr>
              <w:pStyle w:val="TableParagraph"/>
              <w:spacing w:line="270" w:lineRule="exact"/>
              <w:ind w:left="103"/>
              <w:rPr>
                <w:sz w:val="24"/>
              </w:rPr>
            </w:pPr>
            <w:r>
              <w:rPr>
                <w:sz w:val="24"/>
              </w:rPr>
              <w:t>Riñón</w:t>
            </w:r>
          </w:p>
        </w:tc>
        <w:tc>
          <w:tcPr>
            <w:tcW w:w="2127" w:type="dxa"/>
          </w:tcPr>
          <w:p>
            <w:pPr>
              <w:pStyle w:val="TableParagraph"/>
              <w:spacing w:line="270" w:lineRule="exact"/>
              <w:ind w:left="105"/>
              <w:rPr>
                <w:sz w:val="24"/>
              </w:rPr>
            </w:pPr>
            <w:r>
              <w:rPr>
                <w:sz w:val="24"/>
              </w:rPr>
              <w:t>Arroyo</w:t>
            </w:r>
          </w:p>
        </w:tc>
        <w:tc>
          <w:tcPr>
            <w:tcW w:w="2533" w:type="dxa"/>
          </w:tcPr>
          <w:p>
            <w:pPr>
              <w:pStyle w:val="TableParagraph"/>
              <w:spacing w:line="270" w:lineRule="exact"/>
              <w:ind w:left="103"/>
              <w:rPr>
                <w:sz w:val="24"/>
              </w:rPr>
            </w:pPr>
            <w:r>
              <w:rPr>
                <w:sz w:val="24"/>
              </w:rPr>
              <w:t>Hidalgo</w:t>
            </w:r>
          </w:p>
        </w:tc>
      </w:tr>
      <w:tr>
        <w:trPr>
          <w:trHeight w:val="562" w:hRule="exact"/>
        </w:trPr>
        <w:tc>
          <w:tcPr>
            <w:tcW w:w="3531" w:type="dxa"/>
          </w:tcPr>
          <w:p>
            <w:pPr>
              <w:pStyle w:val="TableParagraph"/>
              <w:spacing w:line="268" w:lineRule="exact"/>
              <w:ind w:left="105"/>
              <w:rPr>
                <w:sz w:val="24"/>
              </w:rPr>
            </w:pPr>
            <w:r>
              <w:rPr>
                <w:i/>
                <w:sz w:val="24"/>
              </w:rPr>
              <w:t>A. salmonicida </w:t>
            </w:r>
            <w:r>
              <w:rPr>
                <w:sz w:val="24"/>
              </w:rPr>
              <w:t>(ESV- 396)</w:t>
            </w:r>
          </w:p>
        </w:tc>
        <w:tc>
          <w:tcPr>
            <w:tcW w:w="1438" w:type="dxa"/>
          </w:tcPr>
          <w:p>
            <w:pPr>
              <w:pStyle w:val="TableParagraph"/>
              <w:spacing w:line="268" w:lineRule="exact"/>
              <w:ind w:left="103"/>
              <w:rPr>
                <w:sz w:val="24"/>
              </w:rPr>
            </w:pPr>
            <w:r>
              <w:rPr>
                <w:sz w:val="24"/>
              </w:rPr>
              <w:t>Lesión</w:t>
            </w:r>
          </w:p>
        </w:tc>
        <w:tc>
          <w:tcPr>
            <w:tcW w:w="2127" w:type="dxa"/>
          </w:tcPr>
          <w:p>
            <w:pPr>
              <w:pStyle w:val="TableParagraph"/>
              <w:spacing w:line="268" w:lineRule="exact"/>
              <w:ind w:left="105"/>
              <w:rPr>
                <w:sz w:val="24"/>
              </w:rPr>
            </w:pPr>
            <w:r>
              <w:rPr>
                <w:sz w:val="24"/>
              </w:rPr>
              <w:t>Manantial</w:t>
            </w:r>
          </w:p>
        </w:tc>
        <w:tc>
          <w:tcPr>
            <w:tcW w:w="2533" w:type="dxa"/>
          </w:tcPr>
          <w:p>
            <w:pPr>
              <w:pStyle w:val="TableParagraph"/>
              <w:spacing w:line="268" w:lineRule="exact"/>
              <w:ind w:left="103"/>
              <w:rPr>
                <w:sz w:val="24"/>
              </w:rPr>
            </w:pPr>
            <w:r>
              <w:rPr>
                <w:sz w:val="24"/>
              </w:rPr>
              <w:t>Hidalgo</w:t>
            </w:r>
          </w:p>
        </w:tc>
      </w:tr>
      <w:tr>
        <w:trPr>
          <w:trHeight w:val="562" w:hRule="exact"/>
        </w:trPr>
        <w:tc>
          <w:tcPr>
            <w:tcW w:w="3531" w:type="dxa"/>
          </w:tcPr>
          <w:p>
            <w:pPr>
              <w:pStyle w:val="TableParagraph"/>
              <w:spacing w:line="268" w:lineRule="exact"/>
              <w:ind w:left="105"/>
              <w:rPr>
                <w:sz w:val="24"/>
              </w:rPr>
            </w:pPr>
            <w:r>
              <w:rPr>
                <w:i/>
                <w:sz w:val="24"/>
              </w:rPr>
              <w:t>A. sobria </w:t>
            </w:r>
            <w:r>
              <w:rPr>
                <w:sz w:val="24"/>
              </w:rPr>
              <w:t>(ESV- 369)</w:t>
            </w:r>
          </w:p>
        </w:tc>
        <w:tc>
          <w:tcPr>
            <w:tcW w:w="1438" w:type="dxa"/>
          </w:tcPr>
          <w:p>
            <w:pPr>
              <w:pStyle w:val="TableParagraph"/>
              <w:spacing w:line="268" w:lineRule="exact"/>
              <w:ind w:left="103"/>
              <w:rPr>
                <w:sz w:val="24"/>
              </w:rPr>
            </w:pPr>
            <w:r>
              <w:rPr>
                <w:sz w:val="24"/>
              </w:rPr>
              <w:t>Riñón</w:t>
            </w:r>
          </w:p>
        </w:tc>
        <w:tc>
          <w:tcPr>
            <w:tcW w:w="2127" w:type="dxa"/>
          </w:tcPr>
          <w:p>
            <w:pPr>
              <w:pStyle w:val="TableParagraph"/>
              <w:spacing w:line="268" w:lineRule="exact"/>
              <w:ind w:left="105"/>
              <w:rPr>
                <w:sz w:val="24"/>
              </w:rPr>
            </w:pPr>
            <w:r>
              <w:rPr>
                <w:sz w:val="24"/>
              </w:rPr>
              <w:t>Río</w:t>
            </w:r>
          </w:p>
        </w:tc>
        <w:tc>
          <w:tcPr>
            <w:tcW w:w="2533" w:type="dxa"/>
          </w:tcPr>
          <w:p>
            <w:pPr>
              <w:pStyle w:val="TableParagraph"/>
              <w:spacing w:line="268" w:lineRule="exact"/>
              <w:ind w:left="103"/>
              <w:rPr>
                <w:sz w:val="24"/>
              </w:rPr>
            </w:pPr>
            <w:r>
              <w:rPr>
                <w:sz w:val="24"/>
              </w:rPr>
              <w:t>Hidalgo</w:t>
            </w:r>
          </w:p>
        </w:tc>
      </w:tr>
      <w:tr>
        <w:trPr>
          <w:trHeight w:val="562" w:hRule="exact"/>
        </w:trPr>
        <w:tc>
          <w:tcPr>
            <w:tcW w:w="3531" w:type="dxa"/>
          </w:tcPr>
          <w:p>
            <w:pPr>
              <w:pStyle w:val="TableParagraph"/>
              <w:spacing w:line="268" w:lineRule="exact"/>
              <w:ind w:left="105"/>
              <w:rPr>
                <w:sz w:val="24"/>
              </w:rPr>
            </w:pPr>
            <w:r>
              <w:rPr>
                <w:i/>
                <w:sz w:val="24"/>
              </w:rPr>
              <w:t>A. veronii </w:t>
            </w:r>
            <w:r>
              <w:rPr>
                <w:sz w:val="24"/>
              </w:rPr>
              <w:t>(ESV- 393)</w:t>
            </w:r>
          </w:p>
        </w:tc>
        <w:tc>
          <w:tcPr>
            <w:tcW w:w="1438" w:type="dxa"/>
          </w:tcPr>
          <w:p>
            <w:pPr>
              <w:pStyle w:val="TableParagraph"/>
              <w:spacing w:line="268" w:lineRule="exact"/>
              <w:ind w:left="103"/>
              <w:rPr>
                <w:sz w:val="24"/>
              </w:rPr>
            </w:pPr>
            <w:r>
              <w:rPr>
                <w:sz w:val="24"/>
              </w:rPr>
              <w:t>Lesión</w:t>
            </w:r>
          </w:p>
        </w:tc>
        <w:tc>
          <w:tcPr>
            <w:tcW w:w="2127" w:type="dxa"/>
          </w:tcPr>
          <w:p>
            <w:pPr>
              <w:pStyle w:val="TableParagraph"/>
              <w:spacing w:line="268" w:lineRule="exact"/>
              <w:ind w:left="105"/>
              <w:rPr>
                <w:sz w:val="24"/>
              </w:rPr>
            </w:pPr>
            <w:r>
              <w:rPr>
                <w:sz w:val="24"/>
              </w:rPr>
              <w:t>Manantial</w:t>
            </w:r>
          </w:p>
        </w:tc>
        <w:tc>
          <w:tcPr>
            <w:tcW w:w="2533" w:type="dxa"/>
          </w:tcPr>
          <w:p>
            <w:pPr>
              <w:pStyle w:val="TableParagraph"/>
              <w:spacing w:line="268" w:lineRule="exact"/>
              <w:ind w:left="103"/>
              <w:rPr>
                <w:sz w:val="24"/>
              </w:rPr>
            </w:pPr>
            <w:r>
              <w:rPr>
                <w:sz w:val="24"/>
              </w:rPr>
              <w:t>Edo. México</w:t>
            </w:r>
          </w:p>
        </w:tc>
      </w:tr>
    </w:tbl>
    <w:p>
      <w:pPr>
        <w:pStyle w:val="BodyText"/>
        <w:rPr>
          <w:sz w:val="20"/>
        </w:rPr>
      </w:pPr>
    </w:p>
    <w:p>
      <w:pPr>
        <w:pStyle w:val="BodyText"/>
        <w:spacing w:before="3"/>
        <w:rPr>
          <w:sz w:val="21"/>
        </w:rPr>
      </w:pPr>
    </w:p>
    <w:p>
      <w:pPr>
        <w:pStyle w:val="BodyText"/>
        <w:spacing w:line="480" w:lineRule="auto" w:before="69"/>
        <w:ind w:left="103" w:right="118" w:firstLine="707"/>
        <w:jc w:val="both"/>
      </w:pPr>
      <w:r>
        <w:rPr>
          <w:b/>
        </w:rPr>
        <w:t>Medios de cultivo. </w:t>
      </w:r>
      <w:r>
        <w:rPr/>
        <w:t>Para el mantenimiento, propagación y aislamiento de los microorganismos se utilizó agar tripticasa soya (TSA por sus siglas en inglés, </w:t>
      </w:r>
      <w:r>
        <w:rPr>
          <w:i/>
        </w:rPr>
        <w:t>trypticase soy agar</w:t>
      </w:r>
      <w:r>
        <w:rPr/>
        <w:t>), caldo tripticasa soya (TSB por sus siglas en inglés, trypticase soy broth) y agar selectivo para </w:t>
      </w:r>
      <w:r>
        <w:rPr>
          <w:i/>
        </w:rPr>
        <w:t>Aeromonas </w:t>
      </w:r>
      <w:r>
        <w:rPr/>
        <w:t>y </w:t>
      </w:r>
      <w:r>
        <w:rPr>
          <w:i/>
        </w:rPr>
        <w:t>Pseudomonas </w:t>
      </w:r>
      <w:r>
        <w:rPr/>
        <w:t>según Kilelwein (GSP) adicionado con penicilina G procaínica inyectable</w:t>
      </w:r>
      <w:r>
        <w:rPr>
          <w:spacing w:val="50"/>
        </w:rPr>
        <w:t> </w:t>
      </w:r>
      <w:r>
        <w:rPr/>
        <w:t>de</w:t>
      </w:r>
      <w:r>
        <w:rPr>
          <w:spacing w:val="50"/>
        </w:rPr>
        <w:t> </w:t>
      </w:r>
      <w:r>
        <w:rPr/>
        <w:t>uso</w:t>
      </w:r>
      <w:r>
        <w:rPr>
          <w:spacing w:val="51"/>
        </w:rPr>
        <w:t> </w:t>
      </w:r>
      <w:r>
        <w:rPr/>
        <w:t>veterinario;</w:t>
      </w:r>
      <w:r>
        <w:rPr>
          <w:spacing w:val="54"/>
        </w:rPr>
        <w:t> </w:t>
      </w:r>
      <w:r>
        <w:rPr/>
        <w:t>los</w:t>
      </w:r>
      <w:r>
        <w:rPr>
          <w:spacing w:val="52"/>
        </w:rPr>
        <w:t> </w:t>
      </w:r>
      <w:r>
        <w:rPr/>
        <w:t>aislamientos</w:t>
      </w:r>
      <w:r>
        <w:rPr>
          <w:spacing w:val="52"/>
        </w:rPr>
        <w:t> </w:t>
      </w:r>
      <w:r>
        <w:rPr/>
        <w:t>de</w:t>
      </w:r>
      <w:r>
        <w:rPr>
          <w:spacing w:val="52"/>
        </w:rPr>
        <w:t> </w:t>
      </w:r>
      <w:r>
        <w:rPr>
          <w:i/>
        </w:rPr>
        <w:t>Aeromonas</w:t>
      </w:r>
      <w:r>
        <w:rPr>
          <w:i/>
          <w:spacing w:val="51"/>
        </w:rPr>
        <w:t> </w:t>
      </w:r>
      <w:r>
        <w:rPr/>
        <w:t>en</w:t>
      </w:r>
      <w:r>
        <w:rPr>
          <w:spacing w:val="54"/>
        </w:rPr>
        <w:t> </w:t>
      </w:r>
      <w:r>
        <w:rPr/>
        <w:t>el</w:t>
      </w:r>
      <w:r>
        <w:rPr>
          <w:spacing w:val="52"/>
        </w:rPr>
        <w:t> </w:t>
      </w:r>
      <w:r>
        <w:rPr/>
        <w:t>medio</w:t>
      </w:r>
      <w:r>
        <w:rPr>
          <w:spacing w:val="52"/>
        </w:rPr>
        <w:t> </w:t>
      </w:r>
      <w:r>
        <w:rPr/>
        <w:t>GPS</w:t>
      </w:r>
      <w:r>
        <w:rPr>
          <w:spacing w:val="53"/>
        </w:rPr>
        <w:t> </w:t>
      </w:r>
      <w:r>
        <w:rPr/>
        <w:t>viran</w:t>
      </w:r>
      <w:r>
        <w:rPr>
          <w:spacing w:val="51"/>
        </w:rPr>
        <w:t> </w:t>
      </w:r>
      <w:r>
        <w:rPr/>
        <w:t>al</w:t>
      </w:r>
      <w:r>
        <w:rPr>
          <w:spacing w:val="52"/>
        </w:rPr>
        <w:t> </w:t>
      </w:r>
      <w:r>
        <w:rPr/>
        <w:t>color</w:t>
      </w:r>
    </w:p>
    <w:p>
      <w:pPr>
        <w:spacing w:after="0" w:line="480" w:lineRule="auto"/>
        <w:jc w:val="both"/>
        <w:sectPr>
          <w:pgSz w:w="12240" w:h="15840"/>
          <w:pgMar w:header="0" w:footer="695" w:top="1080" w:bottom="940" w:left="1200" w:right="1180"/>
        </w:sectPr>
      </w:pPr>
    </w:p>
    <w:p>
      <w:pPr>
        <w:pStyle w:val="BodyText"/>
        <w:spacing w:line="480" w:lineRule="auto" w:before="69"/>
        <w:ind w:left="103" w:right="59"/>
      </w:pPr>
      <w:r>
        <w:rPr/>
        <w:t>amarillo. Todas las placas fueron incubadas de 24 a 48 hrs a una temperatura de 24</w:t>
      </w:r>
      <w:r>
        <w:rPr>
          <w:position w:val="9"/>
          <w:sz w:val="16"/>
        </w:rPr>
        <w:t>± </w:t>
      </w:r>
      <w:r>
        <w:rPr/>
        <w:t>2 °C (Vivas </w:t>
      </w:r>
      <w:r>
        <w:rPr>
          <w:i/>
        </w:rPr>
        <w:t>et </w:t>
      </w:r>
      <w:r>
        <w:rPr>
          <w:i/>
        </w:rPr>
        <w:t>al</w:t>
      </w:r>
      <w:r>
        <w:rPr/>
        <w:t>., 2005).</w:t>
      </w:r>
    </w:p>
    <w:p>
      <w:pPr>
        <w:pStyle w:val="BodyText"/>
      </w:pPr>
    </w:p>
    <w:p>
      <w:pPr>
        <w:pStyle w:val="BodyText"/>
        <w:spacing w:before="10"/>
      </w:pPr>
    </w:p>
    <w:p>
      <w:pPr>
        <w:pStyle w:val="BodyText"/>
        <w:spacing w:line="477" w:lineRule="auto"/>
        <w:ind w:left="103" w:right="98" w:firstLine="707"/>
        <w:jc w:val="both"/>
      </w:pPr>
      <w:r>
        <w:rPr>
          <w:b/>
        </w:rPr>
        <w:t>Preparación del inóculo. </w:t>
      </w:r>
      <w:r>
        <w:rPr/>
        <w:t>Cada aislamiento fue sembrado en placas de TSA e incubadas a 24</w:t>
      </w:r>
      <w:r>
        <w:rPr>
          <w:position w:val="9"/>
          <w:sz w:val="16"/>
        </w:rPr>
        <w:t>± </w:t>
      </w:r>
      <w:r>
        <w:rPr/>
        <w:t>2 °C durante 24 horas. Las colonias fueron cosechadas por medio de un asa bacteriológica y fueron colocadas en 300 ml (mililitros) de TSB e incubadas a 24</w:t>
      </w:r>
      <w:r>
        <w:rPr>
          <w:position w:val="9"/>
          <w:sz w:val="16"/>
        </w:rPr>
        <w:t>± </w:t>
      </w:r>
      <w:r>
        <w:rPr/>
        <w:t>2 °C durante toda la noche, el medio TSB fue centrifugado a 10,000 revoluciones por minuto (rpm) durante 20 min. Se decantó el sobrenadante y se agregó 50 ml de TSB estéril para despegar las bacterias del fondo del tubo y colocó el inóculo bacteriano en un matraz con 250 ml de TSB estéril. La concentración del inóculo bacteriano fue determinada por densidad óptica (DO) a 540 nanómetros (nm) y ajustando en el espectrofotómetro a una DO= 1. Para determinar la cantidad de unidades formadoras de colonias (UFC) se prepararon 8 viales con capacidad de 1.7 ml y se les colocó 900 µl (microlitros) de TSB cada uno, a cada vial se le agregó 100 µl del inóculo en el primer vial, se realizaron diluciones decuples seriadas, posteriormente se colocaron 3 gotas de 10 µl de cada dilución, las placas de TSA se incubaron a 24</w:t>
      </w:r>
      <w:r>
        <w:rPr>
          <w:position w:val="9"/>
          <w:sz w:val="16"/>
        </w:rPr>
        <w:t>± </w:t>
      </w:r>
      <w:r>
        <w:rPr/>
        <w:t>2 °C durante 24 horas, la concentración del inóculo bacteriano fue de 1.0 X 10</w:t>
      </w:r>
      <w:r>
        <w:rPr>
          <w:position w:val="9"/>
          <w:sz w:val="16"/>
        </w:rPr>
        <w:t>8 </w:t>
      </w:r>
      <w:r>
        <w:rPr/>
        <w:t>UFC /ml. Se realizaron 3 réplicas para cada aislamiento, todos los aislamientos fueron trabajados por separado (Pridgeon </w:t>
      </w:r>
      <w:r>
        <w:rPr>
          <w:i/>
        </w:rPr>
        <w:t>et al</w:t>
      </w:r>
      <w:r>
        <w:rPr/>
        <w:t>., 2011).</w:t>
      </w:r>
    </w:p>
    <w:p>
      <w:pPr>
        <w:pStyle w:val="BodyText"/>
      </w:pPr>
    </w:p>
    <w:p>
      <w:pPr>
        <w:pStyle w:val="BodyText"/>
        <w:spacing w:before="1"/>
        <w:rPr>
          <w:sz w:val="25"/>
        </w:rPr>
      </w:pPr>
    </w:p>
    <w:p>
      <w:pPr>
        <w:pStyle w:val="BodyText"/>
        <w:spacing w:line="477" w:lineRule="auto"/>
        <w:ind w:left="103" w:right="102" w:firstLine="707"/>
        <w:jc w:val="both"/>
      </w:pPr>
      <w:r>
        <w:rPr>
          <w:b/>
        </w:rPr>
        <w:t>Peces y alojamiento. </w:t>
      </w:r>
      <w:r>
        <w:rPr/>
        <w:t>Se emplearon un total de 990 crías de trucha arcoíris (</w:t>
      </w:r>
      <w:r>
        <w:rPr>
          <w:i/>
        </w:rPr>
        <w:t>O. mykiss</w:t>
      </w:r>
      <w:r>
        <w:rPr/>
        <w:t>) de aproximadamente 3 a 5 centímetros (cm) de longitud clínicamente sanos y sin historial de vacunación. Los animales fueron aclimatados durante 2 semanas en contenedores de polipropileno de 100 litros (l) para 100 crías, en agua desclorada, con oxigenación y cambios diarios de agua de 50 l empleando un sifón para agua, con un pH de 7.0 </w:t>
      </w:r>
      <w:r>
        <w:rPr>
          <w:position w:val="9"/>
          <w:sz w:val="16"/>
        </w:rPr>
        <w:t>± </w:t>
      </w:r>
      <w:r>
        <w:rPr/>
        <w:t>0.2 (Lapatra </w:t>
      </w:r>
      <w:r>
        <w:rPr>
          <w:i/>
        </w:rPr>
        <w:t>et al</w:t>
      </w:r>
      <w:r>
        <w:rPr/>
        <w:t>., 2010). A los peces se  </w:t>
      </w:r>
      <w:r>
        <w:rPr>
          <w:spacing w:val="30"/>
        </w:rPr>
        <w:t> </w:t>
      </w:r>
      <w:r>
        <w:rPr/>
        <w:t>les</w:t>
      </w:r>
    </w:p>
    <w:p>
      <w:pPr>
        <w:spacing w:after="0" w:line="477" w:lineRule="auto"/>
        <w:jc w:val="both"/>
        <w:sectPr>
          <w:pgSz w:w="12240" w:h="15840"/>
          <w:pgMar w:header="0" w:footer="695" w:top="1040" w:bottom="940" w:left="1200" w:right="1200"/>
        </w:sectPr>
      </w:pPr>
    </w:p>
    <w:p>
      <w:pPr>
        <w:pStyle w:val="BodyText"/>
        <w:spacing w:line="480" w:lineRule="auto" w:before="44"/>
        <w:ind w:left="103" w:right="101"/>
        <w:jc w:val="both"/>
      </w:pPr>
      <w:r>
        <w:rPr/>
        <w:t>proporcionó alimento comercial de acuerdo a su edad y sin antibióticos. La cantidad de alimento  fue calculada al 4% de su peso. Los animales fueron expuestos a fotoperiodo natural (13 horas luz y 11 horas oscuridad) durante el transcurso del experimento (Winandy y Denoël,</w:t>
      </w:r>
      <w:r>
        <w:rPr>
          <w:spacing w:val="-14"/>
        </w:rPr>
        <w:t> </w:t>
      </w:r>
      <w:r>
        <w:rPr/>
        <w:t>2013).</w:t>
      </w:r>
    </w:p>
    <w:p>
      <w:pPr>
        <w:pStyle w:val="BodyText"/>
      </w:pPr>
    </w:p>
    <w:p>
      <w:pPr>
        <w:pStyle w:val="BodyText"/>
        <w:spacing w:before="10"/>
      </w:pPr>
    </w:p>
    <w:p>
      <w:pPr>
        <w:pStyle w:val="BodyText"/>
        <w:spacing w:line="472" w:lineRule="auto"/>
        <w:ind w:left="103" w:right="100" w:firstLine="707"/>
        <w:jc w:val="both"/>
      </w:pPr>
      <w:r>
        <w:rPr>
          <w:b/>
        </w:rPr>
        <w:t>Eutanasia de los peces. </w:t>
      </w:r>
      <w:r>
        <w:rPr/>
        <w:t>A todos los peces se realizó la eutanasia con una sobre dosis de  MS- 222 (metasulfonato de tricaína) (Sigma, USA) buferado a un pH de 7.0 </w:t>
      </w:r>
      <w:r>
        <w:rPr>
          <w:position w:val="9"/>
          <w:sz w:val="16"/>
        </w:rPr>
        <w:t>± </w:t>
      </w:r>
      <w:r>
        <w:rPr/>
        <w:t>0.2, posteriormente </w:t>
      </w:r>
      <w:r>
        <w:rPr>
          <w:spacing w:val="-3"/>
        </w:rPr>
        <w:t>se </w:t>
      </w:r>
      <w:r>
        <w:rPr/>
        <w:t>procedió a cortar el cordón espinal (Noga</w:t>
      </w:r>
      <w:r>
        <w:rPr>
          <w:spacing w:val="-10"/>
        </w:rPr>
        <w:t> </w:t>
      </w:r>
      <w:r>
        <w:rPr/>
        <w:t>2010).</w:t>
      </w:r>
    </w:p>
    <w:p>
      <w:pPr>
        <w:pStyle w:val="BodyText"/>
      </w:pPr>
    </w:p>
    <w:p>
      <w:pPr>
        <w:pStyle w:val="BodyText"/>
        <w:spacing w:before="7"/>
        <w:rPr>
          <w:sz w:val="25"/>
        </w:rPr>
      </w:pPr>
    </w:p>
    <w:p>
      <w:pPr>
        <w:pStyle w:val="BodyText"/>
        <w:spacing w:line="480" w:lineRule="auto"/>
        <w:ind w:left="103" w:right="98" w:firstLine="707"/>
        <w:jc w:val="both"/>
      </w:pPr>
      <w:r>
        <w:rPr>
          <w:b/>
        </w:rPr>
        <w:t>Diseño experimental. </w:t>
      </w:r>
      <w:r>
        <w:rPr/>
        <w:t>Posteriormente a las 2 semanas de adaptación, se colocaron aleatoriamente 120 crías (3 réplicas y un grupo control) en 4 peceras de 6 l. Se agregaron 2.7 l de agua potable desclorada y se añadió 300 ml del inóculo bacteriano para completar 3 l. Los animales permanecieron durante 1 hora (h) y 30 minutos (´) en baño de inmersión. En el grupo control se le colocaron 300 ml de TSB estéril durante el mismo tiempo. Posteriormente los animales fueron colocados en acuarios nuevos con 6 l de agua acondicionada (acondicionador comercial Neutra- Stress, dosificado conforme a las instrucciones del producto). Se realizaron cambios diarios de agua del 60% para eliminar residuos orgánicos y alimento no consumido. En el </w:t>
      </w:r>
      <w:r>
        <w:rPr>
          <w:b/>
        </w:rPr>
        <w:t>Cuadro 3 </w:t>
      </w:r>
      <w:r>
        <w:rPr/>
        <w:t>se observa el cronograma de trabajo, posteriormente a la inoculación se eutanasiaron 2 peces de cada grupo durante las siguientes 5 horas (10 peces total por grupo de trabajo), asimismo se eutansio 5 peces  los días 1, 2, 7 y 14 (20 peces) para obtener reaislamiento y hallazgos microscópicos. Las mortalidades fueron registradas, así como la presencia de lesiones macroscópicas (Pridgeon </w:t>
      </w:r>
      <w:r>
        <w:rPr>
          <w:i/>
        </w:rPr>
        <w:t>et al</w:t>
      </w:r>
      <w:r>
        <w:rPr/>
        <w:t>., 2011). Todos los grupos fueron trabajados por</w:t>
      </w:r>
      <w:r>
        <w:rPr>
          <w:spacing w:val="-10"/>
        </w:rPr>
        <w:t> </w:t>
      </w:r>
      <w:r>
        <w:rPr/>
        <w:t>separado.</w:t>
      </w:r>
    </w:p>
    <w:p>
      <w:pPr>
        <w:spacing w:after="0" w:line="480" w:lineRule="auto"/>
        <w:jc w:val="both"/>
        <w:sectPr>
          <w:pgSz w:w="12240" w:h="15840"/>
          <w:pgMar w:header="0" w:footer="695" w:top="1080" w:bottom="940" w:left="1200" w:right="1200"/>
        </w:sectPr>
      </w:pPr>
    </w:p>
    <w:p>
      <w:pPr>
        <w:pStyle w:val="BodyText"/>
        <w:spacing w:before="44"/>
        <w:ind w:left="123"/>
      </w:pPr>
      <w:r>
        <w:rPr/>
        <w:pict>
          <v:line style="position:absolute;mso-position-horizontal-relative:page;mso-position-vertical-relative:paragraph;z-index:-73816" from="65.424004pt,58.423122pt" to="143.060004pt,169.303122pt" stroked="true" strokeweight=".48pt" strokecolor="#000000">
            <w10:wrap type="none"/>
          </v:line>
        </w:pict>
      </w:r>
      <w:r>
        <w:rPr>
          <w:b/>
        </w:rPr>
        <w:t>Cuadro 2</w:t>
      </w:r>
      <w:r>
        <w:rPr/>
        <w:t>. Cronograma del diseño experimental.</w:t>
      </w:r>
    </w:p>
    <w:p>
      <w:pPr>
        <w:pStyle w:val="BodyText"/>
        <w:rPr>
          <w:sz w:val="20"/>
        </w:rPr>
      </w:pPr>
    </w:p>
    <w:p>
      <w:pPr>
        <w:pStyle w:val="BodyText"/>
        <w:rPr>
          <w:sz w:val="20"/>
        </w:rPr>
      </w:pPr>
    </w:p>
    <w:p>
      <w:pPr>
        <w:pStyle w:val="BodyText"/>
        <w:rPr>
          <w:sz w:val="20"/>
        </w:rPr>
      </w:pPr>
    </w:p>
    <w:p>
      <w:pPr>
        <w:pStyle w:val="BodyText"/>
        <w:spacing w:before="8"/>
        <w:rPr>
          <w:sz w:val="12"/>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65"/>
        <w:gridCol w:w="653"/>
        <w:gridCol w:w="541"/>
        <w:gridCol w:w="588"/>
        <w:gridCol w:w="427"/>
        <w:gridCol w:w="425"/>
        <w:gridCol w:w="550"/>
        <w:gridCol w:w="560"/>
        <w:gridCol w:w="554"/>
        <w:gridCol w:w="425"/>
        <w:gridCol w:w="638"/>
        <w:gridCol w:w="391"/>
        <w:gridCol w:w="555"/>
        <w:gridCol w:w="554"/>
        <w:gridCol w:w="730"/>
        <w:gridCol w:w="482"/>
      </w:tblGrid>
      <w:tr>
        <w:trPr>
          <w:trHeight w:val="1668" w:hRule="exact"/>
        </w:trPr>
        <w:tc>
          <w:tcPr>
            <w:tcW w:w="1565" w:type="dxa"/>
            <w:vMerge w:val="restart"/>
          </w:tcPr>
          <w:p>
            <w:pPr>
              <w:pStyle w:val="TableParagraph"/>
              <w:spacing w:line="275" w:lineRule="exact"/>
              <w:ind w:left="523"/>
              <w:rPr>
                <w:b/>
                <w:sz w:val="24"/>
              </w:rPr>
            </w:pPr>
            <w:r>
              <w:rPr>
                <w:b/>
                <w:sz w:val="24"/>
              </w:rPr>
              <w:t>Tiempo</w:t>
            </w: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ind w:left="103"/>
              <w:rPr>
                <w:b/>
                <w:sz w:val="24"/>
              </w:rPr>
            </w:pPr>
            <w:r>
              <w:rPr>
                <w:b/>
                <w:sz w:val="24"/>
              </w:rPr>
              <w:t>Acción</w:t>
            </w:r>
          </w:p>
        </w:tc>
        <w:tc>
          <w:tcPr>
            <w:tcW w:w="1193" w:type="dxa"/>
            <w:gridSpan w:val="2"/>
          </w:tcPr>
          <w:p>
            <w:pPr>
              <w:pStyle w:val="TableParagraph"/>
              <w:rPr>
                <w:sz w:val="24"/>
              </w:rPr>
            </w:pPr>
          </w:p>
          <w:p>
            <w:pPr>
              <w:pStyle w:val="TableParagraph"/>
              <w:spacing w:before="10"/>
              <w:rPr>
                <w:sz w:val="23"/>
              </w:rPr>
            </w:pPr>
          </w:p>
          <w:p>
            <w:pPr>
              <w:pStyle w:val="TableParagraph"/>
              <w:ind w:left="103"/>
              <w:rPr>
                <w:b/>
                <w:sz w:val="24"/>
              </w:rPr>
            </w:pPr>
            <w:r>
              <w:rPr>
                <w:b/>
                <w:sz w:val="24"/>
              </w:rPr>
              <w:t>Semana</w:t>
            </w:r>
          </w:p>
        </w:tc>
        <w:tc>
          <w:tcPr>
            <w:tcW w:w="3104" w:type="dxa"/>
            <w:gridSpan w:val="6"/>
          </w:tcPr>
          <w:p>
            <w:pPr>
              <w:pStyle w:val="TableParagraph"/>
              <w:spacing w:line="275" w:lineRule="exact"/>
              <w:ind w:left="103" w:right="877"/>
              <w:rPr>
                <w:b/>
                <w:sz w:val="24"/>
              </w:rPr>
            </w:pPr>
            <w:r>
              <w:rPr>
                <w:b/>
                <w:sz w:val="24"/>
              </w:rPr>
              <w:t>Día 0</w:t>
            </w:r>
          </w:p>
          <w:p>
            <w:pPr>
              <w:pStyle w:val="TableParagraph"/>
              <w:rPr>
                <w:sz w:val="24"/>
              </w:rPr>
            </w:pPr>
          </w:p>
          <w:p>
            <w:pPr>
              <w:pStyle w:val="TableParagraph"/>
              <w:spacing w:line="480" w:lineRule="auto"/>
              <w:ind w:left="103" w:right="877"/>
              <w:rPr>
                <w:b/>
                <w:sz w:val="24"/>
              </w:rPr>
            </w:pPr>
            <w:r>
              <w:rPr>
                <w:b/>
                <w:sz w:val="24"/>
              </w:rPr>
              <w:t>Horas post infección (hpi)</w:t>
            </w:r>
          </w:p>
        </w:tc>
        <w:tc>
          <w:tcPr>
            <w:tcW w:w="3776" w:type="dxa"/>
            <w:gridSpan w:val="7"/>
          </w:tcPr>
          <w:p>
            <w:pPr>
              <w:pStyle w:val="TableParagraph"/>
              <w:spacing w:line="480" w:lineRule="auto"/>
              <w:ind w:left="103" w:right="1269"/>
              <w:rPr>
                <w:b/>
                <w:sz w:val="24"/>
              </w:rPr>
            </w:pPr>
            <w:r>
              <w:rPr>
                <w:b/>
                <w:sz w:val="24"/>
              </w:rPr>
              <w:t>Días experimentales Días post infección (dpi)</w:t>
            </w:r>
          </w:p>
        </w:tc>
      </w:tr>
      <w:tr>
        <w:trPr>
          <w:trHeight w:val="562" w:hRule="exact"/>
        </w:trPr>
        <w:tc>
          <w:tcPr>
            <w:tcW w:w="1565" w:type="dxa"/>
            <w:vMerge/>
          </w:tcPr>
          <w:p>
            <w:pPr/>
          </w:p>
        </w:tc>
        <w:tc>
          <w:tcPr>
            <w:tcW w:w="653" w:type="dxa"/>
          </w:tcPr>
          <w:p>
            <w:pPr>
              <w:pStyle w:val="TableParagraph"/>
              <w:spacing w:line="268" w:lineRule="exact"/>
              <w:ind w:left="103"/>
              <w:rPr>
                <w:sz w:val="24"/>
              </w:rPr>
            </w:pPr>
            <w:r>
              <w:rPr>
                <w:sz w:val="24"/>
              </w:rPr>
              <w:t>1</w:t>
            </w:r>
          </w:p>
        </w:tc>
        <w:tc>
          <w:tcPr>
            <w:tcW w:w="541" w:type="dxa"/>
          </w:tcPr>
          <w:p>
            <w:pPr>
              <w:pStyle w:val="TableParagraph"/>
              <w:spacing w:line="268" w:lineRule="exact"/>
              <w:ind w:left="103"/>
              <w:rPr>
                <w:sz w:val="24"/>
              </w:rPr>
            </w:pPr>
            <w:r>
              <w:rPr>
                <w:sz w:val="24"/>
              </w:rPr>
              <w:t>2</w:t>
            </w:r>
          </w:p>
        </w:tc>
        <w:tc>
          <w:tcPr>
            <w:tcW w:w="588" w:type="dxa"/>
          </w:tcPr>
          <w:p>
            <w:pPr>
              <w:pStyle w:val="TableParagraph"/>
              <w:spacing w:line="268" w:lineRule="exact"/>
              <w:ind w:left="103"/>
              <w:rPr>
                <w:sz w:val="24"/>
              </w:rPr>
            </w:pPr>
            <w:r>
              <w:rPr>
                <w:sz w:val="24"/>
              </w:rPr>
              <w:t>0</w:t>
            </w:r>
          </w:p>
        </w:tc>
        <w:tc>
          <w:tcPr>
            <w:tcW w:w="427" w:type="dxa"/>
          </w:tcPr>
          <w:p>
            <w:pPr>
              <w:pStyle w:val="TableParagraph"/>
              <w:spacing w:line="268" w:lineRule="exact"/>
              <w:ind w:right="84"/>
              <w:jc w:val="center"/>
              <w:rPr>
                <w:sz w:val="24"/>
              </w:rPr>
            </w:pPr>
            <w:r>
              <w:rPr>
                <w:sz w:val="24"/>
              </w:rPr>
              <w:t>1</w:t>
            </w:r>
          </w:p>
        </w:tc>
        <w:tc>
          <w:tcPr>
            <w:tcW w:w="425" w:type="dxa"/>
          </w:tcPr>
          <w:p>
            <w:pPr>
              <w:pStyle w:val="TableParagraph"/>
              <w:spacing w:line="268" w:lineRule="exact"/>
              <w:ind w:left="103"/>
              <w:rPr>
                <w:sz w:val="24"/>
              </w:rPr>
            </w:pPr>
            <w:r>
              <w:rPr>
                <w:sz w:val="24"/>
              </w:rPr>
              <w:t>2</w:t>
            </w:r>
          </w:p>
        </w:tc>
        <w:tc>
          <w:tcPr>
            <w:tcW w:w="550" w:type="dxa"/>
          </w:tcPr>
          <w:p>
            <w:pPr>
              <w:pStyle w:val="TableParagraph"/>
              <w:spacing w:line="268" w:lineRule="exact"/>
              <w:ind w:left="103"/>
              <w:rPr>
                <w:sz w:val="24"/>
              </w:rPr>
            </w:pPr>
            <w:r>
              <w:rPr>
                <w:sz w:val="24"/>
              </w:rPr>
              <w:t>3</w:t>
            </w:r>
          </w:p>
        </w:tc>
        <w:tc>
          <w:tcPr>
            <w:tcW w:w="560" w:type="dxa"/>
          </w:tcPr>
          <w:p>
            <w:pPr>
              <w:pStyle w:val="TableParagraph"/>
              <w:spacing w:line="268" w:lineRule="exact"/>
              <w:ind w:left="144"/>
              <w:rPr>
                <w:sz w:val="24"/>
              </w:rPr>
            </w:pPr>
            <w:r>
              <w:rPr>
                <w:sz w:val="24"/>
              </w:rPr>
              <w:t>4</w:t>
            </w:r>
          </w:p>
        </w:tc>
        <w:tc>
          <w:tcPr>
            <w:tcW w:w="554" w:type="dxa"/>
          </w:tcPr>
          <w:p>
            <w:pPr>
              <w:pStyle w:val="TableParagraph"/>
              <w:spacing w:line="268" w:lineRule="exact"/>
              <w:ind w:left="103"/>
              <w:rPr>
                <w:sz w:val="24"/>
              </w:rPr>
            </w:pPr>
            <w:r>
              <w:rPr>
                <w:sz w:val="24"/>
              </w:rPr>
              <w:t>5</w:t>
            </w:r>
          </w:p>
        </w:tc>
        <w:tc>
          <w:tcPr>
            <w:tcW w:w="425" w:type="dxa"/>
          </w:tcPr>
          <w:p>
            <w:pPr>
              <w:pStyle w:val="TableParagraph"/>
              <w:spacing w:line="268" w:lineRule="exact"/>
              <w:ind w:left="103"/>
              <w:rPr>
                <w:sz w:val="24"/>
              </w:rPr>
            </w:pPr>
            <w:r>
              <w:rPr>
                <w:sz w:val="24"/>
              </w:rPr>
              <w:t>1</w:t>
            </w:r>
          </w:p>
        </w:tc>
        <w:tc>
          <w:tcPr>
            <w:tcW w:w="638" w:type="dxa"/>
          </w:tcPr>
          <w:p>
            <w:pPr>
              <w:pStyle w:val="TableParagraph"/>
              <w:spacing w:line="268" w:lineRule="exact"/>
              <w:ind w:left="103"/>
              <w:rPr>
                <w:sz w:val="24"/>
              </w:rPr>
            </w:pPr>
            <w:r>
              <w:rPr>
                <w:sz w:val="24"/>
              </w:rPr>
              <w:t>2</w:t>
            </w:r>
          </w:p>
        </w:tc>
        <w:tc>
          <w:tcPr>
            <w:tcW w:w="391" w:type="dxa"/>
          </w:tcPr>
          <w:p>
            <w:pPr>
              <w:pStyle w:val="TableParagraph"/>
              <w:spacing w:line="268" w:lineRule="exact"/>
              <w:ind w:left="143"/>
              <w:rPr>
                <w:sz w:val="24"/>
              </w:rPr>
            </w:pPr>
            <w:r>
              <w:rPr>
                <w:sz w:val="24"/>
              </w:rPr>
              <w:t>3</w:t>
            </w:r>
          </w:p>
        </w:tc>
        <w:tc>
          <w:tcPr>
            <w:tcW w:w="555" w:type="dxa"/>
          </w:tcPr>
          <w:p>
            <w:pPr>
              <w:pStyle w:val="TableParagraph"/>
              <w:spacing w:line="268" w:lineRule="exact"/>
              <w:ind w:left="103"/>
              <w:rPr>
                <w:sz w:val="24"/>
              </w:rPr>
            </w:pPr>
            <w:r>
              <w:rPr>
                <w:sz w:val="24"/>
              </w:rPr>
              <w:t>4-6</w:t>
            </w:r>
          </w:p>
        </w:tc>
        <w:tc>
          <w:tcPr>
            <w:tcW w:w="554" w:type="dxa"/>
          </w:tcPr>
          <w:p>
            <w:pPr>
              <w:pStyle w:val="TableParagraph"/>
              <w:spacing w:line="268" w:lineRule="exact"/>
              <w:ind w:left="103"/>
              <w:rPr>
                <w:sz w:val="24"/>
              </w:rPr>
            </w:pPr>
            <w:r>
              <w:rPr>
                <w:sz w:val="24"/>
              </w:rPr>
              <w:t>7</w:t>
            </w:r>
          </w:p>
        </w:tc>
        <w:tc>
          <w:tcPr>
            <w:tcW w:w="730" w:type="dxa"/>
          </w:tcPr>
          <w:p>
            <w:pPr>
              <w:pStyle w:val="TableParagraph"/>
              <w:spacing w:line="268" w:lineRule="exact"/>
              <w:ind w:left="103"/>
              <w:rPr>
                <w:sz w:val="24"/>
              </w:rPr>
            </w:pPr>
            <w:r>
              <w:rPr>
                <w:sz w:val="24"/>
              </w:rPr>
              <w:t>8 -13</w:t>
            </w:r>
          </w:p>
        </w:tc>
        <w:tc>
          <w:tcPr>
            <w:tcW w:w="482" w:type="dxa"/>
          </w:tcPr>
          <w:p>
            <w:pPr>
              <w:pStyle w:val="TableParagraph"/>
              <w:spacing w:line="268" w:lineRule="exact"/>
              <w:ind w:left="103"/>
              <w:rPr>
                <w:sz w:val="24"/>
              </w:rPr>
            </w:pPr>
            <w:r>
              <w:rPr>
                <w:sz w:val="24"/>
              </w:rPr>
              <w:t>14</w:t>
            </w:r>
          </w:p>
        </w:tc>
      </w:tr>
      <w:tr>
        <w:trPr>
          <w:trHeight w:val="562" w:hRule="exact"/>
        </w:trPr>
        <w:tc>
          <w:tcPr>
            <w:tcW w:w="1565" w:type="dxa"/>
          </w:tcPr>
          <w:p>
            <w:pPr>
              <w:pStyle w:val="TableParagraph"/>
              <w:spacing w:line="273" w:lineRule="exact"/>
              <w:ind w:left="103"/>
              <w:rPr>
                <w:b/>
                <w:sz w:val="24"/>
              </w:rPr>
            </w:pPr>
            <w:r>
              <w:rPr>
                <w:b/>
                <w:sz w:val="24"/>
              </w:rPr>
              <w:t>Adaptación</w:t>
            </w:r>
          </w:p>
        </w:tc>
        <w:tc>
          <w:tcPr>
            <w:tcW w:w="653" w:type="dxa"/>
          </w:tcPr>
          <w:p>
            <w:pPr>
              <w:pStyle w:val="TableParagraph"/>
              <w:spacing w:line="268" w:lineRule="exact"/>
              <w:ind w:left="103"/>
              <w:rPr>
                <w:sz w:val="24"/>
              </w:rPr>
            </w:pPr>
            <w:r>
              <w:rPr>
                <w:w w:val="99"/>
                <w:sz w:val="24"/>
              </w:rPr>
              <w:t>X</w:t>
            </w:r>
          </w:p>
        </w:tc>
        <w:tc>
          <w:tcPr>
            <w:tcW w:w="541" w:type="dxa"/>
          </w:tcPr>
          <w:p>
            <w:pPr>
              <w:pStyle w:val="TableParagraph"/>
              <w:spacing w:line="268" w:lineRule="exact"/>
              <w:ind w:left="103"/>
              <w:rPr>
                <w:sz w:val="24"/>
              </w:rPr>
            </w:pPr>
            <w:r>
              <w:rPr>
                <w:w w:val="99"/>
                <w:sz w:val="24"/>
              </w:rPr>
              <w:t>X</w:t>
            </w:r>
          </w:p>
        </w:tc>
        <w:tc>
          <w:tcPr>
            <w:tcW w:w="588" w:type="dxa"/>
          </w:tcPr>
          <w:p>
            <w:pPr/>
          </w:p>
        </w:tc>
        <w:tc>
          <w:tcPr>
            <w:tcW w:w="427" w:type="dxa"/>
          </w:tcPr>
          <w:p>
            <w:pPr/>
          </w:p>
        </w:tc>
        <w:tc>
          <w:tcPr>
            <w:tcW w:w="425" w:type="dxa"/>
          </w:tcPr>
          <w:p>
            <w:pPr/>
          </w:p>
        </w:tc>
        <w:tc>
          <w:tcPr>
            <w:tcW w:w="550" w:type="dxa"/>
          </w:tcPr>
          <w:p>
            <w:pPr/>
          </w:p>
        </w:tc>
        <w:tc>
          <w:tcPr>
            <w:tcW w:w="560" w:type="dxa"/>
          </w:tcPr>
          <w:p>
            <w:pPr/>
          </w:p>
        </w:tc>
        <w:tc>
          <w:tcPr>
            <w:tcW w:w="554" w:type="dxa"/>
          </w:tcPr>
          <w:p>
            <w:pPr/>
          </w:p>
        </w:tc>
        <w:tc>
          <w:tcPr>
            <w:tcW w:w="425" w:type="dxa"/>
          </w:tcPr>
          <w:p>
            <w:pPr/>
          </w:p>
        </w:tc>
        <w:tc>
          <w:tcPr>
            <w:tcW w:w="638" w:type="dxa"/>
          </w:tcPr>
          <w:p>
            <w:pPr/>
          </w:p>
        </w:tc>
        <w:tc>
          <w:tcPr>
            <w:tcW w:w="391" w:type="dxa"/>
          </w:tcPr>
          <w:p>
            <w:pPr/>
          </w:p>
        </w:tc>
        <w:tc>
          <w:tcPr>
            <w:tcW w:w="555" w:type="dxa"/>
          </w:tcPr>
          <w:p>
            <w:pPr/>
          </w:p>
        </w:tc>
        <w:tc>
          <w:tcPr>
            <w:tcW w:w="554" w:type="dxa"/>
          </w:tcPr>
          <w:p>
            <w:pPr/>
          </w:p>
        </w:tc>
        <w:tc>
          <w:tcPr>
            <w:tcW w:w="730" w:type="dxa"/>
          </w:tcPr>
          <w:p>
            <w:pPr/>
          </w:p>
        </w:tc>
        <w:tc>
          <w:tcPr>
            <w:tcW w:w="482" w:type="dxa"/>
          </w:tcPr>
          <w:p>
            <w:pPr/>
          </w:p>
        </w:tc>
      </w:tr>
      <w:tr>
        <w:trPr>
          <w:trHeight w:val="562" w:hRule="exact"/>
        </w:trPr>
        <w:tc>
          <w:tcPr>
            <w:tcW w:w="1565" w:type="dxa"/>
          </w:tcPr>
          <w:p>
            <w:pPr>
              <w:pStyle w:val="TableParagraph"/>
              <w:spacing w:line="273" w:lineRule="exact"/>
              <w:ind w:left="103"/>
              <w:rPr>
                <w:b/>
                <w:sz w:val="24"/>
              </w:rPr>
            </w:pPr>
            <w:r>
              <w:rPr>
                <w:b/>
                <w:sz w:val="24"/>
              </w:rPr>
              <w:t>Inoculación</w:t>
            </w:r>
          </w:p>
        </w:tc>
        <w:tc>
          <w:tcPr>
            <w:tcW w:w="653" w:type="dxa"/>
          </w:tcPr>
          <w:p>
            <w:pPr/>
          </w:p>
        </w:tc>
        <w:tc>
          <w:tcPr>
            <w:tcW w:w="541" w:type="dxa"/>
          </w:tcPr>
          <w:p>
            <w:pPr/>
          </w:p>
        </w:tc>
        <w:tc>
          <w:tcPr>
            <w:tcW w:w="588" w:type="dxa"/>
          </w:tcPr>
          <w:p>
            <w:pPr>
              <w:pStyle w:val="TableParagraph"/>
              <w:spacing w:line="268" w:lineRule="exact"/>
              <w:ind w:left="103"/>
              <w:rPr>
                <w:sz w:val="24"/>
              </w:rPr>
            </w:pPr>
            <w:r>
              <w:rPr>
                <w:w w:val="99"/>
                <w:sz w:val="24"/>
              </w:rPr>
              <w:t>X</w:t>
            </w:r>
          </w:p>
        </w:tc>
        <w:tc>
          <w:tcPr>
            <w:tcW w:w="427" w:type="dxa"/>
          </w:tcPr>
          <w:p>
            <w:pPr/>
          </w:p>
        </w:tc>
        <w:tc>
          <w:tcPr>
            <w:tcW w:w="425" w:type="dxa"/>
          </w:tcPr>
          <w:p>
            <w:pPr/>
          </w:p>
        </w:tc>
        <w:tc>
          <w:tcPr>
            <w:tcW w:w="550" w:type="dxa"/>
          </w:tcPr>
          <w:p>
            <w:pPr/>
          </w:p>
        </w:tc>
        <w:tc>
          <w:tcPr>
            <w:tcW w:w="560" w:type="dxa"/>
          </w:tcPr>
          <w:p>
            <w:pPr/>
          </w:p>
        </w:tc>
        <w:tc>
          <w:tcPr>
            <w:tcW w:w="554" w:type="dxa"/>
          </w:tcPr>
          <w:p>
            <w:pPr/>
          </w:p>
        </w:tc>
        <w:tc>
          <w:tcPr>
            <w:tcW w:w="425" w:type="dxa"/>
          </w:tcPr>
          <w:p>
            <w:pPr/>
          </w:p>
        </w:tc>
        <w:tc>
          <w:tcPr>
            <w:tcW w:w="638" w:type="dxa"/>
          </w:tcPr>
          <w:p>
            <w:pPr/>
          </w:p>
        </w:tc>
        <w:tc>
          <w:tcPr>
            <w:tcW w:w="391" w:type="dxa"/>
          </w:tcPr>
          <w:p>
            <w:pPr/>
          </w:p>
        </w:tc>
        <w:tc>
          <w:tcPr>
            <w:tcW w:w="555" w:type="dxa"/>
          </w:tcPr>
          <w:p>
            <w:pPr/>
          </w:p>
        </w:tc>
        <w:tc>
          <w:tcPr>
            <w:tcW w:w="554" w:type="dxa"/>
          </w:tcPr>
          <w:p>
            <w:pPr/>
          </w:p>
        </w:tc>
        <w:tc>
          <w:tcPr>
            <w:tcW w:w="730" w:type="dxa"/>
          </w:tcPr>
          <w:p>
            <w:pPr/>
          </w:p>
        </w:tc>
        <w:tc>
          <w:tcPr>
            <w:tcW w:w="482" w:type="dxa"/>
          </w:tcPr>
          <w:p>
            <w:pPr/>
          </w:p>
        </w:tc>
      </w:tr>
      <w:tr>
        <w:trPr>
          <w:trHeight w:val="1114" w:hRule="exact"/>
        </w:trPr>
        <w:tc>
          <w:tcPr>
            <w:tcW w:w="1565" w:type="dxa"/>
          </w:tcPr>
          <w:p>
            <w:pPr>
              <w:pStyle w:val="TableParagraph"/>
              <w:spacing w:line="273" w:lineRule="exact"/>
              <w:ind w:left="103"/>
              <w:rPr>
                <w:b/>
                <w:sz w:val="24"/>
              </w:rPr>
            </w:pPr>
            <w:r>
              <w:rPr>
                <w:b/>
                <w:sz w:val="24"/>
              </w:rPr>
              <w:t>Observación</w:t>
            </w:r>
          </w:p>
          <w:p>
            <w:pPr>
              <w:pStyle w:val="TableParagraph"/>
              <w:rPr>
                <w:sz w:val="24"/>
              </w:rPr>
            </w:pPr>
          </w:p>
          <w:p>
            <w:pPr>
              <w:pStyle w:val="TableParagraph"/>
              <w:ind w:left="103"/>
              <w:rPr>
                <w:b/>
                <w:sz w:val="24"/>
              </w:rPr>
            </w:pPr>
            <w:r>
              <w:rPr>
                <w:b/>
                <w:sz w:val="24"/>
              </w:rPr>
              <w:t>/ registro</w:t>
            </w:r>
          </w:p>
        </w:tc>
        <w:tc>
          <w:tcPr>
            <w:tcW w:w="653" w:type="dxa"/>
          </w:tcPr>
          <w:p>
            <w:pPr/>
          </w:p>
        </w:tc>
        <w:tc>
          <w:tcPr>
            <w:tcW w:w="541" w:type="dxa"/>
          </w:tcPr>
          <w:p>
            <w:pPr/>
          </w:p>
        </w:tc>
        <w:tc>
          <w:tcPr>
            <w:tcW w:w="588" w:type="dxa"/>
          </w:tcPr>
          <w:p>
            <w:pPr/>
          </w:p>
        </w:tc>
        <w:tc>
          <w:tcPr>
            <w:tcW w:w="427" w:type="dxa"/>
          </w:tcPr>
          <w:p>
            <w:pPr>
              <w:pStyle w:val="TableParagraph"/>
              <w:spacing w:line="268" w:lineRule="exact"/>
              <w:ind w:right="31"/>
              <w:jc w:val="center"/>
              <w:rPr>
                <w:sz w:val="24"/>
              </w:rPr>
            </w:pPr>
            <w:r>
              <w:rPr>
                <w:w w:val="99"/>
                <w:sz w:val="24"/>
              </w:rPr>
              <w:t>X</w:t>
            </w:r>
          </w:p>
        </w:tc>
        <w:tc>
          <w:tcPr>
            <w:tcW w:w="425" w:type="dxa"/>
          </w:tcPr>
          <w:p>
            <w:pPr>
              <w:pStyle w:val="TableParagraph"/>
              <w:spacing w:line="268" w:lineRule="exact"/>
              <w:ind w:left="103"/>
              <w:rPr>
                <w:sz w:val="24"/>
              </w:rPr>
            </w:pPr>
            <w:r>
              <w:rPr>
                <w:w w:val="99"/>
                <w:sz w:val="24"/>
              </w:rPr>
              <w:t>X</w:t>
            </w:r>
          </w:p>
        </w:tc>
        <w:tc>
          <w:tcPr>
            <w:tcW w:w="550" w:type="dxa"/>
          </w:tcPr>
          <w:p>
            <w:pPr>
              <w:pStyle w:val="TableParagraph"/>
              <w:spacing w:line="268" w:lineRule="exact"/>
              <w:ind w:left="103"/>
              <w:rPr>
                <w:sz w:val="24"/>
              </w:rPr>
            </w:pPr>
            <w:r>
              <w:rPr>
                <w:w w:val="99"/>
                <w:sz w:val="24"/>
              </w:rPr>
              <w:t>X</w:t>
            </w:r>
          </w:p>
        </w:tc>
        <w:tc>
          <w:tcPr>
            <w:tcW w:w="560" w:type="dxa"/>
          </w:tcPr>
          <w:p>
            <w:pPr>
              <w:pStyle w:val="TableParagraph"/>
              <w:spacing w:line="268" w:lineRule="exact"/>
              <w:ind w:left="103"/>
              <w:rPr>
                <w:sz w:val="24"/>
              </w:rPr>
            </w:pPr>
            <w:r>
              <w:rPr>
                <w:w w:val="99"/>
                <w:sz w:val="24"/>
              </w:rPr>
              <w:t>X</w:t>
            </w:r>
          </w:p>
        </w:tc>
        <w:tc>
          <w:tcPr>
            <w:tcW w:w="554" w:type="dxa"/>
          </w:tcPr>
          <w:p>
            <w:pPr>
              <w:pStyle w:val="TableParagraph"/>
              <w:spacing w:line="268" w:lineRule="exact"/>
              <w:ind w:left="103"/>
              <w:rPr>
                <w:sz w:val="24"/>
              </w:rPr>
            </w:pPr>
            <w:r>
              <w:rPr>
                <w:w w:val="99"/>
                <w:sz w:val="24"/>
              </w:rPr>
              <w:t>X</w:t>
            </w:r>
          </w:p>
        </w:tc>
        <w:tc>
          <w:tcPr>
            <w:tcW w:w="425" w:type="dxa"/>
          </w:tcPr>
          <w:p>
            <w:pPr>
              <w:pStyle w:val="TableParagraph"/>
              <w:spacing w:line="268" w:lineRule="exact"/>
              <w:ind w:left="103"/>
              <w:rPr>
                <w:sz w:val="24"/>
              </w:rPr>
            </w:pPr>
            <w:r>
              <w:rPr>
                <w:w w:val="99"/>
                <w:sz w:val="24"/>
              </w:rPr>
              <w:t>X</w:t>
            </w:r>
          </w:p>
        </w:tc>
        <w:tc>
          <w:tcPr>
            <w:tcW w:w="638" w:type="dxa"/>
          </w:tcPr>
          <w:p>
            <w:pPr>
              <w:pStyle w:val="TableParagraph"/>
              <w:spacing w:line="268" w:lineRule="exact"/>
              <w:ind w:left="103"/>
              <w:rPr>
                <w:sz w:val="24"/>
              </w:rPr>
            </w:pPr>
            <w:r>
              <w:rPr>
                <w:w w:val="99"/>
                <w:sz w:val="24"/>
              </w:rPr>
              <w:t>X</w:t>
            </w:r>
          </w:p>
        </w:tc>
        <w:tc>
          <w:tcPr>
            <w:tcW w:w="391" w:type="dxa"/>
          </w:tcPr>
          <w:p>
            <w:pPr>
              <w:pStyle w:val="TableParagraph"/>
              <w:spacing w:line="268" w:lineRule="exact"/>
              <w:ind w:left="103"/>
              <w:rPr>
                <w:sz w:val="24"/>
              </w:rPr>
            </w:pPr>
            <w:r>
              <w:rPr>
                <w:w w:val="99"/>
                <w:sz w:val="24"/>
              </w:rPr>
              <w:t>X</w:t>
            </w:r>
          </w:p>
        </w:tc>
        <w:tc>
          <w:tcPr>
            <w:tcW w:w="555" w:type="dxa"/>
          </w:tcPr>
          <w:p>
            <w:pPr>
              <w:pStyle w:val="TableParagraph"/>
              <w:spacing w:line="268" w:lineRule="exact"/>
              <w:ind w:left="103"/>
              <w:rPr>
                <w:sz w:val="24"/>
              </w:rPr>
            </w:pPr>
            <w:r>
              <w:rPr>
                <w:w w:val="99"/>
                <w:sz w:val="24"/>
              </w:rPr>
              <w:t>X</w:t>
            </w:r>
          </w:p>
        </w:tc>
        <w:tc>
          <w:tcPr>
            <w:tcW w:w="554" w:type="dxa"/>
          </w:tcPr>
          <w:p>
            <w:pPr>
              <w:pStyle w:val="TableParagraph"/>
              <w:spacing w:line="268" w:lineRule="exact"/>
              <w:ind w:left="103"/>
              <w:rPr>
                <w:sz w:val="24"/>
              </w:rPr>
            </w:pPr>
            <w:r>
              <w:rPr>
                <w:w w:val="99"/>
                <w:sz w:val="24"/>
              </w:rPr>
              <w:t>X</w:t>
            </w:r>
          </w:p>
        </w:tc>
        <w:tc>
          <w:tcPr>
            <w:tcW w:w="730" w:type="dxa"/>
          </w:tcPr>
          <w:p>
            <w:pPr>
              <w:pStyle w:val="TableParagraph"/>
              <w:spacing w:line="268" w:lineRule="exact"/>
              <w:ind w:left="103"/>
              <w:rPr>
                <w:sz w:val="24"/>
              </w:rPr>
            </w:pPr>
            <w:r>
              <w:rPr>
                <w:w w:val="99"/>
                <w:sz w:val="24"/>
              </w:rPr>
              <w:t>X</w:t>
            </w:r>
          </w:p>
        </w:tc>
        <w:tc>
          <w:tcPr>
            <w:tcW w:w="482" w:type="dxa"/>
          </w:tcPr>
          <w:p>
            <w:pPr>
              <w:pStyle w:val="TableParagraph"/>
              <w:spacing w:line="268" w:lineRule="exact"/>
              <w:ind w:left="103"/>
              <w:rPr>
                <w:sz w:val="24"/>
              </w:rPr>
            </w:pPr>
            <w:r>
              <w:rPr>
                <w:w w:val="99"/>
                <w:sz w:val="24"/>
              </w:rPr>
              <w:t>X</w:t>
            </w:r>
          </w:p>
        </w:tc>
      </w:tr>
      <w:tr>
        <w:trPr>
          <w:trHeight w:val="562" w:hRule="exact"/>
        </w:trPr>
        <w:tc>
          <w:tcPr>
            <w:tcW w:w="1565" w:type="dxa"/>
          </w:tcPr>
          <w:p>
            <w:pPr>
              <w:pStyle w:val="TableParagraph"/>
              <w:spacing w:line="273" w:lineRule="exact"/>
              <w:ind w:left="103"/>
              <w:rPr>
                <w:b/>
                <w:sz w:val="24"/>
              </w:rPr>
            </w:pPr>
            <w:r>
              <w:rPr>
                <w:b/>
                <w:sz w:val="24"/>
              </w:rPr>
              <w:t>Necropsia</w:t>
            </w:r>
          </w:p>
        </w:tc>
        <w:tc>
          <w:tcPr>
            <w:tcW w:w="653" w:type="dxa"/>
          </w:tcPr>
          <w:p>
            <w:pPr/>
          </w:p>
        </w:tc>
        <w:tc>
          <w:tcPr>
            <w:tcW w:w="541" w:type="dxa"/>
          </w:tcPr>
          <w:p>
            <w:pPr/>
          </w:p>
        </w:tc>
        <w:tc>
          <w:tcPr>
            <w:tcW w:w="588" w:type="dxa"/>
          </w:tcPr>
          <w:p>
            <w:pPr/>
          </w:p>
        </w:tc>
        <w:tc>
          <w:tcPr>
            <w:tcW w:w="427" w:type="dxa"/>
          </w:tcPr>
          <w:p>
            <w:pPr>
              <w:pStyle w:val="TableParagraph"/>
              <w:spacing w:line="268" w:lineRule="exact"/>
              <w:ind w:right="31"/>
              <w:jc w:val="center"/>
              <w:rPr>
                <w:sz w:val="24"/>
              </w:rPr>
            </w:pPr>
            <w:r>
              <w:rPr>
                <w:w w:val="99"/>
                <w:sz w:val="24"/>
              </w:rPr>
              <w:t>X</w:t>
            </w:r>
          </w:p>
        </w:tc>
        <w:tc>
          <w:tcPr>
            <w:tcW w:w="425" w:type="dxa"/>
          </w:tcPr>
          <w:p>
            <w:pPr>
              <w:pStyle w:val="TableParagraph"/>
              <w:spacing w:line="268" w:lineRule="exact"/>
              <w:ind w:left="103"/>
              <w:rPr>
                <w:sz w:val="24"/>
              </w:rPr>
            </w:pPr>
            <w:r>
              <w:rPr>
                <w:w w:val="99"/>
                <w:sz w:val="24"/>
              </w:rPr>
              <w:t>X</w:t>
            </w:r>
          </w:p>
        </w:tc>
        <w:tc>
          <w:tcPr>
            <w:tcW w:w="550" w:type="dxa"/>
          </w:tcPr>
          <w:p>
            <w:pPr>
              <w:pStyle w:val="TableParagraph"/>
              <w:spacing w:line="268" w:lineRule="exact"/>
              <w:ind w:left="103"/>
              <w:rPr>
                <w:sz w:val="24"/>
              </w:rPr>
            </w:pPr>
            <w:r>
              <w:rPr>
                <w:w w:val="99"/>
                <w:sz w:val="24"/>
              </w:rPr>
              <w:t>X</w:t>
            </w:r>
          </w:p>
        </w:tc>
        <w:tc>
          <w:tcPr>
            <w:tcW w:w="560" w:type="dxa"/>
          </w:tcPr>
          <w:p>
            <w:pPr>
              <w:pStyle w:val="TableParagraph"/>
              <w:spacing w:line="268" w:lineRule="exact"/>
              <w:ind w:left="103"/>
              <w:rPr>
                <w:sz w:val="24"/>
              </w:rPr>
            </w:pPr>
            <w:r>
              <w:rPr>
                <w:w w:val="99"/>
                <w:sz w:val="24"/>
              </w:rPr>
              <w:t>X</w:t>
            </w:r>
          </w:p>
        </w:tc>
        <w:tc>
          <w:tcPr>
            <w:tcW w:w="554" w:type="dxa"/>
          </w:tcPr>
          <w:p>
            <w:pPr>
              <w:pStyle w:val="TableParagraph"/>
              <w:spacing w:line="268" w:lineRule="exact"/>
              <w:ind w:left="103"/>
              <w:rPr>
                <w:sz w:val="24"/>
              </w:rPr>
            </w:pPr>
            <w:r>
              <w:rPr>
                <w:w w:val="99"/>
                <w:sz w:val="24"/>
              </w:rPr>
              <w:t>X</w:t>
            </w:r>
          </w:p>
        </w:tc>
        <w:tc>
          <w:tcPr>
            <w:tcW w:w="425" w:type="dxa"/>
          </w:tcPr>
          <w:p>
            <w:pPr>
              <w:pStyle w:val="TableParagraph"/>
              <w:spacing w:line="268" w:lineRule="exact"/>
              <w:ind w:left="103"/>
              <w:rPr>
                <w:sz w:val="24"/>
              </w:rPr>
            </w:pPr>
            <w:r>
              <w:rPr>
                <w:w w:val="99"/>
                <w:sz w:val="24"/>
              </w:rPr>
              <w:t>X</w:t>
            </w:r>
          </w:p>
        </w:tc>
        <w:tc>
          <w:tcPr>
            <w:tcW w:w="638" w:type="dxa"/>
          </w:tcPr>
          <w:p>
            <w:pPr>
              <w:pStyle w:val="TableParagraph"/>
              <w:spacing w:line="268" w:lineRule="exact"/>
              <w:ind w:left="103"/>
              <w:rPr>
                <w:sz w:val="24"/>
              </w:rPr>
            </w:pPr>
            <w:r>
              <w:rPr>
                <w:w w:val="99"/>
                <w:sz w:val="24"/>
              </w:rPr>
              <w:t>X</w:t>
            </w:r>
          </w:p>
        </w:tc>
        <w:tc>
          <w:tcPr>
            <w:tcW w:w="391" w:type="dxa"/>
          </w:tcPr>
          <w:p>
            <w:pPr/>
          </w:p>
        </w:tc>
        <w:tc>
          <w:tcPr>
            <w:tcW w:w="555" w:type="dxa"/>
          </w:tcPr>
          <w:p>
            <w:pPr/>
          </w:p>
        </w:tc>
        <w:tc>
          <w:tcPr>
            <w:tcW w:w="554" w:type="dxa"/>
          </w:tcPr>
          <w:p>
            <w:pPr>
              <w:pStyle w:val="TableParagraph"/>
              <w:spacing w:line="268" w:lineRule="exact"/>
              <w:ind w:left="103"/>
              <w:rPr>
                <w:sz w:val="24"/>
              </w:rPr>
            </w:pPr>
            <w:r>
              <w:rPr>
                <w:w w:val="99"/>
                <w:sz w:val="24"/>
              </w:rPr>
              <w:t>X</w:t>
            </w:r>
          </w:p>
        </w:tc>
        <w:tc>
          <w:tcPr>
            <w:tcW w:w="730" w:type="dxa"/>
          </w:tcPr>
          <w:p>
            <w:pPr/>
          </w:p>
        </w:tc>
        <w:tc>
          <w:tcPr>
            <w:tcW w:w="482" w:type="dxa"/>
          </w:tcPr>
          <w:p>
            <w:pPr>
              <w:pStyle w:val="TableParagraph"/>
              <w:spacing w:line="268" w:lineRule="exact"/>
              <w:ind w:left="103"/>
              <w:rPr>
                <w:sz w:val="24"/>
              </w:rPr>
            </w:pPr>
            <w:r>
              <w:rPr>
                <w:w w:val="99"/>
                <w:sz w:val="24"/>
              </w:rPr>
              <w:t>X</w:t>
            </w:r>
          </w:p>
        </w:tc>
      </w:tr>
    </w:tbl>
    <w:p>
      <w:pPr>
        <w:pStyle w:val="BodyText"/>
        <w:rPr>
          <w:sz w:val="20"/>
        </w:rPr>
      </w:pPr>
    </w:p>
    <w:p>
      <w:pPr>
        <w:pStyle w:val="BodyText"/>
        <w:spacing w:before="3"/>
        <w:rPr>
          <w:sz w:val="21"/>
        </w:rPr>
      </w:pPr>
    </w:p>
    <w:p>
      <w:pPr>
        <w:pStyle w:val="BodyText"/>
        <w:spacing w:line="480" w:lineRule="auto" w:before="69"/>
        <w:ind w:left="123" w:right="123" w:firstLine="707"/>
        <w:jc w:val="both"/>
      </w:pPr>
      <w:r>
        <w:rPr>
          <w:b/>
        </w:rPr>
        <w:t>Necropsia. </w:t>
      </w:r>
      <w:r>
        <w:rPr/>
        <w:t>Inmediatamente después de realizar la eutanasia, se realizó la necropsia, toma de muestras para bacteriología y el registro de lesiones macroscópicas (Noga, 2010).</w:t>
      </w:r>
    </w:p>
    <w:p>
      <w:pPr>
        <w:pStyle w:val="BodyText"/>
      </w:pPr>
    </w:p>
    <w:p>
      <w:pPr>
        <w:pStyle w:val="BodyText"/>
        <w:spacing w:before="10"/>
      </w:pPr>
    </w:p>
    <w:p>
      <w:pPr>
        <w:pStyle w:val="BodyText"/>
        <w:spacing w:line="477" w:lineRule="auto"/>
        <w:ind w:left="123" w:right="119" w:firstLine="707"/>
        <w:jc w:val="both"/>
      </w:pPr>
      <w:r>
        <w:rPr>
          <w:b/>
        </w:rPr>
        <w:t>Aislamiento bacteriológico. </w:t>
      </w:r>
      <w:r>
        <w:rPr/>
        <w:t>Se tomaron muestras a partir de branquias, bazo, hígado, riñón e intestino; éstas fueron tomadas asépticamente con ayuda de un mechero Bunsen y un asa bacteriológica, fueron sembradas en placas de agar GSP e incubadas durante toda la noche a 24 </w:t>
      </w:r>
      <w:r>
        <w:rPr>
          <w:position w:val="9"/>
          <w:sz w:val="16"/>
        </w:rPr>
        <w:t>±      </w:t>
      </w:r>
      <w:r>
        <w:rPr/>
        <w:t>2 °C. Se seleccionaron 90 colonias por grupo, como máximo para ser congeladas e identificadas posteriormente por pruebas moleculares (Castro-Escarpulli </w:t>
      </w:r>
      <w:r>
        <w:rPr>
          <w:i/>
        </w:rPr>
        <w:t>et al</w:t>
      </w:r>
      <w:r>
        <w:rPr/>
        <w:t>.,</w:t>
      </w:r>
      <w:r>
        <w:rPr>
          <w:spacing w:val="-7"/>
        </w:rPr>
        <w:t> </w:t>
      </w:r>
      <w:r>
        <w:rPr/>
        <w:t>2003).</w:t>
      </w:r>
    </w:p>
    <w:p>
      <w:pPr>
        <w:pStyle w:val="BodyText"/>
      </w:pPr>
    </w:p>
    <w:p>
      <w:pPr>
        <w:pStyle w:val="BodyText"/>
        <w:spacing w:before="1"/>
        <w:rPr>
          <w:sz w:val="25"/>
        </w:rPr>
      </w:pPr>
    </w:p>
    <w:p>
      <w:pPr>
        <w:pStyle w:val="BodyText"/>
        <w:spacing w:line="480" w:lineRule="auto"/>
        <w:ind w:left="123" w:right="120" w:firstLine="707"/>
        <w:jc w:val="both"/>
      </w:pPr>
      <w:r>
        <w:rPr>
          <w:b/>
        </w:rPr>
        <w:t>Histopatología. </w:t>
      </w:r>
      <w:r>
        <w:rPr/>
        <w:t>Los tejidos fueron colocados en formaldehído al 10% amortiguado a un pH de</w:t>
      </w:r>
      <w:r>
        <w:rPr>
          <w:spacing w:val="50"/>
        </w:rPr>
        <w:t> </w:t>
      </w:r>
      <w:r>
        <w:rPr/>
        <w:t>7.2,</w:t>
      </w:r>
      <w:r>
        <w:rPr>
          <w:spacing w:val="51"/>
        </w:rPr>
        <w:t> </w:t>
      </w:r>
      <w:r>
        <w:rPr/>
        <w:t>durante</w:t>
      </w:r>
      <w:r>
        <w:rPr>
          <w:spacing w:val="51"/>
        </w:rPr>
        <w:t> </w:t>
      </w:r>
      <w:r>
        <w:rPr/>
        <w:t>24</w:t>
      </w:r>
      <w:r>
        <w:rPr>
          <w:spacing w:val="51"/>
        </w:rPr>
        <w:t> </w:t>
      </w:r>
      <w:r>
        <w:rPr/>
        <w:t>hrs</w:t>
      </w:r>
      <w:r>
        <w:rPr>
          <w:spacing w:val="51"/>
        </w:rPr>
        <w:t> </w:t>
      </w:r>
      <w:r>
        <w:rPr/>
        <w:t>para su</w:t>
      </w:r>
      <w:r>
        <w:rPr>
          <w:spacing w:val="51"/>
        </w:rPr>
        <w:t> </w:t>
      </w:r>
      <w:r>
        <w:rPr/>
        <w:t>fijación.</w:t>
      </w:r>
      <w:r>
        <w:rPr>
          <w:spacing w:val="51"/>
        </w:rPr>
        <w:t> </w:t>
      </w:r>
      <w:r>
        <w:rPr/>
        <w:t>Posteriormente,</w:t>
      </w:r>
      <w:r>
        <w:rPr>
          <w:spacing w:val="50"/>
        </w:rPr>
        <w:t> </w:t>
      </w:r>
      <w:r>
        <w:rPr/>
        <w:t>éstos</w:t>
      </w:r>
      <w:r>
        <w:rPr>
          <w:spacing w:val="52"/>
        </w:rPr>
        <w:t> </w:t>
      </w:r>
      <w:r>
        <w:rPr/>
        <w:t>fueron</w:t>
      </w:r>
      <w:r>
        <w:rPr>
          <w:spacing w:val="50"/>
        </w:rPr>
        <w:t> </w:t>
      </w:r>
      <w:r>
        <w:rPr/>
        <w:t>cortados,</w:t>
      </w:r>
      <w:r>
        <w:rPr>
          <w:spacing w:val="51"/>
        </w:rPr>
        <w:t> </w:t>
      </w:r>
      <w:r>
        <w:rPr/>
        <w:t>deshidratados</w:t>
      </w:r>
      <w:r>
        <w:rPr>
          <w:spacing w:val="51"/>
        </w:rPr>
        <w:t> </w:t>
      </w:r>
      <w:r>
        <w:rPr/>
        <w:t>e</w:t>
      </w:r>
    </w:p>
    <w:p>
      <w:pPr>
        <w:spacing w:after="0" w:line="480" w:lineRule="auto"/>
        <w:jc w:val="both"/>
        <w:sectPr>
          <w:pgSz w:w="12240" w:h="15840"/>
          <w:pgMar w:header="0" w:footer="695" w:top="1080" w:bottom="940" w:left="1180" w:right="1180"/>
        </w:sectPr>
      </w:pPr>
    </w:p>
    <w:p>
      <w:pPr>
        <w:pStyle w:val="BodyText"/>
        <w:spacing w:line="480" w:lineRule="auto" w:before="44"/>
        <w:ind w:left="103" w:right="100"/>
        <w:jc w:val="both"/>
      </w:pPr>
      <w:r>
        <w:rPr/>
        <w:t>incluidos en parafina. Se realizaron cortes de 3 a 5 μm con ayuda de un micrótomo; éstos se montaron sobre un portaobjetos, para teñirse con la tinción de hematoxilina y eosina (HE). Cada sección fue examinada y fotografiada con un microscopio compuesto Nikon Eclipse 80i. Las lesiones histológicas fueron descritas y clasificadas con base a la siguiente escala: 0= sin cambios patológicos, 1= cambios patológicos leves, 2= cambios patológicos moderados y 3= cambios patológicos severos (Zepeda </w:t>
      </w:r>
      <w:r>
        <w:rPr>
          <w:i/>
        </w:rPr>
        <w:t>et al</w:t>
      </w:r>
      <w:r>
        <w:rPr/>
        <w:t>., 2010) (</w:t>
      </w:r>
      <w:r>
        <w:rPr>
          <w:b/>
        </w:rPr>
        <w:t>Cuadro 3</w:t>
      </w:r>
      <w:r>
        <w:rPr/>
        <w:t>).</w:t>
      </w:r>
    </w:p>
    <w:p>
      <w:pPr>
        <w:spacing w:after="0" w:line="480" w:lineRule="auto"/>
        <w:jc w:val="both"/>
        <w:sectPr>
          <w:pgSz w:w="12240" w:h="15840"/>
          <w:pgMar w:header="0" w:footer="695" w:top="1080" w:bottom="940" w:left="1200" w:right="1200"/>
        </w:sectPr>
      </w:pPr>
    </w:p>
    <w:p>
      <w:pPr>
        <w:pStyle w:val="BodyText"/>
        <w:tabs>
          <w:tab w:pos="6432" w:val="left" w:leader="none"/>
        </w:tabs>
        <w:spacing w:before="44"/>
        <w:ind w:left="203"/>
      </w:pPr>
      <w:r>
        <w:rPr>
          <w:b/>
        </w:rPr>
        <w:t>Cuadro  3.  </w:t>
      </w:r>
      <w:r>
        <w:rPr/>
        <w:t>Registro  de  lesiones  histológicas</w:t>
      </w:r>
      <w:r>
        <w:rPr>
          <w:spacing w:val="47"/>
        </w:rPr>
        <w:t> </w:t>
      </w:r>
      <w:r>
        <w:rPr/>
        <w:t>en</w:t>
      </w:r>
      <w:r>
        <w:rPr>
          <w:spacing w:val="56"/>
        </w:rPr>
        <w:t> </w:t>
      </w:r>
      <w:r>
        <w:rPr/>
        <w:t>individuos</w:t>
        <w:tab/>
        <w:t>infectados  experimentalmente</w:t>
      </w:r>
      <w:r>
        <w:rPr>
          <w:spacing w:val="48"/>
        </w:rPr>
        <w:t> </w:t>
      </w:r>
      <w:r>
        <w:rPr/>
        <w:t>con</w:t>
      </w:r>
    </w:p>
    <w:p>
      <w:pPr>
        <w:pStyle w:val="BodyText"/>
      </w:pPr>
    </w:p>
    <w:p>
      <w:pPr>
        <w:spacing w:before="0"/>
        <w:ind w:left="203" w:right="0" w:firstLine="0"/>
        <w:jc w:val="left"/>
        <w:rPr>
          <w:sz w:val="24"/>
        </w:rPr>
      </w:pPr>
      <w:r>
        <w:rPr>
          <w:i/>
          <w:sz w:val="24"/>
        </w:rPr>
        <w:t>Aeromonas </w:t>
      </w:r>
      <w:r>
        <w:rPr>
          <w:sz w:val="24"/>
        </w:rPr>
        <w:t>spp., durante el periodo experimental.</w:t>
      </w:r>
    </w:p>
    <w:p>
      <w:pPr>
        <w:pStyle w:val="BodyText"/>
        <w:rPr>
          <w:sz w:val="20"/>
        </w:rPr>
      </w:pPr>
    </w:p>
    <w:p>
      <w:pPr>
        <w:pStyle w:val="BodyText"/>
        <w:spacing w:before="1"/>
        <w:rPr>
          <w:sz w:val="14"/>
        </w:rPr>
      </w:pPr>
      <w:r>
        <w:rPr/>
        <w:drawing>
          <wp:anchor distT="0" distB="0" distL="0" distR="0" allowOverlap="1" layoutInCell="1" locked="0" behindDoc="0" simplePos="0" relativeHeight="1120">
            <wp:simplePos x="0" y="0"/>
            <wp:positionH relativeFrom="page">
              <wp:posOffset>770890</wp:posOffset>
            </wp:positionH>
            <wp:positionV relativeFrom="paragraph">
              <wp:posOffset>128210</wp:posOffset>
            </wp:positionV>
            <wp:extent cx="6049854" cy="6790563"/>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6049854" cy="6790563"/>
                    </a:xfrm>
                    <a:prstGeom prst="rect">
                      <a:avLst/>
                    </a:prstGeom>
                  </pic:spPr>
                </pic:pic>
              </a:graphicData>
            </a:graphic>
          </wp:anchor>
        </w:drawing>
      </w:r>
    </w:p>
    <w:p>
      <w:pPr>
        <w:spacing w:after="0"/>
        <w:rPr>
          <w:sz w:val="14"/>
        </w:rPr>
        <w:sectPr>
          <w:pgSz w:w="12240" w:h="15840"/>
          <w:pgMar w:header="0" w:footer="695" w:top="1080" w:bottom="940" w:left="1100" w:right="1200"/>
        </w:sectPr>
      </w:pPr>
    </w:p>
    <w:p>
      <w:pPr>
        <w:pStyle w:val="BodyText"/>
        <w:spacing w:line="480" w:lineRule="auto" w:before="44"/>
        <w:ind w:left="103" w:right="101" w:firstLine="707"/>
        <w:jc w:val="both"/>
      </w:pPr>
      <w:r>
        <w:rPr>
          <w:b/>
        </w:rPr>
        <w:t>ERIC-PCR. </w:t>
      </w:r>
      <w:r>
        <w:rPr/>
        <w:t>Se realizó la prueba de reacción en cadena de la polimerasa del consenso intergénico de secuencias repetitivas de enterobacterias (ERIC-PCR). Los aislamientos fueron sometidos a esta prueba para determinar la clonalidad. Se emplearon los siguientes primers: ERIC 1R (5'-ATG TAA GCT CCTGGGGAT TCA C-3') y ERIC 2 (5'-AAG TAA GTG ACTGGGGTG</w:t>
      </w:r>
    </w:p>
    <w:p>
      <w:pPr>
        <w:pStyle w:val="BodyText"/>
        <w:spacing w:line="480" w:lineRule="auto" w:before="10"/>
        <w:ind w:left="103" w:right="104"/>
        <w:jc w:val="both"/>
      </w:pPr>
      <w:r>
        <w:rPr/>
        <w:t>AGC G-3') (Szczuka y Kaznowski, 2004). La mezcla de reacción consiste en 4µl de 10x buffer [750mMTris-HCl (pH 8.8), 200mM (NH4)2SO4, 0.1% Tween 20], 250 µM de concentración de cada dNTP, 50 pmol del primer ERIC 1R, 50 pmol del primer ERIC 2, 3.75 mM MgCl2, 100 ng de DNA y 2 U de Taq polymerase (MBI Fermentas), ajustado a un volumen final de 25 µl de agua estéril. Las condiciones de la PCR fueron: desnaturalización durante 7´ a 95 °C seguido de 30 ciclos de desnaturalización durante 30´´ a 90° C, alineación durante 1´ a 52° C, extensión durante 8´a 65° C y una extensión final de 16´ a 65° C (Szczuka y Kaznowski, 2004).</w:t>
      </w:r>
    </w:p>
    <w:p>
      <w:pPr>
        <w:pStyle w:val="BodyText"/>
      </w:pPr>
    </w:p>
    <w:p>
      <w:pPr>
        <w:pStyle w:val="BodyText"/>
        <w:spacing w:before="10"/>
      </w:pPr>
    </w:p>
    <w:p>
      <w:pPr>
        <w:pStyle w:val="BodyText"/>
        <w:spacing w:line="480" w:lineRule="auto"/>
        <w:ind w:left="103" w:right="101" w:firstLine="707"/>
        <w:jc w:val="both"/>
      </w:pPr>
      <w:r>
        <w:rPr>
          <w:b/>
        </w:rPr>
        <w:t>Análisis estadístico. </w:t>
      </w:r>
      <w:r>
        <w:rPr/>
        <w:t>Los porcentajes de los resultados obtenidos de los aislamientos y las lesiones histopatológicas observadas, fueron analizados mediante la prueba de Chi cuadrado con una probabilidad de P ˂ 0.05 para determinar si existen diferencias significativas en los grupos infectados con las diferentes especies de </w:t>
      </w:r>
      <w:r>
        <w:rPr>
          <w:i/>
        </w:rPr>
        <w:t>Aeromonas</w:t>
      </w:r>
      <w:r>
        <w:rPr/>
        <w:t>; y la prueba de comparación múltiple tipo Tukey para determinar entre qué grupos existen diferencias (Nordgreen </w:t>
      </w:r>
      <w:r>
        <w:rPr>
          <w:i/>
        </w:rPr>
        <w:t>et al</w:t>
      </w:r>
      <w:r>
        <w:rPr/>
        <w:t>., 2014.) Se empleó la prueba de Kaplan-Meier para comparar la supervivencia de los grupos, asimismo se empleó la prueba de Wilcoxon para compararlos; los datos fueron analizados por medio del programa estadístico </w:t>
      </w:r>
      <w:r>
        <w:rPr>
          <w:spacing w:val="-2"/>
        </w:rPr>
        <w:t>IBM </w:t>
      </w:r>
      <w:r>
        <w:rPr/>
        <w:t>SPSS Statistics 21 (Zar,</w:t>
      </w:r>
      <w:r>
        <w:rPr>
          <w:spacing w:val="-3"/>
        </w:rPr>
        <w:t> </w:t>
      </w:r>
      <w:r>
        <w:rPr/>
        <w:t>1999)</w:t>
      </w:r>
    </w:p>
    <w:p>
      <w:pPr>
        <w:spacing w:after="0" w:line="480" w:lineRule="auto"/>
        <w:jc w:val="both"/>
        <w:sectPr>
          <w:pgSz w:w="12240" w:h="15840"/>
          <w:pgMar w:header="0" w:footer="695" w:top="1080" w:bottom="940" w:left="1200" w:right="1200"/>
        </w:sectPr>
      </w:pPr>
    </w:p>
    <w:p>
      <w:pPr>
        <w:pStyle w:val="Heading1"/>
        <w:ind w:right="59"/>
      </w:pPr>
      <w:r>
        <w:rPr/>
        <w:t>RESULTADOS</w:t>
      </w:r>
    </w:p>
    <w:p>
      <w:pPr>
        <w:pStyle w:val="BodyText"/>
        <w:spacing w:before="7"/>
        <w:rPr>
          <w:b/>
          <w:sz w:val="23"/>
        </w:rPr>
      </w:pPr>
    </w:p>
    <w:p>
      <w:pPr>
        <w:pStyle w:val="BodyText"/>
        <w:ind w:left="463" w:right="59"/>
      </w:pPr>
      <w:r>
        <w:rPr>
          <w:b/>
        </w:rPr>
        <w:t>a)  </w:t>
      </w:r>
      <w:r>
        <w:rPr/>
        <w:t>Artículo publicado</w:t>
      </w:r>
    </w:p>
    <w:p>
      <w:pPr>
        <w:pStyle w:val="BodyText"/>
      </w:pPr>
    </w:p>
    <w:p>
      <w:pPr>
        <w:pStyle w:val="BodyText"/>
      </w:pPr>
    </w:p>
    <w:p>
      <w:pPr>
        <w:pStyle w:val="BodyText"/>
        <w:spacing w:before="4"/>
      </w:pPr>
    </w:p>
    <w:p>
      <w:pPr>
        <w:pStyle w:val="Heading1"/>
        <w:spacing w:before="1"/>
        <w:ind w:left="811" w:right="59"/>
      </w:pPr>
      <w:r>
        <w:rPr/>
        <w:t>CANADIAN JOURNAL OF VETERINARY RESEARCH</w:t>
      </w:r>
    </w:p>
    <w:p>
      <w:pPr>
        <w:pStyle w:val="BodyText"/>
        <w:rPr>
          <w:b/>
          <w:sz w:val="20"/>
        </w:rPr>
      </w:pPr>
    </w:p>
    <w:p>
      <w:pPr>
        <w:pStyle w:val="BodyText"/>
        <w:rPr>
          <w:b/>
          <w:sz w:val="20"/>
        </w:rPr>
      </w:pPr>
    </w:p>
    <w:p>
      <w:pPr>
        <w:pStyle w:val="BodyText"/>
        <w:spacing w:before="5"/>
        <w:rPr>
          <w:b/>
          <w:sz w:val="25"/>
        </w:rPr>
      </w:pPr>
      <w:r>
        <w:rPr/>
        <w:drawing>
          <wp:anchor distT="0" distB="0" distL="0" distR="0" allowOverlap="1" layoutInCell="1" locked="0" behindDoc="0" simplePos="0" relativeHeight="1144">
            <wp:simplePos x="0" y="0"/>
            <wp:positionH relativeFrom="page">
              <wp:posOffset>3213735</wp:posOffset>
            </wp:positionH>
            <wp:positionV relativeFrom="paragraph">
              <wp:posOffset>210899</wp:posOffset>
            </wp:positionV>
            <wp:extent cx="1593984" cy="2105405"/>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8" cstate="print"/>
                    <a:stretch>
                      <a:fillRect/>
                    </a:stretch>
                  </pic:blipFill>
                  <pic:spPr>
                    <a:xfrm>
                      <a:off x="0" y="0"/>
                      <a:ext cx="1593984" cy="2105405"/>
                    </a:xfrm>
                    <a:prstGeom prst="rect">
                      <a:avLst/>
                    </a:prstGeom>
                  </pic:spPr>
                </pic:pic>
              </a:graphicData>
            </a:graphic>
          </wp:anchor>
        </w:drawing>
      </w:r>
    </w:p>
    <w:p>
      <w:pPr>
        <w:pStyle w:val="BodyText"/>
        <w:rPr>
          <w:b/>
        </w:rPr>
      </w:pPr>
    </w:p>
    <w:p>
      <w:pPr>
        <w:pStyle w:val="BodyText"/>
        <w:rPr>
          <w:b/>
        </w:rPr>
      </w:pPr>
    </w:p>
    <w:p>
      <w:pPr>
        <w:pStyle w:val="BodyText"/>
        <w:rPr>
          <w:b/>
        </w:rPr>
      </w:pPr>
    </w:p>
    <w:p>
      <w:pPr>
        <w:pStyle w:val="BodyText"/>
        <w:spacing w:before="11"/>
        <w:rPr>
          <w:b/>
          <w:sz w:val="23"/>
        </w:rPr>
      </w:pPr>
    </w:p>
    <w:p>
      <w:pPr>
        <w:pStyle w:val="BodyText"/>
        <w:spacing w:line="480" w:lineRule="auto"/>
        <w:ind w:left="103" w:right="98" w:firstLine="707"/>
        <w:jc w:val="both"/>
      </w:pPr>
      <w:r>
        <w:rPr/>
        <w:t>Canadian Journal of Veterinary Research es una revista científica internacional, que es publicada por la Asociación Canadiense de Medicina Veterinaria, publica resultados de investigaciones originales en la medicina veterinaria que incluyen temas de anatomía, fisiología, bioquímica, farmacología, microbiología, inmunología, patología, epidemiología y las ciencias clínicas.</w:t>
      </w:r>
    </w:p>
    <w:p>
      <w:pPr>
        <w:pStyle w:val="BodyText"/>
      </w:pPr>
    </w:p>
    <w:p>
      <w:pPr>
        <w:pStyle w:val="BodyText"/>
        <w:spacing w:before="10"/>
      </w:pPr>
    </w:p>
    <w:p>
      <w:pPr>
        <w:pStyle w:val="BodyText"/>
        <w:spacing w:before="1"/>
        <w:ind w:left="811" w:right="59"/>
      </w:pPr>
      <w:r>
        <w:rPr/>
        <w:t>Factor de impacto 0.85</w:t>
      </w:r>
    </w:p>
    <w:p>
      <w:pPr>
        <w:pStyle w:val="BodyText"/>
      </w:pPr>
    </w:p>
    <w:p>
      <w:pPr>
        <w:pStyle w:val="BodyText"/>
        <w:ind w:left="811" w:right="59"/>
      </w:pPr>
      <w:r>
        <w:rPr/>
        <w:t>Factor de impacto en 5 años 1.46</w:t>
      </w:r>
    </w:p>
    <w:p>
      <w:pPr>
        <w:spacing w:after="0"/>
        <w:sectPr>
          <w:pgSz w:w="12240" w:h="15840"/>
          <w:pgMar w:header="0" w:footer="695" w:top="1080" w:bottom="940" w:left="1200" w:right="1200"/>
        </w:sectPr>
      </w:pPr>
    </w:p>
    <w:p>
      <w:pPr>
        <w:pStyle w:val="BodyText"/>
        <w:ind w:left="106"/>
        <w:rPr>
          <w:sz w:val="20"/>
        </w:rPr>
      </w:pPr>
      <w:r>
        <w:rPr>
          <w:sz w:val="20"/>
        </w:rPr>
        <w:drawing>
          <wp:inline distT="0" distB="0" distL="0" distR="0">
            <wp:extent cx="6032594" cy="8212359"/>
            <wp:effectExtent l="0" t="0" r="0" b="0"/>
            <wp:docPr id="7" name="image4.png" descr=""/>
            <wp:cNvGraphicFramePr>
              <a:graphicFrameLocks noChangeAspect="1"/>
            </wp:cNvGraphicFramePr>
            <a:graphic>
              <a:graphicData uri="http://schemas.openxmlformats.org/drawingml/2006/picture">
                <pic:pic>
                  <pic:nvPicPr>
                    <pic:cNvPr id="8" name="image4.png"/>
                    <pic:cNvPicPr/>
                  </pic:nvPicPr>
                  <pic:blipFill>
                    <a:blip r:embed="rId9" cstate="print"/>
                    <a:stretch>
                      <a:fillRect/>
                    </a:stretch>
                  </pic:blipFill>
                  <pic:spPr>
                    <a:xfrm>
                      <a:off x="0" y="0"/>
                      <a:ext cx="6032594" cy="8212359"/>
                    </a:xfrm>
                    <a:prstGeom prst="rect">
                      <a:avLst/>
                    </a:prstGeom>
                  </pic:spPr>
                </pic:pic>
              </a:graphicData>
            </a:graphic>
          </wp:inline>
        </w:drawing>
      </w:r>
      <w:r>
        <w:rPr>
          <w:sz w:val="20"/>
        </w:rPr>
      </w:r>
    </w:p>
    <w:p>
      <w:pPr>
        <w:spacing w:after="0"/>
        <w:rPr>
          <w:sz w:val="20"/>
        </w:rPr>
        <w:sectPr>
          <w:pgSz w:w="12240" w:h="15840"/>
          <w:pgMar w:header="0" w:footer="695" w:top="940" w:bottom="880" w:left="1260" w:right="1180"/>
        </w:sectPr>
      </w:pPr>
    </w:p>
    <w:p>
      <w:pPr>
        <w:pStyle w:val="BodyText"/>
        <w:spacing w:before="44"/>
        <w:ind w:left="103"/>
        <w:jc w:val="both"/>
      </w:pPr>
      <w:r>
        <w:rPr/>
        <w:t>Short communications</w:t>
      </w:r>
    </w:p>
    <w:p>
      <w:pPr>
        <w:pStyle w:val="BodyText"/>
      </w:pPr>
    </w:p>
    <w:p>
      <w:pPr>
        <w:pStyle w:val="BodyText"/>
      </w:pPr>
    </w:p>
    <w:p>
      <w:pPr>
        <w:pStyle w:val="BodyText"/>
        <w:spacing w:before="5"/>
      </w:pPr>
    </w:p>
    <w:p>
      <w:pPr>
        <w:spacing w:line="480" w:lineRule="auto" w:before="0"/>
        <w:ind w:left="103" w:right="102" w:firstLine="0"/>
        <w:jc w:val="both"/>
        <w:rPr>
          <w:b/>
          <w:sz w:val="24"/>
        </w:rPr>
      </w:pPr>
      <w:r>
        <w:rPr>
          <w:b/>
          <w:sz w:val="24"/>
        </w:rPr>
        <w:t>Histopathological findings in farmed rainbow trout (</w:t>
      </w:r>
      <w:r>
        <w:rPr>
          <w:b/>
          <w:i/>
          <w:sz w:val="24"/>
        </w:rPr>
        <w:t>Oncorhynchus mykiss</w:t>
      </w:r>
      <w:r>
        <w:rPr>
          <w:b/>
          <w:sz w:val="24"/>
        </w:rPr>
        <w:t>) naturally infected with 3 different </w:t>
      </w:r>
      <w:r>
        <w:rPr>
          <w:b/>
          <w:i/>
          <w:sz w:val="24"/>
        </w:rPr>
        <w:t>Aeromonas </w:t>
      </w:r>
      <w:r>
        <w:rPr>
          <w:b/>
          <w:sz w:val="24"/>
        </w:rPr>
        <w:t>species</w:t>
      </w:r>
    </w:p>
    <w:p>
      <w:pPr>
        <w:pStyle w:val="BodyText"/>
        <w:rPr>
          <w:b/>
        </w:rPr>
      </w:pPr>
    </w:p>
    <w:p>
      <w:pPr>
        <w:pStyle w:val="BodyText"/>
        <w:spacing w:before="1"/>
        <w:rPr>
          <w:b/>
          <w:sz w:val="23"/>
        </w:rPr>
      </w:pPr>
    </w:p>
    <w:p>
      <w:pPr>
        <w:pStyle w:val="BodyText"/>
        <w:spacing w:line="465" w:lineRule="auto"/>
        <w:ind w:left="103" w:right="103"/>
        <w:jc w:val="both"/>
        <w:rPr>
          <w:sz w:val="16"/>
        </w:rPr>
      </w:pPr>
      <w:r>
        <w:rPr/>
        <w:t>Andrea Paloma Zepeda-Velázquez</w:t>
      </w:r>
      <w:r>
        <w:rPr>
          <w:position w:val="9"/>
          <w:sz w:val="16"/>
        </w:rPr>
        <w:t>1</w:t>
      </w:r>
      <w:r>
        <w:rPr/>
        <w:t>, Vicente Vega-Sánchez</w:t>
      </w:r>
      <w:r>
        <w:rPr>
          <w:position w:val="9"/>
          <w:sz w:val="16"/>
        </w:rPr>
        <w:t>1</w:t>
      </w:r>
      <w:r>
        <w:rPr/>
        <w:t>, Celene Salgado-Miranda</w:t>
      </w:r>
      <w:r>
        <w:rPr>
          <w:position w:val="9"/>
          <w:sz w:val="16"/>
        </w:rPr>
        <w:t>1</w:t>
      </w:r>
      <w:r>
        <w:rPr/>
        <w:t>, Edgardo Soriano-Vargas</w:t>
      </w:r>
      <w:r>
        <w:rPr>
          <w:position w:val="9"/>
          <w:sz w:val="16"/>
        </w:rPr>
        <w:t>1*</w:t>
      </w:r>
    </w:p>
    <w:p>
      <w:pPr>
        <w:pStyle w:val="BodyText"/>
        <w:rPr>
          <w:sz w:val="26"/>
        </w:rPr>
      </w:pPr>
    </w:p>
    <w:p>
      <w:pPr>
        <w:pStyle w:val="BodyText"/>
        <w:spacing w:before="5"/>
        <w:rPr>
          <w:sz w:val="21"/>
        </w:rPr>
      </w:pPr>
    </w:p>
    <w:p>
      <w:pPr>
        <w:pStyle w:val="BodyText"/>
        <w:spacing w:line="480" w:lineRule="auto"/>
        <w:ind w:left="103" w:right="107"/>
        <w:jc w:val="both"/>
      </w:pPr>
      <w:r>
        <w:rPr>
          <w:position w:val="9"/>
          <w:sz w:val="16"/>
        </w:rPr>
        <w:t>1</w:t>
      </w:r>
      <w:r>
        <w:rPr/>
        <w:t>Centro de Investigación y Estudios Avanzados en Salud Animal, Facultad de Medicina Veterinaria y Zootecnia, Universidad Autónoma del Estado de México, México.</w:t>
      </w:r>
    </w:p>
    <w:p>
      <w:pPr>
        <w:pStyle w:val="BodyText"/>
      </w:pPr>
    </w:p>
    <w:p>
      <w:pPr>
        <w:pStyle w:val="BodyText"/>
      </w:pPr>
    </w:p>
    <w:p>
      <w:pPr>
        <w:pStyle w:val="BodyText"/>
      </w:pPr>
    </w:p>
    <w:p>
      <w:pPr>
        <w:pStyle w:val="BodyText"/>
        <w:spacing w:before="10"/>
      </w:pPr>
    </w:p>
    <w:p>
      <w:pPr>
        <w:pStyle w:val="BodyText"/>
        <w:ind w:left="103"/>
        <w:jc w:val="both"/>
      </w:pPr>
      <w:r>
        <w:rPr/>
        <w:t>Running title: Pathology in trout infected with </w:t>
      </w:r>
      <w:r>
        <w:rPr>
          <w:i/>
        </w:rPr>
        <w:t>Aeromonas </w:t>
      </w:r>
      <w:r>
        <w:rPr/>
        <w:t>species.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ind w:left="103"/>
        <w:jc w:val="both"/>
      </w:pPr>
      <w:r>
        <w:rPr/>
        <w:t>*Corresponding author: Edgardo Soriano-Vargas.</w:t>
      </w:r>
    </w:p>
    <w:p>
      <w:pPr>
        <w:pStyle w:val="BodyText"/>
      </w:pPr>
    </w:p>
    <w:p>
      <w:pPr>
        <w:pStyle w:val="BodyText"/>
        <w:spacing w:line="480" w:lineRule="auto"/>
        <w:ind w:left="103" w:right="101"/>
        <w:jc w:val="both"/>
      </w:pPr>
      <w:r>
        <w:rPr/>
        <w:t>Centro de Investigación y Estudios Avanzados en Salud Animal, Facultad de Medicina Veterinaria y Zootecnia, Universidad Autónoma del Estado de México, Toluca 50200, México. Phone/Fax: +  52 (722) 2965555; e-mai</w:t>
      </w:r>
      <w:hyperlink r:id="rId10">
        <w:r>
          <w:rPr/>
          <w:t>l:</w:t>
        </w:r>
        <w:r>
          <w:rPr>
            <w:spacing w:val="-4"/>
          </w:rPr>
          <w:t> </w:t>
        </w:r>
        <w:r>
          <w:rPr/>
          <w:t>soriano@uaemex.mx</w:t>
        </w:r>
      </w:hyperlink>
    </w:p>
    <w:p>
      <w:pPr>
        <w:spacing w:after="0" w:line="480" w:lineRule="auto"/>
        <w:jc w:val="both"/>
        <w:sectPr>
          <w:pgSz w:w="12240" w:h="15840"/>
          <w:pgMar w:header="0" w:footer="695" w:top="1080" w:bottom="880" w:left="1200" w:right="1200"/>
        </w:sectPr>
      </w:pPr>
    </w:p>
    <w:p>
      <w:pPr>
        <w:pStyle w:val="Heading1"/>
        <w:ind w:right="59"/>
      </w:pPr>
      <w:r>
        <w:rPr/>
        <w:t>ABSTRACT</w:t>
      </w:r>
    </w:p>
    <w:p>
      <w:pPr>
        <w:pStyle w:val="BodyText"/>
        <w:rPr>
          <w:b/>
        </w:rPr>
      </w:pPr>
    </w:p>
    <w:p>
      <w:pPr>
        <w:pStyle w:val="BodyText"/>
        <w:rPr>
          <w:b/>
        </w:rPr>
      </w:pPr>
    </w:p>
    <w:p>
      <w:pPr>
        <w:pStyle w:val="BodyText"/>
        <w:spacing w:before="7"/>
        <w:rPr>
          <w:b/>
          <w:sz w:val="23"/>
        </w:rPr>
      </w:pPr>
    </w:p>
    <w:p>
      <w:pPr>
        <w:pStyle w:val="BodyText"/>
        <w:spacing w:line="480" w:lineRule="auto"/>
        <w:ind w:left="103" w:right="99" w:firstLine="719"/>
        <w:jc w:val="both"/>
      </w:pPr>
      <w:r>
        <w:rPr/>
        <w:t>This study describes the macroscopic and microscopic lesions in farmed trout (</w:t>
      </w:r>
      <w:r>
        <w:rPr>
          <w:i/>
        </w:rPr>
        <w:t>Oncorhynchus mykiss</w:t>
      </w:r>
      <w:r>
        <w:rPr/>
        <w:t>) naturally infected with genetically identified </w:t>
      </w:r>
      <w:r>
        <w:rPr>
          <w:i/>
        </w:rPr>
        <w:t>Aeromonas salmonicida</w:t>
      </w:r>
      <w:r>
        <w:rPr/>
        <w:t>, </w:t>
      </w:r>
      <w:r>
        <w:rPr>
          <w:i/>
        </w:rPr>
        <w:t>A</w:t>
      </w:r>
      <w:r>
        <w:rPr/>
        <w:t>. </w:t>
      </w:r>
      <w:r>
        <w:rPr>
          <w:i/>
        </w:rPr>
        <w:t>hydrophila</w:t>
      </w:r>
      <w:r>
        <w:rPr/>
        <w:t>, and </w:t>
      </w:r>
      <w:r>
        <w:rPr>
          <w:i/>
        </w:rPr>
        <w:t>A</w:t>
      </w:r>
      <w:r>
        <w:rPr/>
        <w:t>. </w:t>
      </w:r>
      <w:r>
        <w:rPr>
          <w:i/>
        </w:rPr>
        <w:t>veronii </w:t>
      </w:r>
      <w:r>
        <w:rPr/>
        <w:t>species. The genus </w:t>
      </w:r>
      <w:r>
        <w:rPr>
          <w:i/>
        </w:rPr>
        <w:t>Aeromonas </w:t>
      </w:r>
      <w:r>
        <w:rPr/>
        <w:t>includes bacteria that naturally inhabit both waterways and organisms. At least 27 </w:t>
      </w:r>
      <w:r>
        <w:rPr>
          <w:i/>
        </w:rPr>
        <w:t>Aeromonas </w:t>
      </w:r>
      <w:r>
        <w:rPr/>
        <w:t>species have been identified to date, some of which can cause significant economic losses in aquaculture. As up to 68.8% of </w:t>
      </w:r>
      <w:r>
        <w:rPr>
          <w:i/>
        </w:rPr>
        <w:t>Aeromonas </w:t>
      </w:r>
      <w:r>
        <w:rPr/>
        <w:t>isolates may be misidentified in routine biochemical and phenotypic test, however, reported cases of </w:t>
      </w:r>
      <w:r>
        <w:rPr>
          <w:i/>
        </w:rPr>
        <w:t>Aeromonas </w:t>
      </w:r>
      <w:r>
        <w:rPr/>
        <w:t>infection in fish may be wrongly identified. Our findings confirmed that the </w:t>
      </w:r>
      <w:r>
        <w:rPr>
          <w:i/>
        </w:rPr>
        <w:t>Aeromonas </w:t>
      </w:r>
      <w:r>
        <w:rPr/>
        <w:t>species studied are associated with septicaemia and dermal lesion in rainbow trout.</w:t>
      </w:r>
    </w:p>
    <w:p>
      <w:pPr>
        <w:pStyle w:val="BodyText"/>
      </w:pPr>
    </w:p>
    <w:p>
      <w:pPr>
        <w:pStyle w:val="BodyText"/>
        <w:spacing w:before="10"/>
      </w:pPr>
    </w:p>
    <w:p>
      <w:pPr>
        <w:pStyle w:val="BodyText"/>
        <w:ind w:left="103" w:right="59"/>
      </w:pPr>
      <w:r>
        <w:rPr/>
        <w:t>KEY WORDS: </w:t>
      </w:r>
      <w:r>
        <w:rPr>
          <w:i/>
        </w:rPr>
        <w:t>Aeromonas</w:t>
      </w:r>
      <w:r>
        <w:rPr/>
        <w:t>, species, rainbow trout, Mexico.</w:t>
      </w:r>
    </w:p>
    <w:p>
      <w:pPr>
        <w:spacing w:after="0"/>
        <w:sectPr>
          <w:pgSz w:w="12240" w:h="15840"/>
          <w:pgMar w:header="0" w:footer="695" w:top="1080" w:bottom="940" w:left="1200" w:right="1200"/>
        </w:sectPr>
      </w:pPr>
    </w:p>
    <w:p>
      <w:pPr>
        <w:pStyle w:val="BodyText"/>
        <w:spacing w:line="480" w:lineRule="auto" w:before="44"/>
        <w:ind w:left="103" w:right="100" w:firstLine="719"/>
        <w:jc w:val="both"/>
      </w:pPr>
      <w:r>
        <w:rPr/>
        <w:t>The genus </w:t>
      </w:r>
      <w:r>
        <w:rPr>
          <w:i/>
        </w:rPr>
        <w:t>Aeromonas </w:t>
      </w:r>
      <w:r>
        <w:rPr/>
        <w:t>of the family </w:t>
      </w:r>
      <w:r>
        <w:rPr>
          <w:i/>
        </w:rPr>
        <w:t>Aeromonadaceae </w:t>
      </w:r>
      <w:r>
        <w:rPr/>
        <w:t>include pathogenic bacteria to fish and other animal species. Also, </w:t>
      </w:r>
      <w:r>
        <w:rPr>
          <w:i/>
        </w:rPr>
        <w:t>Aeromonas </w:t>
      </w:r>
      <w:r>
        <w:rPr/>
        <w:t>bacteria are the etiologic agent responsible for a variety of infections in both immunocompetent and immunocompromised humans</w:t>
      </w:r>
      <w:r>
        <w:rPr>
          <w:spacing w:val="-10"/>
        </w:rPr>
        <w:t> </w:t>
      </w:r>
      <w:r>
        <w:rPr/>
        <w:t>(1).</w:t>
      </w:r>
    </w:p>
    <w:p>
      <w:pPr>
        <w:pStyle w:val="BodyText"/>
        <w:spacing w:line="480" w:lineRule="auto" w:before="10"/>
        <w:ind w:left="103" w:right="100" w:firstLine="719"/>
        <w:jc w:val="both"/>
      </w:pPr>
      <w:r>
        <w:rPr/>
        <w:t>In salmonids, </w:t>
      </w:r>
      <w:r>
        <w:rPr>
          <w:i/>
        </w:rPr>
        <w:t>A. salmonicida </w:t>
      </w:r>
      <w:r>
        <w:rPr/>
        <w:t>causes furunculosis, a disease characterized by skin ulcers and septicaemia. Other </w:t>
      </w:r>
      <w:r>
        <w:rPr>
          <w:i/>
        </w:rPr>
        <w:t>Aeromonas </w:t>
      </w:r>
      <w:r>
        <w:rPr/>
        <w:t>species are involved in similar pathological conditions (2). Usually, the diagnosis is based on the isolation of a Gram-negative, motile or non-motile bacterium, identified mainly by routine phenotypic and biochemical tests. Up to date, at least 27 species are genetically identified and recognized in the genus </w:t>
      </w:r>
      <w:r>
        <w:rPr>
          <w:i/>
        </w:rPr>
        <w:t>Aeromonas </w:t>
      </w:r>
      <w:r>
        <w:rPr/>
        <w:t>(3, 4, 5). When the phenotypic identification of </w:t>
      </w:r>
      <w:r>
        <w:rPr>
          <w:i/>
        </w:rPr>
        <w:t>Aeromonas </w:t>
      </w:r>
      <w:r>
        <w:rPr/>
        <w:t>isolates is compared to the genetic identification, 35.5% to 68.8% of trout isolates may be misidentified (6, 7). It is likely that some published reports of diseased salmonids, where </w:t>
      </w:r>
      <w:r>
        <w:rPr>
          <w:i/>
        </w:rPr>
        <w:t>Aeromonas </w:t>
      </w:r>
      <w:r>
        <w:rPr/>
        <w:t>was isolated and phenotypic identified, the species could be incorrectly identified. Hence, the aim of the current study was to describe the lesions observed in farmed rainbow trout naturally infected with three </w:t>
      </w:r>
      <w:r>
        <w:rPr>
          <w:i/>
        </w:rPr>
        <w:t>Aeromonas </w:t>
      </w:r>
      <w:r>
        <w:rPr/>
        <w:t>species, previously phenotypic and genetically identified (7,8).</w:t>
      </w:r>
    </w:p>
    <w:p>
      <w:pPr>
        <w:pStyle w:val="BodyText"/>
      </w:pPr>
    </w:p>
    <w:p>
      <w:pPr>
        <w:pStyle w:val="BodyText"/>
        <w:spacing w:before="10"/>
      </w:pPr>
    </w:p>
    <w:p>
      <w:pPr>
        <w:pStyle w:val="BodyText"/>
        <w:spacing w:line="480" w:lineRule="auto"/>
        <w:ind w:left="103" w:right="100" w:firstLine="719"/>
        <w:jc w:val="both"/>
      </w:pPr>
      <w:r>
        <w:rPr/>
        <w:t>History of clinical cases. Tissue samples from four farmed rainbow trout fish with lesions associated to </w:t>
      </w:r>
      <w:r>
        <w:rPr>
          <w:i/>
        </w:rPr>
        <w:t>Aeromonas </w:t>
      </w:r>
      <w:r>
        <w:rPr/>
        <w:t>infection were preserved in 10% neutral buffered formalin and processed, sectioned and stained for routine histological examination. In all cases, no other bacterial agents or infectious pancreatic necrosis virus were identified. All </w:t>
      </w:r>
      <w:r>
        <w:rPr>
          <w:i/>
        </w:rPr>
        <w:t>Aeromonas </w:t>
      </w:r>
      <w:r>
        <w:rPr/>
        <w:t>species were genetically identified (7, 8). Case 1: isolation of </w:t>
      </w:r>
      <w:r>
        <w:rPr>
          <w:i/>
        </w:rPr>
        <w:t>A. veronii</w:t>
      </w:r>
      <w:r>
        <w:rPr/>
        <w:t>. Two fish, 16 to 18 cm length, raised into a concrete pond with spring water from a farm in México State were studied. Dermal erosion with exposition of premaxilla bone tissue was observed in both fish (Figure 1a). Isolation of </w:t>
      </w:r>
      <w:r>
        <w:rPr>
          <w:i/>
        </w:rPr>
        <w:t>A. veronii </w:t>
      </w:r>
      <w:r>
        <w:rPr/>
        <w:t>was from gills of one fish and dermal lesion in the other fish. Case 2: isolation of </w:t>
      </w:r>
      <w:r>
        <w:rPr>
          <w:i/>
        </w:rPr>
        <w:t>A. salmonicida</w:t>
      </w:r>
      <w:r>
        <w:rPr/>
        <w:t>, motile</w:t>
      </w:r>
    </w:p>
    <w:p>
      <w:pPr>
        <w:spacing w:after="0" w:line="480" w:lineRule="auto"/>
        <w:jc w:val="both"/>
        <w:sectPr>
          <w:pgSz w:w="12240" w:h="15840"/>
          <w:pgMar w:header="0" w:footer="695" w:top="1080" w:bottom="940" w:left="1200" w:right="1200"/>
        </w:sectPr>
      </w:pPr>
    </w:p>
    <w:p>
      <w:pPr>
        <w:pStyle w:val="BodyText"/>
        <w:spacing w:line="480" w:lineRule="auto" w:before="44"/>
        <w:ind w:left="103" w:right="99"/>
        <w:jc w:val="both"/>
      </w:pPr>
      <w:r>
        <w:rPr/>
        <w:t>biovar. One fish, 17 cm length from a rustic pond with spring water from a farm located in Hidalgo State was studied. A 13-mm, circular ulcer located at the base of the right pelvic fin was observed (Figure 2a). The isolation of </w:t>
      </w:r>
      <w:r>
        <w:rPr>
          <w:i/>
        </w:rPr>
        <w:t>A. salmonicida </w:t>
      </w:r>
      <w:r>
        <w:rPr/>
        <w:t>was obtained from the lesion. Case 3: isolation of </w:t>
      </w:r>
      <w:r>
        <w:rPr>
          <w:i/>
        </w:rPr>
        <w:t>A. </w:t>
      </w:r>
      <w:r>
        <w:rPr>
          <w:i/>
        </w:rPr>
        <w:t>hydrophila</w:t>
      </w:r>
      <w:r>
        <w:rPr/>
        <w:t>. One fish, 18 cm length, from a rustic pond with spring water from a farm located in Michoacán State was studied. A circular dermal ulcer located at the base of the left ventral fin, 7 x 8 mm diameter, was observed. Petechias and desquamation around the affected area were observed (Figure 3a). Case 4: isolation of </w:t>
      </w:r>
      <w:r>
        <w:rPr>
          <w:i/>
        </w:rPr>
        <w:t>A. veronii</w:t>
      </w:r>
      <w:r>
        <w:rPr/>
        <w:t>. One fish, 16 cm length, from a rustic pond with river water from a farm located at the Hidalgo State was studied. A conspicuous epidermal erosion of the dorsal fin was observed. The isolation of </w:t>
      </w:r>
      <w:r>
        <w:rPr>
          <w:i/>
        </w:rPr>
        <w:t>A. veronii </w:t>
      </w:r>
      <w:r>
        <w:rPr/>
        <w:t>was carried out from the lesion, kidney, and liver.</w:t>
      </w:r>
    </w:p>
    <w:p>
      <w:pPr>
        <w:pStyle w:val="BodyText"/>
      </w:pPr>
    </w:p>
    <w:p>
      <w:pPr>
        <w:pStyle w:val="BodyText"/>
        <w:spacing w:before="10"/>
      </w:pPr>
    </w:p>
    <w:p>
      <w:pPr>
        <w:pStyle w:val="BodyText"/>
        <w:spacing w:line="480" w:lineRule="auto"/>
        <w:ind w:left="103" w:right="100" w:firstLine="719"/>
        <w:jc w:val="both"/>
      </w:pPr>
      <w:r>
        <w:rPr/>
        <w:t>Findings of cases. Case 1: At the histological study, a predominant macrophage infiltration with scattered neutrophils, edema, few melanomacrophage centers (MMC) and free-melanine in the limits of the epidermal lesion were observed (Figure 1b). In liver, severe hyperemia and haemorrhages in parenchyma (Figure 1c) with a few MMC were observed (Figure 1d). Bacterial rods resembling </w:t>
      </w:r>
      <w:r>
        <w:rPr>
          <w:i/>
        </w:rPr>
        <w:t>Aeromonas </w:t>
      </w:r>
      <w:r>
        <w:rPr/>
        <w:t>spp., perivascular located were observed. In kidney, a moderate interstitial MMC infiltration was observed (Figure 1e).</w:t>
      </w:r>
    </w:p>
    <w:p>
      <w:pPr>
        <w:pStyle w:val="BodyText"/>
        <w:spacing w:line="480" w:lineRule="auto" w:before="10"/>
        <w:ind w:left="103" w:right="100" w:firstLine="719"/>
        <w:jc w:val="both"/>
      </w:pPr>
      <w:r>
        <w:rPr/>
        <w:t>Case 2: At the histological study, a predominant macrophage infiltration, blood vessel capillary hyperemia and edema of the dermis were observed (Figure 2b). In liver, a slight lymphocyte infiltration in the periphery of the biliary ducts and moderate hepatocellular degeneration were observed (Figure 2c). In kidney, a slight interstitial infiltration of MMC was observed (Figure 2d).</w:t>
      </w:r>
    </w:p>
    <w:p>
      <w:pPr>
        <w:pStyle w:val="BodyText"/>
        <w:spacing w:before="10"/>
        <w:ind w:left="823" w:right="59"/>
      </w:pPr>
      <w:r>
        <w:rPr/>
        <w:t>Case 3:  At  the  epidermis,  histopathological  findings included inflammatory infiltration of</w:t>
      </w:r>
    </w:p>
    <w:p>
      <w:pPr>
        <w:spacing w:after="0"/>
        <w:sectPr>
          <w:pgSz w:w="12240" w:h="15840"/>
          <w:pgMar w:header="0" w:footer="695" w:top="1080" w:bottom="940" w:left="1200" w:right="1200"/>
        </w:sectPr>
      </w:pPr>
    </w:p>
    <w:p>
      <w:pPr>
        <w:pStyle w:val="BodyText"/>
        <w:spacing w:line="480" w:lineRule="auto" w:before="44"/>
        <w:ind w:left="103" w:right="106"/>
        <w:jc w:val="both"/>
      </w:pPr>
      <w:r>
        <w:rPr/>
        <w:t>macrophages predominantly and edema (Figure 3b). At the Gram staining of the same tissue, a bacterial rod resembling </w:t>
      </w:r>
      <w:r>
        <w:rPr>
          <w:i/>
        </w:rPr>
        <w:t>Aeromonas </w:t>
      </w:r>
      <w:r>
        <w:rPr/>
        <w:t>spp. was observed (Figure 3c). In liver, a centrolobulillar located, slight MMC infiltration, severe hepatocellular degeneration (Figure 3d) and slight lymphocyte infiltration centrolobulillar located were observed (Figure 3e). In kidney, a severe interstitial infiltration of MMC was observed (Figure 3f).</w:t>
      </w:r>
    </w:p>
    <w:p>
      <w:pPr>
        <w:pStyle w:val="BodyText"/>
        <w:spacing w:line="480" w:lineRule="auto" w:before="10"/>
        <w:ind w:left="103" w:right="109" w:firstLine="719"/>
        <w:jc w:val="both"/>
      </w:pPr>
      <w:r>
        <w:rPr/>
        <w:t>Case 4: At the histological study, inflammatory infiltration of neutrophils, macrophages and MMC were observed (Figure 4a). In liver, moderate centrolobullillar hyperemia, slight perivascular MMC infiltration and slight hepatocellular degeneration were observed (Figure 4b).</w:t>
      </w:r>
    </w:p>
    <w:p>
      <w:pPr>
        <w:pStyle w:val="BodyText"/>
        <w:spacing w:line="480" w:lineRule="auto" w:before="10"/>
        <w:ind w:left="103" w:right="102" w:firstLine="719"/>
        <w:jc w:val="both"/>
      </w:pPr>
      <w:r>
        <w:rPr/>
        <w:t>In all the studied fish, the histopathological findings in gills included hyperplasia of epithelial cells located at the base and epical portions, loss of normal architecture with different degrees of severity in multifocal areas, telangiectasia and edema. Observed lesions in gills may not be associated to </w:t>
      </w:r>
      <w:r>
        <w:rPr>
          <w:i/>
        </w:rPr>
        <w:t>Aeromonas </w:t>
      </w:r>
      <w:r>
        <w:rPr/>
        <w:t>infection, as other aquatic factors (for example, water quality and toxics) may produce similar lesions (9).</w:t>
      </w:r>
    </w:p>
    <w:p>
      <w:pPr>
        <w:pStyle w:val="BodyText"/>
        <w:spacing w:line="480" w:lineRule="auto" w:before="10"/>
        <w:ind w:left="103" w:right="99" w:firstLine="719"/>
        <w:jc w:val="both"/>
      </w:pPr>
      <w:r>
        <w:rPr/>
        <w:t>The histopathological findings of this study confirmed that several </w:t>
      </w:r>
      <w:r>
        <w:rPr>
          <w:i/>
        </w:rPr>
        <w:t>Aeromonas </w:t>
      </w:r>
      <w:r>
        <w:rPr/>
        <w:t>species are pathogenic to the rainbow trout. In general, dermal lesions are associated with the </w:t>
      </w:r>
      <w:r>
        <w:rPr>
          <w:i/>
        </w:rPr>
        <w:t>Aeromonas </w:t>
      </w:r>
      <w:r>
        <w:rPr/>
        <w:t>infection in fish (10, 11, 12, 13, 14). Particularly, the ulcer observed at the base of the pelvic fin in one fish (Figure 2a) with isolation of the motile biovar of </w:t>
      </w:r>
      <w:r>
        <w:rPr>
          <w:i/>
        </w:rPr>
        <w:t>A. salmonicida</w:t>
      </w:r>
      <w:r>
        <w:rPr/>
        <w:t>, appears a frequent lesion in the cases of furunculosis produced by this </w:t>
      </w:r>
      <w:r>
        <w:rPr>
          <w:i/>
        </w:rPr>
        <w:t>Aeromonas </w:t>
      </w:r>
      <w:r>
        <w:rPr/>
        <w:t>species (2). Similarly, vascular congestion and cytoplasmic vacuolization of hepatocytes in experimentally infected rainbow trout with </w:t>
      </w:r>
      <w:r>
        <w:rPr>
          <w:i/>
        </w:rPr>
        <w:t>A. </w:t>
      </w:r>
      <w:r>
        <w:rPr>
          <w:i/>
        </w:rPr>
        <w:t>salmonicida </w:t>
      </w:r>
      <w:r>
        <w:rPr/>
        <w:t>subsp. </w:t>
      </w:r>
      <w:r>
        <w:rPr>
          <w:i/>
        </w:rPr>
        <w:t>salmonicida </w:t>
      </w:r>
      <w:r>
        <w:rPr/>
        <w:t>have been reported (15). In the case 2 of present study, the inflammatory lesions observed in liver and kidney indicates a septicemic potential of the motile biovar of </w:t>
      </w:r>
      <w:r>
        <w:rPr>
          <w:i/>
        </w:rPr>
        <w:t>A. salmonicida</w:t>
      </w:r>
      <w:r>
        <w:rPr/>
        <w:t>. Also, the species </w:t>
      </w:r>
      <w:r>
        <w:rPr>
          <w:i/>
        </w:rPr>
        <w:t>A. veronii </w:t>
      </w:r>
      <w:r>
        <w:rPr/>
        <w:t>and </w:t>
      </w:r>
      <w:r>
        <w:rPr>
          <w:i/>
        </w:rPr>
        <w:t>A. hydrophila </w:t>
      </w:r>
      <w:r>
        <w:rPr/>
        <w:t>have been associated with diseases in ornamental and farmed fish (16, 17).</w:t>
      </w:r>
    </w:p>
    <w:p>
      <w:pPr>
        <w:spacing w:after="0" w:line="480" w:lineRule="auto"/>
        <w:jc w:val="both"/>
        <w:sectPr>
          <w:pgSz w:w="12240" w:h="15840"/>
          <w:pgMar w:header="0" w:footer="695" w:top="1080" w:bottom="940" w:left="1200" w:right="1200"/>
        </w:sectPr>
      </w:pPr>
    </w:p>
    <w:p>
      <w:pPr>
        <w:spacing w:line="480" w:lineRule="auto" w:before="44"/>
        <w:ind w:left="103" w:right="98" w:firstLine="719"/>
        <w:jc w:val="both"/>
        <w:rPr>
          <w:sz w:val="24"/>
        </w:rPr>
      </w:pPr>
      <w:r>
        <w:rPr>
          <w:sz w:val="24"/>
        </w:rPr>
        <w:t>In conclusion, our findings confirmed that the </w:t>
      </w:r>
      <w:r>
        <w:rPr>
          <w:i/>
          <w:sz w:val="24"/>
        </w:rPr>
        <w:t>Aeromonas </w:t>
      </w:r>
      <w:r>
        <w:rPr>
          <w:sz w:val="24"/>
        </w:rPr>
        <w:t>species </w:t>
      </w:r>
      <w:r>
        <w:rPr>
          <w:i/>
          <w:sz w:val="24"/>
        </w:rPr>
        <w:t>A. hydrophila</w:t>
      </w:r>
      <w:r>
        <w:rPr>
          <w:sz w:val="24"/>
        </w:rPr>
        <w:t>, </w:t>
      </w:r>
      <w:r>
        <w:rPr>
          <w:i/>
          <w:sz w:val="24"/>
        </w:rPr>
        <w:t>A. </w:t>
      </w:r>
      <w:r>
        <w:rPr>
          <w:i/>
          <w:sz w:val="24"/>
        </w:rPr>
        <w:t>salmonicida </w:t>
      </w:r>
      <w:r>
        <w:rPr>
          <w:sz w:val="24"/>
        </w:rPr>
        <w:t>and </w:t>
      </w:r>
      <w:r>
        <w:rPr>
          <w:i/>
          <w:sz w:val="24"/>
        </w:rPr>
        <w:t>A. veronii </w:t>
      </w:r>
      <w:r>
        <w:rPr>
          <w:sz w:val="24"/>
        </w:rPr>
        <w:t>are associated with septicemia and dermal lesions in rainbow trout. Our results may guide future reports in rainbow trout where an </w:t>
      </w:r>
      <w:r>
        <w:rPr>
          <w:i/>
          <w:sz w:val="24"/>
        </w:rPr>
        <w:t>Aeromonas </w:t>
      </w:r>
      <w:r>
        <w:rPr>
          <w:sz w:val="24"/>
        </w:rPr>
        <w:t>species could be involved.</w:t>
      </w:r>
    </w:p>
    <w:p>
      <w:pPr>
        <w:pStyle w:val="BodyText"/>
      </w:pPr>
    </w:p>
    <w:p>
      <w:pPr>
        <w:pStyle w:val="BodyText"/>
        <w:spacing w:before="3"/>
        <w:rPr>
          <w:sz w:val="25"/>
        </w:rPr>
      </w:pPr>
    </w:p>
    <w:p>
      <w:pPr>
        <w:pStyle w:val="Heading1"/>
        <w:spacing w:before="0"/>
        <w:ind w:right="59"/>
      </w:pPr>
      <w:r>
        <w:rPr/>
        <w:t>ACKNOWLEDGMENTS</w:t>
      </w:r>
    </w:p>
    <w:p>
      <w:pPr>
        <w:pStyle w:val="BodyText"/>
        <w:rPr>
          <w:b/>
        </w:rPr>
      </w:pPr>
    </w:p>
    <w:p>
      <w:pPr>
        <w:pStyle w:val="BodyText"/>
        <w:rPr>
          <w:b/>
        </w:rPr>
      </w:pPr>
    </w:p>
    <w:p>
      <w:pPr>
        <w:pStyle w:val="BodyText"/>
        <w:spacing w:before="6"/>
        <w:rPr>
          <w:b/>
          <w:sz w:val="23"/>
        </w:rPr>
      </w:pPr>
    </w:p>
    <w:p>
      <w:pPr>
        <w:pStyle w:val="BodyText"/>
        <w:spacing w:line="480" w:lineRule="auto"/>
        <w:ind w:left="103" w:right="99" w:firstLine="719"/>
        <w:jc w:val="both"/>
      </w:pPr>
      <w:r>
        <w:rPr/>
        <w:t>Andrea Paloma Zepeda-Velázquez is a Ph. D. student at the Universidad Autónoma del Estado de México (UAEM) and was supported by the Consejo Nacional de Ciencia y Tecnología (CONACYT), Mexico. The authors kindly thank to CONACYT for their support at the Project CB- 2008-01-103142 (UAEM 1900/2010C).</w:t>
      </w:r>
    </w:p>
    <w:p>
      <w:pPr>
        <w:pStyle w:val="BodyText"/>
      </w:pPr>
    </w:p>
    <w:p>
      <w:pPr>
        <w:pStyle w:val="BodyText"/>
        <w:spacing w:before="3"/>
        <w:rPr>
          <w:sz w:val="25"/>
        </w:rPr>
      </w:pPr>
    </w:p>
    <w:p>
      <w:pPr>
        <w:pStyle w:val="Heading1"/>
        <w:spacing w:before="0"/>
        <w:ind w:right="59"/>
      </w:pPr>
      <w:r>
        <w:rPr/>
        <w:t>References</w:t>
      </w:r>
    </w:p>
    <w:p>
      <w:pPr>
        <w:pStyle w:val="BodyText"/>
        <w:rPr>
          <w:b/>
        </w:rPr>
      </w:pPr>
    </w:p>
    <w:p>
      <w:pPr>
        <w:pStyle w:val="BodyText"/>
        <w:rPr>
          <w:b/>
        </w:rPr>
      </w:pPr>
    </w:p>
    <w:p>
      <w:pPr>
        <w:pStyle w:val="BodyText"/>
        <w:spacing w:before="7"/>
        <w:rPr>
          <w:b/>
          <w:sz w:val="23"/>
        </w:rPr>
      </w:pPr>
    </w:p>
    <w:p>
      <w:pPr>
        <w:pStyle w:val="ListParagraph"/>
        <w:numPr>
          <w:ilvl w:val="0"/>
          <w:numId w:val="4"/>
        </w:numPr>
        <w:tabs>
          <w:tab w:pos="464" w:val="left" w:leader="none"/>
        </w:tabs>
        <w:spacing w:line="480" w:lineRule="auto" w:before="0" w:after="0"/>
        <w:ind w:left="463" w:right="99" w:hanging="360"/>
        <w:jc w:val="left"/>
        <w:rPr>
          <w:sz w:val="24"/>
        </w:rPr>
      </w:pPr>
      <w:r>
        <w:rPr>
          <w:sz w:val="24"/>
        </w:rPr>
        <w:t>Janda JM, Abbott SL. The genus </w:t>
      </w:r>
      <w:r>
        <w:rPr>
          <w:i/>
          <w:sz w:val="24"/>
        </w:rPr>
        <w:t>Aeromonas</w:t>
      </w:r>
      <w:r>
        <w:rPr>
          <w:sz w:val="24"/>
        </w:rPr>
        <w:t>: taxonomy, pathogenicity, and infection. Clin Microbiol Rev 2010;</w:t>
      </w:r>
      <w:r>
        <w:rPr>
          <w:spacing w:val="-2"/>
          <w:sz w:val="24"/>
        </w:rPr>
        <w:t> </w:t>
      </w:r>
      <w:r>
        <w:rPr>
          <w:sz w:val="24"/>
        </w:rPr>
        <w:t>23:35-73.</w:t>
      </w:r>
    </w:p>
    <w:p>
      <w:pPr>
        <w:pStyle w:val="ListParagraph"/>
        <w:numPr>
          <w:ilvl w:val="0"/>
          <w:numId w:val="4"/>
        </w:numPr>
        <w:tabs>
          <w:tab w:pos="464" w:val="left" w:leader="none"/>
        </w:tabs>
        <w:spacing w:line="480" w:lineRule="auto" w:before="10" w:after="0"/>
        <w:ind w:left="463" w:right="100" w:hanging="360"/>
        <w:jc w:val="left"/>
        <w:rPr>
          <w:sz w:val="24"/>
        </w:rPr>
      </w:pPr>
      <w:r>
        <w:rPr>
          <w:sz w:val="24"/>
        </w:rPr>
        <w:t>Austin B, Austin DA. Bacterial fish pathogens. Diseases of farmed and wild fish. 4th ed. UK: Praxis Publishing Ltd,</w:t>
      </w:r>
      <w:r>
        <w:rPr>
          <w:spacing w:val="-7"/>
          <w:sz w:val="24"/>
        </w:rPr>
        <w:t> </w:t>
      </w:r>
      <w:r>
        <w:rPr>
          <w:sz w:val="24"/>
        </w:rPr>
        <w:t>2007.</w:t>
      </w:r>
    </w:p>
    <w:p>
      <w:pPr>
        <w:pStyle w:val="ListParagraph"/>
        <w:numPr>
          <w:ilvl w:val="0"/>
          <w:numId w:val="4"/>
        </w:numPr>
        <w:tabs>
          <w:tab w:pos="464" w:val="left" w:leader="none"/>
        </w:tabs>
        <w:spacing w:line="240" w:lineRule="auto" w:before="10" w:after="0"/>
        <w:ind w:left="463" w:right="0" w:hanging="360"/>
        <w:jc w:val="left"/>
        <w:rPr>
          <w:i/>
          <w:sz w:val="24"/>
        </w:rPr>
      </w:pPr>
      <w:r>
        <w:rPr>
          <w:sz w:val="24"/>
        </w:rPr>
        <w:t>Martínez-Murcia A, Beaz-Hidalgo R, Svec P, Saavedra MJ and others. </w:t>
      </w:r>
      <w:r>
        <w:rPr>
          <w:i/>
          <w:sz w:val="24"/>
        </w:rPr>
        <w:t>Aeromonas </w:t>
      </w:r>
      <w:r>
        <w:rPr>
          <w:i/>
          <w:spacing w:val="45"/>
          <w:sz w:val="24"/>
        </w:rPr>
        <w:t> </w:t>
      </w:r>
      <w:r>
        <w:rPr>
          <w:i/>
          <w:sz w:val="24"/>
        </w:rPr>
        <w:t>cavernicola</w:t>
      </w:r>
    </w:p>
    <w:p>
      <w:pPr>
        <w:pStyle w:val="BodyText"/>
        <w:rPr>
          <w:i/>
        </w:rPr>
      </w:pPr>
    </w:p>
    <w:p>
      <w:pPr>
        <w:pStyle w:val="BodyText"/>
        <w:ind w:left="463" w:right="59"/>
      </w:pPr>
      <w:r>
        <w:rPr/>
        <w:t>sp. nov., isolated from fresh water of a brook in a cavern. Curr Microbiol 2013; 66:197-204.</w:t>
      </w:r>
    </w:p>
    <w:p>
      <w:pPr>
        <w:pStyle w:val="BodyText"/>
      </w:pPr>
    </w:p>
    <w:p>
      <w:pPr>
        <w:pStyle w:val="ListParagraph"/>
        <w:numPr>
          <w:ilvl w:val="0"/>
          <w:numId w:val="4"/>
        </w:numPr>
        <w:tabs>
          <w:tab w:pos="464" w:val="left" w:leader="none"/>
        </w:tabs>
        <w:spacing w:line="240" w:lineRule="auto" w:before="0" w:after="0"/>
        <w:ind w:left="463" w:right="0" w:hanging="360"/>
        <w:jc w:val="left"/>
        <w:rPr>
          <w:sz w:val="24"/>
        </w:rPr>
      </w:pPr>
      <w:r>
        <w:rPr>
          <w:sz w:val="24"/>
        </w:rPr>
        <w:t>Aravena-Román M,  Beaz-Hidalgo  R,  Inglis  TJ, Riley TV,  Martínez-Murcia AJ  and  </w:t>
      </w:r>
      <w:r>
        <w:rPr>
          <w:spacing w:val="54"/>
          <w:sz w:val="24"/>
        </w:rPr>
        <w:t> </w:t>
      </w:r>
      <w:r>
        <w:rPr>
          <w:sz w:val="24"/>
        </w:rPr>
        <w:t>others.</w:t>
      </w:r>
    </w:p>
    <w:p>
      <w:pPr>
        <w:pStyle w:val="BodyText"/>
      </w:pPr>
    </w:p>
    <w:p>
      <w:pPr>
        <w:spacing w:line="480" w:lineRule="auto" w:before="0"/>
        <w:ind w:left="463" w:right="151" w:firstLine="0"/>
        <w:jc w:val="left"/>
        <w:rPr>
          <w:sz w:val="24"/>
        </w:rPr>
      </w:pPr>
      <w:r>
        <w:rPr>
          <w:i/>
          <w:sz w:val="24"/>
        </w:rPr>
        <w:t>Aeromonas australiensis </w:t>
      </w:r>
      <w:r>
        <w:rPr>
          <w:sz w:val="24"/>
        </w:rPr>
        <w:t>sp. nov., isolated from irrigation water. Int J Syst Evol Microbiol  2013;</w:t>
      </w:r>
      <w:r>
        <w:rPr>
          <w:spacing w:val="-1"/>
          <w:sz w:val="24"/>
        </w:rPr>
        <w:t> </w:t>
      </w:r>
      <w:r>
        <w:rPr>
          <w:sz w:val="24"/>
        </w:rPr>
        <w:t>63:2270-2276.</w:t>
      </w:r>
    </w:p>
    <w:p>
      <w:pPr>
        <w:spacing w:after="0" w:line="480" w:lineRule="auto"/>
        <w:jc w:val="left"/>
        <w:rPr>
          <w:sz w:val="24"/>
        </w:rPr>
        <w:sectPr>
          <w:pgSz w:w="12240" w:h="15840"/>
          <w:pgMar w:header="0" w:footer="695" w:top="1080" w:bottom="940" w:left="1200" w:right="1200"/>
        </w:sectPr>
      </w:pPr>
    </w:p>
    <w:p>
      <w:pPr>
        <w:pStyle w:val="ListParagraph"/>
        <w:numPr>
          <w:ilvl w:val="0"/>
          <w:numId w:val="4"/>
        </w:numPr>
        <w:tabs>
          <w:tab w:pos="464" w:val="left" w:leader="none"/>
        </w:tabs>
        <w:spacing w:line="480" w:lineRule="auto" w:before="44" w:after="0"/>
        <w:ind w:left="463" w:right="101" w:hanging="360"/>
        <w:jc w:val="both"/>
        <w:rPr>
          <w:sz w:val="24"/>
        </w:rPr>
      </w:pPr>
      <w:r>
        <w:rPr>
          <w:sz w:val="24"/>
        </w:rPr>
        <w:t>Beaz-Hidalgo R, Martínez-Murcia A, Figueras MJ. Reclassification of </w:t>
      </w:r>
      <w:r>
        <w:rPr>
          <w:i/>
          <w:sz w:val="24"/>
        </w:rPr>
        <w:t>Aeromonas hydrophila </w:t>
      </w:r>
      <w:r>
        <w:rPr>
          <w:sz w:val="24"/>
        </w:rPr>
        <w:t>subsp. </w:t>
      </w:r>
      <w:r>
        <w:rPr>
          <w:i/>
          <w:sz w:val="24"/>
        </w:rPr>
        <w:t>dhakensis </w:t>
      </w:r>
      <w:r>
        <w:rPr>
          <w:sz w:val="24"/>
        </w:rPr>
        <w:t>Huys </w:t>
      </w:r>
      <w:r>
        <w:rPr>
          <w:i/>
          <w:sz w:val="24"/>
        </w:rPr>
        <w:t>et al</w:t>
      </w:r>
      <w:r>
        <w:rPr>
          <w:sz w:val="24"/>
        </w:rPr>
        <w:t>. 2002 and </w:t>
      </w:r>
      <w:r>
        <w:rPr>
          <w:i/>
          <w:sz w:val="24"/>
        </w:rPr>
        <w:t>Aeromonas aquariorum </w:t>
      </w:r>
      <w:r>
        <w:rPr>
          <w:sz w:val="24"/>
        </w:rPr>
        <w:t>Martínez-Murcia </w:t>
      </w:r>
      <w:r>
        <w:rPr>
          <w:i/>
          <w:sz w:val="24"/>
        </w:rPr>
        <w:t>et al</w:t>
      </w:r>
      <w:r>
        <w:rPr>
          <w:sz w:val="24"/>
        </w:rPr>
        <w:t>. 2008 as </w:t>
      </w:r>
      <w:r>
        <w:rPr>
          <w:i/>
          <w:sz w:val="24"/>
        </w:rPr>
        <w:t>Aeromonas dhakensis </w:t>
      </w:r>
      <w:r>
        <w:rPr>
          <w:sz w:val="24"/>
        </w:rPr>
        <w:t>sp. nov. comb. nov. and emendation of the species </w:t>
      </w:r>
      <w:r>
        <w:rPr>
          <w:i/>
          <w:sz w:val="24"/>
        </w:rPr>
        <w:t>Aeromonas hydrophila</w:t>
      </w:r>
      <w:r>
        <w:rPr>
          <w:sz w:val="24"/>
        </w:rPr>
        <w:t>. Syst Appl Microbiol 2013;</w:t>
      </w:r>
      <w:r>
        <w:rPr>
          <w:spacing w:val="-4"/>
          <w:sz w:val="24"/>
        </w:rPr>
        <w:t> </w:t>
      </w:r>
      <w:r>
        <w:rPr>
          <w:sz w:val="24"/>
        </w:rPr>
        <w:t>36:171-176.</w:t>
      </w:r>
    </w:p>
    <w:p>
      <w:pPr>
        <w:pStyle w:val="ListParagraph"/>
        <w:numPr>
          <w:ilvl w:val="0"/>
          <w:numId w:val="4"/>
        </w:numPr>
        <w:tabs>
          <w:tab w:pos="464" w:val="left" w:leader="none"/>
        </w:tabs>
        <w:spacing w:line="480" w:lineRule="auto" w:before="10" w:after="0"/>
        <w:ind w:left="463" w:right="163" w:hanging="360"/>
        <w:jc w:val="both"/>
        <w:rPr>
          <w:sz w:val="24"/>
        </w:rPr>
      </w:pPr>
      <w:r>
        <w:rPr>
          <w:sz w:val="24"/>
        </w:rPr>
        <w:t>Beaz-Hidalgo R, Alperi A, Buján N, Romalde JL and others Comparison of phenotypical and genetic identification of </w:t>
      </w:r>
      <w:r>
        <w:rPr>
          <w:i/>
          <w:sz w:val="24"/>
        </w:rPr>
        <w:t>Aeromonas </w:t>
      </w:r>
      <w:r>
        <w:rPr>
          <w:sz w:val="24"/>
        </w:rPr>
        <w:t>strains isolated from diseased fish. Syst Appl Microbiol 2010;</w:t>
      </w:r>
      <w:r>
        <w:rPr>
          <w:spacing w:val="-1"/>
          <w:sz w:val="24"/>
        </w:rPr>
        <w:t> </w:t>
      </w:r>
      <w:r>
        <w:rPr>
          <w:sz w:val="24"/>
        </w:rPr>
        <w:t>33:149-153.</w:t>
      </w:r>
    </w:p>
    <w:p>
      <w:pPr>
        <w:pStyle w:val="ListParagraph"/>
        <w:numPr>
          <w:ilvl w:val="0"/>
          <w:numId w:val="4"/>
        </w:numPr>
        <w:tabs>
          <w:tab w:pos="464" w:val="left" w:leader="none"/>
        </w:tabs>
        <w:spacing w:line="480" w:lineRule="auto" w:before="11" w:after="0"/>
        <w:ind w:left="463" w:right="163" w:hanging="360"/>
        <w:jc w:val="both"/>
        <w:rPr>
          <w:sz w:val="24"/>
        </w:rPr>
      </w:pPr>
      <w:r>
        <w:rPr>
          <w:sz w:val="24"/>
        </w:rPr>
        <w:t>Vega-Sánchez V, Latif-Eugenín F, Beaz-Hidalgo R, Figueras MJ and others Re-identification of </w:t>
      </w:r>
      <w:r>
        <w:rPr>
          <w:i/>
          <w:sz w:val="24"/>
        </w:rPr>
        <w:t>Aeromonas </w:t>
      </w:r>
      <w:r>
        <w:rPr>
          <w:sz w:val="24"/>
        </w:rPr>
        <w:t>isolates from rainbow trout and incidence of class I integron and ß-lactamase genes. Vet Microbiol 2014b; in</w:t>
      </w:r>
      <w:r>
        <w:rPr>
          <w:spacing w:val="-5"/>
          <w:sz w:val="24"/>
        </w:rPr>
        <w:t> </w:t>
      </w:r>
      <w:r>
        <w:rPr>
          <w:sz w:val="24"/>
        </w:rPr>
        <w:t>press.</w:t>
      </w:r>
    </w:p>
    <w:p>
      <w:pPr>
        <w:pStyle w:val="ListParagraph"/>
        <w:numPr>
          <w:ilvl w:val="0"/>
          <w:numId w:val="4"/>
        </w:numPr>
        <w:tabs>
          <w:tab w:pos="464" w:val="left" w:leader="none"/>
        </w:tabs>
        <w:spacing w:line="240" w:lineRule="auto" w:before="10" w:after="0"/>
        <w:ind w:left="463" w:right="0" w:hanging="360"/>
        <w:jc w:val="left"/>
        <w:rPr>
          <w:sz w:val="24"/>
        </w:rPr>
      </w:pPr>
      <w:r>
        <w:rPr>
          <w:sz w:val="24"/>
        </w:rPr>
        <w:t>Vega-Sánchez   V,   Acosta-Dibarrat   J,   Vega-Castillo   F,   Castro-Escarpulli   G   and</w:t>
      </w:r>
      <w:r>
        <w:rPr>
          <w:spacing w:val="59"/>
          <w:sz w:val="24"/>
        </w:rPr>
        <w:t> </w:t>
      </w:r>
      <w:r>
        <w:rPr>
          <w:sz w:val="24"/>
        </w:rPr>
        <w:t>others.</w:t>
      </w:r>
    </w:p>
    <w:p>
      <w:pPr>
        <w:pStyle w:val="BodyText"/>
      </w:pPr>
    </w:p>
    <w:p>
      <w:pPr>
        <w:pStyle w:val="BodyText"/>
        <w:spacing w:line="480" w:lineRule="auto"/>
        <w:ind w:left="463" w:right="161"/>
        <w:jc w:val="both"/>
      </w:pPr>
      <w:r>
        <w:rPr/>
        <w:t>Phenotypical characteristics, genetic identification, and antimicrobial sensitivity of </w:t>
      </w:r>
      <w:r>
        <w:rPr>
          <w:i/>
        </w:rPr>
        <w:t>Aeromonas </w:t>
      </w:r>
      <w:r>
        <w:rPr/>
        <w:t>species isolated from farmed rainbow trout (</w:t>
      </w:r>
      <w:r>
        <w:rPr>
          <w:i/>
        </w:rPr>
        <w:t>Oncorhynchus mykiss</w:t>
      </w:r>
      <w:r>
        <w:rPr/>
        <w:t>) in Mexico. Acta Trop 2014; 130:76-79.</w:t>
      </w:r>
    </w:p>
    <w:p>
      <w:pPr>
        <w:pStyle w:val="ListParagraph"/>
        <w:numPr>
          <w:ilvl w:val="0"/>
          <w:numId w:val="4"/>
        </w:numPr>
        <w:tabs>
          <w:tab w:pos="464" w:val="left" w:leader="none"/>
        </w:tabs>
        <w:spacing w:line="480" w:lineRule="auto" w:before="10" w:after="0"/>
        <w:ind w:left="463" w:right="169" w:hanging="360"/>
        <w:jc w:val="both"/>
        <w:rPr>
          <w:sz w:val="24"/>
        </w:rPr>
      </w:pPr>
      <w:r>
        <w:rPr>
          <w:sz w:val="24"/>
        </w:rPr>
        <w:t>Dymowska AK, Hwang PP, Goss GC. Structure and function of ionocytes in the freshwater fish gill. Respir Physiol Neurobiol 2012;</w:t>
      </w:r>
      <w:r>
        <w:rPr>
          <w:spacing w:val="-5"/>
          <w:sz w:val="24"/>
        </w:rPr>
        <w:t> </w:t>
      </w:r>
      <w:r>
        <w:rPr>
          <w:sz w:val="24"/>
        </w:rPr>
        <w:t>184:282-292.</w:t>
      </w:r>
    </w:p>
    <w:p>
      <w:pPr>
        <w:pStyle w:val="ListParagraph"/>
        <w:numPr>
          <w:ilvl w:val="0"/>
          <w:numId w:val="4"/>
        </w:numPr>
        <w:tabs>
          <w:tab w:pos="464" w:val="left" w:leader="none"/>
        </w:tabs>
        <w:spacing w:line="480" w:lineRule="auto" w:before="10" w:after="0"/>
        <w:ind w:left="463" w:right="159" w:hanging="360"/>
        <w:jc w:val="both"/>
        <w:rPr>
          <w:sz w:val="24"/>
        </w:rPr>
      </w:pPr>
      <w:r>
        <w:rPr>
          <w:sz w:val="24"/>
        </w:rPr>
        <w:t>Brocklebank JR. Ulcerative dermatitis caused by </w:t>
      </w:r>
      <w:r>
        <w:rPr>
          <w:i/>
          <w:sz w:val="24"/>
        </w:rPr>
        <w:t>Aeromonas salmonicida </w:t>
      </w:r>
      <w:r>
        <w:rPr>
          <w:sz w:val="24"/>
        </w:rPr>
        <w:t>spp. </w:t>
      </w:r>
      <w:r>
        <w:rPr>
          <w:i/>
          <w:sz w:val="24"/>
        </w:rPr>
        <w:t>salmonicida </w:t>
      </w:r>
      <w:r>
        <w:rPr>
          <w:sz w:val="24"/>
        </w:rPr>
        <w:t>in farmed Atlantic salmon in British Columbia. Can Vet J 1998;</w:t>
      </w:r>
      <w:r>
        <w:rPr>
          <w:spacing w:val="-7"/>
          <w:sz w:val="24"/>
        </w:rPr>
        <w:t> </w:t>
      </w:r>
      <w:r>
        <w:rPr>
          <w:sz w:val="24"/>
        </w:rPr>
        <w:t>39:110.</w:t>
      </w:r>
    </w:p>
    <w:p>
      <w:pPr>
        <w:pStyle w:val="ListParagraph"/>
        <w:numPr>
          <w:ilvl w:val="0"/>
          <w:numId w:val="4"/>
        </w:numPr>
        <w:tabs>
          <w:tab w:pos="464" w:val="left" w:leader="none"/>
        </w:tabs>
        <w:spacing w:line="480" w:lineRule="auto" w:before="10" w:after="0"/>
        <w:ind w:left="463" w:right="161" w:hanging="360"/>
        <w:jc w:val="both"/>
        <w:rPr>
          <w:sz w:val="24"/>
        </w:rPr>
      </w:pPr>
      <w:r>
        <w:rPr>
          <w:sz w:val="24"/>
        </w:rPr>
        <w:t>Řehulka J. </w:t>
      </w:r>
      <w:r>
        <w:rPr>
          <w:i/>
          <w:sz w:val="24"/>
        </w:rPr>
        <w:t>Aeromonas </w:t>
      </w:r>
      <w:r>
        <w:rPr>
          <w:sz w:val="24"/>
        </w:rPr>
        <w:t>causes severe skin lesions in rainbow trout (</w:t>
      </w:r>
      <w:r>
        <w:rPr>
          <w:i/>
          <w:sz w:val="24"/>
        </w:rPr>
        <w:t>Oncorhynchus mykiss</w:t>
      </w:r>
      <w:r>
        <w:rPr>
          <w:sz w:val="24"/>
        </w:rPr>
        <w:t>): clinical pathology, haematology and biochemistry. Acta Vet Brno 2002;</w:t>
      </w:r>
      <w:r>
        <w:rPr>
          <w:spacing w:val="-10"/>
          <w:sz w:val="24"/>
        </w:rPr>
        <w:t> </w:t>
      </w:r>
      <w:r>
        <w:rPr>
          <w:sz w:val="24"/>
        </w:rPr>
        <w:t>71:351-360.</w:t>
      </w:r>
    </w:p>
    <w:p>
      <w:pPr>
        <w:pStyle w:val="ListParagraph"/>
        <w:numPr>
          <w:ilvl w:val="0"/>
          <w:numId w:val="4"/>
        </w:numPr>
        <w:tabs>
          <w:tab w:pos="464" w:val="left" w:leader="none"/>
        </w:tabs>
        <w:spacing w:line="480" w:lineRule="auto" w:before="10" w:after="0"/>
        <w:ind w:left="463" w:right="165" w:hanging="360"/>
        <w:jc w:val="both"/>
        <w:rPr>
          <w:sz w:val="24"/>
        </w:rPr>
      </w:pPr>
      <w:r>
        <w:rPr>
          <w:sz w:val="24"/>
        </w:rPr>
        <w:t>Burr SE, Pugovkin D, Wahli T, Segner H and others. Attenuated virulence of an </w:t>
      </w:r>
      <w:r>
        <w:rPr>
          <w:i/>
          <w:sz w:val="24"/>
        </w:rPr>
        <w:t>Aeromonas </w:t>
      </w:r>
      <w:r>
        <w:rPr>
          <w:i/>
          <w:sz w:val="24"/>
        </w:rPr>
        <w:t>salmonicida </w:t>
      </w:r>
      <w:r>
        <w:rPr>
          <w:sz w:val="24"/>
        </w:rPr>
        <w:t>subsp. </w:t>
      </w:r>
      <w:r>
        <w:rPr>
          <w:i/>
          <w:sz w:val="24"/>
        </w:rPr>
        <w:t>salmonicida </w:t>
      </w:r>
      <w:r>
        <w:rPr>
          <w:sz w:val="24"/>
        </w:rPr>
        <w:t>type III secretion mutant in a rainbow trout model. Microbiology 2005;</w:t>
      </w:r>
      <w:r>
        <w:rPr>
          <w:spacing w:val="-1"/>
          <w:sz w:val="24"/>
        </w:rPr>
        <w:t> </w:t>
      </w:r>
      <w:r>
        <w:rPr>
          <w:sz w:val="24"/>
        </w:rPr>
        <w:t>151:2111-2118.</w:t>
      </w:r>
    </w:p>
    <w:p>
      <w:pPr>
        <w:spacing w:after="0" w:line="480" w:lineRule="auto"/>
        <w:jc w:val="both"/>
        <w:rPr>
          <w:sz w:val="24"/>
        </w:rPr>
        <w:sectPr>
          <w:pgSz w:w="12240" w:h="15840"/>
          <w:pgMar w:header="0" w:footer="695" w:top="1080" w:bottom="940" w:left="1200" w:right="1140"/>
        </w:sectPr>
      </w:pPr>
    </w:p>
    <w:p>
      <w:pPr>
        <w:pStyle w:val="ListParagraph"/>
        <w:numPr>
          <w:ilvl w:val="0"/>
          <w:numId w:val="4"/>
        </w:numPr>
        <w:tabs>
          <w:tab w:pos="464" w:val="left" w:leader="none"/>
        </w:tabs>
        <w:spacing w:line="480" w:lineRule="auto" w:before="44" w:after="0"/>
        <w:ind w:left="463" w:right="101" w:hanging="360"/>
        <w:jc w:val="both"/>
        <w:rPr>
          <w:sz w:val="24"/>
        </w:rPr>
      </w:pPr>
      <w:r>
        <w:rPr>
          <w:sz w:val="24"/>
        </w:rPr>
        <w:t>Goldschmidt-Clermont E, Hochwartner O, Demarta A, Caminada AP and others. Outbreaks of an ulcerative and haemorrhagic disease in Arctic char </w:t>
      </w:r>
      <w:r>
        <w:rPr>
          <w:i/>
          <w:sz w:val="24"/>
        </w:rPr>
        <w:t>Salvelinus alpinus </w:t>
      </w:r>
      <w:r>
        <w:rPr>
          <w:sz w:val="24"/>
        </w:rPr>
        <w:t>caused by </w:t>
      </w:r>
      <w:r>
        <w:rPr>
          <w:i/>
          <w:sz w:val="24"/>
        </w:rPr>
        <w:t>Aeromonas </w:t>
      </w:r>
      <w:r>
        <w:rPr>
          <w:i/>
          <w:sz w:val="24"/>
        </w:rPr>
        <w:t>salmonicida </w:t>
      </w:r>
      <w:r>
        <w:rPr>
          <w:sz w:val="24"/>
        </w:rPr>
        <w:t>subsp. </w:t>
      </w:r>
      <w:r>
        <w:rPr>
          <w:i/>
          <w:sz w:val="24"/>
        </w:rPr>
        <w:t>smithia</w:t>
      </w:r>
      <w:r>
        <w:rPr>
          <w:sz w:val="24"/>
        </w:rPr>
        <w:t>. Dis Aquat Org 2009;</w:t>
      </w:r>
      <w:r>
        <w:rPr>
          <w:spacing w:val="-8"/>
          <w:sz w:val="24"/>
        </w:rPr>
        <w:t> </w:t>
      </w:r>
      <w:r>
        <w:rPr>
          <w:sz w:val="24"/>
        </w:rPr>
        <w:t>86:81-86.</w:t>
      </w:r>
    </w:p>
    <w:p>
      <w:pPr>
        <w:pStyle w:val="ListParagraph"/>
        <w:numPr>
          <w:ilvl w:val="0"/>
          <w:numId w:val="4"/>
        </w:numPr>
        <w:tabs>
          <w:tab w:pos="464" w:val="left" w:leader="none"/>
        </w:tabs>
        <w:spacing w:line="480" w:lineRule="auto" w:before="10" w:after="0"/>
        <w:ind w:left="463" w:right="98" w:hanging="360"/>
        <w:jc w:val="both"/>
        <w:rPr>
          <w:sz w:val="24"/>
        </w:rPr>
      </w:pPr>
      <w:r>
        <w:rPr>
          <w:sz w:val="24"/>
        </w:rPr>
        <w:t>Harikrishnan R, Balasundaram C, Moon YG, Kim MC and others. Phytotherapy of ulcerative dermatitis induced by </w:t>
      </w:r>
      <w:r>
        <w:rPr>
          <w:i/>
          <w:sz w:val="24"/>
        </w:rPr>
        <w:t>Aeromonas hydrophila </w:t>
      </w:r>
      <w:r>
        <w:rPr>
          <w:sz w:val="24"/>
        </w:rPr>
        <w:t>infection in goldfish (</w:t>
      </w:r>
      <w:r>
        <w:rPr>
          <w:i/>
          <w:sz w:val="24"/>
        </w:rPr>
        <w:t>Carassius auratus</w:t>
      </w:r>
      <w:r>
        <w:rPr>
          <w:sz w:val="24"/>
        </w:rPr>
        <w:t>). Acta  Vet Hung 2010;</w:t>
      </w:r>
      <w:r>
        <w:rPr>
          <w:spacing w:val="-2"/>
          <w:sz w:val="24"/>
        </w:rPr>
        <w:t> </w:t>
      </w:r>
      <w:r>
        <w:rPr>
          <w:sz w:val="24"/>
        </w:rPr>
        <w:t>58:29-37.</w:t>
      </w:r>
    </w:p>
    <w:p>
      <w:pPr>
        <w:pStyle w:val="ListParagraph"/>
        <w:numPr>
          <w:ilvl w:val="0"/>
          <w:numId w:val="4"/>
        </w:numPr>
        <w:tabs>
          <w:tab w:pos="464" w:val="left" w:leader="none"/>
        </w:tabs>
        <w:spacing w:line="480" w:lineRule="auto" w:before="10" w:after="0"/>
        <w:ind w:left="463" w:right="109" w:hanging="360"/>
        <w:jc w:val="both"/>
        <w:rPr>
          <w:sz w:val="24"/>
        </w:rPr>
      </w:pPr>
      <w:r>
        <w:rPr>
          <w:sz w:val="24"/>
        </w:rPr>
        <w:t>Kozińska A. Dominant pathogenic species of mesophilic aeromonads isolated from diseased  and healthy fish cultured in Poland. J Fish Dis 2007;</w:t>
      </w:r>
      <w:r>
        <w:rPr>
          <w:spacing w:val="-9"/>
          <w:sz w:val="24"/>
        </w:rPr>
        <w:t> </w:t>
      </w:r>
      <w:r>
        <w:rPr>
          <w:sz w:val="24"/>
        </w:rPr>
        <w:t>30:293-301.</w:t>
      </w:r>
    </w:p>
    <w:p>
      <w:pPr>
        <w:pStyle w:val="ListParagraph"/>
        <w:numPr>
          <w:ilvl w:val="0"/>
          <w:numId w:val="4"/>
        </w:numPr>
        <w:tabs>
          <w:tab w:pos="464" w:val="left" w:leader="none"/>
        </w:tabs>
        <w:spacing w:line="480" w:lineRule="auto" w:before="10" w:after="0"/>
        <w:ind w:left="463" w:right="102" w:hanging="360"/>
        <w:jc w:val="both"/>
        <w:rPr>
          <w:sz w:val="24"/>
        </w:rPr>
      </w:pPr>
      <w:r>
        <w:rPr>
          <w:sz w:val="24"/>
        </w:rPr>
        <w:t>Pridgeon JW, Klesius PH, Mu X, Carter D and others. Identification of unique DNA sequences present in highly virulent 2009 Alabama isolates of </w:t>
      </w:r>
      <w:r>
        <w:rPr>
          <w:i/>
          <w:sz w:val="24"/>
        </w:rPr>
        <w:t>Aeromonas hydrophila</w:t>
      </w:r>
      <w:r>
        <w:rPr>
          <w:sz w:val="24"/>
        </w:rPr>
        <w:t>. Vet Microbiol  2011;</w:t>
      </w:r>
      <w:r>
        <w:rPr>
          <w:spacing w:val="-1"/>
          <w:sz w:val="24"/>
        </w:rPr>
        <w:t> </w:t>
      </w:r>
      <w:r>
        <w:rPr>
          <w:sz w:val="24"/>
        </w:rPr>
        <w:t>152:117-125.</w:t>
      </w:r>
    </w:p>
    <w:p>
      <w:pPr>
        <w:pStyle w:val="ListParagraph"/>
        <w:numPr>
          <w:ilvl w:val="0"/>
          <w:numId w:val="4"/>
        </w:numPr>
        <w:tabs>
          <w:tab w:pos="464" w:val="left" w:leader="none"/>
        </w:tabs>
        <w:spacing w:line="480" w:lineRule="auto" w:before="10" w:after="0"/>
        <w:ind w:left="463" w:right="105" w:hanging="360"/>
        <w:jc w:val="both"/>
        <w:rPr>
          <w:sz w:val="24"/>
        </w:rPr>
      </w:pPr>
      <w:r>
        <w:rPr>
          <w:sz w:val="24"/>
        </w:rPr>
        <w:t>Sreedharan K, Philip R, Singh ISB. Characterization and virulence potential of phenotypically diverse </w:t>
      </w:r>
      <w:r>
        <w:rPr>
          <w:i/>
          <w:sz w:val="24"/>
        </w:rPr>
        <w:t>Aeromonas veronii </w:t>
      </w:r>
      <w:r>
        <w:rPr>
          <w:sz w:val="24"/>
        </w:rPr>
        <w:t>isolates recovered from moribund freshwater ornamental fishes of Kerala, India. Antonie van Leeuwenhoek 2013;</w:t>
      </w:r>
      <w:r>
        <w:rPr>
          <w:spacing w:val="-5"/>
          <w:sz w:val="24"/>
        </w:rPr>
        <w:t> </w:t>
      </w:r>
      <w:r>
        <w:rPr>
          <w:sz w:val="24"/>
        </w:rPr>
        <w:t>103:53-67.</w:t>
      </w:r>
    </w:p>
    <w:p>
      <w:pPr>
        <w:spacing w:after="0" w:line="480" w:lineRule="auto"/>
        <w:jc w:val="both"/>
        <w:rPr>
          <w:sz w:val="24"/>
        </w:rPr>
        <w:sectPr>
          <w:pgSz w:w="12240" w:h="15840"/>
          <w:pgMar w:header="0" w:footer="695" w:top="1080" w:bottom="940" w:left="1200" w:right="1200"/>
        </w:sectPr>
      </w:pPr>
    </w:p>
    <w:p>
      <w:pPr>
        <w:pStyle w:val="BodyText"/>
        <w:ind w:left="103"/>
        <w:rPr>
          <w:sz w:val="20"/>
        </w:rPr>
      </w:pPr>
      <w:r>
        <w:rPr>
          <w:sz w:val="20"/>
        </w:rPr>
        <w:drawing>
          <wp:inline distT="0" distB="0" distL="0" distR="0">
            <wp:extent cx="5520437" cy="5522976"/>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11" cstate="print"/>
                    <a:stretch>
                      <a:fillRect/>
                    </a:stretch>
                  </pic:blipFill>
                  <pic:spPr>
                    <a:xfrm>
                      <a:off x="0" y="0"/>
                      <a:ext cx="5520437" cy="5522976"/>
                    </a:xfrm>
                    <a:prstGeom prst="rect">
                      <a:avLst/>
                    </a:prstGeom>
                  </pic:spPr>
                </pic:pic>
              </a:graphicData>
            </a:graphic>
          </wp:inline>
        </w:drawing>
      </w:r>
      <w:r>
        <w:rPr>
          <w:sz w:val="20"/>
        </w:rPr>
      </w:r>
    </w:p>
    <w:p>
      <w:pPr>
        <w:pStyle w:val="BodyText"/>
        <w:rPr>
          <w:sz w:val="20"/>
        </w:rPr>
      </w:pPr>
    </w:p>
    <w:p>
      <w:pPr>
        <w:pStyle w:val="BodyText"/>
        <w:rPr>
          <w:sz w:val="20"/>
        </w:rPr>
      </w:pPr>
    </w:p>
    <w:p>
      <w:pPr>
        <w:pStyle w:val="BodyText"/>
        <w:spacing w:before="4"/>
        <w:rPr>
          <w:sz w:val="25"/>
        </w:rPr>
      </w:pPr>
    </w:p>
    <w:p>
      <w:pPr>
        <w:pStyle w:val="BodyText"/>
        <w:spacing w:before="69"/>
        <w:ind w:left="103"/>
        <w:jc w:val="both"/>
      </w:pPr>
      <w:r>
        <w:rPr/>
        <w:t>Figure 1. Macroscopic and microscopic lesions in rainbow trout naturally infected with    </w:t>
      </w:r>
      <w:r>
        <w:rPr>
          <w:i/>
        </w:rPr>
        <w:t>A. veronii</w:t>
      </w:r>
      <w:r>
        <w:rPr/>
        <w:t>.</w:t>
      </w:r>
    </w:p>
    <w:p>
      <w:pPr>
        <w:pStyle w:val="BodyText"/>
      </w:pPr>
    </w:p>
    <w:p>
      <w:pPr>
        <w:pStyle w:val="BodyText"/>
        <w:spacing w:line="480" w:lineRule="auto"/>
        <w:ind w:left="103" w:right="102"/>
        <w:jc w:val="both"/>
      </w:pPr>
      <w:r>
        <w:rPr/>
        <w:t>a) Erosion of dermis and exposition of premaxilar bone tissue. b) Premaxilar dermis with inflammatory infiltration, edema and free-melanine (Hematoxilin-Eosin). c) Liver, extensive hemorrhage in parenchyma (Hematoxilin-Eosin). d) Liver, slight MMC centrolobulillar infiltration, degeneration and hepatocellular necrosis (Hematoxilin-Eosin). e) Kidney, moderate MMC interstitial infiltration (Hematoxilin-Eosin).</w:t>
      </w:r>
    </w:p>
    <w:p>
      <w:pPr>
        <w:spacing w:after="0" w:line="480" w:lineRule="auto"/>
        <w:jc w:val="both"/>
        <w:sectPr>
          <w:pgSz w:w="12240" w:h="15840"/>
          <w:pgMar w:header="0" w:footer="695" w:top="1140" w:bottom="940" w:left="1200" w:right="1200"/>
        </w:sectPr>
      </w:pPr>
    </w:p>
    <w:p>
      <w:pPr>
        <w:pStyle w:val="BodyText"/>
        <w:ind w:left="103"/>
        <w:rPr>
          <w:sz w:val="20"/>
        </w:rPr>
      </w:pPr>
      <w:r>
        <w:rPr>
          <w:sz w:val="20"/>
        </w:rPr>
        <w:drawing>
          <wp:inline distT="0" distB="0" distL="0" distR="0">
            <wp:extent cx="5579661" cy="3925252"/>
            <wp:effectExtent l="0" t="0" r="0" b="0"/>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2" cstate="print"/>
                    <a:stretch>
                      <a:fillRect/>
                    </a:stretch>
                  </pic:blipFill>
                  <pic:spPr>
                    <a:xfrm>
                      <a:off x="0" y="0"/>
                      <a:ext cx="5579661" cy="3925252"/>
                    </a:xfrm>
                    <a:prstGeom prst="rect">
                      <a:avLst/>
                    </a:prstGeom>
                  </pic:spPr>
                </pic:pic>
              </a:graphicData>
            </a:graphic>
          </wp:inline>
        </w:drawing>
      </w:r>
      <w:r>
        <w:rPr>
          <w:sz w:val="20"/>
        </w:rPr>
      </w:r>
    </w:p>
    <w:p>
      <w:pPr>
        <w:pStyle w:val="BodyText"/>
        <w:rPr>
          <w:sz w:val="20"/>
        </w:rPr>
      </w:pPr>
    </w:p>
    <w:p>
      <w:pPr>
        <w:pStyle w:val="BodyText"/>
        <w:rPr>
          <w:sz w:val="20"/>
        </w:rPr>
      </w:pPr>
    </w:p>
    <w:p>
      <w:pPr>
        <w:pStyle w:val="BodyText"/>
        <w:spacing w:before="6"/>
        <w:rPr>
          <w:sz w:val="26"/>
        </w:rPr>
      </w:pPr>
    </w:p>
    <w:p>
      <w:pPr>
        <w:pStyle w:val="BodyText"/>
        <w:spacing w:line="480" w:lineRule="auto" w:before="69"/>
        <w:ind w:left="103" w:right="98"/>
        <w:jc w:val="both"/>
      </w:pPr>
      <w:r>
        <w:rPr/>
        <w:t>Figure 2. Macroscopic and microscopic lesions in rainbow trout naturally infected with the motile biovar of </w:t>
      </w:r>
      <w:r>
        <w:rPr>
          <w:i/>
        </w:rPr>
        <w:t>A. salmonicida</w:t>
      </w:r>
      <w:r>
        <w:rPr/>
        <w:t>. a) Ulcer at the base of the right pelvic fin. b) Dermis, infiltration of macrophages, hyperemia and edema in the affected area (Hematoxilin-Eosin). c) Liver, slight periportal lymphocyte infiltration and moderate hepatocellular degeneration    (Hematoxilin-Eosin).</w:t>
      </w:r>
    </w:p>
    <w:p>
      <w:pPr>
        <w:pStyle w:val="BodyText"/>
        <w:spacing w:before="10"/>
        <w:ind w:left="103"/>
        <w:jc w:val="both"/>
      </w:pPr>
      <w:r>
        <w:rPr/>
        <w:t>d) Kidney, slight melanomacrophage center (MMC) interstitial infiltration (Hematoxilin-Eosin).</w:t>
      </w:r>
    </w:p>
    <w:p>
      <w:pPr>
        <w:spacing w:after="0"/>
        <w:jc w:val="both"/>
        <w:sectPr>
          <w:pgSz w:w="12240" w:h="15840"/>
          <w:pgMar w:header="0" w:footer="695" w:top="1120" w:bottom="940" w:left="1200" w:right="1200"/>
        </w:sectPr>
      </w:pPr>
    </w:p>
    <w:p>
      <w:pPr>
        <w:pStyle w:val="BodyText"/>
        <w:ind w:left="103"/>
        <w:rPr>
          <w:sz w:val="20"/>
        </w:rPr>
      </w:pPr>
      <w:r>
        <w:rPr>
          <w:sz w:val="20"/>
        </w:rPr>
        <w:drawing>
          <wp:inline distT="0" distB="0" distL="0" distR="0">
            <wp:extent cx="5158959" cy="5829300"/>
            <wp:effectExtent l="0" t="0" r="0" b="0"/>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13" cstate="print"/>
                    <a:stretch>
                      <a:fillRect/>
                    </a:stretch>
                  </pic:blipFill>
                  <pic:spPr>
                    <a:xfrm>
                      <a:off x="0" y="0"/>
                      <a:ext cx="5158959" cy="5829300"/>
                    </a:xfrm>
                    <a:prstGeom prst="rect">
                      <a:avLst/>
                    </a:prstGeom>
                  </pic:spPr>
                </pic:pic>
              </a:graphicData>
            </a:graphic>
          </wp:inline>
        </w:drawing>
      </w:r>
      <w:r>
        <w:rPr>
          <w:sz w:val="20"/>
        </w:rPr>
      </w:r>
    </w:p>
    <w:p>
      <w:pPr>
        <w:pStyle w:val="BodyText"/>
        <w:spacing w:before="8"/>
        <w:rPr>
          <w:sz w:val="18"/>
        </w:rPr>
      </w:pPr>
    </w:p>
    <w:p>
      <w:pPr>
        <w:pStyle w:val="BodyText"/>
        <w:spacing w:line="480" w:lineRule="auto" w:before="69"/>
        <w:ind w:left="103" w:right="98"/>
        <w:jc w:val="both"/>
      </w:pPr>
      <w:r>
        <w:rPr/>
        <w:t>Figure 3. Macroscopic and microscopic lesions in rainbow trout naturally infected with </w:t>
      </w:r>
      <w:r>
        <w:rPr>
          <w:i/>
        </w:rPr>
        <w:t>A. </w:t>
      </w:r>
      <w:r>
        <w:rPr>
          <w:i/>
        </w:rPr>
        <w:t>hydrophila</w:t>
      </w:r>
      <w:r>
        <w:rPr/>
        <w:t>. a) Ulcer at the base of the left ventral fin. b) Dermis, macrophage infiltration and edema (Hematoxilin-Eosin). c) Gram-negative rod resembling </w:t>
      </w:r>
      <w:r>
        <w:rPr>
          <w:i/>
        </w:rPr>
        <w:t>Aeromonas </w:t>
      </w:r>
      <w:r>
        <w:rPr/>
        <w:t>spp. in dermis (Gram stain). d) Liver, MMC infiltration in the periphery of biliary ducts and hepatocellular degeneration (Hematoxilin-Eosin). e) Liver, lymphocyte infiltration in parenchyma (Hematoxilin-Eosin). f) Kidney, severe MMC infiltration (Hematoxilin-Eosin).</w:t>
      </w:r>
    </w:p>
    <w:p>
      <w:pPr>
        <w:spacing w:after="0" w:line="480" w:lineRule="auto"/>
        <w:jc w:val="both"/>
        <w:sectPr>
          <w:pgSz w:w="12240" w:h="15840"/>
          <w:pgMar w:header="0" w:footer="695" w:top="1120" w:bottom="940" w:left="1200" w:right="1200"/>
        </w:sectPr>
      </w:pPr>
    </w:p>
    <w:p>
      <w:pPr>
        <w:pStyle w:val="BodyText"/>
        <w:ind w:left="103"/>
        <w:rPr>
          <w:sz w:val="20"/>
        </w:rPr>
      </w:pPr>
      <w:r>
        <w:rPr>
          <w:sz w:val="20"/>
        </w:rPr>
        <w:drawing>
          <wp:inline distT="0" distB="0" distL="0" distR="0">
            <wp:extent cx="5392045" cy="2207609"/>
            <wp:effectExtent l="0" t="0" r="0" b="0"/>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14" cstate="print"/>
                    <a:stretch>
                      <a:fillRect/>
                    </a:stretch>
                  </pic:blipFill>
                  <pic:spPr>
                    <a:xfrm>
                      <a:off x="0" y="0"/>
                      <a:ext cx="5392045" cy="2207609"/>
                    </a:xfrm>
                    <a:prstGeom prst="rect">
                      <a:avLst/>
                    </a:prstGeom>
                  </pic:spPr>
                </pic:pic>
              </a:graphicData>
            </a:graphic>
          </wp:inline>
        </w:drawing>
      </w:r>
      <w:r>
        <w:rPr>
          <w:sz w:val="20"/>
        </w:rPr>
      </w:r>
    </w:p>
    <w:p>
      <w:pPr>
        <w:pStyle w:val="BodyText"/>
        <w:rPr>
          <w:sz w:val="20"/>
        </w:rPr>
      </w:pPr>
    </w:p>
    <w:p>
      <w:pPr>
        <w:pStyle w:val="BodyText"/>
        <w:rPr>
          <w:sz w:val="20"/>
        </w:rPr>
      </w:pPr>
    </w:p>
    <w:p>
      <w:pPr>
        <w:pStyle w:val="BodyText"/>
        <w:spacing w:before="5"/>
        <w:rPr>
          <w:sz w:val="29"/>
        </w:rPr>
      </w:pPr>
    </w:p>
    <w:p>
      <w:pPr>
        <w:pStyle w:val="BodyText"/>
        <w:spacing w:before="69"/>
        <w:ind w:left="103" w:right="59"/>
      </w:pPr>
      <w:r>
        <w:rPr/>
        <w:t>Figure 4. Macroscopic and microscopic lesions in rainbow trout naturally infected with </w:t>
      </w:r>
      <w:r>
        <w:rPr>
          <w:i/>
        </w:rPr>
        <w:t>A.    veronii</w:t>
      </w:r>
      <w:r>
        <w:rPr/>
        <w:t>.</w:t>
      </w:r>
    </w:p>
    <w:p>
      <w:pPr>
        <w:pStyle w:val="BodyText"/>
      </w:pPr>
    </w:p>
    <w:p>
      <w:pPr>
        <w:pStyle w:val="ListParagraph"/>
        <w:numPr>
          <w:ilvl w:val="0"/>
          <w:numId w:val="5"/>
        </w:numPr>
        <w:tabs>
          <w:tab w:pos="378" w:val="left" w:leader="none"/>
        </w:tabs>
        <w:spacing w:line="480" w:lineRule="auto" w:before="0" w:after="0"/>
        <w:ind w:left="103" w:right="101" w:firstLine="0"/>
        <w:jc w:val="left"/>
        <w:rPr>
          <w:sz w:val="24"/>
        </w:rPr>
      </w:pPr>
      <w:r>
        <w:rPr>
          <w:sz w:val="24"/>
        </w:rPr>
        <w:t>Erosion of dorsal fin, moderate MMC infiltration (Hematoxilin-Eosin). b) Liver, hyperemia in parenchyma, MMC infiltration and hepatocellular degeneration</w:t>
      </w:r>
      <w:r>
        <w:rPr>
          <w:spacing w:val="-10"/>
          <w:sz w:val="24"/>
        </w:rPr>
        <w:t> </w:t>
      </w:r>
      <w:r>
        <w:rPr>
          <w:sz w:val="24"/>
        </w:rPr>
        <w:t>(Hematoxilin-Eosin).</w:t>
      </w:r>
    </w:p>
    <w:p>
      <w:pPr>
        <w:spacing w:after="0" w:line="480" w:lineRule="auto"/>
        <w:jc w:val="left"/>
        <w:rPr>
          <w:sz w:val="24"/>
        </w:rPr>
        <w:sectPr>
          <w:pgSz w:w="12240" w:h="15840"/>
          <w:pgMar w:header="0" w:footer="695" w:top="1120" w:bottom="940" w:left="1200" w:right="1200"/>
        </w:sectPr>
      </w:pPr>
    </w:p>
    <w:p>
      <w:pPr>
        <w:pStyle w:val="ListParagraph"/>
        <w:numPr>
          <w:ilvl w:val="0"/>
          <w:numId w:val="5"/>
        </w:numPr>
        <w:tabs>
          <w:tab w:pos="812" w:val="left" w:leader="none"/>
        </w:tabs>
        <w:spacing w:line="240" w:lineRule="auto" w:before="44" w:after="0"/>
        <w:ind w:left="811" w:right="0" w:hanging="348"/>
        <w:jc w:val="left"/>
        <w:rPr>
          <w:sz w:val="24"/>
        </w:rPr>
      </w:pPr>
      <w:r>
        <w:rPr>
          <w:sz w:val="24"/>
        </w:rPr>
        <w:t>Artículo</w:t>
      </w:r>
      <w:r>
        <w:rPr>
          <w:spacing w:val="-5"/>
          <w:sz w:val="24"/>
        </w:rPr>
        <w:t> </w:t>
      </w:r>
      <w:r>
        <w:rPr>
          <w:sz w:val="24"/>
        </w:rPr>
        <w:t>enviado</w:t>
      </w:r>
    </w:p>
    <w:p>
      <w:pPr>
        <w:pStyle w:val="BodyText"/>
      </w:pPr>
    </w:p>
    <w:p>
      <w:pPr>
        <w:pStyle w:val="BodyText"/>
      </w:pPr>
    </w:p>
    <w:p>
      <w:pPr>
        <w:pStyle w:val="BodyText"/>
        <w:spacing w:before="5"/>
      </w:pPr>
    </w:p>
    <w:p>
      <w:pPr>
        <w:pStyle w:val="Heading1"/>
        <w:spacing w:before="0"/>
        <w:ind w:left="811" w:right="59"/>
      </w:pPr>
      <w:r>
        <w:rPr/>
        <w:t>Journal of Aquatic Animal Health</w:t>
      </w:r>
    </w:p>
    <w:p>
      <w:pPr>
        <w:pStyle w:val="BodyText"/>
        <w:rPr>
          <w:b/>
          <w:sz w:val="20"/>
        </w:rPr>
      </w:pPr>
    </w:p>
    <w:p>
      <w:pPr>
        <w:pStyle w:val="BodyText"/>
        <w:spacing w:before="8"/>
        <w:rPr>
          <w:b/>
          <w:sz w:val="23"/>
        </w:rPr>
      </w:pPr>
      <w:r>
        <w:rPr/>
        <w:drawing>
          <wp:anchor distT="0" distB="0" distL="0" distR="0" allowOverlap="1" layoutInCell="1" locked="0" behindDoc="0" simplePos="0" relativeHeight="1168">
            <wp:simplePos x="0" y="0"/>
            <wp:positionH relativeFrom="page">
              <wp:posOffset>3369945</wp:posOffset>
            </wp:positionH>
            <wp:positionV relativeFrom="paragraph">
              <wp:posOffset>198186</wp:posOffset>
            </wp:positionV>
            <wp:extent cx="1732346" cy="2154174"/>
            <wp:effectExtent l="0" t="0" r="0" b="0"/>
            <wp:wrapTopAndBottom/>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15" cstate="print"/>
                    <a:stretch>
                      <a:fillRect/>
                    </a:stretch>
                  </pic:blipFill>
                  <pic:spPr>
                    <a:xfrm>
                      <a:off x="0" y="0"/>
                      <a:ext cx="1732346" cy="2154174"/>
                    </a:xfrm>
                    <a:prstGeom prst="rect">
                      <a:avLst/>
                    </a:prstGeom>
                  </pic:spPr>
                </pic:pic>
              </a:graphicData>
            </a:graphic>
          </wp:anchor>
        </w:drawing>
      </w:r>
    </w:p>
    <w:p>
      <w:pPr>
        <w:pStyle w:val="BodyText"/>
        <w:rPr>
          <w:b/>
        </w:rPr>
      </w:pPr>
    </w:p>
    <w:p>
      <w:pPr>
        <w:pStyle w:val="BodyText"/>
        <w:rPr>
          <w:b/>
        </w:rPr>
      </w:pPr>
    </w:p>
    <w:p>
      <w:pPr>
        <w:pStyle w:val="BodyText"/>
        <w:rPr>
          <w:b/>
        </w:rPr>
      </w:pPr>
    </w:p>
    <w:p>
      <w:pPr>
        <w:pStyle w:val="BodyText"/>
        <w:rPr>
          <w:b/>
        </w:rPr>
      </w:pPr>
    </w:p>
    <w:p>
      <w:pPr>
        <w:pStyle w:val="BodyText"/>
        <w:spacing w:line="480" w:lineRule="auto" w:before="172"/>
        <w:ind w:left="103" w:right="100" w:firstLine="707"/>
        <w:jc w:val="both"/>
      </w:pPr>
      <w:r>
        <w:rPr/>
        <w:t>Journal of Aquatic Animal Health, es una revista internacional que es publicada bajo la dirección de la División de Salud de Peces de la Sociedad Americana de Pesca. Publica trabajos de investigación sobre: causas, efectos, tratamientos y prevención de enfermedades de organismos marinos y de agua dulce. Las investigaciones abarcan temas de bioquímica, fisiología, evaluación  de impactos ambientales y</w:t>
      </w:r>
      <w:r>
        <w:rPr>
          <w:spacing w:val="-8"/>
        </w:rPr>
        <w:t> </w:t>
      </w:r>
      <w:r>
        <w:rPr/>
        <w:t>patógenos.</w:t>
      </w:r>
    </w:p>
    <w:p>
      <w:pPr>
        <w:pStyle w:val="BodyText"/>
      </w:pPr>
    </w:p>
    <w:p>
      <w:pPr>
        <w:pStyle w:val="BodyText"/>
        <w:spacing w:before="10"/>
      </w:pPr>
    </w:p>
    <w:p>
      <w:pPr>
        <w:pStyle w:val="BodyText"/>
        <w:ind w:left="811" w:right="59"/>
      </w:pPr>
      <w:r>
        <w:rPr/>
        <w:t>Factor de impacto 0.968.</w:t>
      </w:r>
    </w:p>
    <w:p>
      <w:pPr>
        <w:pStyle w:val="BodyText"/>
      </w:pPr>
    </w:p>
    <w:p>
      <w:pPr>
        <w:pStyle w:val="BodyText"/>
      </w:pPr>
    </w:p>
    <w:p>
      <w:pPr>
        <w:pStyle w:val="BodyText"/>
      </w:pPr>
    </w:p>
    <w:p>
      <w:pPr>
        <w:pStyle w:val="BodyText"/>
        <w:ind w:left="811" w:right="59"/>
      </w:pPr>
      <w:r>
        <w:rPr/>
        <w:t>Factor de impacto en 5 años 1.172</w:t>
      </w:r>
    </w:p>
    <w:p>
      <w:pPr>
        <w:spacing w:after="0"/>
        <w:sectPr>
          <w:pgSz w:w="12240" w:h="15840"/>
          <w:pgMar w:header="0" w:footer="695" w:top="1080" w:bottom="940" w:left="1200" w:right="1200"/>
        </w:sectPr>
      </w:pPr>
    </w:p>
    <w:p>
      <w:pPr>
        <w:pStyle w:val="Heading1"/>
        <w:jc w:val="both"/>
      </w:pPr>
      <w:r>
        <w:rPr/>
        <w:t>Communication</w:t>
      </w:r>
    </w:p>
    <w:p>
      <w:pPr>
        <w:pStyle w:val="BodyText"/>
        <w:rPr>
          <w:b/>
        </w:rPr>
      </w:pPr>
    </w:p>
    <w:p>
      <w:pPr>
        <w:pStyle w:val="BodyText"/>
        <w:rPr>
          <w:b/>
        </w:rPr>
      </w:pPr>
    </w:p>
    <w:p>
      <w:pPr>
        <w:pStyle w:val="BodyText"/>
        <w:rPr>
          <w:b/>
        </w:rPr>
      </w:pPr>
    </w:p>
    <w:p>
      <w:pPr>
        <w:tabs>
          <w:tab w:pos="1317" w:val="left" w:leader="none"/>
          <w:tab w:pos="1734" w:val="left" w:leader="none"/>
          <w:tab w:pos="2269" w:val="left" w:leader="none"/>
          <w:tab w:pos="3188" w:val="left" w:leader="none"/>
          <w:tab w:pos="3608" w:val="left" w:leader="none"/>
          <w:tab w:pos="4952" w:val="left" w:leader="none"/>
          <w:tab w:pos="5369" w:val="left" w:leader="none"/>
          <w:tab w:pos="7115" w:val="left" w:leader="none"/>
          <w:tab w:pos="8144" w:val="left" w:leader="none"/>
          <w:tab w:pos="9213" w:val="left" w:leader="none"/>
        </w:tabs>
        <w:spacing w:line="480" w:lineRule="auto" w:before="0"/>
        <w:ind w:left="103" w:right="105" w:firstLine="0"/>
        <w:jc w:val="left"/>
        <w:rPr>
          <w:b/>
          <w:sz w:val="24"/>
        </w:rPr>
      </w:pPr>
      <w:r>
        <w:rPr>
          <w:b/>
          <w:sz w:val="24"/>
        </w:rPr>
        <w:t>Virulence</w:t>
        <w:tab/>
        <w:t>of</w:t>
        <w:tab/>
        <w:t>ten</w:t>
        <w:tab/>
        <w:t>species</w:t>
        <w:tab/>
        <w:t>of</w:t>
        <w:tab/>
      </w:r>
      <w:r>
        <w:rPr>
          <w:b/>
          <w:i/>
          <w:sz w:val="24"/>
        </w:rPr>
        <w:t>Aeromonas</w:t>
        <w:tab/>
      </w:r>
      <w:r>
        <w:rPr>
          <w:b/>
          <w:sz w:val="24"/>
        </w:rPr>
        <w:t>in</w:t>
        <w:tab/>
        <w:t>experimentally</w:t>
        <w:tab/>
        <w:t>infected</w:t>
        <w:tab/>
        <w:t>rainbow</w:t>
        <w:tab/>
        <w:t>trout (</w:t>
      </w:r>
      <w:r>
        <w:rPr>
          <w:b/>
          <w:i/>
          <w:sz w:val="24"/>
        </w:rPr>
        <w:t>Oncorhynchus</w:t>
      </w:r>
      <w:r>
        <w:rPr>
          <w:b/>
          <w:i/>
          <w:spacing w:val="-2"/>
          <w:sz w:val="24"/>
        </w:rPr>
        <w:t> </w:t>
      </w:r>
      <w:r>
        <w:rPr>
          <w:b/>
          <w:i/>
          <w:sz w:val="24"/>
        </w:rPr>
        <w:t>mykiss</w:t>
      </w:r>
      <w:r>
        <w:rPr>
          <w:b/>
          <w:sz w:val="24"/>
        </w:rPr>
        <w:t>)</w:t>
      </w:r>
    </w:p>
    <w:p>
      <w:pPr>
        <w:pStyle w:val="BodyText"/>
        <w:rPr>
          <w:b/>
        </w:rPr>
      </w:pPr>
    </w:p>
    <w:p>
      <w:pPr>
        <w:pStyle w:val="BodyText"/>
        <w:spacing w:before="1"/>
        <w:rPr>
          <w:b/>
          <w:sz w:val="23"/>
        </w:rPr>
      </w:pPr>
    </w:p>
    <w:p>
      <w:pPr>
        <w:pStyle w:val="BodyText"/>
        <w:spacing w:line="465" w:lineRule="auto"/>
        <w:ind w:left="103" w:right="102"/>
        <w:rPr>
          <w:sz w:val="16"/>
        </w:rPr>
      </w:pPr>
      <w:r>
        <w:rPr/>
        <w:t>Andrea Paloma Zepeda-Velázquez</w:t>
      </w:r>
      <w:r>
        <w:rPr>
          <w:position w:val="9"/>
          <w:sz w:val="16"/>
        </w:rPr>
        <w:t>1</w:t>
      </w:r>
      <w:r>
        <w:rPr/>
        <w:t>, Vicente Vega-Sánchez</w:t>
      </w:r>
      <w:r>
        <w:rPr>
          <w:position w:val="9"/>
          <w:sz w:val="16"/>
        </w:rPr>
        <w:t>2</w:t>
      </w:r>
      <w:r>
        <w:rPr/>
        <w:t>, César Ortega-Santana</w:t>
      </w:r>
      <w:r>
        <w:rPr>
          <w:position w:val="9"/>
          <w:sz w:val="16"/>
        </w:rPr>
        <w:t>1</w:t>
      </w:r>
      <w:r>
        <w:rPr/>
        <w:t>, Miguel Rubio-Godoy</w:t>
      </w:r>
      <w:r>
        <w:rPr>
          <w:position w:val="9"/>
          <w:sz w:val="16"/>
        </w:rPr>
        <w:t>3</w:t>
      </w:r>
      <w:r>
        <w:rPr/>
        <w:t>, Dany Montes de Oca-Mira</w:t>
      </w:r>
      <w:r>
        <w:rPr>
          <w:position w:val="9"/>
          <w:sz w:val="16"/>
        </w:rPr>
        <w:t>1</w:t>
      </w:r>
      <w:r>
        <w:rPr/>
        <w:t>, Edgardo Soriano-Vargas</w:t>
      </w:r>
      <w:r>
        <w:rPr>
          <w:position w:val="9"/>
          <w:sz w:val="16"/>
        </w:rPr>
        <w:t>1*</w:t>
      </w:r>
    </w:p>
    <w:p>
      <w:pPr>
        <w:pStyle w:val="BodyText"/>
        <w:rPr>
          <w:sz w:val="26"/>
        </w:rPr>
      </w:pPr>
    </w:p>
    <w:p>
      <w:pPr>
        <w:pStyle w:val="BodyText"/>
        <w:spacing w:before="5"/>
        <w:rPr>
          <w:sz w:val="21"/>
        </w:rPr>
      </w:pPr>
    </w:p>
    <w:p>
      <w:pPr>
        <w:pStyle w:val="BodyText"/>
        <w:spacing w:line="480" w:lineRule="auto"/>
        <w:ind w:left="103" w:right="59"/>
      </w:pPr>
      <w:r>
        <w:rPr>
          <w:position w:val="9"/>
          <w:sz w:val="16"/>
        </w:rPr>
        <w:t>1</w:t>
      </w:r>
      <w:r>
        <w:rPr/>
        <w:t>Centro de Investigación y Estudios Avanzados en Salud Animal, Facultad de Medicina Veterinaria y Zootecnia, Universidad Autónoma del Estado de México. Toluca 50200, México.</w:t>
      </w:r>
    </w:p>
    <w:p>
      <w:pPr>
        <w:pStyle w:val="BodyText"/>
        <w:spacing w:line="480" w:lineRule="auto"/>
        <w:ind w:left="103" w:right="100"/>
      </w:pPr>
      <w:r>
        <w:rPr>
          <w:position w:val="9"/>
          <w:sz w:val="16"/>
        </w:rPr>
        <w:t>2</w:t>
      </w:r>
      <w:r>
        <w:rPr/>
        <w:t>Ingeniería en Biotecnología, Universidad Politécnica del Valle de Toluca, Toluca 50904, Estado de México, México</w:t>
      </w:r>
    </w:p>
    <w:p>
      <w:pPr>
        <w:pStyle w:val="BodyText"/>
        <w:spacing w:line="480" w:lineRule="auto"/>
        <w:ind w:left="103" w:right="151"/>
      </w:pPr>
      <w:r>
        <w:rPr>
          <w:position w:val="9"/>
          <w:sz w:val="16"/>
        </w:rPr>
        <w:t>3</w:t>
      </w:r>
      <w:r>
        <w:rPr/>
        <w:t>Instituto de Ecología, A.C., Red de Biología Evolutiva, km 2.5 antigua carretera a Coatepec, Xalapa 91070, Veracruz, México.</w:t>
      </w:r>
    </w:p>
    <w:p>
      <w:pPr>
        <w:pStyle w:val="BodyText"/>
      </w:pPr>
    </w:p>
    <w:p>
      <w:pPr>
        <w:pStyle w:val="BodyText"/>
        <w:spacing w:before="10"/>
      </w:pPr>
    </w:p>
    <w:p>
      <w:pPr>
        <w:spacing w:before="0"/>
        <w:ind w:left="103" w:right="0" w:firstLine="0"/>
        <w:jc w:val="both"/>
        <w:rPr>
          <w:sz w:val="24"/>
        </w:rPr>
      </w:pPr>
      <w:r>
        <w:rPr>
          <w:sz w:val="24"/>
        </w:rPr>
        <w:t>Short title: Virulence of ten </w:t>
      </w:r>
      <w:r>
        <w:rPr>
          <w:i/>
          <w:sz w:val="24"/>
        </w:rPr>
        <w:t>Aeromonas </w:t>
      </w:r>
      <w:r>
        <w:rPr>
          <w:sz w:val="24"/>
        </w:rPr>
        <w:t>species</w:t>
      </w:r>
    </w:p>
    <w:p>
      <w:pPr>
        <w:pStyle w:val="BodyText"/>
      </w:pPr>
    </w:p>
    <w:p>
      <w:pPr>
        <w:pStyle w:val="BodyText"/>
      </w:pPr>
    </w:p>
    <w:p>
      <w:pPr>
        <w:pStyle w:val="BodyText"/>
      </w:pPr>
    </w:p>
    <w:p>
      <w:pPr>
        <w:pStyle w:val="BodyText"/>
        <w:ind w:left="103"/>
        <w:jc w:val="both"/>
      </w:pPr>
      <w:r>
        <w:rPr/>
        <w:t>Corresponding author: Edgardo Soriano Vargas*</w:t>
      </w:r>
    </w:p>
    <w:p>
      <w:pPr>
        <w:pStyle w:val="BodyText"/>
      </w:pPr>
    </w:p>
    <w:p>
      <w:pPr>
        <w:pStyle w:val="BodyText"/>
        <w:spacing w:line="480" w:lineRule="auto"/>
        <w:ind w:left="103" w:right="100"/>
        <w:jc w:val="both"/>
      </w:pPr>
      <w:r>
        <w:rPr/>
        <w:t>Centro de Investigación y Estudios Avanzados en Salud Animal (CIESA), Facultad de Medicina Veterinaria y Zootecnia (FMVZ), Universidad Autónoma del Estado de México (UAEM). Carretera Toluca-Atlacomulco km 12, Toluca, 50200, Estado de México, México.</w:t>
      </w:r>
    </w:p>
    <w:p>
      <w:pPr>
        <w:pStyle w:val="BodyText"/>
        <w:spacing w:before="10"/>
        <w:ind w:left="103"/>
        <w:jc w:val="both"/>
      </w:pPr>
      <w:r>
        <w:rPr/>
        <w:t>Telephone/Fax: + 52 (722) 2965555. Ema</w:t>
      </w:r>
      <w:hyperlink r:id="rId10">
        <w:r>
          <w:rPr/>
          <w:t>il: soriano@uaemex.mx</w:t>
        </w:r>
      </w:hyperlink>
    </w:p>
    <w:p>
      <w:pPr>
        <w:pStyle w:val="BodyText"/>
        <w:spacing w:before="4"/>
      </w:pPr>
    </w:p>
    <w:p>
      <w:pPr>
        <w:pStyle w:val="Heading1"/>
        <w:spacing w:before="1"/>
        <w:jc w:val="both"/>
      </w:pPr>
      <w:r>
        <w:rPr/>
        <w:t>Abstract</w:t>
      </w:r>
    </w:p>
    <w:p>
      <w:pPr>
        <w:spacing w:after="0"/>
        <w:jc w:val="both"/>
        <w:sectPr>
          <w:pgSz w:w="12240" w:h="15840"/>
          <w:pgMar w:header="0" w:footer="695" w:top="1080" w:bottom="940" w:left="1200" w:right="1200"/>
        </w:sectPr>
      </w:pPr>
    </w:p>
    <w:p>
      <w:pPr>
        <w:pStyle w:val="BodyText"/>
        <w:spacing w:before="4"/>
        <w:rPr>
          <w:b/>
          <w:sz w:val="9"/>
        </w:rPr>
      </w:pPr>
    </w:p>
    <w:p>
      <w:pPr>
        <w:spacing w:line="480" w:lineRule="auto" w:before="69"/>
        <w:ind w:left="103" w:right="100" w:firstLine="0"/>
        <w:jc w:val="both"/>
        <w:rPr>
          <w:sz w:val="24"/>
        </w:rPr>
      </w:pPr>
      <w:r>
        <w:rPr>
          <w:sz w:val="24"/>
        </w:rPr>
        <w:t>The pathogenicity and virulence of 10 species of </w:t>
      </w:r>
      <w:r>
        <w:rPr>
          <w:i/>
          <w:sz w:val="24"/>
        </w:rPr>
        <w:t>Aeromonas </w:t>
      </w:r>
      <w:r>
        <w:rPr>
          <w:sz w:val="24"/>
        </w:rPr>
        <w:t>in rainbow trout fry experimentally infected by immersion were investigated. The species </w:t>
      </w:r>
      <w:r>
        <w:rPr>
          <w:i/>
          <w:sz w:val="24"/>
        </w:rPr>
        <w:t>A. bestiarum</w:t>
      </w:r>
      <w:r>
        <w:rPr>
          <w:sz w:val="24"/>
        </w:rPr>
        <w:t>, </w:t>
      </w:r>
      <w:r>
        <w:rPr>
          <w:i/>
          <w:sz w:val="24"/>
        </w:rPr>
        <w:t>A. hydrophila</w:t>
      </w:r>
      <w:r>
        <w:rPr>
          <w:sz w:val="24"/>
        </w:rPr>
        <w:t>, </w:t>
      </w:r>
      <w:r>
        <w:rPr>
          <w:i/>
          <w:sz w:val="24"/>
        </w:rPr>
        <w:t>A. salmonicida</w:t>
      </w:r>
      <w:r>
        <w:rPr>
          <w:sz w:val="24"/>
        </w:rPr>
        <w:t>, and </w:t>
      </w:r>
      <w:r>
        <w:rPr>
          <w:i/>
          <w:sz w:val="24"/>
        </w:rPr>
        <w:t>A. veronii </w:t>
      </w:r>
      <w:r>
        <w:rPr>
          <w:sz w:val="24"/>
        </w:rPr>
        <w:t>produced significantly different mortality and liver microscopic lesions compared to the other </w:t>
      </w:r>
      <w:r>
        <w:rPr>
          <w:i/>
          <w:sz w:val="24"/>
        </w:rPr>
        <w:t>Aeromonas </w:t>
      </w:r>
      <w:r>
        <w:rPr>
          <w:sz w:val="24"/>
        </w:rPr>
        <w:t>species assayed in the study. All inoculated </w:t>
      </w:r>
      <w:r>
        <w:rPr>
          <w:i/>
          <w:sz w:val="24"/>
        </w:rPr>
        <w:t>Aeromonas </w:t>
      </w:r>
      <w:r>
        <w:rPr>
          <w:sz w:val="24"/>
        </w:rPr>
        <w:t>species were  reisolated from the liver of exposed fish, indicating successful infection. Hepatic congestion was observed in fish infected with </w:t>
      </w:r>
      <w:r>
        <w:rPr>
          <w:i/>
          <w:sz w:val="24"/>
        </w:rPr>
        <w:t>A. allosaccharophila</w:t>
      </w:r>
      <w:r>
        <w:rPr>
          <w:sz w:val="24"/>
        </w:rPr>
        <w:t>, </w:t>
      </w:r>
      <w:r>
        <w:rPr>
          <w:i/>
          <w:sz w:val="24"/>
        </w:rPr>
        <w:t>A. caviae</w:t>
      </w:r>
      <w:r>
        <w:rPr>
          <w:sz w:val="24"/>
        </w:rPr>
        <w:t>, “</w:t>
      </w:r>
      <w:r>
        <w:rPr>
          <w:i/>
          <w:sz w:val="24"/>
        </w:rPr>
        <w:t>A. lusitana</w:t>
      </w:r>
      <w:r>
        <w:rPr>
          <w:sz w:val="24"/>
        </w:rPr>
        <w:t>”, </w:t>
      </w:r>
      <w:r>
        <w:rPr>
          <w:i/>
          <w:sz w:val="24"/>
        </w:rPr>
        <w:t>A. popoffii</w:t>
      </w:r>
      <w:r>
        <w:rPr>
          <w:sz w:val="24"/>
        </w:rPr>
        <w:t>, and </w:t>
      </w:r>
      <w:r>
        <w:rPr>
          <w:i/>
          <w:sz w:val="24"/>
        </w:rPr>
        <w:t>A. </w:t>
      </w:r>
      <w:r>
        <w:rPr>
          <w:i/>
          <w:sz w:val="24"/>
        </w:rPr>
        <w:t>sobria</w:t>
      </w:r>
      <w:r>
        <w:rPr>
          <w:sz w:val="24"/>
        </w:rPr>
        <w:t>, indicating their pathogenic</w:t>
      </w:r>
      <w:r>
        <w:rPr>
          <w:spacing w:val="-7"/>
          <w:sz w:val="24"/>
        </w:rPr>
        <w:t> </w:t>
      </w:r>
      <w:r>
        <w:rPr>
          <w:sz w:val="24"/>
        </w:rPr>
        <w:t>potential.</w:t>
      </w:r>
    </w:p>
    <w:p>
      <w:pPr>
        <w:pStyle w:val="BodyText"/>
      </w:pPr>
    </w:p>
    <w:p>
      <w:pPr>
        <w:pStyle w:val="BodyText"/>
        <w:spacing w:before="10"/>
      </w:pPr>
    </w:p>
    <w:p>
      <w:pPr>
        <w:pStyle w:val="BodyText"/>
        <w:ind w:left="103"/>
        <w:jc w:val="both"/>
      </w:pPr>
      <w:r>
        <w:rPr/>
        <w:t>Key words: bacteria, </w:t>
      </w:r>
      <w:r>
        <w:rPr>
          <w:i/>
        </w:rPr>
        <w:t>Aeromonas</w:t>
      </w:r>
      <w:r>
        <w:rPr/>
        <w:t>, rainbow trout, virulence.</w:t>
      </w:r>
    </w:p>
    <w:p>
      <w:pPr>
        <w:spacing w:after="0"/>
        <w:jc w:val="both"/>
        <w:sectPr>
          <w:pgSz w:w="12240" w:h="15840"/>
          <w:pgMar w:header="0" w:footer="695" w:top="1500" w:bottom="940" w:left="1200" w:right="1200"/>
        </w:sectPr>
      </w:pPr>
    </w:p>
    <w:p>
      <w:pPr>
        <w:pStyle w:val="Heading1"/>
        <w:ind w:right="59"/>
      </w:pPr>
      <w:r>
        <w:rPr/>
        <w:t>Introduction</w:t>
      </w:r>
    </w:p>
    <w:p>
      <w:pPr>
        <w:pStyle w:val="BodyText"/>
        <w:rPr>
          <w:b/>
        </w:rPr>
      </w:pPr>
    </w:p>
    <w:p>
      <w:pPr>
        <w:pStyle w:val="BodyText"/>
        <w:rPr>
          <w:b/>
        </w:rPr>
      </w:pPr>
    </w:p>
    <w:p>
      <w:pPr>
        <w:pStyle w:val="BodyText"/>
        <w:spacing w:before="7"/>
        <w:rPr>
          <w:b/>
          <w:sz w:val="23"/>
        </w:rPr>
      </w:pPr>
    </w:p>
    <w:p>
      <w:pPr>
        <w:pStyle w:val="BodyText"/>
        <w:spacing w:line="480" w:lineRule="auto"/>
        <w:ind w:left="103" w:right="105" w:firstLine="707"/>
        <w:jc w:val="both"/>
      </w:pPr>
      <w:r>
        <w:rPr/>
        <w:t>The genus </w:t>
      </w:r>
      <w:r>
        <w:rPr>
          <w:i/>
        </w:rPr>
        <w:t>Aeromonas </w:t>
      </w:r>
      <w:r>
        <w:rPr/>
        <w:t>of the family </w:t>
      </w:r>
      <w:r>
        <w:rPr>
          <w:i/>
        </w:rPr>
        <w:t>Aeromonadaceae </w:t>
      </w:r>
      <w:r>
        <w:rPr/>
        <w:t>includes bacteria that are pathogenic to fish and other animals. These bacteria are also involved in a variety of infections in both immunocompetent and immunocompromised humans (Janda and Abbott 2010).</w:t>
      </w:r>
    </w:p>
    <w:p>
      <w:pPr>
        <w:pStyle w:val="BodyText"/>
        <w:spacing w:line="480" w:lineRule="auto" w:before="10"/>
        <w:ind w:left="103" w:right="100" w:firstLine="707"/>
        <w:jc w:val="both"/>
      </w:pPr>
      <w:r>
        <w:rPr/>
        <w:t>To date, at least 30 species have been genetically identified and recognized in the genus </w:t>
      </w:r>
      <w:r>
        <w:rPr>
          <w:i/>
        </w:rPr>
        <w:t>Aeromonas </w:t>
      </w:r>
      <w:r>
        <w:rPr/>
        <w:t>(Beaz-Hidalgo </w:t>
      </w:r>
      <w:r>
        <w:rPr>
          <w:i/>
        </w:rPr>
        <w:t>et al</w:t>
      </w:r>
      <w:r>
        <w:rPr/>
        <w:t>., 2015). A number of species of </w:t>
      </w:r>
      <w:r>
        <w:rPr>
          <w:i/>
        </w:rPr>
        <w:t>Aeromonas </w:t>
      </w:r>
      <w:r>
        <w:rPr/>
        <w:t>have been isolated  from aquatic environments, and are known to be opportunistic and the cause of severe outbreaks (Aravena-Román </w:t>
      </w:r>
      <w:r>
        <w:rPr>
          <w:i/>
        </w:rPr>
        <w:t>et al</w:t>
      </w:r>
      <w:r>
        <w:rPr/>
        <w:t>., 2013; Beaz-Hidalgo </w:t>
      </w:r>
      <w:r>
        <w:rPr>
          <w:i/>
        </w:rPr>
        <w:t>et al</w:t>
      </w:r>
      <w:r>
        <w:rPr/>
        <w:t>., 2013; Martínez-Murcia </w:t>
      </w:r>
      <w:r>
        <w:rPr>
          <w:i/>
        </w:rPr>
        <w:t>et al</w:t>
      </w:r>
      <w:r>
        <w:rPr/>
        <w:t>., 2013). </w:t>
      </w:r>
      <w:r>
        <w:rPr>
          <w:i/>
        </w:rPr>
        <w:t>Aeromonas </w:t>
      </w:r>
      <w:r>
        <w:rPr>
          <w:i/>
        </w:rPr>
        <w:t>hydrophila</w:t>
      </w:r>
      <w:r>
        <w:rPr/>
        <w:t>, </w:t>
      </w:r>
      <w:r>
        <w:rPr>
          <w:i/>
        </w:rPr>
        <w:t>A. bestiarum</w:t>
      </w:r>
      <w:r>
        <w:rPr/>
        <w:t>, </w:t>
      </w:r>
      <w:r>
        <w:rPr>
          <w:i/>
        </w:rPr>
        <w:t>A. veronii</w:t>
      </w:r>
      <w:r>
        <w:rPr/>
        <w:t>, </w:t>
      </w:r>
      <w:r>
        <w:rPr>
          <w:i/>
        </w:rPr>
        <w:t>A. caviae </w:t>
      </w:r>
      <w:r>
        <w:rPr/>
        <w:t>and </w:t>
      </w:r>
      <w:r>
        <w:rPr>
          <w:i/>
        </w:rPr>
        <w:t>A. salmonicida </w:t>
      </w:r>
      <w:r>
        <w:rPr/>
        <w:t>are the main species involved in pathological conditions in salmonids. </w:t>
      </w:r>
      <w:r>
        <w:rPr>
          <w:spacing w:val="-3"/>
        </w:rPr>
        <w:t>In </w:t>
      </w:r>
      <w:r>
        <w:rPr/>
        <w:t>particular, </w:t>
      </w:r>
      <w:r>
        <w:rPr>
          <w:i/>
        </w:rPr>
        <w:t>A. salmonicida </w:t>
      </w:r>
      <w:r>
        <w:rPr/>
        <w:t>has been known as the etiologic agent of furunculosis, a skin ulcerative and septicemic disease (Austin and Austin</w:t>
      </w:r>
      <w:r>
        <w:rPr>
          <w:spacing w:val="-12"/>
        </w:rPr>
        <w:t> </w:t>
      </w:r>
      <w:r>
        <w:rPr/>
        <w:t>2007).</w:t>
      </w:r>
    </w:p>
    <w:p>
      <w:pPr>
        <w:spacing w:line="480" w:lineRule="auto" w:before="10"/>
        <w:ind w:left="103" w:right="98" w:firstLine="707"/>
        <w:jc w:val="both"/>
        <w:rPr>
          <w:sz w:val="24"/>
        </w:rPr>
      </w:pPr>
      <w:r>
        <w:rPr>
          <w:sz w:val="24"/>
        </w:rPr>
        <w:t>Ten genetically-identified species of </w:t>
      </w:r>
      <w:r>
        <w:rPr>
          <w:i/>
          <w:sz w:val="24"/>
        </w:rPr>
        <w:t>Aeromonas </w:t>
      </w:r>
      <w:r>
        <w:rPr>
          <w:sz w:val="24"/>
        </w:rPr>
        <w:t>have been isolated from farmed rainbow trout (</w:t>
      </w:r>
      <w:r>
        <w:rPr>
          <w:i/>
          <w:sz w:val="24"/>
        </w:rPr>
        <w:t>Oncorhynchus mykiss</w:t>
      </w:r>
      <w:r>
        <w:rPr>
          <w:sz w:val="24"/>
        </w:rPr>
        <w:t>) in Mexico: </w:t>
      </w:r>
      <w:r>
        <w:rPr>
          <w:i/>
          <w:sz w:val="24"/>
        </w:rPr>
        <w:t>A. bestiarum</w:t>
      </w:r>
      <w:r>
        <w:rPr>
          <w:sz w:val="24"/>
        </w:rPr>
        <w:t>, </w:t>
      </w:r>
      <w:r>
        <w:rPr>
          <w:i/>
          <w:sz w:val="24"/>
        </w:rPr>
        <w:t>A. hydrophila</w:t>
      </w:r>
      <w:r>
        <w:rPr>
          <w:sz w:val="24"/>
        </w:rPr>
        <w:t>, </w:t>
      </w:r>
      <w:r>
        <w:rPr>
          <w:i/>
          <w:sz w:val="24"/>
        </w:rPr>
        <w:t>A. media</w:t>
      </w:r>
      <w:r>
        <w:rPr>
          <w:sz w:val="24"/>
        </w:rPr>
        <w:t>, </w:t>
      </w:r>
      <w:r>
        <w:rPr>
          <w:i/>
          <w:sz w:val="24"/>
        </w:rPr>
        <w:t>A. popoffii</w:t>
      </w:r>
      <w:r>
        <w:rPr>
          <w:sz w:val="24"/>
        </w:rPr>
        <w:t>, </w:t>
      </w:r>
      <w:r>
        <w:rPr>
          <w:i/>
          <w:sz w:val="24"/>
        </w:rPr>
        <w:t>A. </w:t>
      </w:r>
      <w:r>
        <w:rPr>
          <w:i/>
          <w:sz w:val="24"/>
        </w:rPr>
        <w:t>salmonicida</w:t>
      </w:r>
      <w:r>
        <w:rPr>
          <w:sz w:val="24"/>
        </w:rPr>
        <w:t>, </w:t>
      </w:r>
      <w:r>
        <w:rPr>
          <w:i/>
          <w:sz w:val="24"/>
        </w:rPr>
        <w:t>A. sobria</w:t>
      </w:r>
      <w:r>
        <w:rPr>
          <w:sz w:val="24"/>
        </w:rPr>
        <w:t>, and </w:t>
      </w:r>
      <w:r>
        <w:rPr>
          <w:i/>
          <w:sz w:val="24"/>
        </w:rPr>
        <w:t>A. veronii </w:t>
      </w:r>
      <w:r>
        <w:rPr>
          <w:sz w:val="24"/>
        </w:rPr>
        <w:t>were isolated from skin lesions or internal tissues; while </w:t>
      </w:r>
      <w:r>
        <w:rPr>
          <w:i/>
          <w:sz w:val="24"/>
        </w:rPr>
        <w:t>A. </w:t>
      </w:r>
      <w:r>
        <w:rPr>
          <w:i/>
          <w:sz w:val="24"/>
        </w:rPr>
        <w:t>allosaccharophila</w:t>
      </w:r>
      <w:r>
        <w:rPr>
          <w:sz w:val="24"/>
        </w:rPr>
        <w:t>, </w:t>
      </w:r>
      <w:r>
        <w:rPr>
          <w:i/>
          <w:sz w:val="24"/>
        </w:rPr>
        <w:t>A. caviae</w:t>
      </w:r>
      <w:r>
        <w:rPr>
          <w:sz w:val="24"/>
        </w:rPr>
        <w:t>, and “</w:t>
      </w:r>
      <w:r>
        <w:rPr>
          <w:i/>
          <w:sz w:val="24"/>
        </w:rPr>
        <w:t>A. lusitana</w:t>
      </w:r>
      <w:r>
        <w:rPr>
          <w:sz w:val="24"/>
        </w:rPr>
        <w:t>” were isolated only from gills or intestine of healthy fish (Vega-Sánchez </w:t>
      </w:r>
      <w:r>
        <w:rPr>
          <w:i/>
          <w:sz w:val="24"/>
        </w:rPr>
        <w:t>et al</w:t>
      </w:r>
      <w:r>
        <w:rPr>
          <w:sz w:val="24"/>
        </w:rPr>
        <w:t>., 2014a, 2014b; Zepeda-Velázquez </w:t>
      </w:r>
      <w:r>
        <w:rPr>
          <w:i/>
          <w:sz w:val="24"/>
        </w:rPr>
        <w:t>et al</w:t>
      </w:r>
      <w:r>
        <w:rPr>
          <w:sz w:val="24"/>
        </w:rPr>
        <w:t>., 2015). The pathogenic potential to trout posed by these species of </w:t>
      </w:r>
      <w:r>
        <w:rPr>
          <w:i/>
          <w:sz w:val="24"/>
        </w:rPr>
        <w:t>Aeromonas </w:t>
      </w:r>
      <w:r>
        <w:rPr>
          <w:sz w:val="24"/>
        </w:rPr>
        <w:t>isolated from healthy fish is unknown.</w:t>
      </w:r>
    </w:p>
    <w:p>
      <w:pPr>
        <w:pStyle w:val="BodyText"/>
        <w:spacing w:line="480" w:lineRule="auto" w:before="10"/>
        <w:ind w:left="103" w:right="108" w:firstLine="707"/>
        <w:jc w:val="both"/>
      </w:pPr>
      <w:r>
        <w:rPr/>
        <w:t>Hence, the aim of the present study was to determine the pathogenicity and virulence of the 10 </w:t>
      </w:r>
      <w:r>
        <w:rPr>
          <w:i/>
        </w:rPr>
        <w:t>Aeromonas </w:t>
      </w:r>
      <w:r>
        <w:rPr/>
        <w:t>species previously isolated from farmed rainbow trout in Mexico.</w:t>
      </w:r>
    </w:p>
    <w:p>
      <w:pPr>
        <w:spacing w:after="0" w:line="480" w:lineRule="auto"/>
        <w:jc w:val="both"/>
        <w:sectPr>
          <w:pgSz w:w="12240" w:h="15840"/>
          <w:pgMar w:header="0" w:footer="695" w:top="1080" w:bottom="940" w:left="1200" w:right="1200"/>
        </w:sectPr>
      </w:pPr>
    </w:p>
    <w:p>
      <w:pPr>
        <w:pStyle w:val="Heading1"/>
        <w:ind w:left="811" w:right="118"/>
      </w:pPr>
      <w:r>
        <w:rPr/>
        <w:t>Methods</w:t>
      </w:r>
    </w:p>
    <w:p>
      <w:pPr>
        <w:pStyle w:val="BodyText"/>
        <w:rPr>
          <w:b/>
        </w:rPr>
      </w:pPr>
    </w:p>
    <w:p>
      <w:pPr>
        <w:pStyle w:val="BodyText"/>
        <w:rPr>
          <w:b/>
        </w:rPr>
      </w:pPr>
    </w:p>
    <w:p>
      <w:pPr>
        <w:pStyle w:val="BodyText"/>
        <w:spacing w:before="7"/>
        <w:rPr>
          <w:b/>
          <w:sz w:val="23"/>
        </w:rPr>
      </w:pPr>
    </w:p>
    <w:p>
      <w:pPr>
        <w:spacing w:line="480" w:lineRule="auto" w:before="0"/>
        <w:ind w:left="103" w:right="119" w:firstLine="707"/>
        <w:jc w:val="both"/>
        <w:rPr>
          <w:sz w:val="24"/>
        </w:rPr>
      </w:pPr>
      <w:r>
        <w:rPr>
          <w:sz w:val="24"/>
        </w:rPr>
        <w:t>Ten well-characterized </w:t>
      </w:r>
      <w:r>
        <w:rPr>
          <w:i/>
          <w:sz w:val="24"/>
        </w:rPr>
        <w:t>Aeromonas </w:t>
      </w:r>
      <w:r>
        <w:rPr>
          <w:sz w:val="24"/>
        </w:rPr>
        <w:t>species isolated from healthy and diseased, farmed rainbow trout (</w:t>
      </w:r>
      <w:r>
        <w:rPr>
          <w:i/>
          <w:sz w:val="24"/>
        </w:rPr>
        <w:t>O. mykiss</w:t>
      </w:r>
      <w:r>
        <w:rPr>
          <w:sz w:val="24"/>
        </w:rPr>
        <w:t>) in Mexico were included in the study (Table 1): </w:t>
      </w:r>
      <w:r>
        <w:rPr>
          <w:i/>
          <w:sz w:val="24"/>
        </w:rPr>
        <w:t>A</w:t>
      </w:r>
      <w:r>
        <w:rPr>
          <w:sz w:val="24"/>
        </w:rPr>
        <w:t>. </w:t>
      </w:r>
      <w:r>
        <w:rPr>
          <w:i/>
          <w:sz w:val="24"/>
        </w:rPr>
        <w:t>allosaccharophila</w:t>
      </w:r>
      <w:r>
        <w:rPr>
          <w:sz w:val="24"/>
        </w:rPr>
        <w:t>, </w:t>
      </w:r>
      <w:r>
        <w:rPr>
          <w:i/>
          <w:sz w:val="24"/>
        </w:rPr>
        <w:t>A</w:t>
      </w:r>
      <w:r>
        <w:rPr>
          <w:sz w:val="24"/>
        </w:rPr>
        <w:t>. </w:t>
      </w:r>
      <w:r>
        <w:rPr>
          <w:i/>
          <w:sz w:val="24"/>
        </w:rPr>
        <w:t>bestiarum</w:t>
      </w:r>
      <w:r>
        <w:rPr>
          <w:sz w:val="24"/>
        </w:rPr>
        <w:t>, </w:t>
      </w:r>
      <w:r>
        <w:rPr>
          <w:i/>
          <w:sz w:val="24"/>
        </w:rPr>
        <w:t>A</w:t>
      </w:r>
      <w:r>
        <w:rPr>
          <w:sz w:val="24"/>
        </w:rPr>
        <w:t>. </w:t>
      </w:r>
      <w:r>
        <w:rPr>
          <w:i/>
          <w:sz w:val="24"/>
        </w:rPr>
        <w:t>caviae</w:t>
      </w:r>
      <w:r>
        <w:rPr>
          <w:sz w:val="24"/>
        </w:rPr>
        <w:t>, </w:t>
      </w:r>
      <w:r>
        <w:rPr>
          <w:i/>
          <w:sz w:val="24"/>
        </w:rPr>
        <w:t>A</w:t>
      </w:r>
      <w:r>
        <w:rPr>
          <w:sz w:val="24"/>
        </w:rPr>
        <w:t>. </w:t>
      </w:r>
      <w:r>
        <w:rPr>
          <w:i/>
          <w:sz w:val="24"/>
        </w:rPr>
        <w:t>hydrophila</w:t>
      </w:r>
      <w:r>
        <w:rPr>
          <w:sz w:val="24"/>
        </w:rPr>
        <w:t>, “</w:t>
      </w:r>
      <w:r>
        <w:rPr>
          <w:i/>
          <w:sz w:val="24"/>
        </w:rPr>
        <w:t>A</w:t>
      </w:r>
      <w:r>
        <w:rPr>
          <w:sz w:val="24"/>
        </w:rPr>
        <w:t>. </w:t>
      </w:r>
      <w:r>
        <w:rPr>
          <w:i/>
          <w:sz w:val="24"/>
        </w:rPr>
        <w:t>lusitana</w:t>
      </w:r>
      <w:r>
        <w:rPr>
          <w:sz w:val="24"/>
        </w:rPr>
        <w:t>”, </w:t>
      </w:r>
      <w:r>
        <w:rPr>
          <w:i/>
          <w:sz w:val="24"/>
        </w:rPr>
        <w:t>A</w:t>
      </w:r>
      <w:r>
        <w:rPr>
          <w:sz w:val="24"/>
        </w:rPr>
        <w:t>. </w:t>
      </w:r>
      <w:r>
        <w:rPr>
          <w:i/>
          <w:sz w:val="24"/>
        </w:rPr>
        <w:t>media</w:t>
      </w:r>
      <w:r>
        <w:rPr>
          <w:sz w:val="24"/>
        </w:rPr>
        <w:t>, </w:t>
      </w:r>
      <w:r>
        <w:rPr>
          <w:i/>
          <w:sz w:val="24"/>
        </w:rPr>
        <w:t>A</w:t>
      </w:r>
      <w:r>
        <w:rPr>
          <w:sz w:val="24"/>
        </w:rPr>
        <w:t>. </w:t>
      </w:r>
      <w:r>
        <w:rPr>
          <w:i/>
          <w:sz w:val="24"/>
        </w:rPr>
        <w:t>popoffii</w:t>
      </w:r>
      <w:r>
        <w:rPr>
          <w:sz w:val="24"/>
        </w:rPr>
        <w:t>, </w:t>
      </w:r>
      <w:r>
        <w:rPr>
          <w:i/>
          <w:sz w:val="24"/>
        </w:rPr>
        <w:t>A</w:t>
      </w:r>
      <w:r>
        <w:rPr>
          <w:sz w:val="24"/>
        </w:rPr>
        <w:t>. </w:t>
      </w:r>
      <w:r>
        <w:rPr>
          <w:i/>
          <w:sz w:val="24"/>
        </w:rPr>
        <w:t>salmonicida </w:t>
      </w:r>
      <w:r>
        <w:rPr>
          <w:sz w:val="24"/>
        </w:rPr>
        <w:t>motile biotype, </w:t>
      </w:r>
      <w:r>
        <w:rPr>
          <w:i/>
          <w:sz w:val="24"/>
        </w:rPr>
        <w:t>A</w:t>
      </w:r>
      <w:r>
        <w:rPr>
          <w:sz w:val="24"/>
        </w:rPr>
        <w:t>. </w:t>
      </w:r>
      <w:r>
        <w:rPr>
          <w:i/>
          <w:sz w:val="24"/>
        </w:rPr>
        <w:t>sobria </w:t>
      </w:r>
      <w:r>
        <w:rPr>
          <w:sz w:val="24"/>
        </w:rPr>
        <w:t>and </w:t>
      </w:r>
      <w:r>
        <w:rPr>
          <w:i/>
          <w:sz w:val="24"/>
        </w:rPr>
        <w:t>A</w:t>
      </w:r>
      <w:r>
        <w:rPr>
          <w:sz w:val="24"/>
        </w:rPr>
        <w:t>. </w:t>
      </w:r>
      <w:r>
        <w:rPr>
          <w:i/>
          <w:sz w:val="24"/>
        </w:rPr>
        <w:t>veronii </w:t>
      </w:r>
      <w:r>
        <w:rPr>
          <w:sz w:val="24"/>
        </w:rPr>
        <w:t>(Vega-Sánchez </w:t>
      </w:r>
      <w:r>
        <w:rPr>
          <w:i/>
          <w:sz w:val="24"/>
        </w:rPr>
        <w:t>et al</w:t>
      </w:r>
      <w:r>
        <w:rPr>
          <w:sz w:val="24"/>
        </w:rPr>
        <w:t>., 2014a; 2014b; Zepeda-Velázquez </w:t>
      </w:r>
      <w:r>
        <w:rPr>
          <w:i/>
          <w:sz w:val="24"/>
        </w:rPr>
        <w:t>et al</w:t>
      </w:r>
      <w:r>
        <w:rPr>
          <w:sz w:val="24"/>
        </w:rPr>
        <w:t>., 2015).</w:t>
      </w:r>
    </w:p>
    <w:p>
      <w:pPr>
        <w:pStyle w:val="BodyText"/>
        <w:spacing w:line="480" w:lineRule="auto" w:before="11"/>
        <w:ind w:left="103" w:right="117" w:firstLine="707"/>
        <w:jc w:val="both"/>
      </w:pPr>
      <w:r>
        <w:rPr/>
        <w:t>All bacterial isolates were cultured on tryptic soy agar (TSA) and incubated at 25°C for 24 hours. Subsequently, isolates were cultured in 300 ml tryptic soy broth (TSB) and incubated under the same conditions for a further 24 hours. Optical density (OD) of bacterial stock was measured by spectrophotometry at 540 nm and adjusted to an OD of 1.0. The adjusted bacterial stock was centrifuged at 10,000 rpm for 20 minutes. Subsequently, the supernatant was eliminated and the bacterial pellet was resuspended in 300 ml of fresh TSB (Pridgeon </w:t>
      </w:r>
      <w:r>
        <w:rPr>
          <w:i/>
        </w:rPr>
        <w:t>et al</w:t>
      </w:r>
      <w:r>
        <w:rPr/>
        <w:t>., 2011). A volume of 100 µl of bacterial stock was serially diluted on TSA plates to determine colony-forming units per ml (CFU/ml).</w:t>
      </w:r>
    </w:p>
    <w:p>
      <w:pPr>
        <w:pStyle w:val="BodyText"/>
        <w:spacing w:line="480" w:lineRule="auto" w:before="10"/>
        <w:ind w:left="103" w:right="121" w:firstLine="707"/>
        <w:jc w:val="both"/>
      </w:pPr>
      <w:r>
        <w:rPr/>
        <w:t>To determine the pathogenicity and virulence of the 10 </w:t>
      </w:r>
      <w:r>
        <w:rPr>
          <w:i/>
        </w:rPr>
        <w:t>Aeromonas </w:t>
      </w:r>
      <w:r>
        <w:rPr/>
        <w:t>isolates included in the study, rainbow trout </w:t>
      </w:r>
      <w:r>
        <w:rPr>
          <w:spacing w:val="2"/>
        </w:rPr>
        <w:t>fry </w:t>
      </w:r>
      <w:r>
        <w:rPr/>
        <w:t>(3-5 centimeters) were obtained from a single farm (El Zarco, Ocoyoacac, Mexico). The farm employs spring water and has no clinical history of </w:t>
      </w:r>
      <w:r>
        <w:rPr>
          <w:i/>
        </w:rPr>
        <w:t>Aeromonas </w:t>
      </w:r>
      <w:r>
        <w:rPr/>
        <w:t>infection. A total of 990 rainbow trout fry were included in the study. Fish were maintained for two weeks prior to  the experimental period in aerated, 100-liter container tanks with chlorine-free water, equipped with an activated carbon filter and supplied with flowing water at 15± 0.5 °C. Fish were pellet-fed (El Pedregal, Silver Cup, Toluca, Mexico) once at day with an amount equivalent to 1.7 grams (gr) per day (Paniagua </w:t>
      </w:r>
      <w:r>
        <w:rPr>
          <w:i/>
        </w:rPr>
        <w:t>et al</w:t>
      </w:r>
      <w:r>
        <w:rPr/>
        <w:t>., 1990). The experimental design consisted of 10 experimental groups (one  </w:t>
      </w:r>
      <w:r>
        <w:rPr>
          <w:spacing w:val="54"/>
        </w:rPr>
        <w:t> </w:t>
      </w:r>
      <w:r>
        <w:rPr/>
        <w:t>for</w:t>
      </w:r>
    </w:p>
    <w:p>
      <w:pPr>
        <w:spacing w:after="0" w:line="480" w:lineRule="auto"/>
        <w:jc w:val="both"/>
        <w:sectPr>
          <w:pgSz w:w="12240" w:h="15840"/>
          <w:pgMar w:header="0" w:footer="695" w:top="1080" w:bottom="940" w:left="1200" w:right="1180"/>
        </w:sectPr>
      </w:pPr>
    </w:p>
    <w:p>
      <w:pPr>
        <w:pStyle w:val="BodyText"/>
        <w:spacing w:line="480" w:lineRule="auto" w:before="44"/>
        <w:ind w:left="103" w:right="99"/>
        <w:jc w:val="both"/>
      </w:pPr>
      <w:r>
        <w:rPr/>
        <w:t>each </w:t>
      </w:r>
      <w:r>
        <w:rPr>
          <w:i/>
        </w:rPr>
        <w:t>Aeromonas </w:t>
      </w:r>
      <w:r>
        <w:rPr/>
        <w:t>species) and one uninfected group. All experimental groups were handled and kept independently (Pridgeon </w:t>
      </w:r>
      <w:r>
        <w:rPr>
          <w:i/>
        </w:rPr>
        <w:t>et al</w:t>
      </w:r>
      <w:r>
        <w:rPr/>
        <w:t>., 2011). Each experimental group consisted of 30 fry by triplicate. Fish were placed in 6-liter glass aquaria with 2700 ml of chlorine-free water. Infection of fish were carried out with 300 ml of bacterial stock adjusted to 1.5 </w:t>
      </w:r>
      <w:r>
        <w:rPr>
          <w:rFonts w:ascii="Symbol" w:hAnsi="Symbol"/>
        </w:rPr>
        <w:t></w:t>
      </w:r>
      <w:r>
        <w:rPr/>
        <w:t> 10</w:t>
      </w:r>
      <w:r>
        <w:rPr>
          <w:position w:val="9"/>
          <w:sz w:val="16"/>
        </w:rPr>
        <w:t>8 </w:t>
      </w:r>
      <w:r>
        <w:rPr/>
        <w:t>CFU/ml added to the aquaria with non-circulating water, for a total volume of 3 liters. After 1 hour of immersion bath, fry were placed into new aquaria with 6 liters of fresh, chlorine-free water. The uninfected, control group was treated exactly the same way, but was exposed to 300 ml of sterile TSB. Two fry from each aquarium were euthanized at 1, 2, 3, 4, and 5 hours post-exposure. Further 5 fry were euthanized at 1, 2, 7, and 14 days post-exposure. During the 14 days after exposure, fish were checked daily, and moribund fish and those with severe clinical signs (abnormal swimming behavior, anorexia and hyperpigmentation) were immediately euthanized by an overdose of tricaine methane sulfonate (MS222; Finquel), independently of set sampling days (Noga, 2010). Tissue samples from gills, liver, kidney, spleen, and intestine were collected from euthanized fish and fixed in 10% neutral buffered formalin for 24-72 hours, embedded in paraffin, sectioned and stained for routine histological examination. To confirm clonality of inoculated bacteria, an enterobacterial repetitive intergenic consensus-polymerase chain reaction assay was performed to reisolated </w:t>
      </w:r>
      <w:r>
        <w:rPr>
          <w:i/>
        </w:rPr>
        <w:t>Aeromonas </w:t>
      </w:r>
      <w:r>
        <w:rPr/>
        <w:t>as described elsewhere (Szczuka and Kaznowski</w:t>
      </w:r>
      <w:r>
        <w:rPr>
          <w:spacing w:val="-6"/>
        </w:rPr>
        <w:t> </w:t>
      </w:r>
      <w:r>
        <w:rPr/>
        <w:t>2004).</w:t>
      </w:r>
    </w:p>
    <w:p>
      <w:pPr>
        <w:pStyle w:val="BodyText"/>
        <w:spacing w:line="480" w:lineRule="auto" w:before="10"/>
        <w:ind w:left="103" w:right="100" w:firstLine="707"/>
        <w:jc w:val="both"/>
      </w:pPr>
      <w:r>
        <w:rPr/>
        <w:t>To determine differences of virulence between </w:t>
      </w:r>
      <w:r>
        <w:rPr>
          <w:i/>
        </w:rPr>
        <w:t>Aeromonas </w:t>
      </w:r>
      <w:r>
        <w:rPr/>
        <w:t>isolates, percentages of fish with histological lesions and positive bacteriological isolation of inoculated bacteria, and mortality were analyzed by chi-square test (</w:t>
      </w:r>
      <w:r>
        <w:rPr>
          <w:rFonts w:ascii="Symbol" w:hAnsi="Symbol"/>
        </w:rPr>
        <w:t></w:t>
      </w:r>
      <w:r>
        <w:rPr/>
        <w:t>=0.05) (Holten-Andersen </w:t>
      </w:r>
      <w:r>
        <w:rPr>
          <w:i/>
        </w:rPr>
        <w:t>et al</w:t>
      </w:r>
      <w:r>
        <w:rPr/>
        <w:t>., 2012). Survival plots of infected fish were determined by Kaplan-Meier and compared with a Wilcoxon test (Zar, 1999).</w:t>
      </w:r>
    </w:p>
    <w:p>
      <w:pPr>
        <w:spacing w:after="0" w:line="480" w:lineRule="auto"/>
        <w:jc w:val="both"/>
        <w:sectPr>
          <w:pgSz w:w="12240" w:h="15840"/>
          <w:pgMar w:header="0" w:footer="695" w:top="1080" w:bottom="940" w:left="1200" w:right="1200"/>
        </w:sectPr>
      </w:pPr>
    </w:p>
    <w:p>
      <w:pPr>
        <w:pStyle w:val="Heading1"/>
        <w:ind w:right="59"/>
      </w:pPr>
      <w:r>
        <w:rPr/>
        <w:t>Results</w:t>
      </w:r>
    </w:p>
    <w:p>
      <w:pPr>
        <w:pStyle w:val="BodyText"/>
        <w:rPr>
          <w:b/>
        </w:rPr>
      </w:pPr>
    </w:p>
    <w:p>
      <w:pPr>
        <w:pStyle w:val="BodyText"/>
        <w:rPr>
          <w:b/>
        </w:rPr>
      </w:pPr>
    </w:p>
    <w:p>
      <w:pPr>
        <w:pStyle w:val="BodyText"/>
        <w:spacing w:before="7"/>
        <w:rPr>
          <w:b/>
          <w:sz w:val="23"/>
        </w:rPr>
      </w:pPr>
    </w:p>
    <w:p>
      <w:pPr>
        <w:pStyle w:val="BodyText"/>
        <w:spacing w:line="480" w:lineRule="auto"/>
        <w:ind w:left="103" w:right="98" w:firstLine="707"/>
        <w:jc w:val="both"/>
      </w:pPr>
      <w:r>
        <w:rPr/>
        <w:t>Abnormal swimming behavior and external clinical signs (anorexia and hyperpigmentation) were observed in fish exposed to isolates of </w:t>
      </w:r>
      <w:r>
        <w:rPr>
          <w:i/>
        </w:rPr>
        <w:t>A</w:t>
      </w:r>
      <w:r>
        <w:rPr/>
        <w:t>. </w:t>
      </w:r>
      <w:r>
        <w:rPr>
          <w:i/>
        </w:rPr>
        <w:t>salmonicida</w:t>
      </w:r>
      <w:r>
        <w:rPr/>
        <w:t>, </w:t>
      </w:r>
      <w:r>
        <w:rPr>
          <w:i/>
        </w:rPr>
        <w:t>A</w:t>
      </w:r>
      <w:r>
        <w:rPr/>
        <w:t>. </w:t>
      </w:r>
      <w:r>
        <w:rPr>
          <w:i/>
        </w:rPr>
        <w:t>hydrophila</w:t>
      </w:r>
      <w:r>
        <w:rPr/>
        <w:t>, </w:t>
      </w:r>
      <w:r>
        <w:rPr>
          <w:i/>
        </w:rPr>
        <w:t>A</w:t>
      </w:r>
      <w:r>
        <w:rPr/>
        <w:t>. </w:t>
      </w:r>
      <w:r>
        <w:rPr>
          <w:i/>
        </w:rPr>
        <w:t>veronii</w:t>
      </w:r>
      <w:r>
        <w:rPr/>
        <w:t>, and </w:t>
      </w:r>
      <w:r>
        <w:rPr>
          <w:i/>
        </w:rPr>
        <w:t>A</w:t>
      </w:r>
      <w:r>
        <w:rPr/>
        <w:t>. </w:t>
      </w:r>
      <w:r>
        <w:rPr>
          <w:i/>
        </w:rPr>
        <w:t>bestiarum </w:t>
      </w:r>
      <w:r>
        <w:rPr/>
        <w:t>at the same day of inoculation. No external clinical sings were observed in the groups exposed to isolates of </w:t>
      </w:r>
      <w:r>
        <w:rPr>
          <w:i/>
        </w:rPr>
        <w:t>A</w:t>
      </w:r>
      <w:r>
        <w:rPr/>
        <w:t>. </w:t>
      </w:r>
      <w:r>
        <w:rPr>
          <w:i/>
        </w:rPr>
        <w:t>allosaccharophila</w:t>
      </w:r>
      <w:r>
        <w:rPr/>
        <w:t>, </w:t>
      </w:r>
      <w:r>
        <w:rPr>
          <w:i/>
        </w:rPr>
        <w:t>A. caviae</w:t>
      </w:r>
      <w:r>
        <w:rPr/>
        <w:t>, “</w:t>
      </w:r>
      <w:r>
        <w:rPr>
          <w:i/>
        </w:rPr>
        <w:t>A</w:t>
      </w:r>
      <w:r>
        <w:rPr/>
        <w:t>. </w:t>
      </w:r>
      <w:r>
        <w:rPr>
          <w:i/>
        </w:rPr>
        <w:t>lusitana</w:t>
      </w:r>
      <w:r>
        <w:rPr/>
        <w:t>”, </w:t>
      </w:r>
      <w:r>
        <w:rPr>
          <w:i/>
        </w:rPr>
        <w:t>A</w:t>
      </w:r>
      <w:r>
        <w:rPr/>
        <w:t>. </w:t>
      </w:r>
      <w:r>
        <w:rPr>
          <w:i/>
        </w:rPr>
        <w:t>media</w:t>
      </w:r>
      <w:r>
        <w:rPr/>
        <w:t>, </w:t>
      </w:r>
      <w:r>
        <w:rPr>
          <w:i/>
        </w:rPr>
        <w:t>A</w:t>
      </w:r>
      <w:r>
        <w:rPr/>
        <w:t>. </w:t>
      </w:r>
      <w:r>
        <w:rPr>
          <w:i/>
        </w:rPr>
        <w:t>popoffii</w:t>
      </w:r>
      <w:r>
        <w:rPr/>
        <w:t>, and </w:t>
      </w:r>
      <w:r>
        <w:rPr>
          <w:i/>
        </w:rPr>
        <w:t>A. </w:t>
      </w:r>
      <w:r>
        <w:rPr>
          <w:i/>
        </w:rPr>
        <w:t>sobria</w:t>
      </w:r>
      <w:r>
        <w:rPr/>
        <w:t>. No external and internal clinical sings, neither macroscopic nor microscopic lesions were observed in the uninfected control group (Table 1). During 14 days post-exposure, no mortality was recorded in fish groups infected with </w:t>
      </w:r>
      <w:r>
        <w:rPr>
          <w:i/>
        </w:rPr>
        <w:t>A</w:t>
      </w:r>
      <w:r>
        <w:rPr/>
        <w:t>. </w:t>
      </w:r>
      <w:r>
        <w:rPr>
          <w:i/>
        </w:rPr>
        <w:t>allosaccharophila</w:t>
      </w:r>
      <w:r>
        <w:rPr/>
        <w:t>, “</w:t>
      </w:r>
      <w:r>
        <w:rPr>
          <w:i/>
        </w:rPr>
        <w:t>A</w:t>
      </w:r>
      <w:r>
        <w:rPr/>
        <w:t>. </w:t>
      </w:r>
      <w:r>
        <w:rPr>
          <w:i/>
        </w:rPr>
        <w:t>lusitana</w:t>
      </w:r>
      <w:r>
        <w:rPr/>
        <w:t>”, </w:t>
      </w:r>
      <w:r>
        <w:rPr>
          <w:i/>
        </w:rPr>
        <w:t>A. media</w:t>
      </w:r>
      <w:r>
        <w:rPr/>
        <w:t>, </w:t>
      </w:r>
      <w:r>
        <w:rPr>
          <w:i/>
        </w:rPr>
        <w:t>A</w:t>
      </w:r>
      <w:r>
        <w:rPr/>
        <w:t>. </w:t>
      </w:r>
      <w:r>
        <w:rPr>
          <w:i/>
        </w:rPr>
        <w:t>popoffii </w:t>
      </w:r>
      <w:r>
        <w:rPr/>
        <w:t>and the uninfected group (Figure 1). Fish infected with </w:t>
      </w:r>
      <w:r>
        <w:rPr>
          <w:i/>
        </w:rPr>
        <w:t>A</w:t>
      </w:r>
      <w:r>
        <w:rPr/>
        <w:t>. </w:t>
      </w:r>
      <w:r>
        <w:rPr>
          <w:i/>
        </w:rPr>
        <w:t>sobria </w:t>
      </w:r>
      <w:r>
        <w:rPr/>
        <w:t>and </w:t>
      </w:r>
      <w:r>
        <w:rPr>
          <w:i/>
        </w:rPr>
        <w:t>A</w:t>
      </w:r>
      <w:r>
        <w:rPr/>
        <w:t>. </w:t>
      </w:r>
      <w:r>
        <w:rPr>
          <w:i/>
        </w:rPr>
        <w:t>caviae </w:t>
      </w:r>
      <w:r>
        <w:rPr/>
        <w:t>showed higher survival (mean calculated survival time 12 and 7 days, respectively) compared with those exposed to </w:t>
      </w:r>
      <w:r>
        <w:rPr>
          <w:i/>
        </w:rPr>
        <w:t>A</w:t>
      </w:r>
      <w:r>
        <w:rPr/>
        <w:t>. </w:t>
      </w:r>
      <w:r>
        <w:rPr>
          <w:i/>
        </w:rPr>
        <w:t>salmonicida</w:t>
      </w:r>
      <w:r>
        <w:rPr/>
        <w:t>, </w:t>
      </w:r>
      <w:r>
        <w:rPr>
          <w:i/>
        </w:rPr>
        <w:t>A</w:t>
      </w:r>
      <w:r>
        <w:rPr/>
        <w:t>. </w:t>
      </w:r>
      <w:r>
        <w:rPr>
          <w:i/>
        </w:rPr>
        <w:t>hydrophila</w:t>
      </w:r>
      <w:r>
        <w:rPr/>
        <w:t>, and </w:t>
      </w:r>
      <w:r>
        <w:rPr>
          <w:i/>
        </w:rPr>
        <w:t>A</w:t>
      </w:r>
      <w:r>
        <w:rPr/>
        <w:t>. </w:t>
      </w:r>
      <w:r>
        <w:rPr>
          <w:i/>
        </w:rPr>
        <w:t>veronii </w:t>
      </w:r>
      <w:r>
        <w:rPr/>
        <w:t>(all three of which induced mortality starting on inoculation day), and to </w:t>
      </w:r>
      <w:r>
        <w:rPr>
          <w:i/>
        </w:rPr>
        <w:t>A</w:t>
      </w:r>
      <w:r>
        <w:rPr/>
        <w:t>. </w:t>
      </w:r>
      <w:r>
        <w:rPr>
          <w:i/>
        </w:rPr>
        <w:t>bestiarum </w:t>
      </w:r>
      <w:r>
        <w:rPr/>
        <w:t>(Figure 1). There was significant difference between </w:t>
      </w:r>
      <w:r>
        <w:rPr>
          <w:i/>
        </w:rPr>
        <w:t>A</w:t>
      </w:r>
      <w:r>
        <w:rPr/>
        <w:t>. </w:t>
      </w:r>
      <w:r>
        <w:rPr>
          <w:i/>
        </w:rPr>
        <w:t>salmonicida </w:t>
      </w:r>
      <w:r>
        <w:rPr/>
        <w:t>(17 fish died with a highest rate at 3 hours post-exposure), </w:t>
      </w:r>
      <w:r>
        <w:rPr>
          <w:i/>
        </w:rPr>
        <w:t>A</w:t>
      </w:r>
      <w:r>
        <w:rPr/>
        <w:t>. </w:t>
      </w:r>
      <w:r>
        <w:rPr>
          <w:i/>
        </w:rPr>
        <w:t>hydrophila </w:t>
      </w:r>
      <w:r>
        <w:rPr/>
        <w:t>(11 fish died with a highest rate at 7 days post-exposure), </w:t>
      </w:r>
      <w:r>
        <w:rPr>
          <w:i/>
        </w:rPr>
        <w:t>A</w:t>
      </w:r>
      <w:r>
        <w:rPr/>
        <w:t>. </w:t>
      </w:r>
      <w:r>
        <w:rPr>
          <w:i/>
        </w:rPr>
        <w:t>bestiarum </w:t>
      </w:r>
      <w:r>
        <w:rPr/>
        <w:t>and </w:t>
      </w:r>
      <w:r>
        <w:rPr>
          <w:i/>
        </w:rPr>
        <w:t>A</w:t>
      </w:r>
      <w:r>
        <w:rPr/>
        <w:t>. </w:t>
      </w:r>
      <w:r>
        <w:rPr>
          <w:i/>
        </w:rPr>
        <w:t>veronii </w:t>
      </w:r>
      <w:r>
        <w:rPr/>
        <w:t>(8 fish died, both with a highest rate at 2 days post-exposure) compared whit </w:t>
      </w:r>
      <w:r>
        <w:rPr>
          <w:i/>
        </w:rPr>
        <w:t>A</w:t>
      </w:r>
      <w:r>
        <w:rPr/>
        <w:t>. </w:t>
      </w:r>
      <w:r>
        <w:rPr>
          <w:i/>
        </w:rPr>
        <w:t>caviae </w:t>
      </w:r>
      <w:r>
        <w:rPr/>
        <w:t>(3 fish died with a highest rate at 11 days post-exposure) and </w:t>
      </w:r>
      <w:r>
        <w:rPr>
          <w:i/>
        </w:rPr>
        <w:t>A</w:t>
      </w:r>
      <w:r>
        <w:rPr/>
        <w:t>. </w:t>
      </w:r>
      <w:r>
        <w:rPr>
          <w:i/>
        </w:rPr>
        <w:t>sobria </w:t>
      </w:r>
      <w:r>
        <w:rPr/>
        <w:t>(1fish died with a highest rate at 11 days post-exposure), respect to survival (p 0.024; Z =-2.20). The statistical differences on mortality analysis corroborate the date obtained of survival plots, </w:t>
      </w:r>
      <w:r>
        <w:rPr>
          <w:i/>
        </w:rPr>
        <w:t>A</w:t>
      </w:r>
      <w:r>
        <w:rPr/>
        <w:t>. </w:t>
      </w:r>
      <w:r>
        <w:rPr>
          <w:i/>
        </w:rPr>
        <w:t>salmonicida</w:t>
      </w:r>
      <w:r>
        <w:rPr/>
        <w:t>, </w:t>
      </w:r>
      <w:r>
        <w:rPr>
          <w:i/>
        </w:rPr>
        <w:t>A</w:t>
      </w:r>
      <w:r>
        <w:rPr/>
        <w:t>. </w:t>
      </w:r>
      <w:r>
        <w:rPr>
          <w:i/>
        </w:rPr>
        <w:t>hydrophila</w:t>
      </w:r>
      <w:r>
        <w:rPr/>
        <w:t>, </w:t>
      </w:r>
      <w:r>
        <w:rPr>
          <w:i/>
        </w:rPr>
        <w:t>A</w:t>
      </w:r>
      <w:r>
        <w:rPr/>
        <w:t>. </w:t>
      </w:r>
      <w:r>
        <w:rPr>
          <w:i/>
        </w:rPr>
        <w:t>bestiarum </w:t>
      </w:r>
      <w:r>
        <w:rPr/>
        <w:t>and </w:t>
      </w:r>
      <w:r>
        <w:rPr>
          <w:i/>
        </w:rPr>
        <w:t>A</w:t>
      </w:r>
      <w:r>
        <w:rPr/>
        <w:t>. </w:t>
      </w:r>
      <w:r>
        <w:rPr>
          <w:i/>
        </w:rPr>
        <w:t>veronii </w:t>
      </w:r>
      <w:r>
        <w:rPr/>
        <w:t>were the most virulent species than kill fry trout by immersion bath (Figure 1).</w:t>
      </w:r>
    </w:p>
    <w:p>
      <w:pPr>
        <w:pStyle w:val="BodyText"/>
        <w:spacing w:line="480" w:lineRule="auto" w:before="10"/>
        <w:ind w:left="103" w:right="99" w:firstLine="707"/>
        <w:jc w:val="both"/>
      </w:pPr>
      <w:r>
        <w:rPr/>
        <w:t>Structural changes in gills of all fish with different severity grades was observed, severe to moderate hyperplasia of epithelial cells, basal, apical or both, lamellar fusions, general congestion  of</w:t>
      </w:r>
      <w:r>
        <w:rPr>
          <w:spacing w:val="41"/>
        </w:rPr>
        <w:t> </w:t>
      </w:r>
      <w:r>
        <w:rPr/>
        <w:t>secondary</w:t>
      </w:r>
      <w:r>
        <w:rPr>
          <w:spacing w:val="37"/>
        </w:rPr>
        <w:t> </w:t>
      </w:r>
      <w:r>
        <w:rPr/>
        <w:t>lamellas</w:t>
      </w:r>
      <w:r>
        <w:rPr>
          <w:spacing w:val="42"/>
        </w:rPr>
        <w:t> </w:t>
      </w:r>
      <w:r>
        <w:rPr/>
        <w:t>and</w:t>
      </w:r>
      <w:r>
        <w:rPr>
          <w:spacing w:val="41"/>
        </w:rPr>
        <w:t> </w:t>
      </w:r>
      <w:r>
        <w:rPr/>
        <w:t>epithelial</w:t>
      </w:r>
      <w:r>
        <w:rPr>
          <w:spacing w:val="42"/>
        </w:rPr>
        <w:t> </w:t>
      </w:r>
      <w:r>
        <w:rPr/>
        <w:t>lifting</w:t>
      </w:r>
      <w:r>
        <w:rPr>
          <w:spacing w:val="39"/>
        </w:rPr>
        <w:t> </w:t>
      </w:r>
      <w:r>
        <w:rPr/>
        <w:t>of</w:t>
      </w:r>
      <w:r>
        <w:rPr>
          <w:spacing w:val="41"/>
        </w:rPr>
        <w:t> </w:t>
      </w:r>
      <w:r>
        <w:rPr/>
        <w:t>the</w:t>
      </w:r>
      <w:r>
        <w:rPr>
          <w:spacing w:val="41"/>
        </w:rPr>
        <w:t> </w:t>
      </w:r>
      <w:r>
        <w:rPr/>
        <w:t>secondary</w:t>
      </w:r>
      <w:r>
        <w:rPr>
          <w:spacing w:val="34"/>
        </w:rPr>
        <w:t> </w:t>
      </w:r>
      <w:r>
        <w:rPr/>
        <w:t>lamellae</w:t>
      </w:r>
      <w:r>
        <w:rPr>
          <w:spacing w:val="49"/>
        </w:rPr>
        <w:t> </w:t>
      </w:r>
      <w:r>
        <w:rPr/>
        <w:t>were</w:t>
      </w:r>
      <w:r>
        <w:rPr>
          <w:spacing w:val="40"/>
        </w:rPr>
        <w:t> </w:t>
      </w:r>
      <w:r>
        <w:rPr/>
        <w:t>observed</w:t>
      </w:r>
      <w:r>
        <w:rPr>
          <w:spacing w:val="43"/>
        </w:rPr>
        <w:t> </w:t>
      </w:r>
      <w:r>
        <w:rPr/>
        <w:t>in</w:t>
      </w:r>
      <w:r>
        <w:rPr>
          <w:spacing w:val="42"/>
        </w:rPr>
        <w:t> </w:t>
      </w:r>
      <w:r>
        <w:rPr/>
        <w:t>on</w:t>
      </w:r>
      <w:r>
        <w:rPr>
          <w:spacing w:val="41"/>
        </w:rPr>
        <w:t> </w:t>
      </w:r>
      <w:r>
        <w:rPr/>
        <w:t>fish</w:t>
      </w:r>
    </w:p>
    <w:p>
      <w:pPr>
        <w:spacing w:after="0" w:line="480" w:lineRule="auto"/>
        <w:jc w:val="both"/>
        <w:sectPr>
          <w:pgSz w:w="12240" w:h="15840"/>
          <w:pgMar w:header="0" w:footer="695" w:top="1080" w:bottom="940" w:left="1200" w:right="1200"/>
        </w:sectPr>
      </w:pPr>
    </w:p>
    <w:p>
      <w:pPr>
        <w:spacing w:line="480" w:lineRule="auto" w:before="44"/>
        <w:ind w:left="103" w:right="59" w:firstLine="0"/>
        <w:jc w:val="left"/>
        <w:rPr>
          <w:sz w:val="24"/>
        </w:rPr>
      </w:pPr>
      <w:r>
        <w:rPr>
          <w:sz w:val="24"/>
        </w:rPr>
        <w:t>infected with </w:t>
      </w:r>
      <w:r>
        <w:rPr>
          <w:i/>
          <w:sz w:val="24"/>
        </w:rPr>
        <w:t>A</w:t>
      </w:r>
      <w:r>
        <w:rPr>
          <w:sz w:val="24"/>
        </w:rPr>
        <w:t>. </w:t>
      </w:r>
      <w:r>
        <w:rPr>
          <w:i/>
          <w:sz w:val="24"/>
        </w:rPr>
        <w:t>salmonicida A</w:t>
      </w:r>
      <w:r>
        <w:rPr>
          <w:sz w:val="24"/>
        </w:rPr>
        <w:t>. </w:t>
      </w:r>
      <w:r>
        <w:rPr>
          <w:i/>
          <w:sz w:val="24"/>
        </w:rPr>
        <w:t>hydrophila A</w:t>
      </w:r>
      <w:r>
        <w:rPr>
          <w:sz w:val="24"/>
        </w:rPr>
        <w:t>. </w:t>
      </w:r>
      <w:r>
        <w:rPr>
          <w:i/>
          <w:sz w:val="24"/>
        </w:rPr>
        <w:t>veronii </w:t>
      </w:r>
      <w:r>
        <w:rPr>
          <w:sz w:val="24"/>
        </w:rPr>
        <w:t>and </w:t>
      </w:r>
      <w:r>
        <w:rPr>
          <w:i/>
          <w:sz w:val="24"/>
        </w:rPr>
        <w:t>A</w:t>
      </w:r>
      <w:r>
        <w:rPr>
          <w:sz w:val="24"/>
        </w:rPr>
        <w:t>. </w:t>
      </w:r>
      <w:r>
        <w:rPr>
          <w:i/>
          <w:sz w:val="24"/>
        </w:rPr>
        <w:t>bestiarum</w:t>
      </w:r>
      <w:r>
        <w:rPr>
          <w:sz w:val="24"/>
        </w:rPr>
        <w:t>. Mild gill congestion were observed on fish infected whit </w:t>
      </w:r>
      <w:r>
        <w:rPr>
          <w:i/>
          <w:sz w:val="24"/>
        </w:rPr>
        <w:t>A</w:t>
      </w:r>
      <w:r>
        <w:rPr>
          <w:sz w:val="24"/>
        </w:rPr>
        <w:t>. </w:t>
      </w:r>
      <w:r>
        <w:rPr>
          <w:i/>
          <w:sz w:val="24"/>
        </w:rPr>
        <w:t>caviae </w:t>
      </w:r>
      <w:r>
        <w:rPr>
          <w:sz w:val="24"/>
        </w:rPr>
        <w:t>and </w:t>
      </w:r>
      <w:r>
        <w:rPr>
          <w:i/>
          <w:sz w:val="24"/>
        </w:rPr>
        <w:t>A</w:t>
      </w:r>
      <w:r>
        <w:rPr>
          <w:sz w:val="24"/>
        </w:rPr>
        <w:t>. </w:t>
      </w:r>
      <w:r>
        <w:rPr>
          <w:i/>
          <w:sz w:val="24"/>
        </w:rPr>
        <w:t>sobria</w:t>
      </w:r>
      <w:r>
        <w:rPr>
          <w:sz w:val="24"/>
        </w:rPr>
        <w:t>.</w:t>
      </w:r>
    </w:p>
    <w:p>
      <w:pPr>
        <w:spacing w:line="480" w:lineRule="auto" w:before="10"/>
        <w:ind w:left="103" w:right="100" w:firstLine="707"/>
        <w:jc w:val="both"/>
        <w:rPr>
          <w:sz w:val="24"/>
        </w:rPr>
      </w:pPr>
      <w:r>
        <w:rPr>
          <w:sz w:val="24"/>
        </w:rPr>
        <w:t>Internal clinic signs was observed, hepatic congestion with different degrees of severity was observed in all groups infected. Fish exposed to </w:t>
      </w:r>
      <w:r>
        <w:rPr>
          <w:i/>
          <w:sz w:val="24"/>
        </w:rPr>
        <w:t>A</w:t>
      </w:r>
      <w:r>
        <w:rPr>
          <w:sz w:val="24"/>
        </w:rPr>
        <w:t>. </w:t>
      </w:r>
      <w:r>
        <w:rPr>
          <w:i/>
          <w:sz w:val="24"/>
        </w:rPr>
        <w:t>salmonicida</w:t>
      </w:r>
      <w:r>
        <w:rPr>
          <w:sz w:val="24"/>
        </w:rPr>
        <w:t>, </w:t>
      </w:r>
      <w:r>
        <w:rPr>
          <w:i/>
          <w:sz w:val="24"/>
        </w:rPr>
        <w:t>A</w:t>
      </w:r>
      <w:r>
        <w:rPr>
          <w:sz w:val="24"/>
        </w:rPr>
        <w:t>. </w:t>
      </w:r>
      <w:r>
        <w:rPr>
          <w:i/>
          <w:sz w:val="24"/>
        </w:rPr>
        <w:t>hydrophila</w:t>
      </w:r>
      <w:r>
        <w:rPr>
          <w:sz w:val="24"/>
        </w:rPr>
        <w:t>, </w:t>
      </w:r>
      <w:r>
        <w:rPr>
          <w:i/>
          <w:sz w:val="24"/>
        </w:rPr>
        <w:t>A</w:t>
      </w:r>
      <w:r>
        <w:rPr>
          <w:sz w:val="24"/>
        </w:rPr>
        <w:t>. </w:t>
      </w:r>
      <w:r>
        <w:rPr>
          <w:i/>
          <w:sz w:val="24"/>
        </w:rPr>
        <w:t>veronii</w:t>
      </w:r>
      <w:r>
        <w:rPr>
          <w:sz w:val="24"/>
        </w:rPr>
        <w:t>, </w:t>
      </w:r>
      <w:r>
        <w:rPr>
          <w:i/>
          <w:sz w:val="24"/>
        </w:rPr>
        <w:t>A</w:t>
      </w:r>
      <w:r>
        <w:rPr>
          <w:sz w:val="24"/>
        </w:rPr>
        <w:t>. </w:t>
      </w:r>
      <w:r>
        <w:rPr>
          <w:i/>
          <w:sz w:val="24"/>
        </w:rPr>
        <w:t>bestiarum</w:t>
      </w:r>
      <w:r>
        <w:rPr>
          <w:sz w:val="24"/>
        </w:rPr>
        <w:t>, </w:t>
      </w:r>
      <w:r>
        <w:rPr>
          <w:i/>
          <w:sz w:val="24"/>
        </w:rPr>
        <w:t>A</w:t>
      </w:r>
      <w:r>
        <w:rPr>
          <w:sz w:val="24"/>
        </w:rPr>
        <w:t>. </w:t>
      </w:r>
      <w:r>
        <w:rPr>
          <w:i/>
          <w:sz w:val="24"/>
        </w:rPr>
        <w:t>caviae </w:t>
      </w:r>
      <w:r>
        <w:rPr>
          <w:sz w:val="24"/>
        </w:rPr>
        <w:t>and </w:t>
      </w:r>
      <w:r>
        <w:rPr>
          <w:i/>
          <w:sz w:val="24"/>
        </w:rPr>
        <w:t>A</w:t>
      </w:r>
      <w:r>
        <w:rPr>
          <w:sz w:val="24"/>
        </w:rPr>
        <w:t>. </w:t>
      </w:r>
      <w:r>
        <w:rPr>
          <w:i/>
          <w:sz w:val="24"/>
        </w:rPr>
        <w:t>sobria </w:t>
      </w:r>
      <w:r>
        <w:rPr>
          <w:sz w:val="24"/>
        </w:rPr>
        <w:t>(severe to mild); while mild hepatic congestion was observed in fish exposed to </w:t>
      </w:r>
      <w:r>
        <w:rPr>
          <w:i/>
          <w:sz w:val="24"/>
        </w:rPr>
        <w:t>A</w:t>
      </w:r>
      <w:r>
        <w:rPr>
          <w:sz w:val="24"/>
        </w:rPr>
        <w:t>. </w:t>
      </w:r>
      <w:r>
        <w:rPr>
          <w:i/>
          <w:sz w:val="24"/>
        </w:rPr>
        <w:t>allosaccharophila</w:t>
      </w:r>
      <w:r>
        <w:rPr>
          <w:sz w:val="24"/>
        </w:rPr>
        <w:t>, </w:t>
      </w:r>
      <w:r>
        <w:rPr>
          <w:i/>
          <w:sz w:val="24"/>
        </w:rPr>
        <w:t>A</w:t>
      </w:r>
      <w:r>
        <w:rPr>
          <w:sz w:val="24"/>
        </w:rPr>
        <w:t>. </w:t>
      </w:r>
      <w:r>
        <w:rPr>
          <w:i/>
          <w:sz w:val="24"/>
        </w:rPr>
        <w:t>caviae</w:t>
      </w:r>
      <w:r>
        <w:rPr>
          <w:sz w:val="24"/>
        </w:rPr>
        <w:t>, </w:t>
      </w:r>
      <w:r>
        <w:rPr>
          <w:i/>
          <w:sz w:val="24"/>
        </w:rPr>
        <w:t>A</w:t>
      </w:r>
      <w:r>
        <w:rPr>
          <w:sz w:val="24"/>
        </w:rPr>
        <w:t>. </w:t>
      </w:r>
      <w:r>
        <w:rPr>
          <w:i/>
          <w:sz w:val="24"/>
        </w:rPr>
        <w:t>popoffii </w:t>
      </w:r>
      <w:r>
        <w:rPr>
          <w:sz w:val="24"/>
        </w:rPr>
        <w:t>and </w:t>
      </w:r>
      <w:r>
        <w:rPr>
          <w:i/>
          <w:sz w:val="24"/>
        </w:rPr>
        <w:t>A</w:t>
      </w:r>
      <w:r>
        <w:rPr>
          <w:sz w:val="24"/>
        </w:rPr>
        <w:t>. </w:t>
      </w:r>
      <w:r>
        <w:rPr>
          <w:i/>
          <w:sz w:val="24"/>
        </w:rPr>
        <w:t>sobria </w:t>
      </w:r>
      <w:r>
        <w:rPr>
          <w:sz w:val="24"/>
        </w:rPr>
        <w:t>(all before 7 days post- exposure). Coccobacilli shapes were no observed in hepatic tissue.</w:t>
      </w:r>
    </w:p>
    <w:p>
      <w:pPr>
        <w:pStyle w:val="BodyText"/>
        <w:spacing w:line="480" w:lineRule="auto" w:before="11"/>
        <w:ind w:left="103" w:right="99" w:firstLine="707"/>
        <w:jc w:val="both"/>
      </w:pPr>
      <w:r>
        <w:rPr/>
        <w:t>Petechial hemorrhages in the ventral part of the opercula and the ventral surface near the anus were only observed in one fish infected with </w:t>
      </w:r>
      <w:r>
        <w:rPr>
          <w:i/>
        </w:rPr>
        <w:t>A</w:t>
      </w:r>
      <w:r>
        <w:rPr/>
        <w:t>. </w:t>
      </w:r>
      <w:r>
        <w:rPr>
          <w:i/>
        </w:rPr>
        <w:t>salmonicida </w:t>
      </w:r>
      <w:r>
        <w:rPr/>
        <w:t>at one day post-exposure. However, classic skin furunculosis lesion was no observed on fish exposed to </w:t>
      </w:r>
      <w:r>
        <w:rPr>
          <w:i/>
        </w:rPr>
        <w:t>A</w:t>
      </w:r>
      <w:r>
        <w:rPr/>
        <w:t>. </w:t>
      </w:r>
      <w:r>
        <w:rPr>
          <w:i/>
        </w:rPr>
        <w:t>salmonicida</w:t>
      </w:r>
      <w:r>
        <w:rPr/>
        <w:t>. Unilateral exophthalmia, mild ocular hemorrhage and severe pale liver were observed in fish infected with </w:t>
      </w:r>
      <w:r>
        <w:rPr>
          <w:i/>
        </w:rPr>
        <w:t>A</w:t>
      </w:r>
      <w:r>
        <w:rPr/>
        <w:t>. </w:t>
      </w:r>
      <w:r>
        <w:rPr>
          <w:i/>
        </w:rPr>
        <w:t>hydrophila </w:t>
      </w:r>
      <w:r>
        <w:rPr/>
        <w:t>and </w:t>
      </w:r>
      <w:r>
        <w:rPr>
          <w:i/>
        </w:rPr>
        <w:t>A</w:t>
      </w:r>
      <w:r>
        <w:rPr/>
        <w:t>. </w:t>
      </w:r>
      <w:r>
        <w:rPr>
          <w:i/>
        </w:rPr>
        <w:t>veronii </w:t>
      </w:r>
      <w:r>
        <w:rPr/>
        <w:t>(Figures 2 and 3).</w:t>
      </w:r>
    </w:p>
    <w:p>
      <w:pPr>
        <w:pStyle w:val="BodyText"/>
        <w:spacing w:line="480" w:lineRule="auto" w:before="10"/>
        <w:ind w:left="103" w:right="101" w:firstLine="707"/>
        <w:jc w:val="both"/>
      </w:pPr>
      <w:r>
        <w:rPr/>
        <w:t>Bacterial reisolations of the </w:t>
      </w:r>
      <w:r>
        <w:rPr>
          <w:i/>
        </w:rPr>
        <w:t>Aeromonas </w:t>
      </w:r>
      <w:r>
        <w:rPr/>
        <w:t>species included in the study were isolated  from gills and distal intestine during the experimental period</w:t>
      </w:r>
      <w:r>
        <w:rPr>
          <w:i/>
        </w:rPr>
        <w:t>. </w:t>
      </w:r>
      <w:r>
        <w:rPr/>
        <w:t>Bacterial reisolation was most frequent from liver (Table 1). No histopathological lesions were significant on spleen and kidney (</w:t>
      </w:r>
      <w:r>
        <w:rPr>
          <w:i/>
        </w:rPr>
        <w:t>P</w:t>
      </w:r>
      <w:r>
        <w:rPr/>
        <w:t>˂ 0.05) and the presence of coccobacilli shapes were not observed. A clonal relationship between reisolated and inoculated bacteria was obtained in the different experimental groups.</w:t>
      </w:r>
    </w:p>
    <w:p>
      <w:pPr>
        <w:pStyle w:val="BodyText"/>
      </w:pPr>
    </w:p>
    <w:p>
      <w:pPr>
        <w:pStyle w:val="BodyText"/>
        <w:spacing w:before="3"/>
        <w:rPr>
          <w:sz w:val="25"/>
        </w:rPr>
      </w:pPr>
    </w:p>
    <w:p>
      <w:pPr>
        <w:pStyle w:val="Heading1"/>
        <w:spacing w:before="0"/>
        <w:ind w:right="59"/>
      </w:pPr>
      <w:r>
        <w:rPr/>
        <w:t>Discussion</w:t>
      </w:r>
    </w:p>
    <w:p>
      <w:pPr>
        <w:pStyle w:val="BodyText"/>
        <w:rPr>
          <w:b/>
        </w:rPr>
      </w:pPr>
    </w:p>
    <w:p>
      <w:pPr>
        <w:pStyle w:val="BodyText"/>
        <w:rPr>
          <w:b/>
        </w:rPr>
      </w:pPr>
    </w:p>
    <w:p>
      <w:pPr>
        <w:pStyle w:val="BodyText"/>
        <w:spacing w:before="7"/>
        <w:rPr>
          <w:b/>
          <w:sz w:val="23"/>
        </w:rPr>
      </w:pPr>
    </w:p>
    <w:p>
      <w:pPr>
        <w:spacing w:before="0"/>
        <w:ind w:left="811" w:right="59" w:firstLine="0"/>
        <w:jc w:val="left"/>
        <w:rPr>
          <w:sz w:val="24"/>
        </w:rPr>
      </w:pPr>
      <w:r>
        <w:rPr>
          <w:sz w:val="24"/>
        </w:rPr>
        <w:t>Here, we show that isolates of the species </w:t>
      </w:r>
      <w:r>
        <w:rPr>
          <w:i/>
          <w:sz w:val="24"/>
        </w:rPr>
        <w:t>A. bestiarum</w:t>
      </w:r>
      <w:r>
        <w:rPr>
          <w:sz w:val="24"/>
        </w:rPr>
        <w:t>, </w:t>
      </w:r>
      <w:r>
        <w:rPr>
          <w:i/>
          <w:sz w:val="24"/>
        </w:rPr>
        <w:t>A. hydrophila</w:t>
      </w:r>
      <w:r>
        <w:rPr>
          <w:sz w:val="24"/>
        </w:rPr>
        <w:t>, </w:t>
      </w:r>
      <w:r>
        <w:rPr>
          <w:i/>
          <w:sz w:val="24"/>
        </w:rPr>
        <w:t>A. salmonicida</w:t>
      </w:r>
      <w:r>
        <w:rPr>
          <w:sz w:val="24"/>
        </w:rPr>
        <w:t>,   and</w:t>
      </w:r>
    </w:p>
    <w:p>
      <w:pPr>
        <w:pStyle w:val="BodyText"/>
      </w:pPr>
    </w:p>
    <w:p>
      <w:pPr>
        <w:spacing w:before="0"/>
        <w:ind w:left="103" w:right="59" w:firstLine="0"/>
        <w:jc w:val="left"/>
        <w:rPr>
          <w:sz w:val="24"/>
        </w:rPr>
      </w:pPr>
      <w:r>
        <w:rPr>
          <w:i/>
          <w:sz w:val="24"/>
        </w:rPr>
        <w:t>A. veronii </w:t>
      </w:r>
      <w:r>
        <w:rPr>
          <w:sz w:val="24"/>
        </w:rPr>
        <w:t>produced mortality and liver microscopic lesions in </w:t>
      </w:r>
      <w:r>
        <w:rPr>
          <w:i/>
          <w:sz w:val="24"/>
        </w:rPr>
        <w:t>O. mykiss </w:t>
      </w:r>
      <w:r>
        <w:rPr>
          <w:sz w:val="24"/>
        </w:rPr>
        <w:t>fry exposed by immersion.</w:t>
      </w:r>
    </w:p>
    <w:p>
      <w:pPr>
        <w:spacing w:after="0"/>
        <w:jc w:val="left"/>
        <w:rPr>
          <w:sz w:val="24"/>
        </w:rPr>
        <w:sectPr>
          <w:pgSz w:w="12240" w:h="15840"/>
          <w:pgMar w:header="0" w:footer="695" w:top="1080" w:bottom="940" w:left="1200" w:right="1200"/>
        </w:sectPr>
      </w:pPr>
    </w:p>
    <w:p>
      <w:pPr>
        <w:pStyle w:val="BodyText"/>
        <w:spacing w:line="480" w:lineRule="auto" w:before="44"/>
        <w:ind w:left="103" w:right="109"/>
        <w:jc w:val="both"/>
      </w:pPr>
      <w:r>
        <w:rPr/>
        <w:t>Isolates of these </w:t>
      </w:r>
      <w:r>
        <w:rPr>
          <w:i/>
        </w:rPr>
        <w:t>Aeromonas </w:t>
      </w:r>
      <w:r>
        <w:rPr/>
        <w:t>species were originally obtained from skin lesions in farmed rainbow trout (Zepeda-Velázquez </w:t>
      </w:r>
      <w:r>
        <w:rPr>
          <w:i/>
        </w:rPr>
        <w:t>et al</w:t>
      </w:r>
      <w:r>
        <w:rPr/>
        <w:t>., 2015).</w:t>
      </w:r>
    </w:p>
    <w:p>
      <w:pPr>
        <w:spacing w:line="480" w:lineRule="auto" w:before="10"/>
        <w:ind w:left="103" w:right="99" w:firstLine="707"/>
        <w:jc w:val="both"/>
        <w:rPr>
          <w:sz w:val="24"/>
        </w:rPr>
      </w:pPr>
      <w:r>
        <w:rPr>
          <w:sz w:val="24"/>
        </w:rPr>
        <w:t>In the present study, petechial hemorrhages in the ventral zone around the opercula and the caudal zone were observed in fish infected with </w:t>
      </w:r>
      <w:r>
        <w:rPr>
          <w:i/>
          <w:sz w:val="24"/>
        </w:rPr>
        <w:t>A</w:t>
      </w:r>
      <w:r>
        <w:rPr>
          <w:sz w:val="24"/>
        </w:rPr>
        <w:t>. </w:t>
      </w:r>
      <w:r>
        <w:rPr>
          <w:i/>
          <w:sz w:val="24"/>
        </w:rPr>
        <w:t>salmonicida</w:t>
      </w:r>
      <w:r>
        <w:rPr>
          <w:sz w:val="24"/>
        </w:rPr>
        <w:t>, as reported elsewhere (Austin and Austin 2007). We also observed ocular lesions in fish infected with </w:t>
      </w:r>
      <w:r>
        <w:rPr>
          <w:i/>
          <w:sz w:val="24"/>
        </w:rPr>
        <w:t>A</w:t>
      </w:r>
      <w:r>
        <w:rPr>
          <w:sz w:val="24"/>
        </w:rPr>
        <w:t>. </w:t>
      </w:r>
      <w:r>
        <w:rPr>
          <w:i/>
          <w:sz w:val="24"/>
        </w:rPr>
        <w:t>hydrophila </w:t>
      </w:r>
      <w:r>
        <w:rPr>
          <w:sz w:val="24"/>
        </w:rPr>
        <w:t>and </w:t>
      </w:r>
      <w:r>
        <w:rPr>
          <w:i/>
          <w:sz w:val="24"/>
        </w:rPr>
        <w:t>A</w:t>
      </w:r>
      <w:r>
        <w:rPr>
          <w:sz w:val="24"/>
        </w:rPr>
        <w:t>. </w:t>
      </w:r>
      <w:r>
        <w:rPr>
          <w:i/>
          <w:sz w:val="24"/>
        </w:rPr>
        <w:t>veronii</w:t>
      </w:r>
      <w:r>
        <w:rPr>
          <w:sz w:val="24"/>
        </w:rPr>
        <w:t>, as similar reported in ayu (</w:t>
      </w:r>
      <w:r>
        <w:rPr>
          <w:i/>
          <w:sz w:val="24"/>
        </w:rPr>
        <w:t>Plecoglossus altivelis</w:t>
      </w:r>
      <w:r>
        <w:rPr>
          <w:sz w:val="24"/>
        </w:rPr>
        <w:t>) and Japanese flounder (</w:t>
      </w:r>
      <w:r>
        <w:rPr>
          <w:i/>
          <w:sz w:val="24"/>
        </w:rPr>
        <w:t>Paralichthys olivaceus</w:t>
      </w:r>
      <w:r>
        <w:rPr>
          <w:sz w:val="24"/>
        </w:rPr>
        <w:t>) following an outbreak (Miyazaki and Jo 1985; Moustafa </w:t>
      </w:r>
      <w:r>
        <w:rPr>
          <w:i/>
          <w:sz w:val="24"/>
        </w:rPr>
        <w:t>et al</w:t>
      </w:r>
      <w:r>
        <w:rPr>
          <w:sz w:val="24"/>
        </w:rPr>
        <w:t>., 2010). Fish mortality was accompanied by liver congestion with different levels of severity, mainly in fish infected with the following </w:t>
      </w:r>
      <w:r>
        <w:rPr>
          <w:i/>
          <w:sz w:val="24"/>
        </w:rPr>
        <w:t>Aeromonas </w:t>
      </w:r>
      <w:r>
        <w:rPr>
          <w:sz w:val="24"/>
        </w:rPr>
        <w:t>species: </w:t>
      </w:r>
      <w:r>
        <w:rPr>
          <w:i/>
          <w:sz w:val="24"/>
        </w:rPr>
        <w:t>A</w:t>
      </w:r>
      <w:r>
        <w:rPr>
          <w:sz w:val="24"/>
        </w:rPr>
        <w:t>. </w:t>
      </w:r>
      <w:r>
        <w:rPr>
          <w:i/>
          <w:sz w:val="24"/>
        </w:rPr>
        <w:t>salmonicida</w:t>
      </w:r>
      <w:r>
        <w:rPr>
          <w:sz w:val="24"/>
        </w:rPr>
        <w:t>, </w:t>
      </w:r>
      <w:r>
        <w:rPr>
          <w:i/>
          <w:sz w:val="24"/>
        </w:rPr>
        <w:t>A</w:t>
      </w:r>
      <w:r>
        <w:rPr>
          <w:sz w:val="24"/>
        </w:rPr>
        <w:t>. </w:t>
      </w:r>
      <w:r>
        <w:rPr>
          <w:i/>
          <w:sz w:val="24"/>
        </w:rPr>
        <w:t>hydrophila</w:t>
      </w:r>
      <w:r>
        <w:rPr>
          <w:sz w:val="24"/>
        </w:rPr>
        <w:t>, </w:t>
      </w:r>
      <w:r>
        <w:rPr>
          <w:i/>
          <w:sz w:val="24"/>
        </w:rPr>
        <w:t>A</w:t>
      </w:r>
      <w:r>
        <w:rPr>
          <w:sz w:val="24"/>
        </w:rPr>
        <w:t>. </w:t>
      </w:r>
      <w:r>
        <w:rPr>
          <w:i/>
          <w:sz w:val="24"/>
        </w:rPr>
        <w:t>veronii</w:t>
      </w:r>
      <w:r>
        <w:rPr>
          <w:sz w:val="24"/>
        </w:rPr>
        <w:t>, </w:t>
      </w:r>
      <w:r>
        <w:rPr>
          <w:i/>
          <w:sz w:val="24"/>
        </w:rPr>
        <w:t>A</w:t>
      </w:r>
      <w:r>
        <w:rPr>
          <w:sz w:val="24"/>
        </w:rPr>
        <w:t>. </w:t>
      </w:r>
      <w:r>
        <w:rPr>
          <w:i/>
          <w:sz w:val="24"/>
        </w:rPr>
        <w:t>bestiarum</w:t>
      </w:r>
      <w:r>
        <w:rPr>
          <w:sz w:val="24"/>
        </w:rPr>
        <w:t>, </w:t>
      </w:r>
      <w:r>
        <w:rPr>
          <w:i/>
          <w:sz w:val="24"/>
        </w:rPr>
        <w:t>A</w:t>
      </w:r>
      <w:r>
        <w:rPr>
          <w:sz w:val="24"/>
        </w:rPr>
        <w:t>. </w:t>
      </w:r>
      <w:r>
        <w:rPr>
          <w:i/>
          <w:sz w:val="24"/>
        </w:rPr>
        <w:t>sobria  </w:t>
      </w:r>
      <w:r>
        <w:rPr>
          <w:sz w:val="24"/>
        </w:rPr>
        <w:t>and </w:t>
      </w:r>
      <w:r>
        <w:rPr>
          <w:i/>
          <w:sz w:val="24"/>
        </w:rPr>
        <w:t>A</w:t>
      </w:r>
      <w:r>
        <w:rPr>
          <w:sz w:val="24"/>
        </w:rPr>
        <w:t>.</w:t>
      </w:r>
      <w:r>
        <w:rPr>
          <w:spacing w:val="-5"/>
          <w:sz w:val="24"/>
        </w:rPr>
        <w:t> </w:t>
      </w:r>
      <w:r>
        <w:rPr>
          <w:i/>
          <w:sz w:val="24"/>
        </w:rPr>
        <w:t>caviae</w:t>
      </w:r>
      <w:r>
        <w:rPr>
          <w:sz w:val="24"/>
        </w:rPr>
        <w:t>.</w:t>
      </w:r>
    </w:p>
    <w:p>
      <w:pPr>
        <w:pStyle w:val="BodyText"/>
        <w:spacing w:line="480" w:lineRule="auto" w:before="10"/>
        <w:ind w:left="103" w:right="101"/>
        <w:jc w:val="both"/>
      </w:pPr>
      <w:r>
        <w:rPr/>
        <w:t>Also the continuous isolation of gills and liver isolations obtained suggest that </w:t>
      </w:r>
      <w:r>
        <w:rPr>
          <w:i/>
        </w:rPr>
        <w:t>Aeromonas </w:t>
      </w:r>
      <w:r>
        <w:rPr/>
        <w:t>spp. used in this work, hematic route was used to spread in the host. The histological changes identified in gills of infected fish suggest the ability of these isolations to produce virulence factors that enable them to evade the immune response, protecting the bacteria and cause histopathological lesions capable of causing the death of the fish by asphyxia (Tobback </w:t>
      </w:r>
      <w:r>
        <w:rPr>
          <w:i/>
        </w:rPr>
        <w:t>et al</w:t>
      </w:r>
      <w:r>
        <w:rPr/>
        <w:t>., 2009).</w:t>
      </w:r>
    </w:p>
    <w:p>
      <w:pPr>
        <w:pStyle w:val="BodyText"/>
        <w:spacing w:line="480" w:lineRule="auto" w:before="10"/>
        <w:ind w:left="103" w:right="102" w:firstLine="707"/>
        <w:jc w:val="both"/>
      </w:pPr>
      <w:r>
        <w:rPr/>
        <w:t>No bacteria were observed in liver tissue, suggesting that bacterial replication occurred on another site and bacteria later spread to liver (Miyazaki and Jo 1985); therefore, bacterial replication and extracellular products likely induce systemic hemodynamic changes, as when a septic process  is development (Rey </w:t>
      </w:r>
      <w:r>
        <w:rPr>
          <w:i/>
        </w:rPr>
        <w:t>et al</w:t>
      </w:r>
      <w:r>
        <w:rPr/>
        <w:t>., 2009). Although, isolates from liver were obtained from infected fish with </w:t>
      </w:r>
      <w:r>
        <w:rPr>
          <w:i/>
        </w:rPr>
        <w:t>Aeromonas </w:t>
      </w:r>
      <w:r>
        <w:rPr/>
        <w:t>species included in the study, the presence of coccobacilli shapes in liver tissue  was not observed as reported as elsewhere (Farto </w:t>
      </w:r>
      <w:r>
        <w:rPr>
          <w:i/>
        </w:rPr>
        <w:t>et al</w:t>
      </w:r>
      <w:r>
        <w:rPr/>
        <w:t>., 2011). Identification of virulence factors in the virulent </w:t>
      </w:r>
      <w:r>
        <w:rPr>
          <w:i/>
        </w:rPr>
        <w:t>Aeromonas </w:t>
      </w:r>
      <w:r>
        <w:rPr/>
        <w:t>species identified in the present study is</w:t>
      </w:r>
      <w:r>
        <w:rPr>
          <w:spacing w:val="-13"/>
        </w:rPr>
        <w:t> </w:t>
      </w:r>
      <w:r>
        <w:rPr/>
        <w:t>needed.</w:t>
      </w:r>
    </w:p>
    <w:p>
      <w:pPr>
        <w:spacing w:after="0" w:line="480" w:lineRule="auto"/>
        <w:jc w:val="both"/>
        <w:sectPr>
          <w:pgSz w:w="12240" w:h="15840"/>
          <w:pgMar w:header="0" w:footer="695" w:top="1080" w:bottom="940" w:left="1200" w:right="1200"/>
        </w:sectPr>
      </w:pPr>
    </w:p>
    <w:p>
      <w:pPr>
        <w:pStyle w:val="BodyText"/>
        <w:spacing w:line="480" w:lineRule="auto" w:before="44"/>
        <w:ind w:left="103" w:right="99" w:firstLine="707"/>
        <w:jc w:val="both"/>
      </w:pPr>
      <w:r>
        <w:rPr/>
        <w:t>In conclusion, differences in the pathogenicity and virulence of ten </w:t>
      </w:r>
      <w:r>
        <w:rPr>
          <w:i/>
        </w:rPr>
        <w:t>Aeromonas </w:t>
      </w:r>
      <w:r>
        <w:rPr/>
        <w:t>species to rainbow trout fry included in the study were determined. Mexican isolates of </w:t>
      </w:r>
      <w:r>
        <w:rPr>
          <w:i/>
        </w:rPr>
        <w:t>A</w:t>
      </w:r>
      <w:r>
        <w:rPr/>
        <w:t>. </w:t>
      </w:r>
      <w:r>
        <w:rPr>
          <w:i/>
        </w:rPr>
        <w:t>salmonicida</w:t>
      </w:r>
      <w:r>
        <w:rPr/>
        <w:t>, </w:t>
      </w:r>
      <w:r>
        <w:rPr>
          <w:i/>
        </w:rPr>
        <w:t>A</w:t>
      </w:r>
      <w:r>
        <w:rPr/>
        <w:t>. </w:t>
      </w:r>
      <w:r>
        <w:rPr>
          <w:i/>
        </w:rPr>
        <w:t>hydrophila</w:t>
      </w:r>
      <w:r>
        <w:rPr/>
        <w:t>, </w:t>
      </w:r>
      <w:r>
        <w:rPr>
          <w:i/>
        </w:rPr>
        <w:t>A</w:t>
      </w:r>
      <w:r>
        <w:rPr/>
        <w:t>. </w:t>
      </w:r>
      <w:r>
        <w:rPr>
          <w:i/>
        </w:rPr>
        <w:t>veronii </w:t>
      </w:r>
      <w:r>
        <w:rPr/>
        <w:t>and </w:t>
      </w:r>
      <w:r>
        <w:rPr>
          <w:i/>
        </w:rPr>
        <w:t>A</w:t>
      </w:r>
      <w:r>
        <w:rPr/>
        <w:t>. </w:t>
      </w:r>
      <w:r>
        <w:rPr>
          <w:i/>
        </w:rPr>
        <w:t>bestiarum </w:t>
      </w:r>
      <w:r>
        <w:rPr/>
        <w:t>were the most virulent </w:t>
      </w:r>
      <w:r>
        <w:rPr>
          <w:i/>
        </w:rPr>
        <w:t>Aeromonas </w:t>
      </w:r>
      <w:r>
        <w:rPr/>
        <w:t>species to rainbow trout fry. This study is the base for further studies on the different </w:t>
      </w:r>
      <w:r>
        <w:rPr>
          <w:i/>
        </w:rPr>
        <w:t>Aeromonas </w:t>
      </w:r>
      <w:r>
        <w:rPr/>
        <w:t>species found in the cultured Mexican rainbow trout.</w:t>
      </w:r>
    </w:p>
    <w:p>
      <w:pPr>
        <w:pStyle w:val="BodyText"/>
      </w:pPr>
    </w:p>
    <w:p>
      <w:pPr>
        <w:pStyle w:val="BodyText"/>
        <w:spacing w:before="3"/>
        <w:rPr>
          <w:sz w:val="25"/>
        </w:rPr>
      </w:pPr>
    </w:p>
    <w:p>
      <w:pPr>
        <w:pStyle w:val="Heading1"/>
        <w:spacing w:before="0"/>
        <w:ind w:right="59"/>
      </w:pPr>
      <w:r>
        <w:rPr/>
        <w:t>References</w:t>
      </w:r>
    </w:p>
    <w:p>
      <w:pPr>
        <w:pStyle w:val="BodyText"/>
        <w:rPr>
          <w:b/>
        </w:rPr>
      </w:pPr>
    </w:p>
    <w:p>
      <w:pPr>
        <w:pStyle w:val="BodyText"/>
        <w:rPr>
          <w:b/>
        </w:rPr>
      </w:pPr>
    </w:p>
    <w:p>
      <w:pPr>
        <w:pStyle w:val="BodyText"/>
        <w:spacing w:before="7"/>
        <w:rPr>
          <w:b/>
          <w:sz w:val="23"/>
        </w:rPr>
      </w:pPr>
    </w:p>
    <w:p>
      <w:pPr>
        <w:pStyle w:val="BodyText"/>
        <w:spacing w:line="480" w:lineRule="auto"/>
        <w:ind w:left="811" w:right="103" w:hanging="708"/>
        <w:jc w:val="both"/>
      </w:pPr>
      <w:r>
        <w:rPr/>
        <w:t>Aravena-Román, M., Beaz-Hidalgo, R., Inglis, T.J.J., Riley, T.V., Martínez-Murcia, A.J., Chang, B.J., and Figueras, M.J. 2013. </w:t>
      </w:r>
      <w:r>
        <w:rPr>
          <w:i/>
        </w:rPr>
        <w:t>Aeromonas australiensis </w:t>
      </w:r>
      <w:r>
        <w:rPr/>
        <w:t>sp. nov., isolated from irrigation water. International Journal of Systematic and Evolutionary Microbiology 63:2270-2276.</w:t>
      </w:r>
    </w:p>
    <w:p>
      <w:pPr>
        <w:pStyle w:val="BodyText"/>
        <w:spacing w:line="480" w:lineRule="auto" w:before="10"/>
        <w:ind w:left="811" w:right="100" w:hanging="708"/>
        <w:jc w:val="both"/>
      </w:pPr>
      <w:r>
        <w:rPr/>
        <w:t>Austin, B., and Austin, D.A. 2007. Bacterial fish pathogens, diseases of farmed and wild fish. 4th edition. Praxis Publishing Ltd, Chichester, UK.</w:t>
      </w:r>
    </w:p>
    <w:p>
      <w:pPr>
        <w:pStyle w:val="BodyText"/>
        <w:spacing w:line="480" w:lineRule="auto" w:before="10"/>
        <w:ind w:left="811" w:right="101" w:hanging="708"/>
        <w:jc w:val="both"/>
      </w:pPr>
      <w:r>
        <w:rPr/>
        <w:t>Beaz-Hidalgo, R. and Figueras, M.J., 2013. </w:t>
      </w:r>
      <w:r>
        <w:rPr>
          <w:i/>
        </w:rPr>
        <w:t>Aeromonas </w:t>
      </w:r>
      <w:r>
        <w:rPr/>
        <w:t>spp. whole genomes and virulence factors implicated in fish disease. Journal of Fish Diseases, 36:371-388.</w:t>
      </w:r>
    </w:p>
    <w:p>
      <w:pPr>
        <w:pStyle w:val="BodyText"/>
        <w:spacing w:line="480" w:lineRule="auto" w:before="10"/>
        <w:ind w:left="811" w:right="101" w:hanging="708"/>
        <w:jc w:val="both"/>
      </w:pPr>
      <w:r>
        <w:rPr/>
        <w:t>Beaz-Hidalgo, R., Latif-Eugenín, F., Hossain, M.J., Berg, K., Niemi, R.M., Rapala, J., Lyra, C., Liles, M.R., and Figueras, M.J. 2015. </w:t>
      </w:r>
      <w:r>
        <w:rPr>
          <w:i/>
        </w:rPr>
        <w:t>Aeromonas aquatica </w:t>
      </w:r>
      <w:r>
        <w:rPr/>
        <w:t>sp. nov., </w:t>
      </w:r>
      <w:r>
        <w:rPr>
          <w:i/>
        </w:rPr>
        <w:t>Aeromonas </w:t>
      </w:r>
      <w:r>
        <w:rPr>
          <w:i/>
        </w:rPr>
        <w:t>finlandiensis </w:t>
      </w:r>
      <w:r>
        <w:rPr/>
        <w:t>sp. nov. and </w:t>
      </w:r>
      <w:r>
        <w:rPr>
          <w:i/>
        </w:rPr>
        <w:t>Aeromonas lacus </w:t>
      </w:r>
      <w:r>
        <w:rPr/>
        <w:t>sp. nov. isolated from Finnish waters associated with cyanobacterial blooms. Systematic and Applied Microbiology</w:t>
      </w:r>
      <w:r>
        <w:rPr>
          <w:spacing w:val="-8"/>
        </w:rPr>
        <w:t> </w:t>
      </w:r>
      <w:r>
        <w:rPr/>
        <w:t>38:161-168.</w:t>
      </w:r>
    </w:p>
    <w:p>
      <w:pPr>
        <w:spacing w:line="480" w:lineRule="auto" w:before="11"/>
        <w:ind w:left="811" w:right="101" w:hanging="708"/>
        <w:jc w:val="both"/>
        <w:rPr>
          <w:sz w:val="24"/>
        </w:rPr>
      </w:pPr>
      <w:r>
        <w:rPr>
          <w:sz w:val="24"/>
        </w:rPr>
        <w:t>Beaz-Hidalgo, R., Martínez-Murcia, A., and Figueras, M.J. 2013. Reclassification of </w:t>
      </w:r>
      <w:r>
        <w:rPr>
          <w:i/>
          <w:sz w:val="24"/>
        </w:rPr>
        <w:t>Aeromonas </w:t>
      </w:r>
      <w:r>
        <w:rPr>
          <w:i/>
          <w:sz w:val="24"/>
        </w:rPr>
        <w:t>hydrophila </w:t>
      </w:r>
      <w:r>
        <w:rPr>
          <w:sz w:val="24"/>
        </w:rPr>
        <w:t>subsp. </w:t>
      </w:r>
      <w:r>
        <w:rPr>
          <w:i/>
          <w:sz w:val="24"/>
        </w:rPr>
        <w:t>dhakensis </w:t>
      </w:r>
      <w:r>
        <w:rPr>
          <w:sz w:val="24"/>
        </w:rPr>
        <w:t>Huys et al. 2002 and </w:t>
      </w:r>
      <w:r>
        <w:rPr>
          <w:i/>
          <w:sz w:val="24"/>
        </w:rPr>
        <w:t>Aeromonas aquariorum </w:t>
      </w:r>
      <w:r>
        <w:rPr>
          <w:sz w:val="24"/>
        </w:rPr>
        <w:t>Martínez-Murcia et al. 2008 as </w:t>
      </w:r>
      <w:r>
        <w:rPr>
          <w:i/>
          <w:sz w:val="24"/>
        </w:rPr>
        <w:t>Aeromonas dhakensis </w:t>
      </w:r>
      <w:r>
        <w:rPr>
          <w:sz w:val="24"/>
        </w:rPr>
        <w:t>sp. nov. comb. nov. and emendation of the species </w:t>
      </w:r>
      <w:r>
        <w:rPr>
          <w:i/>
          <w:sz w:val="24"/>
        </w:rPr>
        <w:t>Aeromonas hydrophila</w:t>
      </w:r>
      <w:r>
        <w:rPr>
          <w:sz w:val="24"/>
        </w:rPr>
        <w:t>. Systematic and Applied Microbiology 36:171-176.</w:t>
      </w:r>
    </w:p>
    <w:p>
      <w:pPr>
        <w:spacing w:after="0" w:line="480" w:lineRule="auto"/>
        <w:jc w:val="both"/>
        <w:rPr>
          <w:sz w:val="24"/>
        </w:rPr>
        <w:sectPr>
          <w:pgSz w:w="12240" w:h="15840"/>
          <w:pgMar w:header="0" w:footer="695" w:top="1080" w:bottom="940" w:left="1200" w:right="1200"/>
        </w:sectPr>
      </w:pPr>
    </w:p>
    <w:p>
      <w:pPr>
        <w:pStyle w:val="BodyText"/>
        <w:spacing w:line="480" w:lineRule="auto" w:before="44"/>
        <w:ind w:left="1236" w:right="98" w:hanging="1133"/>
        <w:jc w:val="both"/>
      </w:pPr>
      <w:r>
        <w:rPr/>
        <w:t>Farto, R., Milton, D.L., Bermúdez, M.B., Nieto, T.P. 2011. Colonization of turbot tissues by virulent and avirulent </w:t>
      </w:r>
      <w:r>
        <w:rPr>
          <w:i/>
        </w:rPr>
        <w:t>Aeromonas salmonicida </w:t>
      </w:r>
      <w:r>
        <w:rPr/>
        <w:t>subsp. </w:t>
      </w:r>
      <w:r>
        <w:rPr>
          <w:i/>
        </w:rPr>
        <w:t>salmonicida </w:t>
      </w:r>
      <w:r>
        <w:rPr/>
        <w:t>strains during infection. Diseases of Aquatic Organisms</w:t>
      </w:r>
      <w:r>
        <w:rPr>
          <w:spacing w:val="-8"/>
        </w:rPr>
        <w:t> </w:t>
      </w:r>
      <w:r>
        <w:rPr/>
        <w:t>95:167-173.</w:t>
      </w:r>
    </w:p>
    <w:p>
      <w:pPr>
        <w:pStyle w:val="BodyText"/>
        <w:spacing w:line="480" w:lineRule="auto" w:before="10"/>
        <w:ind w:left="811" w:right="99" w:hanging="708"/>
        <w:jc w:val="both"/>
      </w:pPr>
      <w:r>
        <w:rPr/>
        <w:t>Holten-Andersen, L., Dalsgaard, I., and Buchmann, K. 2012. Baltic salmon, </w:t>
      </w:r>
      <w:r>
        <w:rPr>
          <w:i/>
        </w:rPr>
        <w:t>Salmo salar</w:t>
      </w:r>
      <w:r>
        <w:rPr/>
        <w:t>, from Swedish River Lule Älv is more resistant to furunculosis compared to rainbow trout. PLoS One 7:e29571.</w:t>
      </w:r>
    </w:p>
    <w:p>
      <w:pPr>
        <w:pStyle w:val="BodyText"/>
        <w:spacing w:before="10"/>
        <w:ind w:left="103" w:right="59"/>
      </w:pPr>
      <w:r>
        <w:rPr/>
        <w:t>Janda, J.M., and Abbott, S.L. 2010. The genus </w:t>
      </w:r>
      <w:r>
        <w:rPr>
          <w:i/>
        </w:rPr>
        <w:t>Aeromonas</w:t>
      </w:r>
      <w:r>
        <w:rPr/>
        <w:t>: taxonomy, pathogenicity, and infection.</w:t>
      </w:r>
    </w:p>
    <w:p>
      <w:pPr>
        <w:pStyle w:val="BodyText"/>
      </w:pPr>
    </w:p>
    <w:p>
      <w:pPr>
        <w:pStyle w:val="BodyText"/>
        <w:ind w:left="811" w:right="59"/>
      </w:pPr>
      <w:r>
        <w:rPr/>
        <w:t>Clinical Microbiology Reviews 23:35-73.</w:t>
      </w:r>
    </w:p>
    <w:p>
      <w:pPr>
        <w:pStyle w:val="BodyText"/>
      </w:pPr>
    </w:p>
    <w:p>
      <w:pPr>
        <w:pStyle w:val="BodyText"/>
        <w:spacing w:line="480" w:lineRule="auto"/>
        <w:ind w:left="1236" w:right="99" w:hanging="1133"/>
        <w:jc w:val="both"/>
      </w:pPr>
      <w:r>
        <w:rPr/>
        <w:t>Jutfelt, F., Olsen, R.E., Glette, J., Ringø, E., Sundell, K. 2006. Translocation of viable </w:t>
      </w:r>
      <w:r>
        <w:rPr>
          <w:i/>
        </w:rPr>
        <w:t>Aeromonas </w:t>
      </w:r>
      <w:r>
        <w:rPr>
          <w:i/>
        </w:rPr>
        <w:t>salmonicida </w:t>
      </w:r>
      <w:r>
        <w:rPr/>
        <w:t>across the intestine of rainbow trout, </w:t>
      </w:r>
      <w:r>
        <w:rPr>
          <w:i/>
        </w:rPr>
        <w:t>Oncorhynchus mykiss </w:t>
      </w:r>
      <w:r>
        <w:rPr/>
        <w:t>(Walbaum). Journal of Fish Diseases 29:255-262.</w:t>
      </w:r>
    </w:p>
    <w:p>
      <w:pPr>
        <w:pStyle w:val="BodyText"/>
        <w:spacing w:line="480" w:lineRule="auto" w:before="10"/>
        <w:ind w:left="1236" w:right="104" w:hanging="1133"/>
        <w:jc w:val="both"/>
      </w:pPr>
      <w:r>
        <w:rPr/>
        <w:t>Martínez-Murcia, A., Beaz-Hidalgo, R., Svec, P., Saavedra, M.J., Figueras, M.J., and Sedlacek, I. 2013. </w:t>
      </w:r>
      <w:r>
        <w:rPr>
          <w:i/>
        </w:rPr>
        <w:t>Aeromonas cavernicola </w:t>
      </w:r>
      <w:r>
        <w:rPr/>
        <w:t>sp. nov., isolated from fresh water of a brook in a cavern. Current Microbiology 66:197-204.</w:t>
      </w:r>
    </w:p>
    <w:p>
      <w:pPr>
        <w:pStyle w:val="BodyText"/>
        <w:spacing w:line="480" w:lineRule="auto" w:before="10"/>
        <w:ind w:left="1236" w:right="106" w:hanging="1133"/>
        <w:jc w:val="both"/>
      </w:pPr>
      <w:r>
        <w:rPr/>
        <w:t>Miyazaki, T., and Jo, Y. 1985. A histopathological study of motile aeromonad disease in ayu. Fish Pathology 20:55-59.</w:t>
      </w:r>
    </w:p>
    <w:p>
      <w:pPr>
        <w:pStyle w:val="BodyText"/>
        <w:spacing w:line="480" w:lineRule="auto" w:before="10"/>
        <w:ind w:left="1236" w:right="100" w:hanging="1133"/>
        <w:jc w:val="both"/>
      </w:pPr>
      <w:r>
        <w:rPr/>
        <w:t>Moustafa, E.M., Naota, M., Morita, T., Tange, N., Shimada, A. 2010. Pathological study on the scuticociliatosis affecting farmed Japanese flounder (</w:t>
      </w:r>
      <w:r>
        <w:rPr>
          <w:i/>
        </w:rPr>
        <w:t>Paralichthys olivaceus</w:t>
      </w:r>
      <w:r>
        <w:rPr/>
        <w:t>) in Japan. Journal of Veterinary Medical Science 72:1359-1362.</w:t>
      </w:r>
    </w:p>
    <w:p>
      <w:pPr>
        <w:pStyle w:val="BodyText"/>
        <w:spacing w:line="287" w:lineRule="exact"/>
        <w:ind w:left="103" w:right="59"/>
      </w:pPr>
      <w:r>
        <w:rPr/>
        <w:t>Noga, E.J. 2010. Fish disease, diagnosis and treatment. 2</w:t>
      </w:r>
      <w:r>
        <w:rPr>
          <w:position w:val="9"/>
          <w:sz w:val="16"/>
        </w:rPr>
        <w:t>nd </w:t>
      </w:r>
      <w:r>
        <w:rPr/>
        <w:t>edition. Wiley-Blackwell, USA.</w:t>
      </w:r>
    </w:p>
    <w:p>
      <w:pPr>
        <w:pStyle w:val="BodyText"/>
      </w:pPr>
    </w:p>
    <w:p>
      <w:pPr>
        <w:pStyle w:val="BodyText"/>
        <w:spacing w:line="480" w:lineRule="auto"/>
        <w:ind w:left="811" w:right="101" w:hanging="708"/>
        <w:jc w:val="both"/>
      </w:pPr>
      <w:r>
        <w:rPr/>
        <w:t>Paniagua, C., Rivero, O., Anguita, J., and Naharro, G. 1990. Pathogenicity factors and virulence for rainbow trout (</w:t>
      </w:r>
      <w:r>
        <w:rPr>
          <w:i/>
        </w:rPr>
        <w:t>Salmo gairdneri</w:t>
      </w:r>
      <w:r>
        <w:rPr/>
        <w:t>) of motile </w:t>
      </w:r>
      <w:r>
        <w:rPr>
          <w:i/>
        </w:rPr>
        <w:t>Aeromonas </w:t>
      </w:r>
      <w:r>
        <w:rPr/>
        <w:t>spp. isolated from a river. Journal of Clinical Microbiology 28:350-355.</w:t>
      </w:r>
    </w:p>
    <w:p>
      <w:pPr>
        <w:spacing w:after="0" w:line="480" w:lineRule="auto"/>
        <w:jc w:val="both"/>
        <w:sectPr>
          <w:pgSz w:w="12240" w:h="15840"/>
          <w:pgMar w:header="0" w:footer="695" w:top="1080" w:bottom="940" w:left="1200" w:right="1200"/>
        </w:sectPr>
      </w:pPr>
    </w:p>
    <w:p>
      <w:pPr>
        <w:pStyle w:val="BodyText"/>
        <w:spacing w:line="480" w:lineRule="auto" w:before="44"/>
        <w:ind w:left="1236" w:right="102" w:hanging="1133"/>
        <w:jc w:val="both"/>
      </w:pPr>
      <w:r>
        <w:rPr/>
        <w:t>Pridgeon, J.W., and Klesius, P.H. 2011. Virulence of </w:t>
      </w:r>
      <w:r>
        <w:rPr>
          <w:i/>
        </w:rPr>
        <w:t>Aeromonas hydrophila </w:t>
      </w:r>
      <w:r>
        <w:rPr/>
        <w:t>to channel catfish </w:t>
      </w:r>
      <w:r>
        <w:rPr>
          <w:i/>
        </w:rPr>
        <w:t>Ictaluras punctatus </w:t>
      </w:r>
      <w:r>
        <w:rPr/>
        <w:t>fingerlings in the presence and absence of bacterial extracellular products. Diseases of Aquatic Organisms 95:209-215.</w:t>
      </w:r>
    </w:p>
    <w:p>
      <w:pPr>
        <w:pStyle w:val="BodyText"/>
        <w:spacing w:line="480" w:lineRule="auto" w:before="10"/>
        <w:ind w:left="811" w:right="102" w:hanging="708"/>
        <w:jc w:val="both"/>
      </w:pPr>
      <w:r>
        <w:rPr/>
        <w:t>Rey, A., Verján, N., Ferguson, H.W., Iregui, C. 2009. Pathogenesis of </w:t>
      </w:r>
      <w:r>
        <w:rPr>
          <w:i/>
        </w:rPr>
        <w:t>Aeromonas hydrophila </w:t>
      </w:r>
      <w:r>
        <w:rPr/>
        <w:t>strain KJ99 infection and its extracellular products in two species of fish. Veterinary Record 164:493-499.</w:t>
      </w:r>
    </w:p>
    <w:p>
      <w:pPr>
        <w:pStyle w:val="BodyText"/>
        <w:spacing w:line="480" w:lineRule="auto" w:before="10"/>
        <w:ind w:left="811" w:right="102" w:hanging="708"/>
        <w:jc w:val="both"/>
      </w:pPr>
      <w:r>
        <w:rPr/>
        <w:t>Szczuka, E., and Kaznowski, A. 2004. Typing of clinical and environmental </w:t>
      </w:r>
      <w:r>
        <w:rPr>
          <w:i/>
        </w:rPr>
        <w:t>Aeromonas </w:t>
      </w:r>
      <w:r>
        <w:rPr/>
        <w:t>sp. strains by random amplified polymorphic DNA PCR, repetitive extragenic palindromic PCR, and enterobacterial repetitive intergenic consensus sequence PCR. Journal of Clinical Microbiology 42:220-228.</w:t>
      </w:r>
    </w:p>
    <w:p>
      <w:pPr>
        <w:pStyle w:val="BodyText"/>
        <w:spacing w:line="480" w:lineRule="auto" w:before="10"/>
        <w:ind w:left="811" w:right="101" w:hanging="708"/>
        <w:jc w:val="both"/>
      </w:pPr>
      <w:r>
        <w:rPr/>
        <w:t>Vega-Sánchez, V., Acosta-Dibarrat, J., Vega-Castillo, F., Castro-Escarpulli, G., Aguilera-Arreola, M.G., and Soriano-Vargas, E. 2014a. Phenotypical characteristics, genetic identification,  and antimicrobial sensitivity of </w:t>
      </w:r>
      <w:r>
        <w:rPr>
          <w:i/>
        </w:rPr>
        <w:t>Aeromonas </w:t>
      </w:r>
      <w:r>
        <w:rPr/>
        <w:t>species isolated from farmed rainbow trout (</w:t>
      </w:r>
      <w:r>
        <w:rPr>
          <w:i/>
        </w:rPr>
        <w:t>Oncorhynchus mykiss</w:t>
      </w:r>
      <w:r>
        <w:rPr/>
        <w:t>) in Mexico. Acta Tropica</w:t>
      </w:r>
      <w:r>
        <w:rPr>
          <w:spacing w:val="-9"/>
        </w:rPr>
        <w:t> </w:t>
      </w:r>
      <w:r>
        <w:rPr/>
        <w:t>130:76-79.</w:t>
      </w:r>
    </w:p>
    <w:p>
      <w:pPr>
        <w:pStyle w:val="BodyText"/>
        <w:spacing w:line="480" w:lineRule="auto" w:before="10"/>
        <w:ind w:left="811" w:right="99" w:hanging="708"/>
        <w:jc w:val="both"/>
      </w:pPr>
      <w:r>
        <w:rPr/>
        <w:t>Vega-Sánchez, V., Latif-Eugenín, F., Soriano-Vargas, E., Beaz-Hidalgo, R., Figueras, M.J., Aguilera-Arreola, M.G., and Castro-Escarpulli, G. 2014b. Re-identification of </w:t>
      </w:r>
      <w:r>
        <w:rPr>
          <w:i/>
        </w:rPr>
        <w:t>Aeromonas </w:t>
      </w:r>
      <w:r>
        <w:rPr/>
        <w:t>isolates from rainbow trout and incidence of class 1 integron and β-lactamase genes. Veterinary Microbiology 172:528-533.</w:t>
      </w:r>
    </w:p>
    <w:p>
      <w:pPr>
        <w:pStyle w:val="BodyText"/>
        <w:spacing w:line="286" w:lineRule="exact"/>
        <w:ind w:left="103" w:right="59"/>
      </w:pPr>
      <w:r>
        <w:rPr/>
        <w:t>Zar, JH. 1999. Biostatistical Analysis. 4</w:t>
      </w:r>
      <w:r>
        <w:rPr>
          <w:position w:val="9"/>
          <w:sz w:val="16"/>
        </w:rPr>
        <w:t>th  </w:t>
      </w:r>
      <w:r>
        <w:rPr/>
        <w:t>edition. Prentice Hall. Upper Saddle River, USA.</w:t>
      </w:r>
    </w:p>
    <w:p>
      <w:pPr>
        <w:pStyle w:val="BodyText"/>
      </w:pPr>
    </w:p>
    <w:p>
      <w:pPr>
        <w:pStyle w:val="BodyText"/>
        <w:spacing w:line="480" w:lineRule="auto"/>
        <w:ind w:left="1236" w:right="99" w:hanging="1133"/>
        <w:jc w:val="both"/>
      </w:pPr>
      <w:r>
        <w:rPr/>
        <w:t>Zepeda-Velázquez, A.P., Vega-Sánchez, V., Salgado-Miranda, C., and Soriano-Vargas, E. 2015. Histopathological findings in farmed rainbow trout (</w:t>
      </w:r>
      <w:r>
        <w:rPr>
          <w:i/>
        </w:rPr>
        <w:t>Oncorhynchus mykiss</w:t>
      </w:r>
      <w:r>
        <w:rPr/>
        <w:t>) naturally infected with 3 different </w:t>
      </w:r>
      <w:r>
        <w:rPr>
          <w:i/>
        </w:rPr>
        <w:t>Aeromonas </w:t>
      </w:r>
      <w:r>
        <w:rPr/>
        <w:t>species. Canadian Journal of Veterinary Research 79:250-254.</w:t>
      </w:r>
    </w:p>
    <w:p>
      <w:pPr>
        <w:spacing w:after="0" w:line="480" w:lineRule="auto"/>
        <w:jc w:val="both"/>
        <w:sectPr>
          <w:pgSz w:w="12240" w:h="15840"/>
          <w:pgMar w:header="0" w:footer="695" w:top="1080" w:bottom="940" w:left="1200" w:right="1200"/>
        </w:sectPr>
      </w:pPr>
    </w:p>
    <w:p>
      <w:pPr>
        <w:pStyle w:val="Heading1"/>
        <w:ind w:right="59"/>
      </w:pPr>
      <w:r>
        <w:rPr/>
        <w:t>Acknowledgements</w:t>
      </w:r>
    </w:p>
    <w:p>
      <w:pPr>
        <w:pStyle w:val="BodyText"/>
        <w:rPr>
          <w:b/>
        </w:rPr>
      </w:pPr>
    </w:p>
    <w:p>
      <w:pPr>
        <w:pStyle w:val="BodyText"/>
        <w:rPr>
          <w:b/>
        </w:rPr>
      </w:pPr>
    </w:p>
    <w:p>
      <w:pPr>
        <w:pStyle w:val="BodyText"/>
        <w:spacing w:before="7"/>
        <w:rPr>
          <w:b/>
          <w:sz w:val="23"/>
        </w:rPr>
      </w:pPr>
    </w:p>
    <w:p>
      <w:pPr>
        <w:pStyle w:val="BodyText"/>
        <w:spacing w:line="480" w:lineRule="auto"/>
        <w:ind w:left="103" w:right="103" w:firstLine="707"/>
        <w:jc w:val="both"/>
      </w:pPr>
      <w:r>
        <w:rPr/>
        <w:t>Andrea Paloma Zepeda-Velázquez is a Ph. D. student at the Universidad Autónoma del Estado de México (UAEM) and was supported by the Consejo Nacional de Ciencia y Tecnología (CONACYT), Mexico (265289). This work was supported by CONACYT, Project CB-2008-01- 103142 (UAEM 1900/2010C). MVZ Claudia Alexandri Cortés, Laboratorio de Histopatología (CIESA, FMVZ, UAEM) is greatly acknowledged for her technical support.</w:t>
      </w:r>
    </w:p>
    <w:p>
      <w:pPr>
        <w:spacing w:after="0" w:line="480" w:lineRule="auto"/>
        <w:jc w:val="both"/>
        <w:sectPr>
          <w:pgSz w:w="12240" w:h="15840"/>
          <w:pgMar w:header="0" w:footer="695" w:top="1080" w:bottom="940" w:left="1200" w:right="1200"/>
        </w:sectPr>
      </w:pPr>
    </w:p>
    <w:p>
      <w:pPr>
        <w:pStyle w:val="BodyText"/>
        <w:spacing w:line="480" w:lineRule="auto" w:before="41" w:after="18"/>
        <w:ind w:left="543" w:right="19"/>
      </w:pPr>
      <w:r>
        <w:rPr>
          <w:b/>
        </w:rPr>
        <w:t>Table 1. </w:t>
      </w:r>
      <w:r>
        <w:rPr/>
        <w:t>Origin and species of </w:t>
      </w:r>
      <w:r>
        <w:rPr>
          <w:i/>
        </w:rPr>
        <w:t>Aeromonas </w:t>
      </w:r>
      <w:r>
        <w:rPr/>
        <w:t>isolates and microscopic lesions, bacterial re-isolation, and morbidity of rainbow trout exposed to different </w:t>
      </w:r>
      <w:r>
        <w:rPr>
          <w:i/>
        </w:rPr>
        <w:t>Aeromonas </w:t>
      </w:r>
      <w:r>
        <w:rPr/>
        <w:t>included in the study.</w:t>
      </w: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45"/>
        <w:gridCol w:w="1352"/>
        <w:gridCol w:w="1503"/>
        <w:gridCol w:w="1981"/>
        <w:gridCol w:w="2118"/>
      </w:tblGrid>
      <w:tr>
        <w:trPr>
          <w:trHeight w:val="1668" w:hRule="exact"/>
        </w:trPr>
        <w:tc>
          <w:tcPr>
            <w:tcW w:w="2845" w:type="dxa"/>
            <w:tcBorders>
              <w:left w:val="nil"/>
              <w:right w:val="nil"/>
            </w:tcBorders>
          </w:tcPr>
          <w:p>
            <w:pPr>
              <w:pStyle w:val="TableParagraph"/>
              <w:tabs>
                <w:tab w:pos="2042" w:val="left" w:leader="none"/>
              </w:tabs>
              <w:spacing w:line="480" w:lineRule="auto"/>
              <w:ind w:left="124" w:right="107"/>
              <w:rPr>
                <w:sz w:val="24"/>
              </w:rPr>
            </w:pPr>
            <w:r>
              <w:rPr>
                <w:i/>
                <w:sz w:val="24"/>
              </w:rPr>
              <w:t>Aeromonas</w:t>
              <w:tab/>
            </w:r>
            <w:r>
              <w:rPr>
                <w:sz w:val="24"/>
              </w:rPr>
              <w:t>species (isolate</w:t>
            </w:r>
            <w:r>
              <w:rPr>
                <w:spacing w:val="-4"/>
                <w:sz w:val="24"/>
              </w:rPr>
              <w:t> </w:t>
            </w:r>
            <w:r>
              <w:rPr>
                <w:sz w:val="24"/>
              </w:rPr>
              <w:t>identification)</w:t>
            </w:r>
          </w:p>
        </w:tc>
        <w:tc>
          <w:tcPr>
            <w:tcW w:w="1352" w:type="dxa"/>
            <w:tcBorders>
              <w:left w:val="nil"/>
              <w:right w:val="nil"/>
            </w:tcBorders>
          </w:tcPr>
          <w:p>
            <w:pPr>
              <w:pStyle w:val="TableParagraph"/>
              <w:spacing w:line="270" w:lineRule="exact"/>
              <w:ind w:left="107"/>
              <w:rPr>
                <w:sz w:val="24"/>
              </w:rPr>
            </w:pPr>
            <w:r>
              <w:rPr>
                <w:sz w:val="24"/>
              </w:rPr>
              <w:t>Origin</w:t>
            </w:r>
          </w:p>
        </w:tc>
        <w:tc>
          <w:tcPr>
            <w:tcW w:w="1503" w:type="dxa"/>
            <w:tcBorders>
              <w:left w:val="nil"/>
              <w:right w:val="nil"/>
            </w:tcBorders>
          </w:tcPr>
          <w:p>
            <w:pPr>
              <w:pStyle w:val="TableParagraph"/>
              <w:spacing w:line="270" w:lineRule="exact"/>
              <w:ind w:left="169"/>
              <w:rPr>
                <w:sz w:val="24"/>
              </w:rPr>
            </w:pPr>
            <w:r>
              <w:rPr>
                <w:sz w:val="24"/>
              </w:rPr>
              <w:t>Mortality, %</w:t>
            </w:r>
          </w:p>
        </w:tc>
        <w:tc>
          <w:tcPr>
            <w:tcW w:w="1981" w:type="dxa"/>
            <w:tcBorders>
              <w:left w:val="nil"/>
              <w:right w:val="nil"/>
            </w:tcBorders>
          </w:tcPr>
          <w:p>
            <w:pPr>
              <w:pStyle w:val="TableParagraph"/>
              <w:spacing w:line="480" w:lineRule="auto"/>
              <w:ind w:left="109" w:right="106"/>
              <w:jc w:val="both"/>
              <w:rPr>
                <w:sz w:val="24"/>
              </w:rPr>
            </w:pPr>
            <w:r>
              <w:rPr>
                <w:sz w:val="24"/>
              </w:rPr>
              <w:t>Percentage of fish with microscopic lesions in liver</w:t>
            </w:r>
          </w:p>
        </w:tc>
        <w:tc>
          <w:tcPr>
            <w:tcW w:w="2118" w:type="dxa"/>
            <w:tcBorders>
              <w:left w:val="nil"/>
              <w:right w:val="nil"/>
            </w:tcBorders>
          </w:tcPr>
          <w:p>
            <w:pPr>
              <w:pStyle w:val="TableParagraph"/>
              <w:spacing w:line="480" w:lineRule="auto"/>
              <w:ind w:left="108" w:right="105"/>
              <w:jc w:val="both"/>
              <w:rPr>
                <w:sz w:val="24"/>
              </w:rPr>
            </w:pPr>
            <w:r>
              <w:rPr>
                <w:sz w:val="24"/>
              </w:rPr>
              <w:t>Percentage of fish with bacterial re- isolation from liver</w:t>
            </w:r>
          </w:p>
        </w:tc>
      </w:tr>
      <w:tr>
        <w:trPr>
          <w:trHeight w:val="963" w:hRule="exact"/>
        </w:trPr>
        <w:tc>
          <w:tcPr>
            <w:tcW w:w="2845" w:type="dxa"/>
            <w:tcBorders>
              <w:left w:val="nil"/>
              <w:bottom w:val="nil"/>
              <w:right w:val="nil"/>
            </w:tcBorders>
          </w:tcPr>
          <w:p>
            <w:pPr>
              <w:pStyle w:val="TableParagraph"/>
              <w:tabs>
                <w:tab w:pos="990" w:val="left" w:leader="none"/>
              </w:tabs>
              <w:spacing w:line="268" w:lineRule="exact"/>
              <w:ind w:left="124"/>
              <w:rPr>
                <w:i/>
                <w:sz w:val="24"/>
              </w:rPr>
            </w:pPr>
            <w:r>
              <w:rPr>
                <w:i/>
                <w:sz w:val="24"/>
              </w:rPr>
              <w:t>A.</w:t>
              <w:tab/>
              <w:t>allosaccharophila</w:t>
            </w:r>
          </w:p>
          <w:p>
            <w:pPr>
              <w:pStyle w:val="TableParagraph"/>
              <w:rPr>
                <w:sz w:val="24"/>
              </w:rPr>
            </w:pPr>
          </w:p>
          <w:p>
            <w:pPr>
              <w:pStyle w:val="TableParagraph"/>
              <w:ind w:left="124" w:right="107"/>
              <w:rPr>
                <w:sz w:val="24"/>
              </w:rPr>
            </w:pPr>
            <w:r>
              <w:rPr>
                <w:sz w:val="24"/>
              </w:rPr>
              <w:t>(ESV-385)</w:t>
            </w:r>
          </w:p>
        </w:tc>
        <w:tc>
          <w:tcPr>
            <w:tcW w:w="1352" w:type="dxa"/>
            <w:tcBorders>
              <w:left w:val="nil"/>
              <w:bottom w:val="nil"/>
              <w:right w:val="nil"/>
            </w:tcBorders>
          </w:tcPr>
          <w:p>
            <w:pPr>
              <w:pStyle w:val="TableParagraph"/>
              <w:spacing w:line="268" w:lineRule="exact"/>
              <w:ind w:left="107"/>
              <w:rPr>
                <w:sz w:val="24"/>
              </w:rPr>
            </w:pPr>
            <w:r>
              <w:rPr>
                <w:sz w:val="24"/>
              </w:rPr>
              <w:t>Gill</w:t>
            </w:r>
          </w:p>
        </w:tc>
        <w:tc>
          <w:tcPr>
            <w:tcW w:w="1503" w:type="dxa"/>
            <w:tcBorders>
              <w:left w:val="nil"/>
              <w:bottom w:val="nil"/>
              <w:right w:val="nil"/>
            </w:tcBorders>
          </w:tcPr>
          <w:p>
            <w:pPr>
              <w:pStyle w:val="TableParagraph"/>
              <w:spacing w:line="268" w:lineRule="exact"/>
              <w:ind w:left="169"/>
              <w:rPr>
                <w:sz w:val="16"/>
              </w:rPr>
            </w:pPr>
            <w:r>
              <w:rPr>
                <w:sz w:val="24"/>
              </w:rPr>
              <w:t>0.0</w:t>
            </w:r>
            <w:r>
              <w:rPr>
                <w:position w:val="9"/>
                <w:sz w:val="16"/>
              </w:rPr>
              <w:t>a</w:t>
            </w:r>
          </w:p>
        </w:tc>
        <w:tc>
          <w:tcPr>
            <w:tcW w:w="1981" w:type="dxa"/>
            <w:tcBorders>
              <w:left w:val="nil"/>
              <w:bottom w:val="nil"/>
              <w:right w:val="nil"/>
            </w:tcBorders>
          </w:tcPr>
          <w:p>
            <w:pPr>
              <w:pStyle w:val="TableParagraph"/>
              <w:spacing w:line="268" w:lineRule="exact"/>
              <w:ind w:left="109"/>
              <w:rPr>
                <w:sz w:val="16"/>
              </w:rPr>
            </w:pPr>
            <w:r>
              <w:rPr>
                <w:sz w:val="24"/>
              </w:rPr>
              <w:t>83.3</w:t>
            </w:r>
            <w:r>
              <w:rPr>
                <w:position w:val="9"/>
                <w:sz w:val="16"/>
              </w:rPr>
              <w:t>b</w:t>
            </w:r>
          </w:p>
        </w:tc>
        <w:tc>
          <w:tcPr>
            <w:tcW w:w="2118" w:type="dxa"/>
            <w:tcBorders>
              <w:left w:val="nil"/>
              <w:bottom w:val="nil"/>
              <w:right w:val="nil"/>
            </w:tcBorders>
          </w:tcPr>
          <w:p>
            <w:pPr>
              <w:pStyle w:val="TableParagraph"/>
              <w:spacing w:line="268" w:lineRule="exact"/>
              <w:ind w:left="108"/>
              <w:rPr>
                <w:sz w:val="16"/>
              </w:rPr>
            </w:pPr>
            <w:r>
              <w:rPr>
                <w:sz w:val="24"/>
              </w:rPr>
              <w:t>32.2</w:t>
            </w:r>
            <w:r>
              <w:rPr>
                <w:position w:val="9"/>
                <w:sz w:val="16"/>
              </w:rPr>
              <w:t>b</w:t>
            </w:r>
          </w:p>
        </w:tc>
      </w:tr>
      <w:tr>
        <w:trPr>
          <w:trHeight w:val="552" w:hRule="exact"/>
        </w:trPr>
        <w:tc>
          <w:tcPr>
            <w:tcW w:w="2845" w:type="dxa"/>
            <w:tcBorders>
              <w:top w:val="nil"/>
              <w:left w:val="nil"/>
              <w:bottom w:val="nil"/>
              <w:right w:val="nil"/>
            </w:tcBorders>
          </w:tcPr>
          <w:p>
            <w:pPr>
              <w:pStyle w:val="TableParagraph"/>
              <w:spacing w:before="138"/>
              <w:ind w:left="124" w:right="107"/>
              <w:rPr>
                <w:sz w:val="24"/>
              </w:rPr>
            </w:pPr>
            <w:r>
              <w:rPr>
                <w:i/>
                <w:sz w:val="24"/>
              </w:rPr>
              <w:t>A. bestiarum </w:t>
            </w:r>
            <w:r>
              <w:rPr>
                <w:sz w:val="24"/>
              </w:rPr>
              <w:t>(ESV-365)</w:t>
            </w:r>
          </w:p>
        </w:tc>
        <w:tc>
          <w:tcPr>
            <w:tcW w:w="1352" w:type="dxa"/>
            <w:tcBorders>
              <w:top w:val="nil"/>
              <w:left w:val="nil"/>
              <w:bottom w:val="nil"/>
              <w:right w:val="nil"/>
            </w:tcBorders>
          </w:tcPr>
          <w:p>
            <w:pPr>
              <w:pStyle w:val="TableParagraph"/>
              <w:spacing w:before="138"/>
              <w:ind w:left="107"/>
              <w:rPr>
                <w:sz w:val="24"/>
              </w:rPr>
            </w:pPr>
            <w:r>
              <w:rPr>
                <w:sz w:val="24"/>
              </w:rPr>
              <w:t>Skin lesion</w:t>
            </w:r>
          </w:p>
        </w:tc>
        <w:tc>
          <w:tcPr>
            <w:tcW w:w="1503" w:type="dxa"/>
            <w:tcBorders>
              <w:top w:val="nil"/>
              <w:left w:val="nil"/>
              <w:bottom w:val="nil"/>
              <w:right w:val="nil"/>
            </w:tcBorders>
          </w:tcPr>
          <w:p>
            <w:pPr>
              <w:pStyle w:val="TableParagraph"/>
              <w:spacing w:before="123"/>
              <w:ind w:left="169"/>
              <w:rPr>
                <w:sz w:val="16"/>
              </w:rPr>
            </w:pPr>
            <w:r>
              <w:rPr>
                <w:sz w:val="24"/>
              </w:rPr>
              <w:t>8.8</w:t>
            </w:r>
            <w:r>
              <w:rPr>
                <w:position w:val="9"/>
                <w:sz w:val="16"/>
              </w:rPr>
              <w:t>b</w:t>
            </w:r>
          </w:p>
        </w:tc>
        <w:tc>
          <w:tcPr>
            <w:tcW w:w="1981" w:type="dxa"/>
            <w:tcBorders>
              <w:top w:val="nil"/>
              <w:left w:val="nil"/>
              <w:bottom w:val="nil"/>
              <w:right w:val="nil"/>
            </w:tcBorders>
          </w:tcPr>
          <w:p>
            <w:pPr>
              <w:pStyle w:val="TableParagraph"/>
              <w:spacing w:before="123"/>
              <w:ind w:left="109"/>
              <w:rPr>
                <w:sz w:val="16"/>
              </w:rPr>
            </w:pPr>
            <w:r>
              <w:rPr>
                <w:sz w:val="24"/>
              </w:rPr>
              <w:t>55.5</w:t>
            </w:r>
            <w:r>
              <w:rPr>
                <w:position w:val="9"/>
                <w:sz w:val="16"/>
              </w:rPr>
              <w:t>b</w:t>
            </w:r>
          </w:p>
        </w:tc>
        <w:tc>
          <w:tcPr>
            <w:tcW w:w="2118" w:type="dxa"/>
            <w:tcBorders>
              <w:top w:val="nil"/>
              <w:left w:val="nil"/>
              <w:bottom w:val="nil"/>
              <w:right w:val="nil"/>
            </w:tcBorders>
          </w:tcPr>
          <w:p>
            <w:pPr>
              <w:pStyle w:val="TableParagraph"/>
              <w:spacing w:before="123"/>
              <w:ind w:left="108"/>
              <w:rPr>
                <w:sz w:val="16"/>
              </w:rPr>
            </w:pPr>
            <w:r>
              <w:rPr>
                <w:sz w:val="24"/>
              </w:rPr>
              <w:t>24.4</w:t>
            </w:r>
            <w:r>
              <w:rPr>
                <w:position w:val="9"/>
                <w:sz w:val="16"/>
              </w:rPr>
              <w:t>b</w:t>
            </w:r>
          </w:p>
        </w:tc>
      </w:tr>
      <w:tr>
        <w:trPr>
          <w:trHeight w:val="552" w:hRule="exact"/>
        </w:trPr>
        <w:tc>
          <w:tcPr>
            <w:tcW w:w="2845" w:type="dxa"/>
            <w:tcBorders>
              <w:top w:val="nil"/>
              <w:left w:val="nil"/>
              <w:bottom w:val="nil"/>
              <w:right w:val="nil"/>
            </w:tcBorders>
          </w:tcPr>
          <w:p>
            <w:pPr>
              <w:pStyle w:val="TableParagraph"/>
              <w:spacing w:before="138"/>
              <w:ind w:left="124" w:right="107"/>
              <w:rPr>
                <w:sz w:val="24"/>
              </w:rPr>
            </w:pPr>
            <w:r>
              <w:rPr>
                <w:i/>
                <w:sz w:val="24"/>
              </w:rPr>
              <w:t>A. caviae </w:t>
            </w:r>
            <w:r>
              <w:rPr>
                <w:sz w:val="24"/>
              </w:rPr>
              <w:t>(ESV-378)</w:t>
            </w:r>
          </w:p>
        </w:tc>
        <w:tc>
          <w:tcPr>
            <w:tcW w:w="1352" w:type="dxa"/>
            <w:tcBorders>
              <w:top w:val="nil"/>
              <w:left w:val="nil"/>
              <w:bottom w:val="nil"/>
              <w:right w:val="nil"/>
            </w:tcBorders>
          </w:tcPr>
          <w:p>
            <w:pPr>
              <w:pStyle w:val="TableParagraph"/>
              <w:spacing w:before="138"/>
              <w:ind w:left="107"/>
              <w:rPr>
                <w:sz w:val="24"/>
              </w:rPr>
            </w:pPr>
            <w:r>
              <w:rPr>
                <w:sz w:val="24"/>
              </w:rPr>
              <w:t>Gill</w:t>
            </w:r>
          </w:p>
        </w:tc>
        <w:tc>
          <w:tcPr>
            <w:tcW w:w="1503" w:type="dxa"/>
            <w:tcBorders>
              <w:top w:val="nil"/>
              <w:left w:val="nil"/>
              <w:bottom w:val="nil"/>
              <w:right w:val="nil"/>
            </w:tcBorders>
          </w:tcPr>
          <w:p>
            <w:pPr>
              <w:pStyle w:val="TableParagraph"/>
              <w:spacing w:before="123"/>
              <w:ind w:left="169"/>
              <w:rPr>
                <w:sz w:val="16"/>
              </w:rPr>
            </w:pPr>
            <w:r>
              <w:rPr>
                <w:sz w:val="24"/>
              </w:rPr>
              <w:t>3.3</w:t>
            </w:r>
            <w:r>
              <w:rPr>
                <w:position w:val="9"/>
                <w:sz w:val="16"/>
              </w:rPr>
              <w:t>a</w:t>
            </w:r>
          </w:p>
        </w:tc>
        <w:tc>
          <w:tcPr>
            <w:tcW w:w="1981" w:type="dxa"/>
            <w:tcBorders>
              <w:top w:val="nil"/>
              <w:left w:val="nil"/>
              <w:bottom w:val="nil"/>
              <w:right w:val="nil"/>
            </w:tcBorders>
          </w:tcPr>
          <w:p>
            <w:pPr>
              <w:pStyle w:val="TableParagraph"/>
              <w:spacing w:before="123"/>
              <w:ind w:left="109"/>
              <w:rPr>
                <w:sz w:val="16"/>
              </w:rPr>
            </w:pPr>
            <w:r>
              <w:rPr>
                <w:sz w:val="24"/>
              </w:rPr>
              <w:t>34.4</w:t>
            </w:r>
            <w:r>
              <w:rPr>
                <w:position w:val="9"/>
                <w:sz w:val="16"/>
              </w:rPr>
              <w:t>b</w:t>
            </w:r>
          </w:p>
        </w:tc>
        <w:tc>
          <w:tcPr>
            <w:tcW w:w="2118" w:type="dxa"/>
            <w:tcBorders>
              <w:top w:val="nil"/>
              <w:left w:val="nil"/>
              <w:bottom w:val="nil"/>
              <w:right w:val="nil"/>
            </w:tcBorders>
          </w:tcPr>
          <w:p>
            <w:pPr>
              <w:pStyle w:val="TableParagraph"/>
              <w:spacing w:before="123"/>
              <w:ind w:left="108"/>
              <w:rPr>
                <w:sz w:val="16"/>
              </w:rPr>
            </w:pPr>
            <w:r>
              <w:rPr>
                <w:sz w:val="24"/>
              </w:rPr>
              <w:t>12.2</w:t>
            </w:r>
            <w:r>
              <w:rPr>
                <w:position w:val="9"/>
                <w:sz w:val="16"/>
              </w:rPr>
              <w:t>b</w:t>
            </w:r>
          </w:p>
        </w:tc>
      </w:tr>
      <w:tr>
        <w:trPr>
          <w:trHeight w:val="552" w:hRule="exact"/>
        </w:trPr>
        <w:tc>
          <w:tcPr>
            <w:tcW w:w="2845" w:type="dxa"/>
            <w:tcBorders>
              <w:top w:val="nil"/>
              <w:left w:val="nil"/>
              <w:bottom w:val="nil"/>
              <w:right w:val="nil"/>
            </w:tcBorders>
          </w:tcPr>
          <w:p>
            <w:pPr>
              <w:pStyle w:val="TableParagraph"/>
              <w:spacing w:before="138"/>
              <w:ind w:left="124" w:right="107"/>
              <w:rPr>
                <w:sz w:val="24"/>
              </w:rPr>
            </w:pPr>
            <w:r>
              <w:rPr>
                <w:i/>
                <w:sz w:val="24"/>
              </w:rPr>
              <w:t>A. hydrophila </w:t>
            </w:r>
            <w:r>
              <w:rPr>
                <w:sz w:val="24"/>
              </w:rPr>
              <w:t>(ESV-394)</w:t>
            </w:r>
          </w:p>
        </w:tc>
        <w:tc>
          <w:tcPr>
            <w:tcW w:w="1352" w:type="dxa"/>
            <w:tcBorders>
              <w:top w:val="nil"/>
              <w:left w:val="nil"/>
              <w:bottom w:val="nil"/>
              <w:right w:val="nil"/>
            </w:tcBorders>
          </w:tcPr>
          <w:p>
            <w:pPr>
              <w:pStyle w:val="TableParagraph"/>
              <w:spacing w:before="138"/>
              <w:ind w:left="107"/>
              <w:rPr>
                <w:sz w:val="24"/>
              </w:rPr>
            </w:pPr>
            <w:r>
              <w:rPr>
                <w:sz w:val="24"/>
              </w:rPr>
              <w:t>Skin lesion</w:t>
            </w:r>
          </w:p>
        </w:tc>
        <w:tc>
          <w:tcPr>
            <w:tcW w:w="1503" w:type="dxa"/>
            <w:tcBorders>
              <w:top w:val="nil"/>
              <w:left w:val="nil"/>
              <w:bottom w:val="nil"/>
              <w:right w:val="nil"/>
            </w:tcBorders>
          </w:tcPr>
          <w:p>
            <w:pPr>
              <w:pStyle w:val="TableParagraph"/>
              <w:spacing w:before="123"/>
              <w:ind w:left="169"/>
              <w:rPr>
                <w:sz w:val="16"/>
              </w:rPr>
            </w:pPr>
            <w:r>
              <w:rPr>
                <w:sz w:val="24"/>
              </w:rPr>
              <w:t>12.2</w:t>
            </w:r>
            <w:r>
              <w:rPr>
                <w:position w:val="9"/>
                <w:sz w:val="16"/>
              </w:rPr>
              <w:t>b</w:t>
            </w:r>
          </w:p>
        </w:tc>
        <w:tc>
          <w:tcPr>
            <w:tcW w:w="1981" w:type="dxa"/>
            <w:tcBorders>
              <w:top w:val="nil"/>
              <w:left w:val="nil"/>
              <w:bottom w:val="nil"/>
              <w:right w:val="nil"/>
            </w:tcBorders>
          </w:tcPr>
          <w:p>
            <w:pPr>
              <w:pStyle w:val="TableParagraph"/>
              <w:spacing w:before="123"/>
              <w:ind w:left="109"/>
              <w:rPr>
                <w:sz w:val="16"/>
              </w:rPr>
            </w:pPr>
            <w:r>
              <w:rPr>
                <w:sz w:val="24"/>
              </w:rPr>
              <w:t>60.0</w:t>
            </w:r>
            <w:r>
              <w:rPr>
                <w:position w:val="9"/>
                <w:sz w:val="16"/>
              </w:rPr>
              <w:t>b</w:t>
            </w:r>
          </w:p>
        </w:tc>
        <w:tc>
          <w:tcPr>
            <w:tcW w:w="2118" w:type="dxa"/>
            <w:tcBorders>
              <w:top w:val="nil"/>
              <w:left w:val="nil"/>
              <w:bottom w:val="nil"/>
              <w:right w:val="nil"/>
            </w:tcBorders>
          </w:tcPr>
          <w:p>
            <w:pPr>
              <w:pStyle w:val="TableParagraph"/>
              <w:spacing w:before="123"/>
              <w:ind w:left="108"/>
              <w:rPr>
                <w:sz w:val="16"/>
              </w:rPr>
            </w:pPr>
            <w:r>
              <w:rPr>
                <w:sz w:val="24"/>
              </w:rPr>
              <w:t>41.1</w:t>
            </w:r>
            <w:r>
              <w:rPr>
                <w:position w:val="9"/>
                <w:sz w:val="16"/>
              </w:rPr>
              <w:t>b</w:t>
            </w:r>
          </w:p>
        </w:tc>
      </w:tr>
      <w:tr>
        <w:trPr>
          <w:trHeight w:val="552" w:hRule="exact"/>
        </w:trPr>
        <w:tc>
          <w:tcPr>
            <w:tcW w:w="2845" w:type="dxa"/>
            <w:tcBorders>
              <w:top w:val="nil"/>
              <w:left w:val="nil"/>
              <w:bottom w:val="nil"/>
              <w:right w:val="nil"/>
            </w:tcBorders>
          </w:tcPr>
          <w:p>
            <w:pPr>
              <w:pStyle w:val="TableParagraph"/>
              <w:spacing w:before="138"/>
              <w:ind w:left="124" w:right="107"/>
              <w:rPr>
                <w:sz w:val="24"/>
              </w:rPr>
            </w:pPr>
            <w:r>
              <w:rPr>
                <w:sz w:val="24"/>
              </w:rPr>
              <w:t>“</w:t>
            </w:r>
            <w:r>
              <w:rPr>
                <w:i/>
                <w:sz w:val="24"/>
              </w:rPr>
              <w:t>A</w:t>
            </w:r>
            <w:r>
              <w:rPr>
                <w:sz w:val="24"/>
              </w:rPr>
              <w:t>. </w:t>
            </w:r>
            <w:r>
              <w:rPr>
                <w:i/>
                <w:sz w:val="24"/>
              </w:rPr>
              <w:t>lusitana</w:t>
            </w:r>
            <w:r>
              <w:rPr>
                <w:sz w:val="24"/>
              </w:rPr>
              <w:t>” (ESV-351)</w:t>
            </w:r>
          </w:p>
        </w:tc>
        <w:tc>
          <w:tcPr>
            <w:tcW w:w="1352" w:type="dxa"/>
            <w:tcBorders>
              <w:top w:val="nil"/>
              <w:left w:val="nil"/>
              <w:bottom w:val="nil"/>
              <w:right w:val="nil"/>
            </w:tcBorders>
          </w:tcPr>
          <w:p>
            <w:pPr>
              <w:pStyle w:val="TableParagraph"/>
              <w:spacing w:before="138"/>
              <w:ind w:left="107"/>
              <w:rPr>
                <w:sz w:val="24"/>
              </w:rPr>
            </w:pPr>
            <w:r>
              <w:rPr>
                <w:sz w:val="24"/>
              </w:rPr>
              <w:t>Gill</w:t>
            </w:r>
          </w:p>
        </w:tc>
        <w:tc>
          <w:tcPr>
            <w:tcW w:w="1503" w:type="dxa"/>
            <w:tcBorders>
              <w:top w:val="nil"/>
              <w:left w:val="nil"/>
              <w:bottom w:val="nil"/>
              <w:right w:val="nil"/>
            </w:tcBorders>
          </w:tcPr>
          <w:p>
            <w:pPr>
              <w:pStyle w:val="TableParagraph"/>
              <w:spacing w:before="123"/>
              <w:ind w:left="169"/>
              <w:rPr>
                <w:sz w:val="16"/>
              </w:rPr>
            </w:pPr>
            <w:r>
              <w:rPr>
                <w:sz w:val="24"/>
              </w:rPr>
              <w:t>0.0</w:t>
            </w:r>
            <w:r>
              <w:rPr>
                <w:position w:val="9"/>
                <w:sz w:val="16"/>
              </w:rPr>
              <w:t>a</w:t>
            </w:r>
          </w:p>
        </w:tc>
        <w:tc>
          <w:tcPr>
            <w:tcW w:w="1981" w:type="dxa"/>
            <w:tcBorders>
              <w:top w:val="nil"/>
              <w:left w:val="nil"/>
              <w:bottom w:val="nil"/>
              <w:right w:val="nil"/>
            </w:tcBorders>
          </w:tcPr>
          <w:p>
            <w:pPr>
              <w:pStyle w:val="TableParagraph"/>
              <w:spacing w:before="123"/>
              <w:ind w:left="109"/>
              <w:rPr>
                <w:sz w:val="16"/>
              </w:rPr>
            </w:pPr>
            <w:r>
              <w:rPr>
                <w:sz w:val="24"/>
              </w:rPr>
              <w:t>66.6</w:t>
            </w:r>
            <w:r>
              <w:rPr>
                <w:position w:val="9"/>
                <w:sz w:val="16"/>
              </w:rPr>
              <w:t>b</w:t>
            </w:r>
          </w:p>
        </w:tc>
        <w:tc>
          <w:tcPr>
            <w:tcW w:w="2118" w:type="dxa"/>
            <w:tcBorders>
              <w:top w:val="nil"/>
              <w:left w:val="nil"/>
              <w:bottom w:val="nil"/>
              <w:right w:val="nil"/>
            </w:tcBorders>
          </w:tcPr>
          <w:p>
            <w:pPr>
              <w:pStyle w:val="TableParagraph"/>
              <w:spacing w:before="123"/>
              <w:ind w:left="108"/>
              <w:rPr>
                <w:sz w:val="16"/>
              </w:rPr>
            </w:pPr>
            <w:r>
              <w:rPr>
                <w:sz w:val="24"/>
              </w:rPr>
              <w:t>17.7</w:t>
            </w:r>
            <w:r>
              <w:rPr>
                <w:position w:val="9"/>
                <w:sz w:val="16"/>
              </w:rPr>
              <w:t>b</w:t>
            </w:r>
          </w:p>
        </w:tc>
      </w:tr>
      <w:tr>
        <w:trPr>
          <w:trHeight w:val="552" w:hRule="exact"/>
        </w:trPr>
        <w:tc>
          <w:tcPr>
            <w:tcW w:w="2845" w:type="dxa"/>
            <w:tcBorders>
              <w:top w:val="nil"/>
              <w:left w:val="nil"/>
              <w:bottom w:val="nil"/>
              <w:right w:val="nil"/>
            </w:tcBorders>
          </w:tcPr>
          <w:p>
            <w:pPr>
              <w:pStyle w:val="TableParagraph"/>
              <w:spacing w:before="138"/>
              <w:ind w:left="124" w:right="107"/>
              <w:rPr>
                <w:sz w:val="24"/>
              </w:rPr>
            </w:pPr>
            <w:r>
              <w:rPr>
                <w:i/>
                <w:sz w:val="24"/>
              </w:rPr>
              <w:t>A. media </w:t>
            </w:r>
            <w:r>
              <w:rPr>
                <w:sz w:val="24"/>
              </w:rPr>
              <w:t>(ESV-398)</w:t>
            </w:r>
          </w:p>
        </w:tc>
        <w:tc>
          <w:tcPr>
            <w:tcW w:w="1352" w:type="dxa"/>
            <w:tcBorders>
              <w:top w:val="nil"/>
              <w:left w:val="nil"/>
              <w:bottom w:val="nil"/>
              <w:right w:val="nil"/>
            </w:tcBorders>
          </w:tcPr>
          <w:p>
            <w:pPr>
              <w:pStyle w:val="TableParagraph"/>
              <w:spacing w:before="138"/>
              <w:ind w:left="107"/>
              <w:rPr>
                <w:sz w:val="24"/>
              </w:rPr>
            </w:pPr>
            <w:r>
              <w:rPr>
                <w:sz w:val="24"/>
              </w:rPr>
              <w:t>Spleen</w:t>
            </w:r>
          </w:p>
        </w:tc>
        <w:tc>
          <w:tcPr>
            <w:tcW w:w="1503" w:type="dxa"/>
            <w:tcBorders>
              <w:top w:val="nil"/>
              <w:left w:val="nil"/>
              <w:bottom w:val="nil"/>
              <w:right w:val="nil"/>
            </w:tcBorders>
          </w:tcPr>
          <w:p>
            <w:pPr>
              <w:pStyle w:val="TableParagraph"/>
              <w:spacing w:before="123"/>
              <w:ind w:left="169"/>
              <w:rPr>
                <w:sz w:val="16"/>
              </w:rPr>
            </w:pPr>
            <w:r>
              <w:rPr>
                <w:sz w:val="24"/>
              </w:rPr>
              <w:t>0.0</w:t>
            </w:r>
            <w:r>
              <w:rPr>
                <w:position w:val="9"/>
                <w:sz w:val="16"/>
              </w:rPr>
              <w:t>a</w:t>
            </w:r>
          </w:p>
        </w:tc>
        <w:tc>
          <w:tcPr>
            <w:tcW w:w="1981" w:type="dxa"/>
            <w:tcBorders>
              <w:top w:val="nil"/>
              <w:left w:val="nil"/>
              <w:bottom w:val="nil"/>
              <w:right w:val="nil"/>
            </w:tcBorders>
          </w:tcPr>
          <w:p>
            <w:pPr>
              <w:pStyle w:val="TableParagraph"/>
              <w:spacing w:before="123"/>
              <w:ind w:left="109"/>
              <w:rPr>
                <w:sz w:val="16"/>
              </w:rPr>
            </w:pPr>
            <w:r>
              <w:rPr>
                <w:sz w:val="24"/>
              </w:rPr>
              <w:t>27.7</w:t>
            </w:r>
            <w:r>
              <w:rPr>
                <w:position w:val="9"/>
                <w:sz w:val="16"/>
              </w:rPr>
              <w:t>a</w:t>
            </w:r>
          </w:p>
        </w:tc>
        <w:tc>
          <w:tcPr>
            <w:tcW w:w="2118" w:type="dxa"/>
            <w:tcBorders>
              <w:top w:val="nil"/>
              <w:left w:val="nil"/>
              <w:bottom w:val="nil"/>
              <w:right w:val="nil"/>
            </w:tcBorders>
          </w:tcPr>
          <w:p>
            <w:pPr>
              <w:pStyle w:val="TableParagraph"/>
              <w:spacing w:before="123"/>
              <w:ind w:left="108"/>
              <w:rPr>
                <w:sz w:val="16"/>
              </w:rPr>
            </w:pPr>
            <w:r>
              <w:rPr>
                <w:sz w:val="24"/>
              </w:rPr>
              <w:t>64.4</w:t>
            </w:r>
            <w:r>
              <w:rPr>
                <w:position w:val="9"/>
                <w:sz w:val="16"/>
              </w:rPr>
              <w:t>b</w:t>
            </w:r>
          </w:p>
        </w:tc>
      </w:tr>
      <w:tr>
        <w:trPr>
          <w:trHeight w:val="552" w:hRule="exact"/>
        </w:trPr>
        <w:tc>
          <w:tcPr>
            <w:tcW w:w="2845" w:type="dxa"/>
            <w:tcBorders>
              <w:top w:val="nil"/>
              <w:left w:val="nil"/>
              <w:bottom w:val="nil"/>
              <w:right w:val="nil"/>
            </w:tcBorders>
          </w:tcPr>
          <w:p>
            <w:pPr>
              <w:pStyle w:val="TableParagraph"/>
              <w:spacing w:before="139"/>
              <w:ind w:left="124" w:right="107"/>
              <w:rPr>
                <w:sz w:val="24"/>
              </w:rPr>
            </w:pPr>
            <w:r>
              <w:rPr>
                <w:i/>
                <w:sz w:val="24"/>
              </w:rPr>
              <w:t>A. popoffii </w:t>
            </w:r>
            <w:r>
              <w:rPr>
                <w:sz w:val="24"/>
              </w:rPr>
              <w:t>(ESV-354)</w:t>
            </w:r>
          </w:p>
        </w:tc>
        <w:tc>
          <w:tcPr>
            <w:tcW w:w="1352" w:type="dxa"/>
            <w:tcBorders>
              <w:top w:val="nil"/>
              <w:left w:val="nil"/>
              <w:bottom w:val="nil"/>
              <w:right w:val="nil"/>
            </w:tcBorders>
          </w:tcPr>
          <w:p>
            <w:pPr>
              <w:pStyle w:val="TableParagraph"/>
              <w:spacing w:before="139"/>
              <w:ind w:left="107"/>
              <w:rPr>
                <w:sz w:val="24"/>
              </w:rPr>
            </w:pPr>
            <w:r>
              <w:rPr>
                <w:sz w:val="24"/>
              </w:rPr>
              <w:t>Kidney</w:t>
            </w:r>
          </w:p>
        </w:tc>
        <w:tc>
          <w:tcPr>
            <w:tcW w:w="1503" w:type="dxa"/>
            <w:tcBorders>
              <w:top w:val="nil"/>
              <w:left w:val="nil"/>
              <w:bottom w:val="nil"/>
              <w:right w:val="nil"/>
            </w:tcBorders>
          </w:tcPr>
          <w:p>
            <w:pPr>
              <w:pStyle w:val="TableParagraph"/>
              <w:spacing w:before="124"/>
              <w:ind w:left="169"/>
              <w:rPr>
                <w:sz w:val="16"/>
              </w:rPr>
            </w:pPr>
            <w:r>
              <w:rPr>
                <w:sz w:val="24"/>
              </w:rPr>
              <w:t>0.0</w:t>
            </w:r>
            <w:r>
              <w:rPr>
                <w:position w:val="9"/>
                <w:sz w:val="16"/>
              </w:rPr>
              <w:t>a</w:t>
            </w:r>
          </w:p>
        </w:tc>
        <w:tc>
          <w:tcPr>
            <w:tcW w:w="1981" w:type="dxa"/>
            <w:tcBorders>
              <w:top w:val="nil"/>
              <w:left w:val="nil"/>
              <w:bottom w:val="nil"/>
              <w:right w:val="nil"/>
            </w:tcBorders>
          </w:tcPr>
          <w:p>
            <w:pPr>
              <w:pStyle w:val="TableParagraph"/>
              <w:spacing w:before="124"/>
              <w:ind w:left="109"/>
              <w:rPr>
                <w:sz w:val="16"/>
              </w:rPr>
            </w:pPr>
            <w:r>
              <w:rPr>
                <w:sz w:val="24"/>
              </w:rPr>
              <w:t>52.2</w:t>
            </w:r>
            <w:r>
              <w:rPr>
                <w:position w:val="9"/>
                <w:sz w:val="16"/>
              </w:rPr>
              <w:t>b</w:t>
            </w:r>
          </w:p>
        </w:tc>
        <w:tc>
          <w:tcPr>
            <w:tcW w:w="2118" w:type="dxa"/>
            <w:tcBorders>
              <w:top w:val="nil"/>
              <w:left w:val="nil"/>
              <w:bottom w:val="nil"/>
              <w:right w:val="nil"/>
            </w:tcBorders>
          </w:tcPr>
          <w:p>
            <w:pPr>
              <w:pStyle w:val="TableParagraph"/>
              <w:spacing w:before="124"/>
              <w:ind w:left="108"/>
              <w:rPr>
                <w:sz w:val="16"/>
              </w:rPr>
            </w:pPr>
            <w:r>
              <w:rPr>
                <w:sz w:val="24"/>
              </w:rPr>
              <w:t>86.6</w:t>
            </w:r>
            <w:r>
              <w:rPr>
                <w:position w:val="9"/>
                <w:sz w:val="16"/>
              </w:rPr>
              <w:t>b</w:t>
            </w:r>
          </w:p>
        </w:tc>
      </w:tr>
      <w:tr>
        <w:trPr>
          <w:trHeight w:val="552" w:hRule="exact"/>
        </w:trPr>
        <w:tc>
          <w:tcPr>
            <w:tcW w:w="2845" w:type="dxa"/>
            <w:tcBorders>
              <w:top w:val="nil"/>
              <w:left w:val="nil"/>
              <w:bottom w:val="nil"/>
              <w:right w:val="nil"/>
            </w:tcBorders>
          </w:tcPr>
          <w:p>
            <w:pPr>
              <w:pStyle w:val="TableParagraph"/>
              <w:spacing w:before="138"/>
              <w:ind w:left="124" w:right="107"/>
              <w:rPr>
                <w:sz w:val="24"/>
              </w:rPr>
            </w:pPr>
            <w:r>
              <w:rPr>
                <w:i/>
                <w:sz w:val="24"/>
              </w:rPr>
              <w:t>A. salmonicida </w:t>
            </w:r>
            <w:r>
              <w:rPr>
                <w:sz w:val="24"/>
              </w:rPr>
              <w:t>(ESV-396)</w:t>
            </w:r>
          </w:p>
        </w:tc>
        <w:tc>
          <w:tcPr>
            <w:tcW w:w="1352" w:type="dxa"/>
            <w:tcBorders>
              <w:top w:val="nil"/>
              <w:left w:val="nil"/>
              <w:bottom w:val="nil"/>
              <w:right w:val="nil"/>
            </w:tcBorders>
          </w:tcPr>
          <w:p>
            <w:pPr>
              <w:pStyle w:val="TableParagraph"/>
              <w:spacing w:before="138"/>
              <w:ind w:left="107"/>
              <w:rPr>
                <w:sz w:val="24"/>
              </w:rPr>
            </w:pPr>
            <w:r>
              <w:rPr>
                <w:sz w:val="24"/>
              </w:rPr>
              <w:t>Skin lesion</w:t>
            </w:r>
          </w:p>
        </w:tc>
        <w:tc>
          <w:tcPr>
            <w:tcW w:w="1503" w:type="dxa"/>
            <w:tcBorders>
              <w:top w:val="nil"/>
              <w:left w:val="nil"/>
              <w:bottom w:val="nil"/>
              <w:right w:val="nil"/>
            </w:tcBorders>
          </w:tcPr>
          <w:p>
            <w:pPr>
              <w:pStyle w:val="TableParagraph"/>
              <w:spacing w:before="123"/>
              <w:ind w:left="169"/>
              <w:rPr>
                <w:sz w:val="16"/>
              </w:rPr>
            </w:pPr>
            <w:r>
              <w:rPr>
                <w:sz w:val="24"/>
              </w:rPr>
              <w:t>18.8</w:t>
            </w:r>
            <w:r>
              <w:rPr>
                <w:position w:val="9"/>
                <w:sz w:val="16"/>
              </w:rPr>
              <w:t>b</w:t>
            </w:r>
          </w:p>
        </w:tc>
        <w:tc>
          <w:tcPr>
            <w:tcW w:w="1981" w:type="dxa"/>
            <w:tcBorders>
              <w:top w:val="nil"/>
              <w:left w:val="nil"/>
              <w:bottom w:val="nil"/>
              <w:right w:val="nil"/>
            </w:tcBorders>
          </w:tcPr>
          <w:p>
            <w:pPr>
              <w:pStyle w:val="TableParagraph"/>
              <w:spacing w:before="123"/>
              <w:ind w:left="109"/>
              <w:rPr>
                <w:sz w:val="16"/>
              </w:rPr>
            </w:pPr>
            <w:r>
              <w:rPr>
                <w:sz w:val="24"/>
              </w:rPr>
              <w:t>68.8</w:t>
            </w:r>
            <w:r>
              <w:rPr>
                <w:position w:val="9"/>
                <w:sz w:val="16"/>
              </w:rPr>
              <w:t>b</w:t>
            </w:r>
          </w:p>
        </w:tc>
        <w:tc>
          <w:tcPr>
            <w:tcW w:w="2118" w:type="dxa"/>
            <w:tcBorders>
              <w:top w:val="nil"/>
              <w:left w:val="nil"/>
              <w:bottom w:val="nil"/>
              <w:right w:val="nil"/>
            </w:tcBorders>
          </w:tcPr>
          <w:p>
            <w:pPr>
              <w:pStyle w:val="TableParagraph"/>
              <w:spacing w:before="123"/>
              <w:ind w:left="108"/>
              <w:rPr>
                <w:sz w:val="16"/>
              </w:rPr>
            </w:pPr>
            <w:r>
              <w:rPr>
                <w:sz w:val="24"/>
              </w:rPr>
              <w:t>35.5</w:t>
            </w:r>
            <w:r>
              <w:rPr>
                <w:position w:val="9"/>
                <w:sz w:val="16"/>
              </w:rPr>
              <w:t>b</w:t>
            </w:r>
          </w:p>
        </w:tc>
      </w:tr>
      <w:tr>
        <w:trPr>
          <w:trHeight w:val="552" w:hRule="exact"/>
        </w:trPr>
        <w:tc>
          <w:tcPr>
            <w:tcW w:w="2845" w:type="dxa"/>
            <w:tcBorders>
              <w:top w:val="nil"/>
              <w:left w:val="nil"/>
              <w:bottom w:val="nil"/>
              <w:right w:val="nil"/>
            </w:tcBorders>
          </w:tcPr>
          <w:p>
            <w:pPr>
              <w:pStyle w:val="TableParagraph"/>
              <w:spacing w:before="138"/>
              <w:ind w:left="124" w:right="107"/>
              <w:rPr>
                <w:sz w:val="24"/>
              </w:rPr>
            </w:pPr>
            <w:r>
              <w:rPr>
                <w:i/>
                <w:sz w:val="24"/>
              </w:rPr>
              <w:t>A. sobria </w:t>
            </w:r>
            <w:r>
              <w:rPr>
                <w:sz w:val="24"/>
              </w:rPr>
              <w:t>(ESV-369)</w:t>
            </w:r>
          </w:p>
        </w:tc>
        <w:tc>
          <w:tcPr>
            <w:tcW w:w="1352" w:type="dxa"/>
            <w:tcBorders>
              <w:top w:val="nil"/>
              <w:left w:val="nil"/>
              <w:bottom w:val="nil"/>
              <w:right w:val="nil"/>
            </w:tcBorders>
          </w:tcPr>
          <w:p>
            <w:pPr>
              <w:pStyle w:val="TableParagraph"/>
              <w:spacing w:before="138"/>
              <w:ind w:left="107"/>
              <w:rPr>
                <w:sz w:val="24"/>
              </w:rPr>
            </w:pPr>
            <w:r>
              <w:rPr>
                <w:sz w:val="24"/>
              </w:rPr>
              <w:t>Kidney</w:t>
            </w:r>
          </w:p>
        </w:tc>
        <w:tc>
          <w:tcPr>
            <w:tcW w:w="1503" w:type="dxa"/>
            <w:tcBorders>
              <w:top w:val="nil"/>
              <w:left w:val="nil"/>
              <w:bottom w:val="nil"/>
              <w:right w:val="nil"/>
            </w:tcBorders>
          </w:tcPr>
          <w:p>
            <w:pPr>
              <w:pStyle w:val="TableParagraph"/>
              <w:spacing w:before="123"/>
              <w:ind w:left="169"/>
              <w:rPr>
                <w:sz w:val="16"/>
              </w:rPr>
            </w:pPr>
            <w:r>
              <w:rPr>
                <w:sz w:val="24"/>
              </w:rPr>
              <w:t>1.1</w:t>
            </w:r>
            <w:r>
              <w:rPr>
                <w:position w:val="9"/>
                <w:sz w:val="16"/>
              </w:rPr>
              <w:t>a</w:t>
            </w:r>
          </w:p>
        </w:tc>
        <w:tc>
          <w:tcPr>
            <w:tcW w:w="1981" w:type="dxa"/>
            <w:tcBorders>
              <w:top w:val="nil"/>
              <w:left w:val="nil"/>
              <w:bottom w:val="nil"/>
              <w:right w:val="nil"/>
            </w:tcBorders>
          </w:tcPr>
          <w:p>
            <w:pPr>
              <w:pStyle w:val="TableParagraph"/>
              <w:spacing w:before="123"/>
              <w:ind w:left="109"/>
              <w:rPr>
                <w:sz w:val="16"/>
              </w:rPr>
            </w:pPr>
            <w:r>
              <w:rPr>
                <w:sz w:val="24"/>
              </w:rPr>
              <w:t>52.2</w:t>
            </w:r>
            <w:r>
              <w:rPr>
                <w:position w:val="9"/>
                <w:sz w:val="16"/>
              </w:rPr>
              <w:t>b</w:t>
            </w:r>
          </w:p>
        </w:tc>
        <w:tc>
          <w:tcPr>
            <w:tcW w:w="2118" w:type="dxa"/>
            <w:tcBorders>
              <w:top w:val="nil"/>
              <w:left w:val="nil"/>
              <w:bottom w:val="nil"/>
              <w:right w:val="nil"/>
            </w:tcBorders>
          </w:tcPr>
          <w:p>
            <w:pPr>
              <w:pStyle w:val="TableParagraph"/>
              <w:spacing w:before="123"/>
              <w:ind w:left="108"/>
              <w:rPr>
                <w:sz w:val="16"/>
              </w:rPr>
            </w:pPr>
            <w:r>
              <w:rPr>
                <w:sz w:val="24"/>
              </w:rPr>
              <w:t>45.5</w:t>
            </w:r>
            <w:r>
              <w:rPr>
                <w:position w:val="9"/>
                <w:sz w:val="16"/>
              </w:rPr>
              <w:t>b</w:t>
            </w:r>
          </w:p>
        </w:tc>
      </w:tr>
      <w:tr>
        <w:trPr>
          <w:trHeight w:val="552" w:hRule="exact"/>
        </w:trPr>
        <w:tc>
          <w:tcPr>
            <w:tcW w:w="2845" w:type="dxa"/>
            <w:tcBorders>
              <w:top w:val="nil"/>
              <w:left w:val="nil"/>
              <w:bottom w:val="nil"/>
              <w:right w:val="nil"/>
            </w:tcBorders>
          </w:tcPr>
          <w:p>
            <w:pPr>
              <w:pStyle w:val="TableParagraph"/>
              <w:spacing w:before="138"/>
              <w:ind w:left="124" w:right="107"/>
              <w:rPr>
                <w:sz w:val="24"/>
              </w:rPr>
            </w:pPr>
            <w:r>
              <w:rPr>
                <w:i/>
                <w:sz w:val="24"/>
              </w:rPr>
              <w:t>A. veronii </w:t>
            </w:r>
            <w:r>
              <w:rPr>
                <w:sz w:val="24"/>
              </w:rPr>
              <w:t>(ESV-393)</w:t>
            </w:r>
          </w:p>
        </w:tc>
        <w:tc>
          <w:tcPr>
            <w:tcW w:w="1352" w:type="dxa"/>
            <w:tcBorders>
              <w:top w:val="nil"/>
              <w:left w:val="nil"/>
              <w:bottom w:val="nil"/>
              <w:right w:val="nil"/>
            </w:tcBorders>
          </w:tcPr>
          <w:p>
            <w:pPr>
              <w:pStyle w:val="TableParagraph"/>
              <w:spacing w:before="138"/>
              <w:ind w:left="107"/>
              <w:rPr>
                <w:sz w:val="24"/>
              </w:rPr>
            </w:pPr>
            <w:r>
              <w:rPr>
                <w:sz w:val="24"/>
              </w:rPr>
              <w:t>Skin lesion</w:t>
            </w:r>
          </w:p>
        </w:tc>
        <w:tc>
          <w:tcPr>
            <w:tcW w:w="1503" w:type="dxa"/>
            <w:tcBorders>
              <w:top w:val="nil"/>
              <w:left w:val="nil"/>
              <w:bottom w:val="nil"/>
              <w:right w:val="nil"/>
            </w:tcBorders>
          </w:tcPr>
          <w:p>
            <w:pPr>
              <w:pStyle w:val="TableParagraph"/>
              <w:spacing w:before="123"/>
              <w:ind w:left="169"/>
              <w:rPr>
                <w:sz w:val="16"/>
              </w:rPr>
            </w:pPr>
            <w:r>
              <w:rPr>
                <w:sz w:val="24"/>
              </w:rPr>
              <w:t>8.8</w:t>
            </w:r>
            <w:r>
              <w:rPr>
                <w:position w:val="9"/>
                <w:sz w:val="16"/>
              </w:rPr>
              <w:t>b</w:t>
            </w:r>
          </w:p>
        </w:tc>
        <w:tc>
          <w:tcPr>
            <w:tcW w:w="1981" w:type="dxa"/>
            <w:tcBorders>
              <w:top w:val="nil"/>
              <w:left w:val="nil"/>
              <w:bottom w:val="nil"/>
              <w:right w:val="nil"/>
            </w:tcBorders>
          </w:tcPr>
          <w:p>
            <w:pPr>
              <w:pStyle w:val="TableParagraph"/>
              <w:spacing w:before="123"/>
              <w:ind w:left="109"/>
              <w:rPr>
                <w:sz w:val="16"/>
              </w:rPr>
            </w:pPr>
            <w:r>
              <w:rPr>
                <w:sz w:val="24"/>
              </w:rPr>
              <w:t>45.5</w:t>
            </w:r>
            <w:r>
              <w:rPr>
                <w:position w:val="9"/>
                <w:sz w:val="16"/>
              </w:rPr>
              <w:t>b</w:t>
            </w:r>
          </w:p>
        </w:tc>
        <w:tc>
          <w:tcPr>
            <w:tcW w:w="2118" w:type="dxa"/>
            <w:tcBorders>
              <w:top w:val="nil"/>
              <w:left w:val="nil"/>
              <w:bottom w:val="nil"/>
              <w:right w:val="nil"/>
            </w:tcBorders>
          </w:tcPr>
          <w:p>
            <w:pPr>
              <w:pStyle w:val="TableParagraph"/>
              <w:spacing w:before="123"/>
              <w:ind w:left="108"/>
              <w:rPr>
                <w:sz w:val="16"/>
              </w:rPr>
            </w:pPr>
            <w:r>
              <w:rPr>
                <w:sz w:val="24"/>
              </w:rPr>
              <w:t>44.4</w:t>
            </w:r>
            <w:r>
              <w:rPr>
                <w:position w:val="9"/>
                <w:sz w:val="16"/>
              </w:rPr>
              <w:t>b</w:t>
            </w:r>
          </w:p>
        </w:tc>
      </w:tr>
      <w:tr>
        <w:trPr>
          <w:trHeight w:val="704" w:hRule="exact"/>
        </w:trPr>
        <w:tc>
          <w:tcPr>
            <w:tcW w:w="2845" w:type="dxa"/>
            <w:tcBorders>
              <w:top w:val="nil"/>
              <w:left w:val="nil"/>
              <w:right w:val="nil"/>
            </w:tcBorders>
          </w:tcPr>
          <w:p>
            <w:pPr>
              <w:pStyle w:val="TableParagraph"/>
              <w:spacing w:before="138"/>
              <w:ind w:left="124" w:right="107"/>
              <w:rPr>
                <w:sz w:val="24"/>
              </w:rPr>
            </w:pPr>
            <w:r>
              <w:rPr>
                <w:sz w:val="24"/>
              </w:rPr>
              <w:t>Uninfected control group</w:t>
            </w:r>
          </w:p>
        </w:tc>
        <w:tc>
          <w:tcPr>
            <w:tcW w:w="1352" w:type="dxa"/>
            <w:tcBorders>
              <w:top w:val="nil"/>
              <w:left w:val="nil"/>
              <w:right w:val="nil"/>
            </w:tcBorders>
          </w:tcPr>
          <w:p>
            <w:pPr/>
          </w:p>
        </w:tc>
        <w:tc>
          <w:tcPr>
            <w:tcW w:w="1503" w:type="dxa"/>
            <w:tcBorders>
              <w:top w:val="nil"/>
              <w:left w:val="nil"/>
              <w:right w:val="nil"/>
            </w:tcBorders>
          </w:tcPr>
          <w:p>
            <w:pPr>
              <w:pStyle w:val="TableParagraph"/>
              <w:spacing w:before="123"/>
              <w:ind w:left="169"/>
              <w:rPr>
                <w:sz w:val="16"/>
              </w:rPr>
            </w:pPr>
            <w:r>
              <w:rPr>
                <w:sz w:val="24"/>
              </w:rPr>
              <w:t>0.0</w:t>
            </w:r>
            <w:r>
              <w:rPr>
                <w:position w:val="9"/>
                <w:sz w:val="16"/>
              </w:rPr>
              <w:t>a</w:t>
            </w:r>
          </w:p>
        </w:tc>
        <w:tc>
          <w:tcPr>
            <w:tcW w:w="1981" w:type="dxa"/>
            <w:tcBorders>
              <w:top w:val="nil"/>
              <w:left w:val="nil"/>
              <w:right w:val="nil"/>
            </w:tcBorders>
          </w:tcPr>
          <w:p>
            <w:pPr>
              <w:pStyle w:val="TableParagraph"/>
              <w:spacing w:before="123"/>
              <w:ind w:left="109"/>
              <w:rPr>
                <w:sz w:val="16"/>
              </w:rPr>
            </w:pPr>
            <w:r>
              <w:rPr>
                <w:sz w:val="24"/>
              </w:rPr>
              <w:t>17.7</w:t>
            </w:r>
            <w:r>
              <w:rPr>
                <w:position w:val="9"/>
                <w:sz w:val="16"/>
              </w:rPr>
              <w:t>a</w:t>
            </w:r>
          </w:p>
        </w:tc>
        <w:tc>
          <w:tcPr>
            <w:tcW w:w="2118" w:type="dxa"/>
            <w:tcBorders>
              <w:top w:val="nil"/>
              <w:left w:val="nil"/>
              <w:right w:val="nil"/>
            </w:tcBorders>
          </w:tcPr>
          <w:p>
            <w:pPr>
              <w:pStyle w:val="TableParagraph"/>
              <w:spacing w:before="123"/>
              <w:ind w:left="108"/>
              <w:rPr>
                <w:sz w:val="16"/>
              </w:rPr>
            </w:pPr>
            <w:r>
              <w:rPr>
                <w:sz w:val="24"/>
              </w:rPr>
              <w:t>0.0</w:t>
            </w:r>
            <w:r>
              <w:rPr>
                <w:position w:val="9"/>
                <w:sz w:val="16"/>
              </w:rPr>
              <w:t>a</w:t>
            </w:r>
          </w:p>
        </w:tc>
      </w:tr>
    </w:tbl>
    <w:p>
      <w:pPr>
        <w:pStyle w:val="BodyText"/>
        <w:rPr>
          <w:sz w:val="20"/>
        </w:rPr>
      </w:pPr>
    </w:p>
    <w:p>
      <w:pPr>
        <w:pStyle w:val="BodyText"/>
        <w:spacing w:before="3"/>
        <w:rPr>
          <w:sz w:val="21"/>
        </w:rPr>
      </w:pPr>
    </w:p>
    <w:p>
      <w:pPr>
        <w:pStyle w:val="BodyText"/>
        <w:spacing w:before="69"/>
        <w:ind w:left="543" w:right="19"/>
      </w:pPr>
      <w:r>
        <w:rPr/>
        <w:t>Groups with different uppercase letters in the same column are significantly different (</w:t>
      </w:r>
      <w:r>
        <w:rPr>
          <w:i/>
        </w:rPr>
        <w:t>P </w:t>
      </w:r>
      <w:r>
        <w:rPr/>
        <w:t>&lt; 0.05).</w:t>
      </w:r>
    </w:p>
    <w:p>
      <w:pPr>
        <w:spacing w:after="0"/>
        <w:sectPr>
          <w:pgSz w:w="12240" w:h="15840"/>
          <w:pgMar w:header="0" w:footer="695" w:top="1360" w:bottom="940" w:left="760" w:right="1200"/>
        </w:sectPr>
      </w:pPr>
    </w:p>
    <w:p>
      <w:pPr>
        <w:pStyle w:val="BodyText"/>
        <w:spacing w:line="480" w:lineRule="auto" w:before="41" w:after="18"/>
        <w:ind w:left="223"/>
      </w:pPr>
      <w:r>
        <w:rPr>
          <w:b/>
        </w:rPr>
        <w:t>Figure 1. </w:t>
      </w:r>
      <w:r>
        <w:rPr/>
        <w:t>Survival plots of rainbow trout infected with different </w:t>
      </w:r>
      <w:r>
        <w:rPr>
          <w:i/>
        </w:rPr>
        <w:t>Aeromonas </w:t>
      </w:r>
      <w:r>
        <w:rPr/>
        <w:t>species and uninfected, control group. Plots were calculated using the Kaplan-Meier test.</w:t>
      </w:r>
    </w:p>
    <w:p>
      <w:pPr>
        <w:pStyle w:val="BodyText"/>
        <w:ind w:left="223"/>
        <w:rPr>
          <w:sz w:val="20"/>
        </w:rPr>
      </w:pPr>
      <w:r>
        <w:rPr>
          <w:sz w:val="20"/>
        </w:rPr>
        <w:drawing>
          <wp:inline distT="0" distB="0" distL="0" distR="0">
            <wp:extent cx="6113732" cy="3977640"/>
            <wp:effectExtent l="0" t="0" r="0" b="0"/>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16" cstate="print"/>
                    <a:stretch>
                      <a:fillRect/>
                    </a:stretch>
                  </pic:blipFill>
                  <pic:spPr>
                    <a:xfrm>
                      <a:off x="0" y="0"/>
                      <a:ext cx="6113732" cy="3977640"/>
                    </a:xfrm>
                    <a:prstGeom prst="rect">
                      <a:avLst/>
                    </a:prstGeom>
                  </pic:spPr>
                </pic:pic>
              </a:graphicData>
            </a:graphic>
          </wp:inline>
        </w:drawing>
      </w:r>
      <w:r>
        <w:rPr>
          <w:sz w:val="20"/>
        </w:rPr>
      </w:r>
    </w:p>
    <w:p>
      <w:pPr>
        <w:pStyle w:val="BodyText"/>
        <w:rPr>
          <w:sz w:val="20"/>
        </w:rPr>
      </w:pPr>
    </w:p>
    <w:p>
      <w:pPr>
        <w:pStyle w:val="BodyText"/>
        <w:spacing w:before="6"/>
        <w:rPr>
          <w:sz w:val="28"/>
        </w:rPr>
      </w:pPr>
    </w:p>
    <w:tbl>
      <w:tblPr>
        <w:tblW w:w="0" w:type="auto"/>
        <w:jc w:val="left"/>
        <w:tblInd w:w="11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631"/>
        <w:gridCol w:w="825"/>
        <w:gridCol w:w="1009"/>
        <w:gridCol w:w="858"/>
      </w:tblGrid>
      <w:tr>
        <w:trPr>
          <w:trHeight w:val="562" w:hRule="exact"/>
        </w:trPr>
        <w:tc>
          <w:tcPr>
            <w:tcW w:w="6631" w:type="dxa"/>
            <w:tcBorders>
              <w:top w:val="single" w:sz="4" w:space="0" w:color="7E7E7E"/>
              <w:bottom w:val="single" w:sz="4" w:space="0" w:color="7E7E7E"/>
            </w:tcBorders>
          </w:tcPr>
          <w:p>
            <w:pPr>
              <w:pStyle w:val="TableParagraph"/>
              <w:spacing w:line="273" w:lineRule="exact"/>
              <w:ind w:left="108"/>
              <w:rPr>
                <w:b/>
                <w:sz w:val="24"/>
              </w:rPr>
            </w:pPr>
            <w:r>
              <w:rPr>
                <w:b/>
                <w:sz w:val="24"/>
              </w:rPr>
              <w:t>Work groups</w:t>
            </w:r>
          </w:p>
        </w:tc>
        <w:tc>
          <w:tcPr>
            <w:tcW w:w="825" w:type="dxa"/>
            <w:tcBorders>
              <w:top w:val="single" w:sz="4" w:space="0" w:color="7E7E7E"/>
              <w:bottom w:val="single" w:sz="4" w:space="0" w:color="7E7E7E"/>
            </w:tcBorders>
          </w:tcPr>
          <w:p>
            <w:pPr>
              <w:pStyle w:val="TableParagraph"/>
              <w:spacing w:line="273" w:lineRule="exact"/>
              <w:ind w:left="106"/>
              <w:rPr>
                <w:b/>
                <w:sz w:val="24"/>
              </w:rPr>
            </w:pPr>
            <w:r>
              <w:rPr>
                <w:b/>
                <w:sz w:val="24"/>
              </w:rPr>
              <w:t>Mean</w:t>
            </w:r>
          </w:p>
        </w:tc>
        <w:tc>
          <w:tcPr>
            <w:tcW w:w="1009" w:type="dxa"/>
            <w:tcBorders>
              <w:top w:val="single" w:sz="4" w:space="0" w:color="7E7E7E"/>
              <w:bottom w:val="single" w:sz="4" w:space="0" w:color="7E7E7E"/>
            </w:tcBorders>
          </w:tcPr>
          <w:p>
            <w:pPr>
              <w:pStyle w:val="TableParagraph"/>
              <w:spacing w:line="273" w:lineRule="exact"/>
              <w:ind w:left="133"/>
              <w:rPr>
                <w:b/>
                <w:sz w:val="24"/>
              </w:rPr>
            </w:pPr>
            <w:r>
              <w:rPr>
                <w:b/>
                <w:sz w:val="24"/>
              </w:rPr>
              <w:t>median</w:t>
            </w:r>
          </w:p>
        </w:tc>
        <w:tc>
          <w:tcPr>
            <w:tcW w:w="858" w:type="dxa"/>
            <w:tcBorders>
              <w:top w:val="single" w:sz="4" w:space="0" w:color="7E7E7E"/>
              <w:bottom w:val="single" w:sz="4" w:space="0" w:color="7E7E7E"/>
            </w:tcBorders>
          </w:tcPr>
          <w:p>
            <w:pPr>
              <w:pStyle w:val="TableParagraph"/>
              <w:spacing w:line="273" w:lineRule="exact"/>
              <w:ind w:left="116"/>
              <w:rPr>
                <w:b/>
                <w:sz w:val="24"/>
              </w:rPr>
            </w:pPr>
            <w:r>
              <w:rPr>
                <w:b/>
                <w:sz w:val="24"/>
              </w:rPr>
              <w:t>IQR</w:t>
            </w:r>
          </w:p>
        </w:tc>
      </w:tr>
      <w:tr>
        <w:trPr>
          <w:trHeight w:val="562" w:hRule="exact"/>
        </w:trPr>
        <w:tc>
          <w:tcPr>
            <w:tcW w:w="6631" w:type="dxa"/>
            <w:tcBorders>
              <w:top w:val="single" w:sz="4" w:space="0" w:color="7E7E7E"/>
              <w:bottom w:val="single" w:sz="4" w:space="0" w:color="7E7E7E"/>
            </w:tcBorders>
          </w:tcPr>
          <w:p>
            <w:pPr>
              <w:pStyle w:val="TableParagraph"/>
              <w:spacing w:line="268" w:lineRule="exact"/>
              <w:ind w:left="108"/>
              <w:rPr>
                <w:i/>
                <w:sz w:val="24"/>
              </w:rPr>
            </w:pPr>
            <w:r>
              <w:rPr>
                <w:i/>
                <w:sz w:val="24"/>
              </w:rPr>
              <w:t>A. bestiarum</w:t>
            </w:r>
          </w:p>
        </w:tc>
        <w:tc>
          <w:tcPr>
            <w:tcW w:w="825" w:type="dxa"/>
            <w:tcBorders>
              <w:top w:val="single" w:sz="4" w:space="0" w:color="7E7E7E"/>
              <w:bottom w:val="single" w:sz="4" w:space="0" w:color="7E7E7E"/>
            </w:tcBorders>
          </w:tcPr>
          <w:p>
            <w:pPr>
              <w:pStyle w:val="TableParagraph"/>
              <w:spacing w:line="268" w:lineRule="exact"/>
              <w:ind w:left="106"/>
              <w:rPr>
                <w:sz w:val="24"/>
              </w:rPr>
            </w:pPr>
            <w:r>
              <w:rPr>
                <w:sz w:val="24"/>
              </w:rPr>
              <w:t>0.91</w:t>
            </w:r>
          </w:p>
        </w:tc>
        <w:tc>
          <w:tcPr>
            <w:tcW w:w="1009" w:type="dxa"/>
            <w:tcBorders>
              <w:top w:val="single" w:sz="4" w:space="0" w:color="7E7E7E"/>
              <w:bottom w:val="single" w:sz="4" w:space="0" w:color="7E7E7E"/>
            </w:tcBorders>
          </w:tcPr>
          <w:p>
            <w:pPr>
              <w:pStyle w:val="TableParagraph"/>
              <w:spacing w:line="268" w:lineRule="exact"/>
              <w:ind w:left="133"/>
              <w:rPr>
                <w:sz w:val="24"/>
              </w:rPr>
            </w:pPr>
            <w:r>
              <w:rPr>
                <w:sz w:val="24"/>
              </w:rPr>
              <w:t>1.00</w:t>
            </w:r>
          </w:p>
        </w:tc>
        <w:tc>
          <w:tcPr>
            <w:tcW w:w="858" w:type="dxa"/>
            <w:tcBorders>
              <w:top w:val="single" w:sz="4" w:space="0" w:color="7E7E7E"/>
              <w:bottom w:val="single" w:sz="4" w:space="0" w:color="7E7E7E"/>
            </w:tcBorders>
          </w:tcPr>
          <w:p>
            <w:pPr>
              <w:pStyle w:val="TableParagraph"/>
              <w:spacing w:line="268" w:lineRule="exact"/>
              <w:ind w:left="116"/>
              <w:rPr>
                <w:sz w:val="24"/>
              </w:rPr>
            </w:pPr>
            <w:r>
              <w:rPr>
                <w:sz w:val="24"/>
              </w:rPr>
              <w:t>0.00</w:t>
            </w:r>
          </w:p>
        </w:tc>
      </w:tr>
      <w:tr>
        <w:trPr>
          <w:trHeight w:val="562" w:hRule="exact"/>
        </w:trPr>
        <w:tc>
          <w:tcPr>
            <w:tcW w:w="6631" w:type="dxa"/>
            <w:tcBorders>
              <w:top w:val="single" w:sz="4" w:space="0" w:color="7E7E7E"/>
              <w:bottom w:val="single" w:sz="4" w:space="0" w:color="7E7E7E"/>
            </w:tcBorders>
          </w:tcPr>
          <w:p>
            <w:pPr>
              <w:pStyle w:val="TableParagraph"/>
              <w:spacing w:line="268" w:lineRule="exact"/>
              <w:ind w:left="108"/>
              <w:rPr>
                <w:i/>
                <w:sz w:val="24"/>
              </w:rPr>
            </w:pPr>
            <w:r>
              <w:rPr>
                <w:i/>
                <w:sz w:val="24"/>
              </w:rPr>
              <w:t>A. caviae</w:t>
            </w:r>
          </w:p>
        </w:tc>
        <w:tc>
          <w:tcPr>
            <w:tcW w:w="825" w:type="dxa"/>
            <w:tcBorders>
              <w:top w:val="single" w:sz="4" w:space="0" w:color="7E7E7E"/>
              <w:bottom w:val="single" w:sz="4" w:space="0" w:color="7E7E7E"/>
            </w:tcBorders>
          </w:tcPr>
          <w:p>
            <w:pPr>
              <w:pStyle w:val="TableParagraph"/>
              <w:spacing w:line="268" w:lineRule="exact"/>
              <w:ind w:left="106"/>
              <w:rPr>
                <w:sz w:val="24"/>
              </w:rPr>
            </w:pPr>
            <w:r>
              <w:rPr>
                <w:sz w:val="24"/>
              </w:rPr>
              <w:t>0.96</w:t>
            </w:r>
          </w:p>
        </w:tc>
        <w:tc>
          <w:tcPr>
            <w:tcW w:w="1009" w:type="dxa"/>
            <w:tcBorders>
              <w:top w:val="single" w:sz="4" w:space="0" w:color="7E7E7E"/>
              <w:bottom w:val="single" w:sz="4" w:space="0" w:color="7E7E7E"/>
            </w:tcBorders>
          </w:tcPr>
          <w:p>
            <w:pPr>
              <w:pStyle w:val="TableParagraph"/>
              <w:spacing w:line="268" w:lineRule="exact"/>
              <w:ind w:left="133"/>
              <w:rPr>
                <w:sz w:val="24"/>
              </w:rPr>
            </w:pPr>
            <w:r>
              <w:rPr>
                <w:sz w:val="24"/>
              </w:rPr>
              <w:t>1.00</w:t>
            </w:r>
          </w:p>
        </w:tc>
        <w:tc>
          <w:tcPr>
            <w:tcW w:w="858" w:type="dxa"/>
            <w:tcBorders>
              <w:top w:val="single" w:sz="4" w:space="0" w:color="7E7E7E"/>
              <w:bottom w:val="single" w:sz="4" w:space="0" w:color="7E7E7E"/>
            </w:tcBorders>
          </w:tcPr>
          <w:p>
            <w:pPr>
              <w:pStyle w:val="TableParagraph"/>
              <w:spacing w:line="268" w:lineRule="exact"/>
              <w:ind w:left="116"/>
              <w:rPr>
                <w:sz w:val="24"/>
              </w:rPr>
            </w:pPr>
            <w:r>
              <w:rPr>
                <w:sz w:val="24"/>
              </w:rPr>
              <w:t>0.00</w:t>
            </w:r>
          </w:p>
        </w:tc>
      </w:tr>
      <w:tr>
        <w:trPr>
          <w:trHeight w:val="562" w:hRule="exact"/>
        </w:trPr>
        <w:tc>
          <w:tcPr>
            <w:tcW w:w="6631" w:type="dxa"/>
            <w:tcBorders>
              <w:top w:val="single" w:sz="4" w:space="0" w:color="7E7E7E"/>
              <w:bottom w:val="single" w:sz="4" w:space="0" w:color="7E7E7E"/>
            </w:tcBorders>
          </w:tcPr>
          <w:p>
            <w:pPr>
              <w:pStyle w:val="TableParagraph"/>
              <w:spacing w:line="268" w:lineRule="exact"/>
              <w:ind w:left="108"/>
              <w:rPr>
                <w:i/>
                <w:sz w:val="24"/>
              </w:rPr>
            </w:pPr>
            <w:r>
              <w:rPr>
                <w:i/>
                <w:sz w:val="24"/>
              </w:rPr>
              <w:t>A. hydrophila</w:t>
            </w:r>
          </w:p>
        </w:tc>
        <w:tc>
          <w:tcPr>
            <w:tcW w:w="825" w:type="dxa"/>
            <w:tcBorders>
              <w:top w:val="single" w:sz="4" w:space="0" w:color="7E7E7E"/>
              <w:bottom w:val="single" w:sz="4" w:space="0" w:color="7E7E7E"/>
            </w:tcBorders>
          </w:tcPr>
          <w:p>
            <w:pPr>
              <w:pStyle w:val="TableParagraph"/>
              <w:spacing w:line="268" w:lineRule="exact"/>
              <w:ind w:left="106"/>
              <w:rPr>
                <w:sz w:val="24"/>
              </w:rPr>
            </w:pPr>
            <w:r>
              <w:rPr>
                <w:sz w:val="24"/>
              </w:rPr>
              <w:t>0.87</w:t>
            </w:r>
          </w:p>
        </w:tc>
        <w:tc>
          <w:tcPr>
            <w:tcW w:w="1009" w:type="dxa"/>
            <w:tcBorders>
              <w:top w:val="single" w:sz="4" w:space="0" w:color="7E7E7E"/>
              <w:bottom w:val="single" w:sz="4" w:space="0" w:color="7E7E7E"/>
            </w:tcBorders>
          </w:tcPr>
          <w:p>
            <w:pPr>
              <w:pStyle w:val="TableParagraph"/>
              <w:spacing w:line="268" w:lineRule="exact"/>
              <w:ind w:left="133"/>
              <w:rPr>
                <w:sz w:val="24"/>
              </w:rPr>
            </w:pPr>
            <w:r>
              <w:rPr>
                <w:sz w:val="24"/>
              </w:rPr>
              <w:t>1.00</w:t>
            </w:r>
          </w:p>
        </w:tc>
        <w:tc>
          <w:tcPr>
            <w:tcW w:w="858" w:type="dxa"/>
            <w:tcBorders>
              <w:top w:val="single" w:sz="4" w:space="0" w:color="7E7E7E"/>
              <w:bottom w:val="single" w:sz="4" w:space="0" w:color="7E7E7E"/>
            </w:tcBorders>
          </w:tcPr>
          <w:p>
            <w:pPr>
              <w:pStyle w:val="TableParagraph"/>
              <w:spacing w:line="268" w:lineRule="exact"/>
              <w:ind w:left="116"/>
              <w:rPr>
                <w:sz w:val="24"/>
              </w:rPr>
            </w:pPr>
            <w:r>
              <w:rPr>
                <w:sz w:val="24"/>
              </w:rPr>
              <w:t>0.00</w:t>
            </w:r>
          </w:p>
        </w:tc>
      </w:tr>
      <w:tr>
        <w:trPr>
          <w:trHeight w:val="565" w:hRule="exact"/>
        </w:trPr>
        <w:tc>
          <w:tcPr>
            <w:tcW w:w="6631" w:type="dxa"/>
            <w:tcBorders>
              <w:top w:val="single" w:sz="4" w:space="0" w:color="7E7E7E"/>
              <w:bottom w:val="single" w:sz="4" w:space="0" w:color="7E7E7E"/>
            </w:tcBorders>
          </w:tcPr>
          <w:p>
            <w:pPr>
              <w:pStyle w:val="TableParagraph"/>
              <w:spacing w:line="271" w:lineRule="exact"/>
              <w:ind w:left="108"/>
              <w:rPr>
                <w:i/>
                <w:sz w:val="24"/>
              </w:rPr>
            </w:pPr>
            <w:r>
              <w:rPr>
                <w:i/>
                <w:sz w:val="24"/>
              </w:rPr>
              <w:t>A. salmonicida</w:t>
            </w:r>
          </w:p>
        </w:tc>
        <w:tc>
          <w:tcPr>
            <w:tcW w:w="825" w:type="dxa"/>
            <w:tcBorders>
              <w:top w:val="single" w:sz="4" w:space="0" w:color="7E7E7E"/>
              <w:bottom w:val="single" w:sz="4" w:space="0" w:color="7E7E7E"/>
            </w:tcBorders>
          </w:tcPr>
          <w:p>
            <w:pPr>
              <w:pStyle w:val="TableParagraph"/>
              <w:spacing w:line="271" w:lineRule="exact"/>
              <w:ind w:left="106"/>
              <w:rPr>
                <w:sz w:val="24"/>
              </w:rPr>
            </w:pPr>
            <w:r>
              <w:rPr>
                <w:sz w:val="24"/>
              </w:rPr>
              <w:t>0.82</w:t>
            </w:r>
          </w:p>
        </w:tc>
        <w:tc>
          <w:tcPr>
            <w:tcW w:w="1009" w:type="dxa"/>
            <w:tcBorders>
              <w:top w:val="single" w:sz="4" w:space="0" w:color="7E7E7E"/>
              <w:bottom w:val="single" w:sz="4" w:space="0" w:color="7E7E7E"/>
            </w:tcBorders>
          </w:tcPr>
          <w:p>
            <w:pPr>
              <w:pStyle w:val="TableParagraph"/>
              <w:spacing w:line="271" w:lineRule="exact"/>
              <w:ind w:left="133"/>
              <w:rPr>
                <w:sz w:val="24"/>
              </w:rPr>
            </w:pPr>
            <w:r>
              <w:rPr>
                <w:sz w:val="24"/>
              </w:rPr>
              <w:t>1.00</w:t>
            </w:r>
          </w:p>
        </w:tc>
        <w:tc>
          <w:tcPr>
            <w:tcW w:w="858" w:type="dxa"/>
            <w:tcBorders>
              <w:top w:val="single" w:sz="4" w:space="0" w:color="7E7E7E"/>
              <w:bottom w:val="single" w:sz="4" w:space="0" w:color="7E7E7E"/>
            </w:tcBorders>
          </w:tcPr>
          <w:p>
            <w:pPr>
              <w:pStyle w:val="TableParagraph"/>
              <w:spacing w:line="271" w:lineRule="exact"/>
              <w:ind w:left="116"/>
              <w:rPr>
                <w:sz w:val="24"/>
              </w:rPr>
            </w:pPr>
            <w:r>
              <w:rPr>
                <w:sz w:val="24"/>
              </w:rPr>
              <w:t>0.00</w:t>
            </w:r>
          </w:p>
        </w:tc>
      </w:tr>
      <w:tr>
        <w:trPr>
          <w:trHeight w:val="562" w:hRule="exact"/>
        </w:trPr>
        <w:tc>
          <w:tcPr>
            <w:tcW w:w="6631" w:type="dxa"/>
            <w:tcBorders>
              <w:top w:val="single" w:sz="4" w:space="0" w:color="7E7E7E"/>
              <w:bottom w:val="single" w:sz="4" w:space="0" w:color="7E7E7E"/>
            </w:tcBorders>
          </w:tcPr>
          <w:p>
            <w:pPr>
              <w:pStyle w:val="TableParagraph"/>
              <w:spacing w:line="268" w:lineRule="exact"/>
              <w:ind w:left="108"/>
              <w:rPr>
                <w:i/>
                <w:sz w:val="24"/>
              </w:rPr>
            </w:pPr>
            <w:r>
              <w:rPr>
                <w:i/>
                <w:sz w:val="24"/>
              </w:rPr>
              <w:t>A. sobria</w:t>
            </w:r>
          </w:p>
        </w:tc>
        <w:tc>
          <w:tcPr>
            <w:tcW w:w="825" w:type="dxa"/>
            <w:tcBorders>
              <w:top w:val="single" w:sz="4" w:space="0" w:color="7E7E7E"/>
              <w:bottom w:val="single" w:sz="4" w:space="0" w:color="7E7E7E"/>
            </w:tcBorders>
          </w:tcPr>
          <w:p>
            <w:pPr>
              <w:pStyle w:val="TableParagraph"/>
              <w:spacing w:line="268" w:lineRule="exact"/>
              <w:ind w:left="106"/>
              <w:rPr>
                <w:sz w:val="24"/>
              </w:rPr>
            </w:pPr>
            <w:r>
              <w:rPr>
                <w:sz w:val="24"/>
              </w:rPr>
              <w:t>0.98</w:t>
            </w:r>
          </w:p>
        </w:tc>
        <w:tc>
          <w:tcPr>
            <w:tcW w:w="1009" w:type="dxa"/>
            <w:tcBorders>
              <w:top w:val="single" w:sz="4" w:space="0" w:color="7E7E7E"/>
              <w:bottom w:val="single" w:sz="4" w:space="0" w:color="7E7E7E"/>
            </w:tcBorders>
          </w:tcPr>
          <w:p>
            <w:pPr>
              <w:pStyle w:val="TableParagraph"/>
              <w:spacing w:line="268" w:lineRule="exact"/>
              <w:ind w:left="133"/>
              <w:rPr>
                <w:sz w:val="24"/>
              </w:rPr>
            </w:pPr>
            <w:r>
              <w:rPr>
                <w:sz w:val="24"/>
              </w:rPr>
              <w:t>1.00</w:t>
            </w:r>
          </w:p>
        </w:tc>
        <w:tc>
          <w:tcPr>
            <w:tcW w:w="858" w:type="dxa"/>
            <w:tcBorders>
              <w:top w:val="single" w:sz="4" w:space="0" w:color="7E7E7E"/>
              <w:bottom w:val="single" w:sz="4" w:space="0" w:color="7E7E7E"/>
            </w:tcBorders>
          </w:tcPr>
          <w:p>
            <w:pPr>
              <w:pStyle w:val="TableParagraph"/>
              <w:spacing w:line="268" w:lineRule="exact"/>
              <w:ind w:left="116"/>
              <w:rPr>
                <w:sz w:val="24"/>
              </w:rPr>
            </w:pPr>
            <w:r>
              <w:rPr>
                <w:sz w:val="24"/>
              </w:rPr>
              <w:t>0.00</w:t>
            </w:r>
          </w:p>
        </w:tc>
      </w:tr>
      <w:tr>
        <w:trPr>
          <w:trHeight w:val="562" w:hRule="exact"/>
        </w:trPr>
        <w:tc>
          <w:tcPr>
            <w:tcW w:w="6631" w:type="dxa"/>
            <w:tcBorders>
              <w:top w:val="single" w:sz="4" w:space="0" w:color="7E7E7E"/>
              <w:bottom w:val="single" w:sz="4" w:space="0" w:color="7E7E7E"/>
            </w:tcBorders>
          </w:tcPr>
          <w:p>
            <w:pPr>
              <w:pStyle w:val="TableParagraph"/>
              <w:spacing w:line="268" w:lineRule="exact"/>
              <w:ind w:left="108"/>
              <w:rPr>
                <w:i/>
                <w:sz w:val="24"/>
              </w:rPr>
            </w:pPr>
            <w:r>
              <w:rPr>
                <w:i/>
                <w:sz w:val="24"/>
              </w:rPr>
              <w:t>A. veronii</w:t>
            </w:r>
          </w:p>
        </w:tc>
        <w:tc>
          <w:tcPr>
            <w:tcW w:w="825" w:type="dxa"/>
            <w:tcBorders>
              <w:top w:val="single" w:sz="4" w:space="0" w:color="7E7E7E"/>
              <w:bottom w:val="single" w:sz="4" w:space="0" w:color="7E7E7E"/>
            </w:tcBorders>
          </w:tcPr>
          <w:p>
            <w:pPr>
              <w:pStyle w:val="TableParagraph"/>
              <w:spacing w:line="268" w:lineRule="exact"/>
              <w:ind w:left="106"/>
              <w:rPr>
                <w:sz w:val="24"/>
              </w:rPr>
            </w:pPr>
            <w:r>
              <w:rPr>
                <w:sz w:val="24"/>
              </w:rPr>
              <w:t>0.91</w:t>
            </w:r>
          </w:p>
        </w:tc>
        <w:tc>
          <w:tcPr>
            <w:tcW w:w="1009" w:type="dxa"/>
            <w:tcBorders>
              <w:top w:val="single" w:sz="4" w:space="0" w:color="7E7E7E"/>
              <w:bottom w:val="single" w:sz="4" w:space="0" w:color="7E7E7E"/>
            </w:tcBorders>
          </w:tcPr>
          <w:p>
            <w:pPr>
              <w:pStyle w:val="TableParagraph"/>
              <w:spacing w:line="268" w:lineRule="exact"/>
              <w:ind w:left="133"/>
              <w:rPr>
                <w:sz w:val="24"/>
              </w:rPr>
            </w:pPr>
            <w:r>
              <w:rPr>
                <w:sz w:val="24"/>
              </w:rPr>
              <w:t>1.00</w:t>
            </w:r>
          </w:p>
        </w:tc>
        <w:tc>
          <w:tcPr>
            <w:tcW w:w="858" w:type="dxa"/>
            <w:tcBorders>
              <w:top w:val="single" w:sz="4" w:space="0" w:color="7E7E7E"/>
              <w:bottom w:val="single" w:sz="4" w:space="0" w:color="7E7E7E"/>
            </w:tcBorders>
          </w:tcPr>
          <w:p>
            <w:pPr>
              <w:pStyle w:val="TableParagraph"/>
              <w:spacing w:line="268" w:lineRule="exact"/>
              <w:ind w:left="116"/>
              <w:rPr>
                <w:sz w:val="24"/>
              </w:rPr>
            </w:pPr>
            <w:r>
              <w:rPr>
                <w:sz w:val="24"/>
              </w:rPr>
              <w:t>0.00</w:t>
            </w:r>
          </w:p>
        </w:tc>
      </w:tr>
      <w:tr>
        <w:trPr>
          <w:trHeight w:val="562" w:hRule="exact"/>
        </w:trPr>
        <w:tc>
          <w:tcPr>
            <w:tcW w:w="6631" w:type="dxa"/>
            <w:tcBorders>
              <w:top w:val="single" w:sz="4" w:space="0" w:color="7E7E7E"/>
              <w:bottom w:val="single" w:sz="4" w:space="0" w:color="7E7E7E"/>
            </w:tcBorders>
          </w:tcPr>
          <w:p>
            <w:pPr>
              <w:pStyle w:val="TableParagraph"/>
              <w:spacing w:line="268" w:lineRule="exact"/>
              <w:ind w:left="108"/>
              <w:rPr>
                <w:sz w:val="24"/>
              </w:rPr>
            </w:pPr>
            <w:r>
              <w:rPr>
                <w:i/>
                <w:sz w:val="24"/>
              </w:rPr>
              <w:t>A.  allosaccharophila,   A.  lusitana,   A.  media,  A.  popoffii    </w:t>
            </w:r>
            <w:r>
              <w:rPr>
                <w:sz w:val="24"/>
              </w:rPr>
              <w:t>and</w:t>
            </w:r>
          </w:p>
        </w:tc>
        <w:tc>
          <w:tcPr>
            <w:tcW w:w="825" w:type="dxa"/>
            <w:tcBorders>
              <w:top w:val="single" w:sz="4" w:space="0" w:color="7E7E7E"/>
              <w:bottom w:val="single" w:sz="4" w:space="0" w:color="7E7E7E"/>
            </w:tcBorders>
          </w:tcPr>
          <w:p>
            <w:pPr>
              <w:pStyle w:val="TableParagraph"/>
              <w:spacing w:line="268" w:lineRule="exact"/>
              <w:ind w:left="106"/>
              <w:rPr>
                <w:sz w:val="24"/>
              </w:rPr>
            </w:pPr>
            <w:r>
              <w:rPr>
                <w:sz w:val="24"/>
              </w:rPr>
              <w:t>1.00</w:t>
            </w:r>
          </w:p>
        </w:tc>
        <w:tc>
          <w:tcPr>
            <w:tcW w:w="1009" w:type="dxa"/>
            <w:tcBorders>
              <w:top w:val="single" w:sz="4" w:space="0" w:color="7E7E7E"/>
              <w:bottom w:val="single" w:sz="4" w:space="0" w:color="7E7E7E"/>
            </w:tcBorders>
          </w:tcPr>
          <w:p>
            <w:pPr>
              <w:pStyle w:val="TableParagraph"/>
              <w:spacing w:line="268" w:lineRule="exact"/>
              <w:ind w:left="133"/>
              <w:rPr>
                <w:sz w:val="24"/>
              </w:rPr>
            </w:pPr>
            <w:r>
              <w:rPr>
                <w:sz w:val="24"/>
              </w:rPr>
              <w:t>1.00</w:t>
            </w:r>
          </w:p>
        </w:tc>
        <w:tc>
          <w:tcPr>
            <w:tcW w:w="858" w:type="dxa"/>
            <w:tcBorders>
              <w:top w:val="single" w:sz="4" w:space="0" w:color="7E7E7E"/>
              <w:bottom w:val="single" w:sz="4" w:space="0" w:color="7E7E7E"/>
            </w:tcBorders>
          </w:tcPr>
          <w:p>
            <w:pPr>
              <w:pStyle w:val="TableParagraph"/>
              <w:spacing w:line="268" w:lineRule="exact"/>
              <w:ind w:left="116"/>
              <w:rPr>
                <w:sz w:val="24"/>
              </w:rPr>
            </w:pPr>
            <w:r>
              <w:rPr>
                <w:sz w:val="24"/>
              </w:rPr>
              <w:t>0.00</w:t>
            </w:r>
          </w:p>
        </w:tc>
      </w:tr>
    </w:tbl>
    <w:p>
      <w:pPr>
        <w:spacing w:after="0" w:line="268" w:lineRule="exact"/>
        <w:rPr>
          <w:sz w:val="24"/>
        </w:rPr>
        <w:sectPr>
          <w:pgSz w:w="12240" w:h="15840"/>
          <w:pgMar w:header="0" w:footer="695" w:top="1360" w:bottom="940" w:left="1080" w:right="1200"/>
        </w:sectPr>
      </w:pPr>
    </w:p>
    <w:p>
      <w:pPr>
        <w:pStyle w:val="BodyText"/>
        <w:spacing w:before="6"/>
        <w:rPr>
          <w:sz w:val="4"/>
        </w:rPr>
      </w:pPr>
    </w:p>
    <w:p>
      <w:pPr>
        <w:pStyle w:val="BodyText"/>
        <w:spacing w:line="20" w:lineRule="exact"/>
        <w:ind w:left="130"/>
        <w:rPr>
          <w:sz w:val="2"/>
        </w:rPr>
      </w:pPr>
      <w:r>
        <w:rPr>
          <w:sz w:val="2"/>
        </w:rPr>
        <w:pict>
          <v:group style="width:466.7pt;height:.5pt;mso-position-horizontal-relative:char;mso-position-vertical-relative:line" coordorigin="0,0" coordsize="9334,10">
            <v:line style="position:absolute" from="5,5" to="6635,5" stroked="true" strokeweight=".48pt" strokecolor="#7e7e7e"/>
            <v:line style="position:absolute" from="6635,5" to="6645,5" stroked="true" strokeweight=".48pt" strokecolor="#7e7e7e"/>
            <v:line style="position:absolute" from="6645,5" to="7485,5" stroked="true" strokeweight=".48pt" strokecolor="#7e7e7e"/>
            <v:line style="position:absolute" from="7485,5" to="7494,5" stroked="true" strokeweight=".48pt" strokecolor="#7e7e7e"/>
            <v:line style="position:absolute" from="7494,5" to="8479,5" stroked="true" strokeweight=".48pt" strokecolor="#7e7e7e"/>
            <v:line style="position:absolute" from="8479,5" to="8489,5" stroked="true" strokeweight=".48pt" strokecolor="#7e7e7e"/>
            <v:line style="position:absolute" from="8489,5" to="9329,5" stroked="true" strokeweight=".48pt" strokecolor="#7e7e7e"/>
          </v:group>
        </w:pict>
      </w:r>
      <w:r>
        <w:rPr>
          <w:sz w:val="2"/>
        </w:rPr>
      </w:r>
    </w:p>
    <w:p>
      <w:pPr>
        <w:pStyle w:val="BodyText"/>
        <w:ind w:left="243"/>
      </w:pPr>
      <w:r>
        <w:rPr/>
        <w:t>uninfected group</w:t>
      </w:r>
    </w:p>
    <w:p>
      <w:pPr>
        <w:pStyle w:val="BodyText"/>
        <w:spacing w:before="3"/>
        <w:rPr>
          <w:sz w:val="21"/>
        </w:rPr>
      </w:pPr>
      <w:r>
        <w:rPr/>
        <w:pict>
          <v:group style="position:absolute;margin-left:58.790001pt;margin-top:14.214319pt;width:467.4pt;height:.5pt;mso-position-horizontal-relative:page;mso-position-vertical-relative:paragraph;z-index:1216;mso-wrap-distance-left:0;mso-wrap-distance-right:0" coordorigin="1176,284" coordsize="9348,10">
            <v:line style="position:absolute" from="1181,289" to="7825,289" stroked="true" strokeweight=".48pt" strokecolor="#7e7e7e"/>
            <v:line style="position:absolute" from="7811,289" to="7821,289" stroked="true" strokeweight=".48pt" strokecolor="#7e7e7e"/>
            <v:line style="position:absolute" from="7821,289" to="8675,289" stroked="true" strokeweight=".48pt" strokecolor="#7e7e7e"/>
            <v:line style="position:absolute" from="8661,289" to="8670,289" stroked="true" strokeweight=".48pt" strokecolor="#7e7e7e"/>
            <v:line style="position:absolute" from="8670,289" to="9669,289" stroked="true" strokeweight=".48pt" strokecolor="#7e7e7e"/>
            <v:line style="position:absolute" from="9655,289" to="9664,289" stroked="true" strokeweight=".48pt" strokecolor="#7e7e7e"/>
            <v:line style="position:absolute" from="9664,289" to="10519,289" stroked="true" strokeweight=".48pt" strokecolor="#7e7e7e"/>
            <w10:wrap type="topAndBottom"/>
          </v:group>
        </w:pict>
      </w:r>
    </w:p>
    <w:p>
      <w:pPr>
        <w:pStyle w:val="BodyText"/>
        <w:spacing w:line="239" w:lineRule="exact"/>
        <w:ind w:left="243"/>
        <w:jc w:val="both"/>
      </w:pPr>
      <w:r>
        <w:rPr>
          <w:b/>
        </w:rPr>
        <w:t>Figure 2. </w:t>
      </w:r>
      <w:r>
        <w:rPr/>
        <w:t>Macroscopic lesions in rainbow trout infected by immersion bath with different species of</w:t>
      </w:r>
    </w:p>
    <w:p>
      <w:pPr>
        <w:pStyle w:val="BodyText"/>
      </w:pPr>
    </w:p>
    <w:p>
      <w:pPr>
        <w:pStyle w:val="BodyText"/>
        <w:spacing w:line="480" w:lineRule="auto"/>
        <w:ind w:left="243" w:right="101"/>
        <w:jc w:val="both"/>
      </w:pPr>
      <w:r>
        <w:rPr>
          <w:i/>
        </w:rPr>
        <w:t>Aeromonas</w:t>
      </w:r>
      <w:r>
        <w:rPr/>
        <w:t>. (a) Congestion of the ventral surface near the anus and (b) mild petechial hemorrhages in the ventral part of the opercula in fish infected with </w:t>
      </w:r>
      <w:r>
        <w:rPr>
          <w:i/>
        </w:rPr>
        <w:t>A</w:t>
      </w:r>
      <w:r>
        <w:rPr/>
        <w:t>. </w:t>
      </w:r>
      <w:r>
        <w:rPr>
          <w:i/>
        </w:rPr>
        <w:t>salmonicida</w:t>
      </w:r>
      <w:r>
        <w:rPr/>
        <w:t>, 1 day pe. (c) Unilateral exophthalmia in fish infected with </w:t>
      </w:r>
      <w:r>
        <w:rPr>
          <w:i/>
        </w:rPr>
        <w:t>A</w:t>
      </w:r>
      <w:r>
        <w:rPr/>
        <w:t>. </w:t>
      </w:r>
      <w:r>
        <w:rPr>
          <w:i/>
        </w:rPr>
        <w:t>hydrophila</w:t>
      </w:r>
      <w:r>
        <w:rPr/>
        <w:t>, 1 day pe. (d) Mild ocular hemorrhages and (e) severe hepatic anemia in fish infected with </w:t>
      </w:r>
      <w:r>
        <w:rPr>
          <w:i/>
        </w:rPr>
        <w:t>A</w:t>
      </w:r>
      <w:r>
        <w:rPr/>
        <w:t>. </w:t>
      </w:r>
      <w:r>
        <w:rPr>
          <w:i/>
        </w:rPr>
        <w:t>veronii</w:t>
      </w:r>
      <w:r>
        <w:rPr/>
        <w:t>, at inoculation day. (f) Mild hepatic congestion  in  fish  infected  with  </w:t>
      </w:r>
      <w:r>
        <w:rPr>
          <w:i/>
        </w:rPr>
        <w:t>A</w:t>
      </w:r>
      <w:r>
        <w:rPr/>
        <w:t>.   </w:t>
      </w:r>
      <w:r>
        <w:rPr>
          <w:i/>
        </w:rPr>
        <w:t>bestiarum</w:t>
      </w:r>
      <w:r>
        <w:rPr/>
        <w:t>,  at  7  days  pe.  (g)  Uninfected,  control      </w:t>
      </w:r>
      <w:r>
        <w:rPr>
          <w:spacing w:val="39"/>
        </w:rPr>
        <w:t> </w:t>
      </w:r>
      <w:r>
        <w:rPr/>
        <w:t>fish.</w:t>
      </w:r>
    </w:p>
    <w:p>
      <w:pPr>
        <w:pStyle w:val="BodyText"/>
        <w:rPr>
          <w:sz w:val="20"/>
        </w:rPr>
      </w:pPr>
    </w:p>
    <w:p>
      <w:pPr>
        <w:pStyle w:val="BodyText"/>
        <w:rPr>
          <w:sz w:val="20"/>
        </w:rPr>
      </w:pPr>
    </w:p>
    <w:p>
      <w:pPr>
        <w:pStyle w:val="BodyText"/>
        <w:rPr>
          <w:sz w:val="20"/>
        </w:rPr>
      </w:pPr>
    </w:p>
    <w:p>
      <w:pPr>
        <w:pStyle w:val="BodyText"/>
        <w:spacing w:before="6"/>
        <w:rPr>
          <w:sz w:val="21"/>
        </w:rPr>
      </w:pPr>
      <w:r>
        <w:rPr/>
        <w:pict>
          <v:group style="position:absolute;margin-left:65.199997pt;margin-top:14.32815pt;width:386pt;height:412.75pt;mso-position-horizontal-relative:page;mso-position-vertical-relative:paragraph;z-index:1408;mso-wrap-distance-left:0;mso-wrap-distance-right:0" coordorigin="1304,287" coordsize="7720,8255">
            <v:shape style="position:absolute;left:1304;top:287;width:7720;height:8255" type="#_x0000_t75" stroked="false">
              <v:imagedata r:id="rId17" o:title=""/>
            </v:shape>
            <v:shape style="position:absolute;left:5054;top:384;width:354;height:240" type="#_x0000_t202" filled="false" stroked="false">
              <v:textbox inset="0,0,0,0">
                <w:txbxContent>
                  <w:p>
                    <w:pPr>
                      <w:spacing w:line="240" w:lineRule="exact" w:before="0"/>
                      <w:ind w:left="0" w:right="0" w:firstLine="0"/>
                      <w:jc w:val="left"/>
                      <w:rPr>
                        <w:sz w:val="24"/>
                      </w:rPr>
                    </w:pPr>
                    <w:r>
                      <w:rPr>
                        <w:sz w:val="24"/>
                        <w:shd w:fill="FFFFFF" w:color="auto" w:val="clear"/>
                      </w:rPr>
                      <w:t>  a </w:t>
                    </w:r>
                  </w:p>
                </w:txbxContent>
              </v:textbox>
              <w10:wrap type="none"/>
            </v:shape>
            <v:shape style="position:absolute;left:8654;top:369;width:364;height:240" type="#_x0000_t202" filled="false" stroked="false">
              <v:textbox inset="0,0,0,0">
                <w:txbxContent>
                  <w:p>
                    <w:pPr>
                      <w:spacing w:line="240" w:lineRule="exact" w:before="0"/>
                      <w:ind w:left="0" w:right="0" w:firstLine="0"/>
                      <w:jc w:val="left"/>
                      <w:rPr>
                        <w:sz w:val="24"/>
                      </w:rPr>
                    </w:pPr>
                    <w:r>
                      <w:rPr>
                        <w:sz w:val="24"/>
                        <w:shd w:fill="FFFFFF" w:color="auto" w:val="clear"/>
                      </w:rPr>
                      <w:t>  b </w:t>
                    </w:r>
                  </w:p>
                </w:txbxContent>
              </v:textbox>
              <w10:wrap type="none"/>
            </v:shape>
            <v:shape style="position:absolute;left:3179;top:3108;width:398;height:240" type="#_x0000_t202" filled="false" stroked="false">
              <v:textbox inset="0,0,0,0">
                <w:txbxContent>
                  <w:p>
                    <w:pPr>
                      <w:spacing w:line="240" w:lineRule="exact" w:before="0"/>
                      <w:ind w:left="0" w:right="0" w:firstLine="0"/>
                      <w:jc w:val="left"/>
                      <w:rPr>
                        <w:sz w:val="24"/>
                      </w:rPr>
                    </w:pPr>
                    <w:r>
                      <w:rPr>
                        <w:sz w:val="24"/>
                        <w:shd w:fill="FFFFFF" w:color="auto" w:val="clear"/>
                      </w:rPr>
                      <w:t>  c </w:t>
                    </w:r>
                  </w:p>
                </w:txbxContent>
              </v:textbox>
              <w10:wrap type="none"/>
            </v:shape>
            <v:shape style="position:absolute;left:5566;top:3101;width:493;height:240" type="#_x0000_t202" filled="false" stroked="false">
              <v:textbox inset="0,0,0,0">
                <w:txbxContent>
                  <w:p>
                    <w:pPr>
                      <w:tabs>
                        <w:tab w:pos="492" w:val="left" w:leader="none"/>
                      </w:tabs>
                      <w:spacing w:line="240" w:lineRule="exact" w:before="0"/>
                      <w:ind w:left="0" w:right="0" w:firstLine="0"/>
                      <w:jc w:val="left"/>
                      <w:rPr>
                        <w:sz w:val="24"/>
                      </w:rPr>
                    </w:pPr>
                    <w:r>
                      <w:rPr>
                        <w:sz w:val="24"/>
                        <w:shd w:fill="FFFFFF" w:color="auto" w:val="clear"/>
                      </w:rPr>
                      <w:t> </w:t>
                    </w:r>
                    <w:r>
                      <w:rPr>
                        <w:spacing w:val="24"/>
                        <w:sz w:val="24"/>
                        <w:shd w:fill="FFFFFF" w:color="auto" w:val="clear"/>
                      </w:rPr>
                      <w:t> </w:t>
                    </w:r>
                    <w:r>
                      <w:rPr>
                        <w:sz w:val="24"/>
                        <w:shd w:fill="FFFFFF" w:color="auto" w:val="clear"/>
                      </w:rPr>
                      <w:t>d</w:t>
                      <w:tab/>
                    </w:r>
                  </w:p>
                </w:txbxContent>
              </v:textbox>
              <w10:wrap type="none"/>
            </v:shape>
            <v:shape style="position:absolute;left:8563;top:3094;width:460;height:240" type="#_x0000_t202" filled="false" stroked="false">
              <v:textbox inset="0,0,0,0">
                <w:txbxContent>
                  <w:p>
                    <w:pPr>
                      <w:tabs>
                        <w:tab w:pos="459" w:val="left" w:leader="none"/>
                      </w:tabs>
                      <w:spacing w:line="240" w:lineRule="exact" w:before="0"/>
                      <w:ind w:left="0" w:right="0" w:firstLine="0"/>
                      <w:jc w:val="left"/>
                      <w:rPr>
                        <w:sz w:val="24"/>
                      </w:rPr>
                    </w:pPr>
                    <w:r>
                      <w:rPr>
                        <w:sz w:val="24"/>
                        <w:shd w:fill="FFFFFF" w:color="auto" w:val="clear"/>
                      </w:rPr>
                      <w:t> </w:t>
                    </w:r>
                    <w:r>
                      <w:rPr>
                        <w:spacing w:val="25"/>
                        <w:sz w:val="24"/>
                        <w:shd w:fill="FFFFFF" w:color="auto" w:val="clear"/>
                      </w:rPr>
                      <w:t> </w:t>
                    </w:r>
                    <w:r>
                      <w:rPr>
                        <w:sz w:val="24"/>
                        <w:shd w:fill="FFFFFF" w:color="auto" w:val="clear"/>
                      </w:rPr>
                      <w:t>e</w:t>
                      <w:tab/>
                    </w:r>
                  </w:p>
                </w:txbxContent>
              </v:textbox>
              <w10:wrap type="none"/>
            </v:shape>
            <v:shape style="position:absolute;left:4205;top:6243;width:398;height:240" type="#_x0000_t202" filled="false" stroked="false">
              <v:textbox inset="0,0,0,0">
                <w:txbxContent>
                  <w:p>
                    <w:pPr>
                      <w:spacing w:line="240" w:lineRule="exact" w:before="0"/>
                      <w:ind w:left="0" w:right="0" w:firstLine="0"/>
                      <w:jc w:val="left"/>
                      <w:rPr>
                        <w:sz w:val="24"/>
                      </w:rPr>
                    </w:pPr>
                    <w:r>
                      <w:rPr>
                        <w:sz w:val="24"/>
                        <w:shd w:fill="FFFFFF" w:color="auto" w:val="clear"/>
                      </w:rPr>
                      <w:t>  f </w:t>
                    </w:r>
                  </w:p>
                </w:txbxContent>
              </v:textbox>
              <w10:wrap type="none"/>
            </v:shape>
            <v:shape style="position:absolute;left:8620;top:6238;width:398;height:240" type="#_x0000_t202" filled="false" stroked="false">
              <v:textbox inset="0,0,0,0">
                <w:txbxContent>
                  <w:p>
                    <w:pPr>
                      <w:spacing w:line="240" w:lineRule="exact" w:before="0"/>
                      <w:ind w:left="0" w:right="0" w:firstLine="0"/>
                      <w:jc w:val="left"/>
                      <w:rPr>
                        <w:sz w:val="24"/>
                      </w:rPr>
                    </w:pPr>
                    <w:r>
                      <w:rPr>
                        <w:sz w:val="24"/>
                        <w:shd w:fill="FFFFFF" w:color="auto" w:val="clear"/>
                      </w:rPr>
                      <w:t>  g </w:t>
                    </w:r>
                  </w:p>
                </w:txbxContent>
              </v:textbox>
              <w10:wrap type="none"/>
            </v:shape>
            <w10:wrap type="topAndBottom"/>
          </v:group>
        </w:pict>
      </w:r>
    </w:p>
    <w:p>
      <w:pPr>
        <w:spacing w:after="0"/>
        <w:rPr>
          <w:sz w:val="21"/>
        </w:rPr>
        <w:sectPr>
          <w:pgSz w:w="12240" w:h="15840"/>
          <w:pgMar w:header="0" w:footer="695" w:top="1080" w:bottom="940" w:left="1060" w:right="1200"/>
        </w:sectPr>
      </w:pPr>
    </w:p>
    <w:p>
      <w:pPr>
        <w:pStyle w:val="BodyText"/>
        <w:spacing w:line="480" w:lineRule="auto" w:before="44"/>
        <w:ind w:left="103" w:right="101"/>
        <w:jc w:val="both"/>
      </w:pPr>
      <w:r>
        <w:rPr>
          <w:b/>
        </w:rPr>
        <w:t>Figure 3. </w:t>
      </w:r>
      <w:r>
        <w:rPr/>
        <w:t>Histological lesions observed in rainbow trout infected by immersion bath with </w:t>
      </w:r>
      <w:r>
        <w:rPr>
          <w:i/>
        </w:rPr>
        <w:t>Aeromonas salmonicida</w:t>
      </w:r>
      <w:r>
        <w:rPr/>
        <w:t>. (a) Infiltration of inflammatory cells in the ventral surface close to the anal fin. (b) Focal inflammatory area; infiltrate with mononuclear cells (</w:t>
      </w:r>
      <w:r>
        <w:rPr>
          <w:b/>
        </w:rPr>
        <w:t>*</w:t>
      </w:r>
      <w:r>
        <w:rPr/>
        <w:t>) and a bacterial aggregate  (»).</w:t>
      </w:r>
    </w:p>
    <w:p>
      <w:pPr>
        <w:pStyle w:val="BodyText"/>
        <w:spacing w:line="480" w:lineRule="auto" w:before="10"/>
        <w:ind w:left="103" w:right="100"/>
        <w:jc w:val="both"/>
      </w:pPr>
      <w:r>
        <w:rPr/>
        <w:pict>
          <v:group style="position:absolute;margin-left:109.150002pt;margin-top:61.143116pt;width:384.3pt;height:310pt;mso-position-horizontal-relative:page;mso-position-vertical-relative:paragraph;z-index:1648;mso-wrap-distance-left:0;mso-wrap-distance-right:0" coordorigin="2183,1223" coordsize="7686,6200">
            <v:shape style="position:absolute;left:2183;top:1223;width:7633;height:6200" type="#_x0000_t75" stroked="false">
              <v:imagedata r:id="rId18" o:title=""/>
            </v:shape>
            <v:shape style="position:absolute;left:7048;top:4714;width:2506;height:2142" coordorigin="7048,4714" coordsize="2506,2142" path="m7812,4964l7737,5011,7665,5060,7597,5112,7533,5166,7472,5223,7415,5281,7362,5340,7312,5402,7267,5464,7225,5528,7188,5592,7155,5657,7126,5723,7101,5788,7082,5854,7066,5920,7056,5985,7050,6050,7048,6114,7052,6177,7061,6239,7075,6300,7094,6359,7118,6416,7148,6472,7183,6524,7222,6573,7265,6618,7311,6659,7362,6696,7415,6730,7472,6759,7532,6785,7595,6806,7660,6824,7727,6838,7796,6848,7868,6854,7941,6855,8015,6853,8091,6847,8167,6837,8245,6822,8323,6804,8401,6781,8479,6755,8558,6724,8636,6689,8714,6649,8790,6606,8865,6559,8937,6510,9005,6458,9069,6403,9130,6347,9187,6289,9240,6229,9290,6168,9335,6106,9377,6042,9414,5978,9447,5913,9476,5847,9501,5781,9520,5716,9536,5650,9546,5585,9552,5520,9554,5456,9550,5393,9541,5331,9527,5270,9508,5211,9484,5154,9454,5098,9419,5046,9380,4997,9337,4952,9291,4911,9240,4873,9187,4840,9130,4811,9070,4785,9007,4763,8942,4746,8875,4732,8806,4722,8734,4716,8661,4714,8587,4716,8511,4723,8435,4733,8357,4747,8279,4766,8201,4788,8123,4815,8044,4846,7966,4881,7888,4920,7812,4964xe" filled="false" stroked="true" strokeweight="1pt" strokecolor="#000000">
              <v:path arrowok="t"/>
            </v:shape>
            <v:rect style="position:absolute;left:9491;top:1238;width:378;height:404" filled="true" fillcolor="#ffffff" stroked="false">
              <v:fill type="solid"/>
            </v:rect>
            <v:shape style="position:absolute;left:5685;top:1318;width:405;height:240" type="#_x0000_t202" filled="false" stroked="false">
              <v:textbox inset="0,0,0,0">
                <w:txbxContent>
                  <w:p>
                    <w:pPr>
                      <w:spacing w:line="240" w:lineRule="exact" w:before="0"/>
                      <w:ind w:left="0" w:right="0" w:firstLine="0"/>
                      <w:jc w:val="left"/>
                      <w:rPr>
                        <w:sz w:val="24"/>
                      </w:rPr>
                    </w:pPr>
                    <w:r>
                      <w:rPr>
                        <w:sz w:val="24"/>
                        <w:shd w:fill="FFFFFF" w:color="auto" w:val="clear"/>
                      </w:rPr>
                      <w:t>  a </w:t>
                    </w:r>
                  </w:p>
                </w:txbxContent>
              </v:textbox>
              <w10:wrap type="none"/>
            </v:shape>
            <v:shape style="position:absolute;left:9638;top:1332;width:120;height:240" type="#_x0000_t202" filled="false" stroked="false">
              <v:textbox inset="0,0,0,0">
                <w:txbxContent>
                  <w:p>
                    <w:pPr>
                      <w:spacing w:line="240" w:lineRule="exact" w:before="0"/>
                      <w:ind w:left="0" w:right="0" w:firstLine="0"/>
                      <w:jc w:val="left"/>
                      <w:rPr>
                        <w:sz w:val="24"/>
                      </w:rPr>
                    </w:pPr>
                    <w:r>
                      <w:rPr>
                        <w:sz w:val="24"/>
                      </w:rPr>
                      <w:t>b</w:t>
                    </w:r>
                  </w:p>
                </w:txbxContent>
              </v:textbox>
              <w10:wrap type="none"/>
            </v:shape>
            <v:shape style="position:absolute;left:6856;top:1993;width:201;height:401" type="#_x0000_t202" filled="false" stroked="false">
              <v:textbox inset="0,0,0,0">
                <w:txbxContent>
                  <w:p>
                    <w:pPr>
                      <w:spacing w:line="401" w:lineRule="exact" w:before="0"/>
                      <w:ind w:left="0" w:right="0" w:firstLine="0"/>
                      <w:jc w:val="left"/>
                      <w:rPr>
                        <w:sz w:val="40"/>
                      </w:rPr>
                    </w:pPr>
                    <w:r>
                      <w:rPr>
                        <w:w w:val="100"/>
                        <w:sz w:val="40"/>
                      </w:rPr>
                      <w:t>»</w:t>
                    </w:r>
                  </w:p>
                </w:txbxContent>
              </v:textbox>
              <w10:wrap type="none"/>
            </v:shape>
            <v:shape style="position:absolute;left:7641;top:2475;width:201;height:401" type="#_x0000_t202" filled="false" stroked="false">
              <v:textbox inset="0,0,0,0">
                <w:txbxContent>
                  <w:p>
                    <w:pPr>
                      <w:spacing w:line="401" w:lineRule="exact" w:before="0"/>
                      <w:ind w:left="0" w:right="0" w:firstLine="0"/>
                      <w:jc w:val="left"/>
                      <w:rPr>
                        <w:sz w:val="40"/>
                      </w:rPr>
                    </w:pPr>
                    <w:r>
                      <w:rPr>
                        <w:w w:val="100"/>
                        <w:sz w:val="40"/>
                      </w:rPr>
                      <w:t>»</w:t>
                    </w:r>
                  </w:p>
                </w:txbxContent>
              </v:textbox>
              <w10:wrap type="none"/>
            </v:shape>
            <v:shape style="position:absolute;left:8437;top:2534;width:240;height:480" type="#_x0000_t202" filled="false" stroked="false">
              <v:textbox inset="0,0,0,0">
                <w:txbxContent>
                  <w:p>
                    <w:pPr>
                      <w:spacing w:line="480" w:lineRule="exact" w:before="0"/>
                      <w:ind w:left="0" w:right="0" w:firstLine="0"/>
                      <w:jc w:val="left"/>
                      <w:rPr>
                        <w:b/>
                        <w:sz w:val="48"/>
                      </w:rPr>
                    </w:pPr>
                    <w:r>
                      <w:rPr>
                        <w:b/>
                        <w:sz w:val="48"/>
                      </w:rPr>
                      <w:t>*</w:t>
                    </w:r>
                  </w:p>
                </w:txbxContent>
              </v:textbox>
              <w10:wrap type="none"/>
            </v:shape>
            <v:shape style="position:absolute;left:5722;top:4304;width:391;height:240" type="#_x0000_t202" filled="false" stroked="false">
              <v:textbox inset="0,0,0,0">
                <w:txbxContent>
                  <w:p>
                    <w:pPr>
                      <w:spacing w:line="240" w:lineRule="exact" w:before="0"/>
                      <w:ind w:left="0" w:right="0" w:firstLine="0"/>
                      <w:jc w:val="left"/>
                      <w:rPr>
                        <w:sz w:val="24"/>
                      </w:rPr>
                    </w:pPr>
                    <w:r>
                      <w:rPr>
                        <w:sz w:val="24"/>
                        <w:shd w:fill="FFFFFF" w:color="auto" w:val="clear"/>
                      </w:rPr>
                      <w:t>  c </w:t>
                    </w:r>
                  </w:p>
                </w:txbxContent>
              </v:textbox>
              <w10:wrap type="none"/>
            </v:shape>
            <v:shape style="position:absolute;left:9456;top:4304;width:378;height:240" type="#_x0000_t202" filled="false" stroked="false">
              <v:textbox inset="0,0,0,0">
                <w:txbxContent>
                  <w:p>
                    <w:pPr>
                      <w:spacing w:line="240" w:lineRule="exact" w:before="0"/>
                      <w:ind w:left="0" w:right="0" w:firstLine="0"/>
                      <w:jc w:val="left"/>
                      <w:rPr>
                        <w:sz w:val="24"/>
                      </w:rPr>
                    </w:pPr>
                    <w:r>
                      <w:rPr>
                        <w:sz w:val="24"/>
                        <w:shd w:fill="FFFFFF" w:color="auto" w:val="clear"/>
                      </w:rPr>
                      <w:t>  d </w:t>
                    </w:r>
                  </w:p>
                </w:txbxContent>
              </v:textbox>
              <w10:wrap type="none"/>
            </v:shape>
            <v:shape style="position:absolute;left:2986;top:5862;width:201;height:401" type="#_x0000_t202" filled="false" stroked="false">
              <v:textbox inset="0,0,0,0">
                <w:txbxContent>
                  <w:p>
                    <w:pPr>
                      <w:spacing w:line="401" w:lineRule="exact" w:before="0"/>
                      <w:ind w:left="0" w:right="0" w:firstLine="0"/>
                      <w:jc w:val="left"/>
                      <w:rPr>
                        <w:sz w:val="40"/>
                      </w:rPr>
                    </w:pPr>
                    <w:r>
                      <w:rPr>
                        <w:w w:val="100"/>
                        <w:sz w:val="40"/>
                      </w:rPr>
                      <w:t>»</w:t>
                    </w:r>
                  </w:p>
                </w:txbxContent>
              </v:textbox>
              <w10:wrap type="none"/>
            </v:shape>
            <v:shape style="position:absolute;left:4139;top:5872;width:201;height:401" type="#_x0000_t202" filled="false" stroked="false">
              <v:textbox inset="0,0,0,0">
                <w:txbxContent>
                  <w:p>
                    <w:pPr>
                      <w:spacing w:line="401" w:lineRule="exact" w:before="0"/>
                      <w:ind w:left="0" w:right="0" w:firstLine="0"/>
                      <w:jc w:val="left"/>
                      <w:rPr>
                        <w:sz w:val="40"/>
                      </w:rPr>
                    </w:pPr>
                    <w:r>
                      <w:rPr>
                        <w:w w:val="100"/>
                        <w:sz w:val="40"/>
                      </w:rPr>
                      <w:t>»</w:t>
                    </w:r>
                  </w:p>
                </w:txbxContent>
              </v:textbox>
              <w10:wrap type="none"/>
            </v:shape>
            <w10:wrap type="topAndBottom"/>
          </v:group>
        </w:pict>
      </w:r>
      <w:r>
        <w:rPr/>
        <w:t>(c) Infiltration of inflammatory cells in the ventral surface close to the anal fin and bacterial aggregate (»). (d) Intestine, bacteria in lamina propria and bacterial translocation (circle).</w:t>
      </w:r>
    </w:p>
    <w:p>
      <w:pPr>
        <w:spacing w:after="0" w:line="480" w:lineRule="auto"/>
        <w:jc w:val="both"/>
        <w:sectPr>
          <w:pgSz w:w="12240" w:h="15840"/>
          <w:pgMar w:header="0" w:footer="695" w:top="1080" w:bottom="940" w:left="1200" w:right="1200"/>
        </w:sectPr>
      </w:pPr>
    </w:p>
    <w:p>
      <w:pPr>
        <w:pStyle w:val="ListParagraph"/>
        <w:numPr>
          <w:ilvl w:val="0"/>
          <w:numId w:val="5"/>
        </w:numPr>
        <w:tabs>
          <w:tab w:pos="812" w:val="left" w:leader="none"/>
        </w:tabs>
        <w:spacing w:line="240" w:lineRule="auto" w:before="44" w:after="0"/>
        <w:ind w:left="811" w:right="0" w:hanging="348"/>
        <w:jc w:val="left"/>
        <w:rPr>
          <w:sz w:val="24"/>
        </w:rPr>
      </w:pPr>
      <w:r>
        <w:rPr>
          <w:sz w:val="24"/>
        </w:rPr>
        <w:t>Artículo</w:t>
      </w:r>
      <w:r>
        <w:rPr>
          <w:spacing w:val="-6"/>
          <w:sz w:val="24"/>
        </w:rPr>
        <w:t> </w:t>
      </w:r>
      <w:r>
        <w:rPr>
          <w:sz w:val="24"/>
        </w:rPr>
        <w:t>aceptado</w:t>
      </w:r>
    </w:p>
    <w:p>
      <w:pPr>
        <w:pStyle w:val="BodyText"/>
        <w:spacing w:before="5"/>
      </w:pPr>
    </w:p>
    <w:p>
      <w:pPr>
        <w:pStyle w:val="Heading1"/>
        <w:spacing w:before="0"/>
        <w:ind w:left="811" w:right="59"/>
      </w:pPr>
      <w:r>
        <w:rPr/>
        <w:t>Revista electrónica AquaTIC</w:t>
      </w:r>
    </w:p>
    <w:p>
      <w:pPr>
        <w:pStyle w:val="BodyText"/>
        <w:rPr>
          <w:b/>
          <w:sz w:val="20"/>
        </w:rPr>
      </w:pPr>
    </w:p>
    <w:p>
      <w:pPr>
        <w:pStyle w:val="BodyText"/>
        <w:rPr>
          <w:b/>
          <w:sz w:val="20"/>
        </w:rPr>
      </w:pPr>
    </w:p>
    <w:p>
      <w:pPr>
        <w:pStyle w:val="BodyText"/>
        <w:spacing w:before="11"/>
        <w:rPr>
          <w:b/>
          <w:sz w:val="28"/>
        </w:rPr>
      </w:pPr>
      <w:r>
        <w:rPr/>
        <w:pict>
          <v:group style="position:absolute;margin-left:100.599922pt;margin-top:18.606262pt;width:317.25pt;height:72.05pt;mso-position-horizontal-relative:page;mso-position-vertical-relative:paragraph;z-index:1672;mso-wrap-distance-left:0;mso-wrap-distance-right:0" coordorigin="2012,372" coordsize="6345,1441">
            <v:shape style="position:absolute;left:7241;top:548;width:1116;height:1037" type="#_x0000_t75" stroked="false">
              <v:imagedata r:id="rId19" o:title=""/>
            </v:shape>
            <v:shape style="position:absolute;left:2012;top:372;width:5309;height:1441" type="#_x0000_t75" stroked="false">
              <v:imagedata r:id="rId20" o:title=""/>
            </v:shape>
            <w10:wrap type="topAndBottom"/>
          </v:group>
        </w:pict>
      </w:r>
    </w:p>
    <w:p>
      <w:pPr>
        <w:pStyle w:val="BodyText"/>
        <w:rPr>
          <w:b/>
        </w:rPr>
      </w:pPr>
    </w:p>
    <w:p>
      <w:pPr>
        <w:pStyle w:val="BodyText"/>
        <w:rPr>
          <w:b/>
        </w:rPr>
      </w:pPr>
    </w:p>
    <w:p>
      <w:pPr>
        <w:pStyle w:val="BodyText"/>
        <w:spacing w:before="10"/>
        <w:rPr>
          <w:b/>
          <w:sz w:val="20"/>
        </w:rPr>
      </w:pPr>
    </w:p>
    <w:p>
      <w:pPr>
        <w:pStyle w:val="BodyText"/>
        <w:spacing w:line="480" w:lineRule="auto"/>
        <w:ind w:left="103" w:right="101" w:firstLine="707"/>
        <w:jc w:val="both"/>
      </w:pPr>
      <w:r>
        <w:rPr/>
        <w:t>La Revista AquaTIC, es una revista electrónica internacional que abarca todos los temas relacionados con la acuicultura y es el portal más importante de acuicultura en castellano. Ofrece su contenido de forma gratuita a productores, investigadores y profesionales del medio.</w:t>
      </w:r>
    </w:p>
    <w:p>
      <w:pPr>
        <w:pStyle w:val="BodyText"/>
      </w:pPr>
    </w:p>
    <w:p>
      <w:pPr>
        <w:pStyle w:val="BodyText"/>
        <w:spacing w:before="10"/>
      </w:pPr>
    </w:p>
    <w:p>
      <w:pPr>
        <w:pStyle w:val="BodyText"/>
        <w:ind w:left="811" w:right="59"/>
      </w:pPr>
      <w:r>
        <w:rPr/>
        <w:t>CAB Abstracs: International Standard Serial Number (ISSN) 1578-4541.</w:t>
      </w:r>
    </w:p>
    <w:p>
      <w:pPr>
        <w:pStyle w:val="BodyText"/>
      </w:pPr>
    </w:p>
    <w:p>
      <w:pPr>
        <w:pStyle w:val="BodyText"/>
      </w:pPr>
    </w:p>
    <w:p>
      <w:pPr>
        <w:pStyle w:val="BodyText"/>
      </w:pPr>
    </w:p>
    <w:p>
      <w:pPr>
        <w:pStyle w:val="BodyText"/>
        <w:ind w:left="811" w:right="59"/>
      </w:pPr>
      <w:r>
        <w:rPr/>
        <w:t>Indexada en:</w:t>
      </w:r>
    </w:p>
    <w:p>
      <w:pPr>
        <w:pStyle w:val="BodyText"/>
        <w:spacing w:before="2"/>
      </w:pPr>
    </w:p>
    <w:p>
      <w:pPr>
        <w:pStyle w:val="ListParagraph"/>
        <w:numPr>
          <w:ilvl w:val="1"/>
          <w:numId w:val="5"/>
        </w:numPr>
        <w:tabs>
          <w:tab w:pos="1520" w:val="left" w:leader="none"/>
        </w:tabs>
        <w:spacing w:line="463" w:lineRule="auto" w:before="0" w:after="0"/>
        <w:ind w:left="1596" w:right="109" w:hanging="360"/>
        <w:jc w:val="left"/>
        <w:rPr>
          <w:sz w:val="24"/>
        </w:rPr>
      </w:pPr>
      <w:r>
        <w:rPr>
          <w:sz w:val="24"/>
        </w:rPr>
        <w:t>Sistema Regional de Información en Línea para Revistas Científicas de América Latina, el Caribe, España y Portugal</w:t>
      </w:r>
      <w:r>
        <w:rPr>
          <w:spacing w:val="-9"/>
          <w:sz w:val="24"/>
        </w:rPr>
        <w:t> </w:t>
      </w:r>
      <w:r>
        <w:rPr>
          <w:sz w:val="24"/>
        </w:rPr>
        <w:t>(Latindex).</w:t>
      </w:r>
    </w:p>
    <w:p>
      <w:pPr>
        <w:pStyle w:val="ListParagraph"/>
        <w:numPr>
          <w:ilvl w:val="1"/>
          <w:numId w:val="5"/>
        </w:numPr>
        <w:tabs>
          <w:tab w:pos="1579" w:val="left" w:leader="none"/>
          <w:tab w:pos="1580" w:val="left" w:leader="none"/>
        </w:tabs>
        <w:spacing w:line="463" w:lineRule="auto" w:before="31" w:after="0"/>
        <w:ind w:left="1596" w:right="109" w:hanging="360"/>
        <w:jc w:val="left"/>
        <w:rPr>
          <w:sz w:val="24"/>
        </w:rPr>
      </w:pPr>
      <w:r>
        <w:rPr>
          <w:sz w:val="24"/>
        </w:rPr>
        <w:t>Red de Revistas Científicas de América Latina y el Caribe, España y Portugal (Redalyc).</w:t>
      </w:r>
    </w:p>
    <w:p>
      <w:pPr>
        <w:pStyle w:val="ListParagraph"/>
        <w:numPr>
          <w:ilvl w:val="1"/>
          <w:numId w:val="5"/>
        </w:numPr>
        <w:tabs>
          <w:tab w:pos="1520" w:val="left" w:leader="none"/>
          <w:tab w:pos="2771" w:val="left" w:leader="none"/>
          <w:tab w:pos="3491" w:val="left" w:leader="none"/>
          <w:tab w:pos="4375" w:val="left" w:leader="none"/>
          <w:tab w:pos="4802" w:val="left" w:leader="none"/>
          <w:tab w:pos="5817" w:val="left" w:leader="none"/>
          <w:tab w:pos="7055" w:val="left" w:leader="none"/>
          <w:tab w:pos="8439" w:val="left" w:leader="none"/>
          <w:tab w:pos="9617" w:val="left" w:leader="none"/>
        </w:tabs>
        <w:spacing w:line="463" w:lineRule="auto" w:before="31" w:after="0"/>
        <w:ind w:left="1596" w:right="100" w:hanging="360"/>
        <w:jc w:val="left"/>
        <w:rPr>
          <w:sz w:val="24"/>
        </w:rPr>
      </w:pPr>
      <w:r>
        <w:rPr>
          <w:sz w:val="24"/>
        </w:rPr>
        <w:t>Plataforma</w:t>
        <w:tab/>
        <w:t>Open</w:t>
        <w:tab/>
        <w:t>Access</w:t>
        <w:tab/>
        <w:t>de</w:t>
        <w:tab/>
        <w:t>Revistas</w:t>
        <w:tab/>
        <w:t>Científicas</w:t>
        <w:tab/>
        <w:t>Electrónicas</w:t>
        <w:tab/>
        <w:t>Españolas</w:t>
        <w:tab/>
        <w:t>y Lationamericanas</w:t>
      </w:r>
      <w:r>
        <w:rPr>
          <w:spacing w:val="-6"/>
          <w:sz w:val="24"/>
        </w:rPr>
        <w:t> </w:t>
      </w:r>
      <w:r>
        <w:rPr>
          <w:sz w:val="24"/>
        </w:rPr>
        <w:t>(e-revist@s).</w:t>
      </w:r>
    </w:p>
    <w:p>
      <w:pPr>
        <w:pStyle w:val="ListParagraph"/>
        <w:numPr>
          <w:ilvl w:val="1"/>
          <w:numId w:val="5"/>
        </w:numPr>
        <w:tabs>
          <w:tab w:pos="1520" w:val="left" w:leader="none"/>
        </w:tabs>
        <w:spacing w:line="240" w:lineRule="auto" w:before="31" w:after="0"/>
        <w:ind w:left="1519" w:right="0" w:hanging="283"/>
        <w:jc w:val="left"/>
        <w:rPr>
          <w:sz w:val="24"/>
        </w:rPr>
      </w:pPr>
      <w:r>
        <w:rPr>
          <w:sz w:val="24"/>
        </w:rPr>
        <w:t>Consejo Superior de Investigaciones Científicas</w:t>
      </w:r>
      <w:r>
        <w:rPr>
          <w:spacing w:val="-13"/>
          <w:sz w:val="24"/>
        </w:rPr>
        <w:t> </w:t>
      </w:r>
      <w:r>
        <w:rPr>
          <w:sz w:val="24"/>
        </w:rPr>
        <w:t>(CSIC).</w:t>
      </w:r>
    </w:p>
    <w:p>
      <w:pPr>
        <w:spacing w:after="0" w:line="240" w:lineRule="auto"/>
        <w:jc w:val="left"/>
        <w:rPr>
          <w:sz w:val="24"/>
        </w:rPr>
        <w:sectPr>
          <w:pgSz w:w="12240" w:h="15840"/>
          <w:pgMar w:header="0" w:footer="695" w:top="1080" w:bottom="940" w:left="1200" w:right="1200"/>
        </w:sectPr>
      </w:pPr>
    </w:p>
    <w:p>
      <w:pPr>
        <w:spacing w:line="480" w:lineRule="auto" w:before="44"/>
        <w:ind w:left="103" w:right="59" w:firstLine="0"/>
        <w:jc w:val="left"/>
        <w:rPr>
          <w:sz w:val="24"/>
        </w:rPr>
      </w:pPr>
      <w:r>
        <w:rPr>
          <w:i/>
          <w:sz w:val="24"/>
        </w:rPr>
        <w:t>Aeromonas </w:t>
      </w:r>
      <w:r>
        <w:rPr>
          <w:sz w:val="24"/>
        </w:rPr>
        <w:t>spp.: la infección en la trucha arcoíris (</w:t>
      </w:r>
      <w:r>
        <w:rPr>
          <w:i/>
          <w:sz w:val="24"/>
        </w:rPr>
        <w:t>Oncorhynchus mykiss</w:t>
      </w:r>
      <w:r>
        <w:rPr>
          <w:sz w:val="24"/>
        </w:rPr>
        <w:t>) y su aislamiento en México.</w:t>
      </w:r>
    </w:p>
    <w:p>
      <w:pPr>
        <w:pStyle w:val="BodyText"/>
      </w:pPr>
    </w:p>
    <w:p>
      <w:pPr>
        <w:pStyle w:val="BodyText"/>
        <w:spacing w:before="6"/>
        <w:rPr>
          <w:sz w:val="23"/>
        </w:rPr>
      </w:pPr>
    </w:p>
    <w:p>
      <w:pPr>
        <w:pStyle w:val="BodyText"/>
        <w:ind w:left="103" w:right="59"/>
      </w:pPr>
      <w:r>
        <w:rPr/>
        <w:t>Zepeda-Velázquez, Andrea Paloma</w:t>
      </w:r>
      <w:r>
        <w:rPr>
          <w:position w:val="9"/>
          <w:sz w:val="16"/>
        </w:rPr>
        <w:t>1*</w:t>
      </w:r>
      <w:r>
        <w:rPr/>
        <w:t>.</w:t>
      </w:r>
    </w:p>
    <w:p>
      <w:pPr>
        <w:pStyle w:val="BodyText"/>
        <w:rPr>
          <w:sz w:val="26"/>
        </w:rPr>
      </w:pPr>
    </w:p>
    <w:p>
      <w:pPr>
        <w:pStyle w:val="BodyText"/>
        <w:rPr>
          <w:sz w:val="26"/>
        </w:rPr>
      </w:pPr>
    </w:p>
    <w:p>
      <w:pPr>
        <w:pStyle w:val="BodyText"/>
        <w:spacing w:line="480" w:lineRule="auto" w:before="230"/>
        <w:ind w:left="103" w:right="99"/>
      </w:pPr>
      <w:r>
        <w:rPr/>
        <w:t>1Centro de Investigación y Estudios Avanzados en Salud Animal. Facultad de Medicina Veterinaria y Zootecnia, Universidad Autónoma del Estado de México.</w:t>
      </w:r>
    </w:p>
    <w:p>
      <w:pPr>
        <w:pStyle w:val="BodyText"/>
        <w:spacing w:line="480" w:lineRule="auto" w:before="11"/>
        <w:ind w:left="103" w:right="2719"/>
      </w:pPr>
      <w:r>
        <w:rPr/>
        <w:t>Carretera Toluca-Atlacomulco km 15.5. Toluca 50200, México, México. Teléfono: 722 2965555</w:t>
      </w:r>
    </w:p>
    <w:p>
      <w:pPr>
        <w:pStyle w:val="BodyText"/>
      </w:pPr>
    </w:p>
    <w:p>
      <w:pPr>
        <w:pStyle w:val="BodyText"/>
      </w:pPr>
    </w:p>
    <w:p>
      <w:pPr>
        <w:pStyle w:val="BodyText"/>
      </w:pPr>
    </w:p>
    <w:p>
      <w:pPr>
        <w:pStyle w:val="BodyText"/>
        <w:rPr>
          <w:sz w:val="19"/>
        </w:rPr>
      </w:pPr>
    </w:p>
    <w:p>
      <w:pPr>
        <w:pStyle w:val="BodyText"/>
        <w:ind w:left="103" w:right="59"/>
      </w:pPr>
      <w:r>
        <w:rPr/>
        <w:t>*Autor de correspondencia</w:t>
      </w:r>
    </w:p>
    <w:p>
      <w:pPr>
        <w:pStyle w:val="BodyText"/>
        <w:rPr>
          <w:sz w:val="21"/>
        </w:rPr>
      </w:pPr>
    </w:p>
    <w:p>
      <w:pPr>
        <w:pStyle w:val="BodyText"/>
        <w:spacing w:before="1"/>
        <w:ind w:left="103" w:right="59"/>
      </w:pPr>
      <w:r>
        <w:rPr/>
        <w:t>Andrea Paloma Zepeda Velázquez.</w:t>
      </w:r>
    </w:p>
    <w:p>
      <w:pPr>
        <w:pStyle w:val="BodyText"/>
        <w:spacing w:before="1"/>
        <w:rPr>
          <w:sz w:val="21"/>
        </w:rPr>
      </w:pPr>
    </w:p>
    <w:p>
      <w:pPr>
        <w:pStyle w:val="BodyText"/>
        <w:ind w:left="163" w:right="59"/>
      </w:pPr>
      <w:r>
        <w:rPr/>
        <w:t>Correo electrónico: </w:t>
      </w:r>
      <w:hyperlink r:id="rId21">
        <w:r>
          <w:rPr>
            <w:color w:val="0000FF"/>
            <w:u w:val="single" w:color="0000FF"/>
          </w:rPr>
          <w:t>mvz.andreaz@gmail.com</w:t>
        </w:r>
      </w:hyperlink>
    </w:p>
    <w:p>
      <w:pPr>
        <w:spacing w:after="0"/>
        <w:sectPr>
          <w:pgSz w:w="12240" w:h="15840"/>
          <w:pgMar w:header="0" w:footer="695" w:top="1080" w:bottom="940" w:left="1200" w:right="1200"/>
        </w:sectPr>
      </w:pPr>
    </w:p>
    <w:p>
      <w:pPr>
        <w:pStyle w:val="Heading1"/>
        <w:jc w:val="both"/>
      </w:pPr>
      <w:r>
        <w:rPr/>
        <w:t>RESUMEN</w:t>
      </w:r>
    </w:p>
    <w:p>
      <w:pPr>
        <w:pStyle w:val="BodyText"/>
        <w:rPr>
          <w:b/>
        </w:rPr>
      </w:pPr>
    </w:p>
    <w:p>
      <w:pPr>
        <w:pStyle w:val="BodyText"/>
        <w:rPr>
          <w:b/>
        </w:rPr>
      </w:pPr>
    </w:p>
    <w:p>
      <w:pPr>
        <w:pStyle w:val="BodyText"/>
        <w:spacing w:before="7"/>
        <w:rPr>
          <w:b/>
          <w:sz w:val="23"/>
        </w:rPr>
      </w:pPr>
    </w:p>
    <w:p>
      <w:pPr>
        <w:pStyle w:val="BodyText"/>
        <w:spacing w:line="480" w:lineRule="auto"/>
        <w:ind w:left="103" w:right="101"/>
        <w:jc w:val="both"/>
      </w:pPr>
      <w:r>
        <w:rPr/>
        <w:t>El género </w:t>
      </w:r>
      <w:r>
        <w:rPr>
          <w:i/>
        </w:rPr>
        <w:t>Aeromonas </w:t>
      </w:r>
      <w:r>
        <w:rPr/>
        <w:t>incluye bacterias Gram negativas que se encuentran ampliamente distribuidas en ambientes acuáticos. Estos microorganismos afectan a una amplia variedad de especies animales, incluido el hombre. En acuicultura, diversas especies de </w:t>
      </w:r>
      <w:r>
        <w:rPr>
          <w:i/>
        </w:rPr>
        <w:t>Aeromonas </w:t>
      </w:r>
      <w:r>
        <w:rPr/>
        <w:t>infectan especies de cultivo y producen pérdidas económicas significativas. De manera particular, la producción de trucha arcoíris (</w:t>
      </w:r>
      <w:r>
        <w:rPr>
          <w:i/>
        </w:rPr>
        <w:t>Oncorhynchus mykiss</w:t>
      </w:r>
      <w:r>
        <w:rPr/>
        <w:t>) contribuye significativamente en la acuicultura de México. En este trabajo se revisa la patogenia de las especies de </w:t>
      </w:r>
      <w:r>
        <w:rPr>
          <w:i/>
        </w:rPr>
        <w:t>Aeromonas </w:t>
      </w:r>
      <w:r>
        <w:rPr/>
        <w:t>que infectan a la trucha arcoíris, así como los diversos factores que modifican esta interacción.</w:t>
      </w:r>
    </w:p>
    <w:p>
      <w:pPr>
        <w:pStyle w:val="BodyText"/>
      </w:pPr>
    </w:p>
    <w:p>
      <w:pPr>
        <w:pStyle w:val="BodyText"/>
        <w:spacing w:before="10"/>
      </w:pPr>
    </w:p>
    <w:p>
      <w:pPr>
        <w:spacing w:before="0"/>
        <w:ind w:left="103" w:right="0" w:firstLine="0"/>
        <w:jc w:val="both"/>
        <w:rPr>
          <w:sz w:val="24"/>
        </w:rPr>
      </w:pPr>
      <w:r>
        <w:rPr>
          <w:sz w:val="24"/>
        </w:rPr>
        <w:t>Palabras clave: </w:t>
      </w:r>
      <w:r>
        <w:rPr>
          <w:i/>
          <w:sz w:val="24"/>
        </w:rPr>
        <w:t>Aeromonas</w:t>
      </w:r>
      <w:r>
        <w:rPr>
          <w:sz w:val="24"/>
        </w:rPr>
        <w:t>, patogenia, trucha arcoíris, </w:t>
      </w:r>
      <w:r>
        <w:rPr>
          <w:i/>
          <w:sz w:val="24"/>
        </w:rPr>
        <w:t>Oncorhynchus mykiss</w:t>
      </w:r>
      <w:r>
        <w:rPr>
          <w:sz w:val="24"/>
        </w:rPr>
        <w:t>.</w:t>
      </w:r>
    </w:p>
    <w:p>
      <w:pPr>
        <w:spacing w:after="0"/>
        <w:jc w:val="both"/>
        <w:rPr>
          <w:sz w:val="24"/>
        </w:rPr>
        <w:sectPr>
          <w:pgSz w:w="12240" w:h="15840"/>
          <w:pgMar w:header="0" w:footer="695" w:top="1080" w:bottom="940" w:left="1200" w:right="1200"/>
        </w:sectPr>
      </w:pPr>
    </w:p>
    <w:p>
      <w:pPr>
        <w:pStyle w:val="Heading1"/>
        <w:spacing w:before="52"/>
        <w:jc w:val="both"/>
      </w:pPr>
      <w:r>
        <w:rPr/>
        <w:t>ABSTRACT</w:t>
      </w:r>
    </w:p>
    <w:p>
      <w:pPr>
        <w:pStyle w:val="BodyText"/>
        <w:rPr>
          <w:b/>
        </w:rPr>
      </w:pPr>
    </w:p>
    <w:p>
      <w:pPr>
        <w:pStyle w:val="BodyText"/>
        <w:rPr>
          <w:b/>
        </w:rPr>
      </w:pPr>
    </w:p>
    <w:p>
      <w:pPr>
        <w:pStyle w:val="BodyText"/>
        <w:rPr>
          <w:b/>
        </w:rPr>
      </w:pPr>
    </w:p>
    <w:p>
      <w:pPr>
        <w:pStyle w:val="BodyText"/>
        <w:spacing w:line="480" w:lineRule="auto" w:before="195"/>
        <w:ind w:left="103" w:right="99"/>
        <w:jc w:val="both"/>
      </w:pPr>
      <w:r>
        <w:rPr/>
        <w:t>The genus </w:t>
      </w:r>
      <w:r>
        <w:rPr>
          <w:i/>
        </w:rPr>
        <w:t>Aeromonas </w:t>
      </w:r>
      <w:r>
        <w:rPr/>
        <w:t>includes Gram-negative bacteria widely distributed in aquatic environments. These microorganisms infect a broad variety of animals, including humans. </w:t>
      </w:r>
      <w:r>
        <w:rPr>
          <w:spacing w:val="-3"/>
        </w:rPr>
        <w:t>In </w:t>
      </w:r>
      <w:r>
        <w:rPr/>
        <w:t>aquaculture, several </w:t>
      </w:r>
      <w:r>
        <w:rPr>
          <w:i/>
        </w:rPr>
        <w:t>Aeromonas </w:t>
      </w:r>
      <w:r>
        <w:rPr/>
        <w:t>species infect cultured fish and produce significant economic losses. Particularly, rainbow trout (</w:t>
      </w:r>
      <w:r>
        <w:rPr>
          <w:i/>
        </w:rPr>
        <w:t>Oncorhynchus mykiss</w:t>
      </w:r>
      <w:r>
        <w:rPr/>
        <w:t>) production contributes significantly in the Mexican aquaculture and is potentially threatened by aeromonads. </w:t>
      </w:r>
      <w:r>
        <w:rPr>
          <w:spacing w:val="-3"/>
        </w:rPr>
        <w:t>In </w:t>
      </w:r>
      <w:r>
        <w:rPr/>
        <w:t>the current work, the pathogenesis of the </w:t>
      </w:r>
      <w:r>
        <w:rPr>
          <w:i/>
        </w:rPr>
        <w:t>Aeromonas </w:t>
      </w:r>
      <w:r>
        <w:rPr/>
        <w:t>species that infect rainbow trout, and the several factors involved in this interaction, are</w:t>
      </w:r>
      <w:r>
        <w:rPr>
          <w:spacing w:val="-3"/>
        </w:rPr>
        <w:t> </w:t>
      </w:r>
      <w:r>
        <w:rPr/>
        <w:t>reviewed.</w:t>
      </w:r>
    </w:p>
    <w:p>
      <w:pPr>
        <w:pStyle w:val="BodyText"/>
      </w:pPr>
    </w:p>
    <w:p>
      <w:pPr>
        <w:pStyle w:val="BodyText"/>
        <w:spacing w:before="10"/>
      </w:pPr>
    </w:p>
    <w:p>
      <w:pPr>
        <w:spacing w:before="0"/>
        <w:ind w:left="103" w:right="0" w:firstLine="0"/>
        <w:jc w:val="both"/>
        <w:rPr>
          <w:sz w:val="24"/>
        </w:rPr>
      </w:pPr>
      <w:r>
        <w:rPr>
          <w:sz w:val="24"/>
        </w:rPr>
        <w:t>Key words: </w:t>
      </w:r>
      <w:r>
        <w:rPr>
          <w:i/>
          <w:sz w:val="24"/>
        </w:rPr>
        <w:t>Aeromonas</w:t>
      </w:r>
      <w:r>
        <w:rPr>
          <w:sz w:val="24"/>
        </w:rPr>
        <w:t>, pathogenesis, rainbow trout, </w:t>
      </w:r>
      <w:r>
        <w:rPr>
          <w:i/>
          <w:sz w:val="24"/>
        </w:rPr>
        <w:t>Oncorhynchus mykiss</w:t>
      </w:r>
      <w:r>
        <w:rPr>
          <w:sz w:val="24"/>
        </w:rPr>
        <w:t>.</w:t>
      </w:r>
    </w:p>
    <w:p>
      <w:pPr>
        <w:spacing w:after="0"/>
        <w:jc w:val="both"/>
        <w:rPr>
          <w:sz w:val="24"/>
        </w:rPr>
        <w:sectPr>
          <w:pgSz w:w="12240" w:h="15840"/>
          <w:pgMar w:header="0" w:footer="695" w:top="1080" w:bottom="940" w:left="1200" w:right="1200"/>
        </w:sectPr>
      </w:pPr>
    </w:p>
    <w:p>
      <w:pPr>
        <w:pStyle w:val="Heading1"/>
        <w:ind w:right="59"/>
      </w:pPr>
      <w:r>
        <w:rPr/>
        <w:t>INTRODUCCIÓN</w:t>
      </w:r>
    </w:p>
    <w:p>
      <w:pPr>
        <w:pStyle w:val="BodyText"/>
        <w:rPr>
          <w:b/>
        </w:rPr>
      </w:pPr>
    </w:p>
    <w:p>
      <w:pPr>
        <w:pStyle w:val="BodyText"/>
        <w:rPr>
          <w:b/>
        </w:rPr>
      </w:pPr>
    </w:p>
    <w:p>
      <w:pPr>
        <w:pStyle w:val="BodyText"/>
        <w:spacing w:before="7"/>
        <w:rPr>
          <w:b/>
          <w:sz w:val="23"/>
        </w:rPr>
      </w:pPr>
    </w:p>
    <w:p>
      <w:pPr>
        <w:pStyle w:val="BodyText"/>
        <w:spacing w:line="480" w:lineRule="auto"/>
        <w:ind w:left="103" w:right="99" w:firstLine="707"/>
        <w:jc w:val="both"/>
      </w:pPr>
      <w:r>
        <w:rPr/>
        <w:t>El género </w:t>
      </w:r>
      <w:r>
        <w:rPr>
          <w:i/>
        </w:rPr>
        <w:t>Aeromonas </w:t>
      </w:r>
      <w:r>
        <w:rPr/>
        <w:t>es un grupo de bacterias de importancia para la acuicultura, </w:t>
      </w:r>
      <w:r>
        <w:rPr>
          <w:spacing w:val="-3"/>
        </w:rPr>
        <w:t>ya </w:t>
      </w:r>
      <w:r>
        <w:rPr/>
        <w:t>que pueden actuar como agentes patógenos importantes en especies poiquilotermas, debido a que se encuentran ampliamente distribuidos en cuerpos de agua (Janda y Abbott 2010); sin embargo estos microorganismos también han sido considerados habitantes no patogénicos de animales acuáticos y terrestres (Huber </w:t>
      </w:r>
      <w:r>
        <w:rPr>
          <w:i/>
        </w:rPr>
        <w:t>et al</w:t>
      </w:r>
      <w:r>
        <w:rPr/>
        <w:t>., 2004, Lehane y Rawlin 2000). Los peces no son los únicos infectados, pues estos microorganismo también han sido aislados de humanos con diversos cuadros clínicos, como son: infecciones cutáneas (Meik </w:t>
      </w:r>
      <w:r>
        <w:rPr>
          <w:i/>
        </w:rPr>
        <w:t>et al</w:t>
      </w:r>
      <w:r>
        <w:rPr/>
        <w:t>., 2011), respiratorias (Cremonesini </w:t>
      </w:r>
      <w:r>
        <w:rPr>
          <w:i/>
        </w:rPr>
        <w:t>et al</w:t>
      </w:r>
      <w:r>
        <w:rPr/>
        <w:t>., 2008). Incluso se han aislado de muestras de pescado congelado y otros alimentos (Yogananth </w:t>
      </w:r>
      <w:r>
        <w:rPr>
          <w:i/>
        </w:rPr>
        <w:t>et al</w:t>
      </w:r>
      <w:r>
        <w:rPr/>
        <w:t>., 2009), así como de agua potable (Tequianes-Bravo </w:t>
      </w:r>
      <w:r>
        <w:rPr>
          <w:i/>
        </w:rPr>
        <w:t>et al</w:t>
      </w:r>
      <w:r>
        <w:rPr/>
        <w:t>., 2005), lo que sugiere que esta bacteria es adaptable a diversos ambientes (Janda</w:t>
      </w:r>
      <w:r>
        <w:rPr>
          <w:spacing w:val="-6"/>
        </w:rPr>
        <w:t> </w:t>
      </w:r>
      <w:r>
        <w:rPr/>
        <w:t>1991).</w:t>
      </w:r>
    </w:p>
    <w:p>
      <w:pPr>
        <w:pStyle w:val="BodyText"/>
        <w:spacing w:line="480" w:lineRule="auto" w:before="10"/>
        <w:ind w:left="103" w:right="99" w:firstLine="360"/>
        <w:jc w:val="both"/>
      </w:pPr>
      <w:r>
        <w:rPr/>
        <w:t>Se han realizado diferentes estudios de éste género, de los cuales se ha obtenido información referente a la signología clínica, lesiones anatomopatológicas y lesiones histopatológicas, así como la obtención de aislamientos de infecciones naturales y el empleo de éstos para realizar infecciones experimentales en diferentes especies de peces (Gudmundsdóttir </w:t>
      </w:r>
      <w:r>
        <w:rPr>
          <w:i/>
        </w:rPr>
        <w:t>et al. </w:t>
      </w:r>
      <w:r>
        <w:rPr/>
        <w:t>2003; LaPatra </w:t>
      </w:r>
      <w:r>
        <w:rPr>
          <w:i/>
        </w:rPr>
        <w:t>et al. </w:t>
      </w:r>
      <w:r>
        <w:rPr/>
        <w:t>2010; Ping-Chung </w:t>
      </w:r>
      <w:r>
        <w:rPr>
          <w:i/>
        </w:rPr>
        <w:t>et al. </w:t>
      </w:r>
      <w:r>
        <w:rPr/>
        <w:t>2010; Paniagua </w:t>
      </w:r>
      <w:r>
        <w:rPr>
          <w:i/>
        </w:rPr>
        <w:t>et al. </w:t>
      </w:r>
      <w:r>
        <w:rPr/>
        <w:t>1990; Kozińska, 2007). Sin embargo, no existe un trabajo que unifique criterios de signología clínica, lesiones macroscópicas y microscópicas en la infección inducida por las especies del género </w:t>
      </w:r>
      <w:r>
        <w:rPr>
          <w:i/>
        </w:rPr>
        <w:t>Aeromonas </w:t>
      </w:r>
      <w:r>
        <w:rPr/>
        <w:t>que afectan a la trucha arcoíris, por lo que en el presente artículo hace una revisión bibliográfica de los diversos hallazgos clínicos, patológicos e histopatológicos, de brotes naturales así como los de infección experimental, reportados únicamente para en la trucha arcoíris, </w:t>
      </w:r>
      <w:r>
        <w:rPr>
          <w:i/>
        </w:rPr>
        <w:t>Oncorhynchus mykiss</w:t>
      </w:r>
      <w:r>
        <w:rPr/>
        <w:t>.</w:t>
      </w:r>
    </w:p>
    <w:p>
      <w:pPr>
        <w:spacing w:after="0" w:line="480" w:lineRule="auto"/>
        <w:jc w:val="both"/>
        <w:sectPr>
          <w:pgSz w:w="12240" w:h="15840"/>
          <w:pgMar w:header="0" w:footer="695" w:top="1080" w:bottom="940" w:left="1200" w:right="1200"/>
        </w:sectPr>
      </w:pPr>
    </w:p>
    <w:p>
      <w:pPr>
        <w:pStyle w:val="Heading1"/>
        <w:numPr>
          <w:ilvl w:val="0"/>
          <w:numId w:val="6"/>
        </w:numPr>
        <w:tabs>
          <w:tab w:pos="812" w:val="left" w:leader="none"/>
        </w:tabs>
        <w:spacing w:line="240" w:lineRule="auto" w:before="49" w:after="0"/>
        <w:ind w:left="811" w:right="0" w:hanging="348"/>
        <w:jc w:val="left"/>
      </w:pPr>
      <w:r>
        <w:rPr/>
        <w:t>ETIOLOGÍA</w:t>
      </w:r>
    </w:p>
    <w:p>
      <w:pPr>
        <w:pStyle w:val="BodyText"/>
        <w:rPr>
          <w:b/>
        </w:rPr>
      </w:pPr>
    </w:p>
    <w:p>
      <w:pPr>
        <w:pStyle w:val="ListParagraph"/>
        <w:numPr>
          <w:ilvl w:val="1"/>
          <w:numId w:val="6"/>
        </w:numPr>
        <w:tabs>
          <w:tab w:pos="1184" w:val="left" w:leader="none"/>
        </w:tabs>
        <w:spacing w:line="240" w:lineRule="auto" w:before="0" w:after="0"/>
        <w:ind w:left="1183" w:right="0" w:hanging="360"/>
        <w:jc w:val="left"/>
        <w:rPr>
          <w:b/>
          <w:sz w:val="24"/>
        </w:rPr>
      </w:pPr>
      <w:r>
        <w:rPr>
          <w:b/>
          <w:sz w:val="24"/>
        </w:rPr>
        <w:t>Taxonomía</w:t>
      </w:r>
    </w:p>
    <w:p>
      <w:pPr>
        <w:pStyle w:val="BodyText"/>
        <w:rPr>
          <w:b/>
        </w:rPr>
      </w:pPr>
    </w:p>
    <w:p>
      <w:pPr>
        <w:pStyle w:val="BodyText"/>
        <w:spacing w:line="480" w:lineRule="auto" w:before="156"/>
        <w:ind w:left="103" w:right="158" w:firstLine="707"/>
        <w:jc w:val="both"/>
      </w:pPr>
      <w:r>
        <w:rPr/>
        <w:t>Este grupo de bacterias pertenece al género </w:t>
      </w:r>
      <w:r>
        <w:rPr>
          <w:i/>
        </w:rPr>
        <w:t>Aeromonas</w:t>
      </w:r>
      <w:r>
        <w:rPr/>
        <w:t>, familia </w:t>
      </w:r>
      <w:r>
        <w:rPr>
          <w:i/>
        </w:rPr>
        <w:t>Aeromonadaceae</w:t>
      </w:r>
      <w:r>
        <w:rPr/>
        <w:t>, orden </w:t>
      </w:r>
      <w:r>
        <w:rPr>
          <w:i/>
        </w:rPr>
        <w:t>Aeromonadales </w:t>
      </w:r>
      <w:r>
        <w:rPr/>
        <w:t>y clase </w:t>
      </w:r>
      <w:r>
        <w:rPr>
          <w:i/>
        </w:rPr>
        <w:t>Gammaproteobacteria </w:t>
      </w:r>
      <w:r>
        <w:rPr/>
        <w:t>(Castro-Escarpulli </w:t>
      </w:r>
      <w:r>
        <w:rPr>
          <w:i/>
        </w:rPr>
        <w:t>et al</w:t>
      </w:r>
      <w:r>
        <w:rPr/>
        <w:t>., 2003). Actualmente el género incluye más de 30 especies (Beaz-Hidalgo </w:t>
      </w:r>
      <w:r>
        <w:rPr>
          <w:i/>
        </w:rPr>
        <w:t>et al</w:t>
      </w:r>
      <w:r>
        <w:rPr/>
        <w:t>., 2013; Martínez-Murcia </w:t>
      </w:r>
      <w:r>
        <w:rPr>
          <w:i/>
        </w:rPr>
        <w:t>et al</w:t>
      </w:r>
      <w:r>
        <w:rPr/>
        <w:t>., 2013; Beaz-Hidalgo </w:t>
      </w:r>
      <w:r>
        <w:rPr>
          <w:i/>
        </w:rPr>
        <w:t>et al</w:t>
      </w:r>
      <w:r>
        <w:rPr/>
        <w:t>., 2015) (Tabla 1). Para su estudio, el género ha sido dividido en dos grandes grupos: un grupo mesofílico que se caracteriza por crecer entre 22 y 37 °C y que es conocido como el grupo de las especies móviles (que pueden poseer un flagelo lateral o perítrico), la presentación de la signología dentro de éste grupo es similar entre ellas, siendo la más frecuente </w:t>
      </w:r>
      <w:r>
        <w:rPr>
          <w:i/>
        </w:rPr>
        <w:t>A</w:t>
      </w:r>
      <w:r>
        <w:rPr/>
        <w:t>. </w:t>
      </w:r>
      <w:r>
        <w:rPr>
          <w:i/>
        </w:rPr>
        <w:t>hydrophila</w:t>
      </w:r>
      <w:r>
        <w:rPr/>
        <w:t>, capaz de causar alta mortalidad y provocar pérdidas económicas significativas (Noga, 2010). Asimismo para el caso de </w:t>
      </w:r>
      <w:r>
        <w:rPr>
          <w:i/>
        </w:rPr>
        <w:t>A. media </w:t>
      </w:r>
      <w:r>
        <w:rPr/>
        <w:t>que crece a 37.5 °C, sin embargo es una especie no móvil que causa infecciones clínicas en el hombre; y un grupo psicrófilo (crecen a temperaturas menores de  21 °C) que incluye la especie </w:t>
      </w:r>
      <w:r>
        <w:rPr>
          <w:i/>
        </w:rPr>
        <w:t>A. salmonicida</w:t>
      </w:r>
      <w:r>
        <w:rPr/>
        <w:t>; cabe destacar que esta especie se divide en dos  grupos más, conocidos como cepas típicas que infectan a salmónidos y las cepas atípicas que están conformadas por 4 subespecies (Tabla 1) y se caracterizan por infectar a más de 50 especies de peces no salmónidos (Han </w:t>
      </w:r>
      <w:r>
        <w:rPr>
          <w:i/>
        </w:rPr>
        <w:t>et al. </w:t>
      </w:r>
      <w:r>
        <w:rPr/>
        <w:t>2001). Tanto los grupos típicos como los atípicos pueden desarrollar la enfermedad conocida como furunculosis (Austin y Austin,</w:t>
      </w:r>
      <w:r>
        <w:rPr>
          <w:spacing w:val="-10"/>
        </w:rPr>
        <w:t> </w:t>
      </w:r>
      <w:r>
        <w:rPr/>
        <w:t>2010).</w:t>
      </w:r>
    </w:p>
    <w:p>
      <w:pPr>
        <w:pStyle w:val="BodyText"/>
      </w:pPr>
    </w:p>
    <w:p>
      <w:pPr>
        <w:pStyle w:val="BodyText"/>
        <w:spacing w:before="3"/>
        <w:rPr>
          <w:sz w:val="25"/>
        </w:rPr>
      </w:pPr>
    </w:p>
    <w:p>
      <w:pPr>
        <w:pStyle w:val="Heading1"/>
        <w:numPr>
          <w:ilvl w:val="1"/>
          <w:numId w:val="6"/>
        </w:numPr>
        <w:tabs>
          <w:tab w:pos="1184" w:val="left" w:leader="none"/>
        </w:tabs>
        <w:spacing w:line="240" w:lineRule="auto" w:before="0" w:after="0"/>
        <w:ind w:left="1183" w:right="0" w:hanging="360"/>
        <w:jc w:val="left"/>
      </w:pPr>
      <w:r>
        <w:rPr/>
        <w:t>Identificación</w:t>
      </w:r>
    </w:p>
    <w:p>
      <w:pPr>
        <w:pStyle w:val="BodyText"/>
        <w:rPr>
          <w:b/>
        </w:rPr>
      </w:pPr>
    </w:p>
    <w:p>
      <w:pPr>
        <w:pStyle w:val="BodyText"/>
        <w:spacing w:line="480" w:lineRule="auto" w:before="154"/>
        <w:ind w:left="103" w:right="109" w:firstLine="707"/>
        <w:jc w:val="both"/>
      </w:pPr>
      <w:r>
        <w:rPr/>
        <w:t>La etiología de la enfermedad ocasionada por miembros del género </w:t>
      </w:r>
      <w:r>
        <w:rPr>
          <w:i/>
        </w:rPr>
        <w:t>Aeromonas </w:t>
      </w:r>
      <w:r>
        <w:rPr/>
        <w:t>es complicada de establecer, debido a la diversidad genética, bioquímica y antigénica que existe en el grupo (Cipriano, 2001). Éste está conformado por bacterias Gram negativas, anaerobias facultativas, que presentan morfología poco variable (coco bacilar o bacilar pequeña) y miden</w:t>
      </w:r>
      <w:r>
        <w:rPr>
          <w:spacing w:val="48"/>
        </w:rPr>
        <w:t> </w:t>
      </w:r>
      <w:r>
        <w:rPr/>
        <w:t>aproximadamente</w:t>
      </w:r>
    </w:p>
    <w:p>
      <w:pPr>
        <w:spacing w:after="0" w:line="480" w:lineRule="auto"/>
        <w:jc w:val="both"/>
        <w:sectPr>
          <w:pgSz w:w="12240" w:h="15840"/>
          <w:pgMar w:header="0" w:footer="695" w:top="1080" w:bottom="940" w:left="1200" w:right="1140"/>
        </w:sectPr>
      </w:pPr>
    </w:p>
    <w:p>
      <w:pPr>
        <w:pStyle w:val="BodyText"/>
        <w:spacing w:line="480" w:lineRule="auto" w:before="44"/>
        <w:ind w:left="103" w:right="100"/>
        <w:jc w:val="both"/>
      </w:pPr>
      <w:r>
        <w:rPr/>
        <w:t>0.3–1.0 × 1.0–3.5 micras (μm), crecen en un amplio rango de temperaturas que van desde 0 a 45°C (Janda y Abbott, 2010). Debido a la versatilidad del género el crecimiento en medios nutritivos como el agar tripticasa de soya TSA (por sus siglas en inglés; trypticase soy agar) y agar base  sangre adicionado con 10% de sangre de ovino (en el cual se hace evidente la presencia de hemólisis) son los medios de rutina utilizados para éste y otros géneros bacterianos poco exigentes. Asimismo existen medios selectivos que ayudan al aislamiento especifico del género </w:t>
      </w:r>
      <w:r>
        <w:rPr>
          <w:i/>
        </w:rPr>
        <w:t>Aeromonas</w:t>
      </w:r>
      <w:r>
        <w:rPr/>
        <w:t>, como es el agar selectivo </w:t>
      </w:r>
      <w:r>
        <w:rPr>
          <w:i/>
        </w:rPr>
        <w:t>Aeromonas Pseudomonas </w:t>
      </w:r>
      <w:r>
        <w:rPr/>
        <w:t>según Kielwein (marca comercial Merck Millipore) adicionado con penicilina (las colonias de </w:t>
      </w:r>
      <w:r>
        <w:rPr>
          <w:i/>
        </w:rPr>
        <w:t>Aeromonas </w:t>
      </w:r>
      <w:r>
        <w:rPr/>
        <w:t>viran a color amarillo y las de </w:t>
      </w:r>
      <w:r>
        <w:rPr>
          <w:i/>
        </w:rPr>
        <w:t>Pseudomonas </w:t>
      </w:r>
      <w:r>
        <w:rPr/>
        <w:t>a color rojo-rosa),el agar ampicilina-dextrina (las colonias de </w:t>
      </w:r>
      <w:r>
        <w:rPr>
          <w:i/>
        </w:rPr>
        <w:t>Aeromonas </w:t>
      </w:r>
      <w:r>
        <w:rPr/>
        <w:t>viran a  color amarillo) (Havelaar </w:t>
      </w:r>
      <w:r>
        <w:rPr>
          <w:i/>
        </w:rPr>
        <w:t>et al. </w:t>
      </w:r>
      <w:r>
        <w:rPr/>
        <w:t>1987), entre otros. Algunas de las propiedades bioquímicas que muestran las bacterias del género </w:t>
      </w:r>
      <w:r>
        <w:rPr>
          <w:i/>
        </w:rPr>
        <w:t>Aeromonas </w:t>
      </w:r>
      <w:r>
        <w:rPr/>
        <w:t>son: catalasa positiva, productores de gas en glucosa y urea negativos; no obstante, se necesitan de un mínimo de 19 pruebas, entre bioquímicas y de susceptibilidad a distintos antimicrobianos para lograr la identificación de la mayoría de las  especies (Castro-Escarpulli </w:t>
      </w:r>
      <w:r>
        <w:rPr>
          <w:i/>
        </w:rPr>
        <w:t>et al. </w:t>
      </w:r>
      <w:r>
        <w:rPr/>
        <w:t>2003). </w:t>
      </w:r>
      <w:r>
        <w:rPr>
          <w:i/>
        </w:rPr>
        <w:t>A. salmonicida </w:t>
      </w:r>
      <w:r>
        <w:rPr/>
        <w:t>posee 4 subespecies que no comparten estas características bioquímicas y han sido catalogadas como atípicas, debido a la poca, leve o lenta presentación del pigmento café observada en el crecimiento de los aislamientos; reacción negativa en la prueba de catalasa, oxidasa negativa, nutricionalmente son fastidiosos y su crecimiento es  lento (más de 5 días de incubación) (Austin y Austin, 2007; Buller ,2004). Algunas de las pruebas empleadas para la identificación generalizada del género se basan en la sensibilidad al agente vibriostático O/129 (2,4-diamino 6-7 diisopropilpteridina), crecimiento a diferentes concentraciones de NaCl, crecimiento negativo en agar tiosulfato citrato bilis sacarosa (TCBS) e inositol negativo (Castro-Escarpulli </w:t>
      </w:r>
      <w:r>
        <w:rPr>
          <w:i/>
        </w:rPr>
        <w:t>et al. </w:t>
      </w:r>
      <w:r>
        <w:rPr/>
        <w:t>2003). El empleo de marcadores moleculares permite la diferenciación genética,  tales  como:  16S  rRNA,  gyrB  (subunidad  B  ADN  gyrosa),  rpoD  (factor  σ),     </w:t>
      </w:r>
      <w:r>
        <w:rPr>
          <w:spacing w:val="4"/>
        </w:rPr>
        <w:t> </w:t>
      </w:r>
      <w:r>
        <w:rPr/>
        <w:t>rpoB</w:t>
      </w:r>
    </w:p>
    <w:p>
      <w:pPr>
        <w:spacing w:after="0" w:line="480" w:lineRule="auto"/>
        <w:jc w:val="both"/>
        <w:sectPr>
          <w:pgSz w:w="12240" w:h="15840"/>
          <w:pgMar w:header="0" w:footer="695" w:top="1080" w:bottom="940" w:left="1200" w:right="1200"/>
        </w:sectPr>
      </w:pPr>
    </w:p>
    <w:p>
      <w:pPr>
        <w:pStyle w:val="BodyText"/>
        <w:spacing w:line="480" w:lineRule="auto" w:before="44"/>
        <w:ind w:left="103" w:right="103"/>
        <w:jc w:val="both"/>
      </w:pPr>
      <w:r>
        <w:rPr/>
        <w:t>(subunidad β, DNA dependiente de la RNA polimerasa) y la dnaJ (cabeza de proteína shock 40) (Janda y Abbott, 2010; Nhung </w:t>
      </w:r>
      <w:r>
        <w:rPr>
          <w:i/>
        </w:rPr>
        <w:t>et al</w:t>
      </w:r>
      <w:r>
        <w:rPr/>
        <w:t>., 2007; Vásquez-Piñeros </w:t>
      </w:r>
      <w:r>
        <w:rPr>
          <w:i/>
        </w:rPr>
        <w:t>et al</w:t>
      </w:r>
      <w:r>
        <w:rPr/>
        <w:t>., 2010), incluyendo el polimorfismo de longitud de los fragmentos de restricción (por sus siglas en inglés; RFLP) (Borrell </w:t>
      </w:r>
      <w:r>
        <w:rPr>
          <w:i/>
        </w:rPr>
        <w:t>et al</w:t>
      </w:r>
      <w:r>
        <w:rPr/>
        <w:t>., 1997).</w:t>
      </w:r>
    </w:p>
    <w:p>
      <w:pPr>
        <w:pStyle w:val="BodyText"/>
      </w:pPr>
    </w:p>
    <w:p>
      <w:pPr>
        <w:pStyle w:val="BodyText"/>
        <w:spacing w:before="3"/>
        <w:rPr>
          <w:sz w:val="25"/>
        </w:rPr>
      </w:pPr>
    </w:p>
    <w:p>
      <w:pPr>
        <w:pStyle w:val="Heading1"/>
        <w:numPr>
          <w:ilvl w:val="1"/>
          <w:numId w:val="6"/>
        </w:numPr>
        <w:tabs>
          <w:tab w:pos="1184" w:val="left" w:leader="none"/>
        </w:tabs>
        <w:spacing w:line="240" w:lineRule="auto" w:before="0" w:after="0"/>
        <w:ind w:left="1183" w:right="0" w:hanging="360"/>
        <w:jc w:val="left"/>
      </w:pPr>
      <w:r>
        <w:rPr/>
        <w:t>Virulencia</w:t>
      </w:r>
    </w:p>
    <w:p>
      <w:pPr>
        <w:pStyle w:val="BodyText"/>
        <w:rPr>
          <w:b/>
        </w:rPr>
      </w:pPr>
    </w:p>
    <w:p>
      <w:pPr>
        <w:pStyle w:val="BodyText"/>
        <w:spacing w:line="480" w:lineRule="auto" w:before="156"/>
        <w:ind w:left="103" w:right="99" w:firstLine="707"/>
        <w:jc w:val="both"/>
      </w:pPr>
      <w:r>
        <w:rPr/>
        <w:t>Se ha observado que la patogenicidad y grado de virulencia del género </w:t>
      </w:r>
      <w:r>
        <w:rPr>
          <w:i/>
        </w:rPr>
        <w:t>Aeromonas </w:t>
      </w:r>
      <w:r>
        <w:rPr/>
        <w:t>está influenciado por algunos factores ajenos al patógeno, que pueden ser causantes de una presentación clínica de la enfermedad, como son manejo inadecuado, pobre calidad y dureza del agua, altas temperaturas de los estanques, traumas o lesiones en la piel de los peces (Roberts, 2001). Asimismo la especie del pez infectado juega un papel importante, pues se ha observado que el salmón Báltico (</w:t>
      </w:r>
      <w:r>
        <w:rPr>
          <w:i/>
        </w:rPr>
        <w:t>Salmo salar</w:t>
      </w:r>
      <w:r>
        <w:rPr/>
        <w:t>) y la trucha arcoíris presentan cierta resistencia a la infección por </w:t>
      </w:r>
      <w:r>
        <w:rPr>
          <w:i/>
        </w:rPr>
        <w:t>A</w:t>
      </w:r>
      <w:r>
        <w:rPr/>
        <w:t>. </w:t>
      </w:r>
      <w:r>
        <w:rPr>
          <w:i/>
        </w:rPr>
        <w:t>salmonicida</w:t>
      </w:r>
      <w:r>
        <w:rPr/>
        <w:t>, siendo el salmón el más resistente (Holten-Andersen </w:t>
      </w:r>
      <w:r>
        <w:rPr>
          <w:i/>
        </w:rPr>
        <w:t>et al</w:t>
      </w:r>
      <w:r>
        <w:rPr/>
        <w:t>., 2012); en contraste se ha observado que la trucha arcoíris es más resistente a la enfermedad que el salmón Atlántico (Roberts, 2001). Otros salmónidos como la trucha moteada (</w:t>
      </w:r>
      <w:r>
        <w:rPr>
          <w:i/>
        </w:rPr>
        <w:t>Salvelinus fontinalis</w:t>
      </w:r>
      <w:r>
        <w:rPr/>
        <w:t>) y la trucha café (</w:t>
      </w:r>
      <w:r>
        <w:rPr>
          <w:i/>
        </w:rPr>
        <w:t>Salmo trutta</w:t>
      </w:r>
      <w:r>
        <w:rPr/>
        <w:t>) son más susceptibles a la infección con este agente en comparación con la trucha arcoíris (Hoover </w:t>
      </w:r>
      <w:r>
        <w:rPr>
          <w:i/>
        </w:rPr>
        <w:t>et al</w:t>
      </w:r>
      <w:r>
        <w:rPr/>
        <w:t>., 1998). Las manifestaciones clínicas ocasionadas por </w:t>
      </w:r>
      <w:r>
        <w:rPr>
          <w:i/>
        </w:rPr>
        <w:t>Aeromonas </w:t>
      </w:r>
      <w:r>
        <w:rPr/>
        <w:t>spp. sugieren que pueden ser causadas por una complicada red de factores de virulencia múltiples, ya que se ha visto que la virulencia de este género depende de la cepa bacteriana, ruta de infección y del modelo animal en el que se pretenda desarrollar la lesión (Yu </w:t>
      </w:r>
      <w:r>
        <w:rPr>
          <w:i/>
        </w:rPr>
        <w:t>et al</w:t>
      </w:r>
      <w:r>
        <w:rPr/>
        <w:t>., 2005). Las </w:t>
      </w:r>
      <w:r>
        <w:rPr>
          <w:i/>
        </w:rPr>
        <w:t>Aeromonas </w:t>
      </w:r>
      <w:r>
        <w:rPr/>
        <w:t>móviles se han considerado como patógenos débiles; sin embargo la patogenia puede variar, como en el caso de </w:t>
      </w:r>
      <w:r>
        <w:rPr>
          <w:i/>
        </w:rPr>
        <w:t>A</w:t>
      </w:r>
      <w:r>
        <w:rPr/>
        <w:t>. </w:t>
      </w:r>
      <w:r>
        <w:rPr>
          <w:i/>
        </w:rPr>
        <w:t>salmonicida</w:t>
      </w:r>
      <w:r>
        <w:rPr/>
        <w:t>, que es un patógeno capaz de sobrevivir y replicarse </w:t>
      </w:r>
      <w:r>
        <w:rPr>
          <w:i/>
        </w:rPr>
        <w:t>in vitro </w:t>
      </w:r>
      <w:r>
        <w:rPr/>
        <w:t>con macrófagos (Garduño y Kay, 1992) permitiéndole evadir la respuesta inmune, así como la presencia de ciertos factores de virulencia</w:t>
      </w:r>
    </w:p>
    <w:p>
      <w:pPr>
        <w:spacing w:after="0" w:line="480" w:lineRule="auto"/>
        <w:jc w:val="both"/>
        <w:sectPr>
          <w:pgSz w:w="12240" w:h="15840"/>
          <w:pgMar w:header="0" w:footer="695" w:top="1080" w:bottom="940" w:left="1200" w:right="1200"/>
        </w:sectPr>
      </w:pPr>
    </w:p>
    <w:p>
      <w:pPr>
        <w:pStyle w:val="BodyText"/>
        <w:spacing w:line="480" w:lineRule="auto" w:before="44"/>
        <w:ind w:left="103" w:right="106"/>
        <w:jc w:val="both"/>
      </w:pPr>
      <w:r>
        <w:rPr/>
        <w:t>que juegan un rol importante en la adhesión de la bacteria a las células epiteliales del hospedero (Turska-Szewczuk </w:t>
      </w:r>
      <w:r>
        <w:rPr>
          <w:i/>
        </w:rPr>
        <w:t>et al. </w:t>
      </w:r>
      <w:r>
        <w:rPr/>
        <w:t>2011, Dallaire-Dufresne </w:t>
      </w:r>
      <w:r>
        <w:rPr>
          <w:i/>
        </w:rPr>
        <w:t>et al. </w:t>
      </w:r>
      <w:r>
        <w:rPr/>
        <w:t>2013). Otros factores como la presencia del pili tipo IV, que cumple funciones de motilidad, adherencia y colonización en el epitelio, ha demostrado ser un factor requerido para la virulencia de </w:t>
      </w:r>
      <w:r>
        <w:rPr>
          <w:i/>
        </w:rPr>
        <w:t>A. salmonicida </w:t>
      </w:r>
      <w:r>
        <w:rPr/>
        <w:t>(Tomás, 2012).</w:t>
      </w:r>
    </w:p>
    <w:p>
      <w:pPr>
        <w:pStyle w:val="BodyText"/>
        <w:spacing w:line="480" w:lineRule="auto" w:before="10"/>
        <w:ind w:left="103" w:right="99" w:firstLine="707"/>
        <w:jc w:val="both"/>
      </w:pPr>
      <w:r>
        <w:rPr/>
        <w:t>Se ha documentado que cepas de </w:t>
      </w:r>
      <w:r>
        <w:rPr>
          <w:i/>
        </w:rPr>
        <w:t>A</w:t>
      </w:r>
      <w:r>
        <w:rPr/>
        <w:t>. </w:t>
      </w:r>
      <w:r>
        <w:rPr>
          <w:i/>
        </w:rPr>
        <w:t>hydrophila </w:t>
      </w:r>
      <w:r>
        <w:rPr/>
        <w:t>aisladas de trucha arcoíris son más sensibles a los antibióticos en comparación con los aislamientos obtenidos del medio ambiente, pues éstos poseen resistencia a los antibióticos β-lactámicos, lo que sugiere que el medio ambiente puede ser un reservorio de bacterias resistentes a los antibióticos empleados para el tratamiento de casos clínicos (Saavedra </w:t>
      </w:r>
      <w:r>
        <w:rPr>
          <w:i/>
        </w:rPr>
        <w:t>et al</w:t>
      </w:r>
      <w:r>
        <w:rPr/>
        <w:t>., 2004). Además, los cambios morfológicos en la estructura de la bacteria por la prolongada supervivencia en agua de río pueden provocar la pérdida o alteración de los factores de virulencia como es la presencia de la capa S (</w:t>
      </w:r>
      <w:r>
        <w:rPr>
          <w:i/>
        </w:rPr>
        <w:t>layer-S</w:t>
      </w:r>
      <w:r>
        <w:rPr/>
        <w:t>) (Paniagua </w:t>
      </w:r>
      <w:r>
        <w:rPr>
          <w:i/>
        </w:rPr>
        <w:t>et al</w:t>
      </w:r>
      <w:r>
        <w:rPr/>
        <w:t>., 1990). El rápido desarrollo de herramientas moleculares ha permitido secuenciar completamente el genoma de 5 especies de </w:t>
      </w:r>
      <w:r>
        <w:rPr>
          <w:i/>
        </w:rPr>
        <w:t>Aeromonas, </w:t>
      </w:r>
      <w:r>
        <w:rPr/>
        <w:t>lo que es de gran utilidad debido a que permite analisar la diversidad que existe en el género en cuanto a los factores de virulencia. Se han identificado genes para la producción de polisacáridos de superficie (cápsula, LPS y glucanos), exotoxinas y enzimas extracelulares, sistemas de secreción, fimbrias y otras adhesinas no filamentosas; y flagelos (Tomás, 2012), así como de aerolisinas y nucleasas (Nam y Joh, 2007). Algunos elementos estructurales de la bacteria pueden ser empleados para el desarrollo de vacunas. Lutwyche y colaboradores (1995) demostraron que la inoculación de la porina por vía intraperitoneal ocasiono un incremento u significativo de protección en los peces desfiados. Estudios similares han demostrado el empleo de factores de virulencia para generar una respuesta inmune contra </w:t>
      </w:r>
      <w:r>
        <w:rPr>
          <w:i/>
        </w:rPr>
        <w:t>Aeromonas </w:t>
      </w:r>
      <w:r>
        <w:rPr/>
        <w:t>(Merino </w:t>
      </w:r>
      <w:r>
        <w:rPr>
          <w:i/>
        </w:rPr>
        <w:t>et al. </w:t>
      </w:r>
      <w:r>
        <w:rPr/>
        <w:t>2005, Marsden </w:t>
      </w:r>
      <w:r>
        <w:rPr>
          <w:i/>
        </w:rPr>
        <w:t>et al</w:t>
      </w:r>
      <w:r>
        <w:rPr/>
        <w:t>.</w:t>
      </w:r>
      <w:r>
        <w:rPr>
          <w:spacing w:val="-7"/>
        </w:rPr>
        <w:t> </w:t>
      </w:r>
      <w:r>
        <w:rPr/>
        <w:t>1996).</w:t>
      </w:r>
    </w:p>
    <w:p>
      <w:pPr>
        <w:spacing w:after="0" w:line="480" w:lineRule="auto"/>
        <w:jc w:val="both"/>
        <w:sectPr>
          <w:pgSz w:w="12240" w:h="15840"/>
          <w:pgMar w:header="0" w:footer="695" w:top="1080" w:bottom="940" w:left="1200" w:right="1200"/>
        </w:sectPr>
      </w:pPr>
    </w:p>
    <w:p>
      <w:pPr>
        <w:pStyle w:val="Heading1"/>
        <w:numPr>
          <w:ilvl w:val="0"/>
          <w:numId w:val="6"/>
        </w:numPr>
        <w:tabs>
          <w:tab w:pos="812" w:val="left" w:leader="none"/>
        </w:tabs>
        <w:spacing w:line="240" w:lineRule="auto" w:before="49" w:after="0"/>
        <w:ind w:left="811" w:right="0" w:hanging="348"/>
        <w:jc w:val="left"/>
      </w:pPr>
      <w:r>
        <w:rPr/>
        <w:t>EPIDEMIOLOGÍA</w:t>
      </w:r>
    </w:p>
    <w:p>
      <w:pPr>
        <w:pStyle w:val="BodyText"/>
        <w:rPr>
          <w:b/>
        </w:rPr>
      </w:pPr>
    </w:p>
    <w:p>
      <w:pPr>
        <w:pStyle w:val="BodyText"/>
        <w:rPr>
          <w:b/>
        </w:rPr>
      </w:pPr>
    </w:p>
    <w:p>
      <w:pPr>
        <w:pStyle w:val="BodyText"/>
        <w:rPr>
          <w:b/>
        </w:rPr>
      </w:pPr>
    </w:p>
    <w:p>
      <w:pPr>
        <w:pStyle w:val="ListParagraph"/>
        <w:numPr>
          <w:ilvl w:val="1"/>
          <w:numId w:val="6"/>
        </w:numPr>
        <w:tabs>
          <w:tab w:pos="1184" w:val="left" w:leader="none"/>
        </w:tabs>
        <w:spacing w:line="240" w:lineRule="auto" w:before="0" w:after="0"/>
        <w:ind w:left="1183" w:right="0" w:hanging="360"/>
        <w:jc w:val="left"/>
        <w:rPr>
          <w:b/>
          <w:sz w:val="24"/>
        </w:rPr>
      </w:pPr>
      <w:r>
        <w:rPr>
          <w:b/>
          <w:sz w:val="24"/>
        </w:rPr>
        <w:t>Ecología y rango de</w:t>
      </w:r>
      <w:r>
        <w:rPr>
          <w:b/>
          <w:spacing w:val="-10"/>
          <w:sz w:val="24"/>
        </w:rPr>
        <w:t> </w:t>
      </w:r>
      <w:r>
        <w:rPr>
          <w:b/>
          <w:sz w:val="24"/>
        </w:rPr>
        <w:t>hospedadores</w:t>
      </w:r>
    </w:p>
    <w:p>
      <w:pPr>
        <w:pStyle w:val="BodyText"/>
        <w:rPr>
          <w:b/>
        </w:rPr>
      </w:pPr>
    </w:p>
    <w:p>
      <w:pPr>
        <w:pStyle w:val="BodyText"/>
        <w:spacing w:line="480" w:lineRule="auto" w:before="156"/>
        <w:ind w:left="103" w:right="99" w:firstLine="707"/>
        <w:jc w:val="both"/>
      </w:pPr>
      <w:r>
        <w:rPr/>
        <w:t>La distribución del género incluye cuerpos de agua limpia y contaminada, así como sistemas marinos sin extrema salinidad y lodazales, además de formar parte de la flora intestinal de peces sanos (Austin y Austin, 2007). Estos microorganismos cuentan con una amplia variedad de hospederos que incluyen diferentes especies poiquilotermas: tilapia (</w:t>
      </w:r>
      <w:r>
        <w:rPr>
          <w:i/>
        </w:rPr>
        <w:t>Oreochromis sp Orinoquia</w:t>
      </w:r>
      <w:r>
        <w:rPr/>
        <w:t>) (Vásquez-Piñeros </w:t>
      </w:r>
      <w:r>
        <w:rPr>
          <w:i/>
        </w:rPr>
        <w:t>et al</w:t>
      </w:r>
      <w:r>
        <w:rPr/>
        <w:t>., 2010), carpa común (</w:t>
      </w:r>
      <w:r>
        <w:rPr>
          <w:i/>
        </w:rPr>
        <w:t>Cyprinus carpio</w:t>
      </w:r>
      <w:r>
        <w:rPr/>
        <w:t>) (Kozińska </w:t>
      </w:r>
      <w:r>
        <w:rPr>
          <w:i/>
        </w:rPr>
        <w:t>et al</w:t>
      </w:r>
      <w:r>
        <w:rPr/>
        <w:t>., 2002), bagre (</w:t>
      </w:r>
      <w:r>
        <w:rPr>
          <w:i/>
        </w:rPr>
        <w:t>Ictalurus punctatus</w:t>
      </w:r>
      <w:r>
        <w:rPr/>
        <w:t>) (Nawaz </w:t>
      </w:r>
      <w:r>
        <w:rPr>
          <w:i/>
        </w:rPr>
        <w:t>et al</w:t>
      </w:r>
      <w:r>
        <w:rPr/>
        <w:t>., 2006), anguila común (</w:t>
      </w:r>
      <w:r>
        <w:rPr>
          <w:i/>
        </w:rPr>
        <w:t>Anguilla anguilla</w:t>
      </w:r>
      <w:r>
        <w:rPr/>
        <w:t>) (Austin </w:t>
      </w:r>
      <w:r>
        <w:rPr>
          <w:i/>
        </w:rPr>
        <w:t>et al</w:t>
      </w:r>
      <w:r>
        <w:rPr/>
        <w:t>., 1998), pez dorado (</w:t>
      </w:r>
      <w:r>
        <w:rPr>
          <w:i/>
        </w:rPr>
        <w:t>Carassius auratus</w:t>
      </w:r>
      <w:r>
        <w:rPr/>
        <w:t>) (Rahman </w:t>
      </w:r>
      <w:r>
        <w:rPr>
          <w:i/>
        </w:rPr>
        <w:t>et al</w:t>
      </w:r>
      <w:r>
        <w:rPr/>
        <w:t>., 2001), carpa Koi (</w:t>
      </w:r>
      <w:r>
        <w:rPr>
          <w:i/>
        </w:rPr>
        <w:t>Cyprinus carpio koi</w:t>
      </w:r>
      <w:r>
        <w:rPr/>
        <w:t>) (Cízek et al. 2010), lenguado (</w:t>
      </w:r>
      <w:r>
        <w:rPr>
          <w:i/>
        </w:rPr>
        <w:t>Solea solea</w:t>
      </w:r>
      <w:r>
        <w:rPr/>
        <w:t>) (Pérez et al. 1996), salmón atlántico (</w:t>
      </w:r>
      <w:r>
        <w:rPr>
          <w:i/>
        </w:rPr>
        <w:t>Salmo salar</w:t>
      </w:r>
      <w:r>
        <w:rPr/>
        <w:t>) (Holten-Andersen </w:t>
      </w:r>
      <w:r>
        <w:rPr>
          <w:i/>
        </w:rPr>
        <w:t>et al</w:t>
      </w:r>
      <w:r>
        <w:rPr/>
        <w:t>., 2012), trucha arcoíris (Fuentes y Pérez, 1998), pez roca negro (</w:t>
      </w:r>
      <w:r>
        <w:rPr>
          <w:i/>
        </w:rPr>
        <w:t>Sebastes schlegeli</w:t>
      </w:r>
      <w:r>
        <w:rPr/>
        <w:t>) (Han </w:t>
      </w:r>
      <w:r>
        <w:rPr>
          <w:i/>
        </w:rPr>
        <w:t>et  </w:t>
      </w:r>
      <w:r>
        <w:rPr>
          <w:i/>
        </w:rPr>
        <w:t>al</w:t>
      </w:r>
      <w:r>
        <w:rPr/>
        <w:t>., 2001), cocodrilos (</w:t>
      </w:r>
      <w:r>
        <w:rPr>
          <w:i/>
        </w:rPr>
        <w:t>Crocodylus niloticus</w:t>
      </w:r>
      <w:r>
        <w:rPr/>
        <w:t>) (Turutoglu </w:t>
      </w:r>
      <w:r>
        <w:rPr>
          <w:i/>
        </w:rPr>
        <w:t>et al</w:t>
      </w:r>
      <w:r>
        <w:rPr/>
        <w:t>., 2005), rana (</w:t>
      </w:r>
      <w:r>
        <w:rPr>
          <w:i/>
        </w:rPr>
        <w:t>Rana tigerina </w:t>
      </w:r>
      <w:r>
        <w:rPr/>
        <w:t>y </w:t>
      </w:r>
      <w:r>
        <w:rPr>
          <w:i/>
        </w:rPr>
        <w:t>R</w:t>
      </w:r>
      <w:r>
        <w:rPr/>
        <w:t>. </w:t>
      </w:r>
      <w:r>
        <w:rPr>
          <w:i/>
        </w:rPr>
        <w:t>rugulosa</w:t>
      </w:r>
      <w:r>
        <w:rPr/>
        <w:t>) (Pearson </w:t>
      </w:r>
      <w:r>
        <w:rPr>
          <w:i/>
        </w:rPr>
        <w:t>et al</w:t>
      </w:r>
      <w:r>
        <w:rPr/>
        <w:t>., 2000); y en el mamífero lobo marino (</w:t>
      </w:r>
      <w:r>
        <w:rPr>
          <w:i/>
        </w:rPr>
        <w:t>Otaria flavescens</w:t>
      </w:r>
      <w:r>
        <w:rPr/>
        <w:t>) (González </w:t>
      </w:r>
      <w:r>
        <w:rPr>
          <w:i/>
        </w:rPr>
        <w:t>et al</w:t>
      </w:r>
      <w:r>
        <w:rPr/>
        <w:t>., 2009); especies terrestres como: cerdo, pollos, perros, gatos y humanos (Paniagua </w:t>
      </w:r>
      <w:r>
        <w:rPr>
          <w:i/>
        </w:rPr>
        <w:t>et al</w:t>
      </w:r>
      <w:r>
        <w:rPr/>
        <w:t>., 1990); incluso ha sido aislado de alimentos como pescado congelado (Castro-Escarpulli </w:t>
      </w:r>
      <w:r>
        <w:rPr>
          <w:i/>
        </w:rPr>
        <w:t>et al</w:t>
      </w:r>
      <w:r>
        <w:rPr/>
        <w:t>., 2003), verduras, leche, carne de bovino y embutidos (Janda y Abbott, 2010). La importancia de este microorganismo en la salud pública radica en su poder zoonótico. En humanos producen diarrea (Guevara </w:t>
      </w:r>
      <w:r>
        <w:rPr>
          <w:i/>
        </w:rPr>
        <w:t>et al</w:t>
      </w:r>
      <w:r>
        <w:rPr/>
        <w:t>., 2002), infecciones cutáneas (Meik </w:t>
      </w:r>
      <w:r>
        <w:rPr>
          <w:i/>
        </w:rPr>
        <w:t>et al</w:t>
      </w:r>
      <w:r>
        <w:rPr/>
        <w:t>., 2011), infecciones oculares (presencia de úlceras en la córnea) (Puri et al. 2003), bacteremia (Chih-Cheng </w:t>
      </w:r>
      <w:r>
        <w:rPr>
          <w:i/>
        </w:rPr>
        <w:t>et al</w:t>
      </w:r>
      <w:r>
        <w:rPr/>
        <w:t>., 2007), mortalidad de pacientes inmunocomprometidos (Yang </w:t>
      </w:r>
      <w:r>
        <w:rPr>
          <w:i/>
        </w:rPr>
        <w:t>et al</w:t>
      </w:r>
      <w:r>
        <w:rPr/>
        <w:t>., 2008), artritis, entre otras (Isoken </w:t>
      </w:r>
      <w:r>
        <w:rPr>
          <w:i/>
        </w:rPr>
        <w:t>et al</w:t>
      </w:r>
      <w:r>
        <w:rPr/>
        <w:t>.,</w:t>
      </w:r>
      <w:r>
        <w:rPr>
          <w:spacing w:val="-11"/>
        </w:rPr>
        <w:t> </w:t>
      </w:r>
      <w:r>
        <w:rPr/>
        <w:t>2012).</w:t>
      </w:r>
    </w:p>
    <w:p>
      <w:pPr>
        <w:spacing w:after="0" w:line="480" w:lineRule="auto"/>
        <w:jc w:val="both"/>
        <w:sectPr>
          <w:pgSz w:w="12240" w:h="15840"/>
          <w:pgMar w:header="0" w:footer="695" w:top="1080" w:bottom="940" w:left="1200" w:right="1200"/>
        </w:sectPr>
      </w:pPr>
    </w:p>
    <w:p>
      <w:pPr>
        <w:pStyle w:val="BodyText"/>
        <w:spacing w:before="9"/>
        <w:rPr>
          <w:sz w:val="9"/>
        </w:rPr>
      </w:pPr>
    </w:p>
    <w:p>
      <w:pPr>
        <w:pStyle w:val="Heading1"/>
        <w:numPr>
          <w:ilvl w:val="1"/>
          <w:numId w:val="6"/>
        </w:numPr>
        <w:tabs>
          <w:tab w:pos="1184" w:val="left" w:leader="none"/>
        </w:tabs>
        <w:spacing w:line="240" w:lineRule="auto" w:before="69" w:after="0"/>
        <w:ind w:left="1183" w:right="0" w:hanging="360"/>
        <w:jc w:val="left"/>
      </w:pPr>
      <w:r>
        <w:rPr/>
        <w:t>Transmisión</w:t>
      </w:r>
    </w:p>
    <w:p>
      <w:pPr>
        <w:pStyle w:val="BodyText"/>
        <w:rPr>
          <w:b/>
        </w:rPr>
      </w:pPr>
    </w:p>
    <w:p>
      <w:pPr>
        <w:pStyle w:val="BodyText"/>
        <w:spacing w:line="480" w:lineRule="auto" w:before="156"/>
        <w:ind w:left="103" w:right="100" w:firstLine="707"/>
        <w:jc w:val="both"/>
      </w:pPr>
      <w:r>
        <w:rPr/>
        <w:t>Las manifestaciones clínicas de la enfermedad pueden variar dependiendo de la edad y la especie de los peces infectados, la cepa bacteriana implicada y las condiciones ambientales (Brown, 2000). Los peces infectados con el grupo de </w:t>
      </w:r>
      <w:r>
        <w:rPr>
          <w:i/>
        </w:rPr>
        <w:t>Aeromonas </w:t>
      </w:r>
      <w:r>
        <w:rPr/>
        <w:t>móviles, generalmente muestran cuadros subclínicos, clínicos y en ocasiones crónicos (John </w:t>
      </w:r>
      <w:r>
        <w:rPr>
          <w:i/>
        </w:rPr>
        <w:t>et al</w:t>
      </w:r>
      <w:r>
        <w:rPr/>
        <w:t>., 2011), mientras que el grupo no móvil, tiende a presentar cuadros subagudos caracterizados por la presencia de furúnculos en la superficie del pez infectado, en cuadros crónicos se observa la etapa final de la evolución del furúnculo, observándose una lesión dérmica caracterizada por la inflamación del músculo y piel adyacentes al sitio de lesión, en casos severos se ha observado que la lesión puede alcanzar la cavidad celómica del pez infectado (Austin y Austin, 2007). La transmisión horizontal de ambos grupos es causada por la exposición de un pez inmunocomprometido con uno infectado o por la diseminación del agente al medio ambiente, por medio de las excretas y la sobrevivencia en el material orgánico; y como ocurre en el caso de </w:t>
      </w:r>
      <w:r>
        <w:rPr>
          <w:i/>
        </w:rPr>
        <w:t>A</w:t>
      </w:r>
      <w:r>
        <w:rPr/>
        <w:t>. </w:t>
      </w:r>
      <w:r>
        <w:rPr>
          <w:i/>
        </w:rPr>
        <w:t>salmonicida</w:t>
      </w:r>
      <w:r>
        <w:rPr/>
        <w:t>, la laceración de la piel en donde se desarrolló el furúnculo contamina el medio acuático con sangre, tejido necrótico  y bacterias, siendo éste el  mayor foco de infección durante los brotes (Dallaire-Duresne </w:t>
      </w:r>
      <w:r>
        <w:rPr>
          <w:i/>
        </w:rPr>
        <w:t>et al</w:t>
      </w:r>
      <w:r>
        <w:rPr/>
        <w:t>.,</w:t>
      </w:r>
      <w:r>
        <w:rPr>
          <w:spacing w:val="-11"/>
        </w:rPr>
        <w:t> </w:t>
      </w:r>
      <w:r>
        <w:rPr/>
        <w:t>2013).</w:t>
      </w:r>
    </w:p>
    <w:p>
      <w:pPr>
        <w:pStyle w:val="BodyText"/>
        <w:spacing w:line="480" w:lineRule="auto" w:before="10"/>
        <w:ind w:left="103" w:right="100" w:firstLine="360"/>
        <w:jc w:val="both"/>
      </w:pPr>
      <w:r>
        <w:rPr/>
        <w:t>Sin embargo, el aislamiento del género </w:t>
      </w:r>
      <w:r>
        <w:rPr>
          <w:i/>
        </w:rPr>
        <w:t>Aeromonas </w:t>
      </w:r>
      <w:r>
        <w:rPr/>
        <w:t>a partir de branquias e intestino es común debido a la exposición al ambiente acuático (Inglis </w:t>
      </w:r>
      <w:r>
        <w:rPr>
          <w:i/>
        </w:rPr>
        <w:t>et al</w:t>
      </w:r>
      <w:r>
        <w:rPr/>
        <w:t>., 1993). En un estudio realizado por Rahman y colaboradores (2007), se mostró que la vegetación en plantas tratadoras de agua residuales puede servir como reservorio de </w:t>
      </w:r>
      <w:r>
        <w:rPr>
          <w:i/>
        </w:rPr>
        <w:t>Aeromonas </w:t>
      </w:r>
      <w:r>
        <w:rPr/>
        <w:t>spp., por lo que el empleo de agua reciclada para la acuicultura posee un alto grado de riesgo para la explotación de especies acuáticas así como para la salud pública.</w:t>
      </w:r>
    </w:p>
    <w:p>
      <w:pPr>
        <w:spacing w:after="0" w:line="480" w:lineRule="auto"/>
        <w:jc w:val="both"/>
        <w:sectPr>
          <w:pgSz w:w="12240" w:h="15840"/>
          <w:pgMar w:header="0" w:footer="695" w:top="1500" w:bottom="940" w:left="1200" w:right="1200"/>
        </w:sectPr>
      </w:pPr>
    </w:p>
    <w:p>
      <w:pPr>
        <w:pStyle w:val="BodyText"/>
        <w:spacing w:before="9"/>
        <w:rPr>
          <w:sz w:val="9"/>
        </w:rPr>
      </w:pPr>
    </w:p>
    <w:p>
      <w:pPr>
        <w:pStyle w:val="Heading1"/>
        <w:numPr>
          <w:ilvl w:val="0"/>
          <w:numId w:val="6"/>
        </w:numPr>
        <w:tabs>
          <w:tab w:pos="812" w:val="left" w:leader="none"/>
        </w:tabs>
        <w:spacing w:line="240" w:lineRule="auto" w:before="69" w:after="0"/>
        <w:ind w:left="811" w:right="0" w:hanging="348"/>
        <w:jc w:val="left"/>
      </w:pPr>
      <w:r>
        <w:rPr/>
        <w:t>SIGNOLOGÍA Y</w:t>
      </w:r>
      <w:r>
        <w:rPr>
          <w:spacing w:val="-7"/>
        </w:rPr>
        <w:t> </w:t>
      </w:r>
      <w:r>
        <w:rPr/>
        <w:t>PATOGENIA</w:t>
      </w:r>
    </w:p>
    <w:p>
      <w:pPr>
        <w:pStyle w:val="BodyText"/>
        <w:rPr>
          <w:b/>
        </w:rPr>
      </w:pPr>
    </w:p>
    <w:p>
      <w:pPr>
        <w:pStyle w:val="BodyText"/>
        <w:spacing w:line="480" w:lineRule="auto" w:before="156"/>
        <w:ind w:left="103" w:right="101" w:firstLine="707"/>
        <w:jc w:val="both"/>
      </w:pPr>
      <w:r>
        <w:rPr/>
        <w:t>Cabe destacar que la descripción para la signología y patogenia para el grupo de las </w:t>
      </w:r>
      <w:r>
        <w:rPr>
          <w:i/>
        </w:rPr>
        <w:t>Aeromonas </w:t>
      </w:r>
      <w:r>
        <w:rPr/>
        <w:t>móviles es ejemplificada por </w:t>
      </w:r>
      <w:r>
        <w:rPr>
          <w:i/>
        </w:rPr>
        <w:t>A</w:t>
      </w:r>
      <w:r>
        <w:rPr/>
        <w:t>. </w:t>
      </w:r>
      <w:r>
        <w:rPr>
          <w:i/>
        </w:rPr>
        <w:t>hydrophila</w:t>
      </w:r>
      <w:r>
        <w:rPr/>
        <w:t>, </w:t>
      </w:r>
      <w:r>
        <w:rPr>
          <w:spacing w:val="-3"/>
        </w:rPr>
        <w:t>ya </w:t>
      </w:r>
      <w:r>
        <w:rPr/>
        <w:t>que la descripción de la enfermedad es similar entre las especies móviles (Austin y Austin, 2007). Por ello, la infección en peces causada por este grupo es conocida de manera general como septicemia por </w:t>
      </w:r>
      <w:r>
        <w:rPr>
          <w:i/>
        </w:rPr>
        <w:t>Aeromonas </w:t>
      </w:r>
      <w:r>
        <w:rPr/>
        <w:t>móviles (Noga, 2010), la signología no es específica, los animales que son afectados presentan una morbilidad del 80% y mortalidades acumuladas aproximadas de 50% (Fuentes y Pérez, 1998). Esta se caracteriza por lesiones en la dermis con características morfológicas diferentes (úlceras, erosiones y hemorragias), de localización (focal y multifocal) que pueden encontrarse en las zonas (craneal, caudal, dorsal, ventral y lateral); asimismo como de profundidad (afección a la epidermis, músculo  o hasta cavidad abdominal), así como la presencia lesiones en aletas dorsales, caudales, ventral, pectorales y anal (Noga, 2010, Inglis </w:t>
      </w:r>
      <w:r>
        <w:rPr>
          <w:i/>
        </w:rPr>
        <w:t>et al</w:t>
      </w:r>
      <w:r>
        <w:rPr/>
        <w:t>., 1993). Las hemorragias causadas por las hemolisinas pueden ocasionar procesos septicémicos, los hallazgos macroscópicos identificados en los peces incluyen: exoftalmia, ulceración ocular, hidropesía con presencia de fluido sanguinolento, confiriendo al abdomen la forma de tabla escalonada (Cipriano, 2001), anorexia, oscurecimiento generalizado de la piel, prolapso rectal (Noga, 2010), presencia de petequias, necrosis y/o putrefacción de las aletas dorsales y caudales, sin presentar necesariamente lesiones en la piel (Nam y Joh, 2007); presencia de necrosis y hemorragia en la base de las aletas (Saavedra </w:t>
      </w:r>
      <w:r>
        <w:rPr>
          <w:i/>
        </w:rPr>
        <w:t>et al</w:t>
      </w:r>
      <w:r>
        <w:rPr/>
        <w:t>.,</w:t>
      </w:r>
      <w:r>
        <w:rPr>
          <w:spacing w:val="-11"/>
        </w:rPr>
        <w:t> </w:t>
      </w:r>
      <w:r>
        <w:rPr/>
        <w:t>2004).</w:t>
      </w:r>
    </w:p>
    <w:p>
      <w:pPr>
        <w:pStyle w:val="BodyText"/>
        <w:spacing w:line="480" w:lineRule="auto" w:before="11"/>
        <w:ind w:left="103" w:right="100" w:firstLine="707"/>
        <w:jc w:val="both"/>
      </w:pPr>
      <w:r>
        <w:rPr/>
        <w:t>Para el caso de </w:t>
      </w:r>
      <w:r>
        <w:rPr>
          <w:i/>
        </w:rPr>
        <w:t>A</w:t>
      </w:r>
      <w:r>
        <w:rPr/>
        <w:t>. </w:t>
      </w:r>
      <w:r>
        <w:rPr>
          <w:i/>
        </w:rPr>
        <w:t>salmonicida, </w:t>
      </w:r>
      <w:r>
        <w:rPr/>
        <w:t>que es el agente etiológico de la enfermedad conocida como furunculosis y es considerado un agente patógeno primario, se ha aislado de una amplia variedad de salmónidos y no salmónidos (Wiklund </w:t>
      </w:r>
      <w:r>
        <w:rPr>
          <w:i/>
        </w:rPr>
        <w:t>et al</w:t>
      </w:r>
      <w:r>
        <w:rPr/>
        <w:t>., 1998). Este agente es introducido a las granjas usualmente  por  animales  sanos  o  animales  recuperados  de  la  enfermedad,  que  fungen   como</w:t>
      </w:r>
    </w:p>
    <w:p>
      <w:pPr>
        <w:spacing w:after="0" w:line="480" w:lineRule="auto"/>
        <w:jc w:val="both"/>
        <w:sectPr>
          <w:pgSz w:w="12240" w:h="15840"/>
          <w:pgMar w:header="0" w:footer="695" w:top="1500" w:bottom="940" w:left="1200" w:right="1200"/>
        </w:sectPr>
      </w:pPr>
    </w:p>
    <w:p>
      <w:pPr>
        <w:pStyle w:val="BodyText"/>
        <w:spacing w:line="480" w:lineRule="auto" w:before="44"/>
        <w:ind w:left="103" w:right="99"/>
        <w:jc w:val="both"/>
      </w:pPr>
      <w:r>
        <w:rPr/>
        <w:t>reservorios, liberando el agente al medio y predisponiendo a la población susceptible a un brote (Allejo y Ellis, 1989). La tasa de morbilidad en peces estresados representa el 90% (John </w:t>
      </w:r>
      <w:r>
        <w:rPr>
          <w:i/>
        </w:rPr>
        <w:t>et al</w:t>
      </w:r>
      <w:r>
        <w:rPr/>
        <w:t>., 2011), mientras que la mortalidad en peces infectados puede provocar mortalidades que oscilan de 0 a 100% (Kozińska, 2007). Por ello, este agente patógeno debe ser considerado como uno de los primeros sospechosos que provocan pérdidas económicas en granjas de peces (Kozińska </w:t>
      </w:r>
      <w:r>
        <w:rPr>
          <w:i/>
        </w:rPr>
        <w:t>et al</w:t>
      </w:r>
      <w:r>
        <w:rPr/>
        <w:t>., 2002; Kırkan </w:t>
      </w:r>
      <w:r>
        <w:rPr>
          <w:i/>
        </w:rPr>
        <w:t>et al</w:t>
      </w:r>
      <w:r>
        <w:rPr/>
        <w:t>., 2003). Los brotes de enfermedad tienen un impacto económico negativo para la acuacultura (Turska-Szewczuk </w:t>
      </w:r>
      <w:r>
        <w:rPr>
          <w:i/>
        </w:rPr>
        <w:t>et al</w:t>
      </w:r>
      <w:r>
        <w:rPr/>
        <w:t>.,</w:t>
      </w:r>
      <w:r>
        <w:rPr>
          <w:spacing w:val="-5"/>
        </w:rPr>
        <w:t> </w:t>
      </w:r>
      <w:r>
        <w:rPr/>
        <w:t>2011).</w:t>
      </w:r>
    </w:p>
    <w:p>
      <w:pPr>
        <w:pStyle w:val="BodyText"/>
        <w:spacing w:line="480" w:lineRule="auto" w:before="11"/>
        <w:ind w:left="103" w:right="99" w:firstLine="707"/>
        <w:jc w:val="both"/>
      </w:pPr>
      <w:r>
        <w:rPr>
          <w:i/>
        </w:rPr>
        <w:t>A</w:t>
      </w:r>
      <w:r>
        <w:rPr/>
        <w:t>. </w:t>
      </w:r>
      <w:r>
        <w:rPr>
          <w:i/>
        </w:rPr>
        <w:t>salmonicida </w:t>
      </w:r>
      <w:r>
        <w:rPr/>
        <w:t>puede sobrevivir afuera del hospedero, dependiendo de las condiciones presentes en el agua (Hiney </w:t>
      </w:r>
      <w:r>
        <w:rPr>
          <w:i/>
        </w:rPr>
        <w:t>et al</w:t>
      </w:r>
      <w:r>
        <w:rPr/>
        <w:t>., 1997). Todas las edades son susceptibles a presentar la enfermedad, aunque los peces jóvenes son afectados en menor frecuencia, pero cuando son afectados saltan fuera del estanque, la piel puede presentar un oscurecimiento fuera de lo normal y mueren (Austin y Austin, 2007). Sin embargo, los animales enfermos pueden llegar a recuperarse, incluso cuando la lesión se localiza en músculo esquelético (Hiney </w:t>
      </w:r>
      <w:r>
        <w:rPr>
          <w:i/>
        </w:rPr>
        <w:t>et al</w:t>
      </w:r>
      <w:r>
        <w:rPr/>
        <w:t>., 1997). Los signos clínicos de la enfermedad dependen del tiempo y curso de la infección, los casos hiperagudos se presentan generalmente en crías de salmónidos que presentan muerte súbita (Noga, 2010). En animales de mayor edad el desarrollo clínico patológico agudo, se presenta con una septicemia hemorrágica que puede generarse sin la presentación de lesiones forunculosas en la piel. En casos donde el furúnculo logra desarrollarse, la ulceración y erosión de éste permite la secreción de fluido sanguinolento en  el agua diseminando el patógeno (Inglis </w:t>
      </w:r>
      <w:r>
        <w:rPr>
          <w:i/>
        </w:rPr>
        <w:t>et al</w:t>
      </w:r>
      <w:r>
        <w:rPr/>
        <w:t>.,</w:t>
      </w:r>
      <w:r>
        <w:rPr>
          <w:spacing w:val="-7"/>
        </w:rPr>
        <w:t> </w:t>
      </w:r>
      <w:r>
        <w:rPr/>
        <w:t>1993).</w:t>
      </w:r>
    </w:p>
    <w:p>
      <w:pPr>
        <w:pStyle w:val="BodyText"/>
        <w:spacing w:line="480" w:lineRule="auto" w:before="11"/>
        <w:ind w:left="103" w:right="102" w:firstLine="707"/>
        <w:jc w:val="both"/>
      </w:pPr>
      <w:r>
        <w:rPr/>
        <w:t>En los casos crónicos el progreso de la infección es lento y resulta en una localización generalizada del agente en las vísceras, afectando comúnmente branquias, hígado, riñón, bazo, intestino y células epiteliales de los vasos sanguíneos (Inglis </w:t>
      </w:r>
      <w:r>
        <w:rPr>
          <w:i/>
        </w:rPr>
        <w:t>et al</w:t>
      </w:r>
      <w:r>
        <w:rPr/>
        <w:t>., 1993). También es común la presentación de letargia, inapetencia, petequias e          hinchazón en la base de las aletas, que puede</w:t>
      </w:r>
    </w:p>
    <w:p>
      <w:pPr>
        <w:spacing w:after="0" w:line="480" w:lineRule="auto"/>
        <w:jc w:val="both"/>
        <w:sectPr>
          <w:pgSz w:w="12240" w:h="15840"/>
          <w:pgMar w:header="0" w:footer="695" w:top="1080" w:bottom="940" w:left="1200" w:right="1200"/>
        </w:sectPr>
      </w:pPr>
    </w:p>
    <w:p>
      <w:pPr>
        <w:pStyle w:val="BodyText"/>
        <w:spacing w:line="480" w:lineRule="auto" w:before="44"/>
        <w:ind w:left="103" w:right="59"/>
      </w:pPr>
      <w:r>
        <w:rPr/>
        <w:t>transformarse en una úlcera severa; adicionalmente, se ha observado exoftalmia y secreción sanguinolenta en narinas (Noga, 2010; Austin y Austin, 2007).</w:t>
      </w:r>
    </w:p>
    <w:p>
      <w:pPr>
        <w:pStyle w:val="BodyText"/>
      </w:pPr>
    </w:p>
    <w:p>
      <w:pPr>
        <w:pStyle w:val="BodyText"/>
        <w:spacing w:before="3"/>
        <w:rPr>
          <w:sz w:val="25"/>
        </w:rPr>
      </w:pPr>
    </w:p>
    <w:p>
      <w:pPr>
        <w:pStyle w:val="Heading1"/>
        <w:numPr>
          <w:ilvl w:val="0"/>
          <w:numId w:val="7"/>
        </w:numPr>
        <w:tabs>
          <w:tab w:pos="812" w:val="left" w:leader="none"/>
        </w:tabs>
        <w:spacing w:line="240" w:lineRule="auto" w:before="0" w:after="0"/>
        <w:ind w:left="811" w:right="0" w:hanging="348"/>
        <w:jc w:val="left"/>
      </w:pPr>
      <w:r>
        <w:rPr/>
        <w:t>Lesiones</w:t>
      </w:r>
      <w:r>
        <w:rPr>
          <w:spacing w:val="-6"/>
        </w:rPr>
        <w:t> </w:t>
      </w:r>
      <w:r>
        <w:rPr/>
        <w:t>macroscópicas</w:t>
      </w:r>
    </w:p>
    <w:p>
      <w:pPr>
        <w:pStyle w:val="BodyText"/>
        <w:rPr>
          <w:b/>
        </w:rPr>
      </w:pPr>
    </w:p>
    <w:p>
      <w:pPr>
        <w:pStyle w:val="BodyText"/>
        <w:spacing w:line="480" w:lineRule="auto" w:before="156"/>
        <w:ind w:left="103" w:right="101" w:firstLine="707"/>
        <w:jc w:val="both"/>
      </w:pPr>
      <w:r>
        <w:rPr/>
        <w:t>Para el caso de las </w:t>
      </w:r>
      <w:r>
        <w:rPr>
          <w:i/>
        </w:rPr>
        <w:t>Aeromonas </w:t>
      </w:r>
      <w:r>
        <w:rPr/>
        <w:t>móviles, en la necropsia se han observado branquias hemorrágicas, congestión en órganos internos; de manera similar el riñón puede presentar hemorragias (Fuentes y Pérez ,1998); bazo y riñón pueden encontrarse tumefactos, originando la salida de líquido; además se han observado petequias en vísceras abdominales e hinchazón del intestino (Inglis </w:t>
      </w:r>
      <w:r>
        <w:rPr>
          <w:i/>
        </w:rPr>
        <w:t>et al</w:t>
      </w:r>
      <w:r>
        <w:rPr/>
        <w:t>., 1993). En la infección experimental con </w:t>
      </w:r>
      <w:r>
        <w:rPr>
          <w:i/>
        </w:rPr>
        <w:t>A</w:t>
      </w:r>
      <w:r>
        <w:rPr/>
        <w:t>. </w:t>
      </w:r>
      <w:r>
        <w:rPr>
          <w:i/>
        </w:rPr>
        <w:t>hydrophila </w:t>
      </w:r>
      <w:r>
        <w:rPr/>
        <w:t>biovariedad </w:t>
      </w:r>
      <w:r>
        <w:rPr>
          <w:i/>
        </w:rPr>
        <w:t>dhakensis </w:t>
      </w:r>
      <w:r>
        <w:rPr/>
        <w:t>(actualmente </w:t>
      </w:r>
      <w:r>
        <w:rPr>
          <w:i/>
        </w:rPr>
        <w:t>A</w:t>
      </w:r>
      <w:r>
        <w:rPr/>
        <w:t>. </w:t>
      </w:r>
      <w:r>
        <w:rPr>
          <w:i/>
        </w:rPr>
        <w:t>dhakensis</w:t>
      </w:r>
      <w:r>
        <w:rPr/>
        <w:t>), inoculada por vía intramuscular (IM) en trucha arcoíris, se observó septicemia hemorrágica generalizada con presencia de lesiones tipo furunculosas alrededor del sitio de inyección, así como lesiones hemorrágicas en cabeza, ojos y branquias (Kozińska </w:t>
      </w:r>
      <w:r>
        <w:rPr>
          <w:i/>
        </w:rPr>
        <w:t>et al</w:t>
      </w:r>
      <w:r>
        <w:rPr/>
        <w:t>., 2007).</w:t>
      </w:r>
    </w:p>
    <w:p>
      <w:pPr>
        <w:pStyle w:val="BodyText"/>
        <w:spacing w:line="480" w:lineRule="auto" w:before="10"/>
        <w:ind w:left="103" w:right="101" w:firstLine="707"/>
        <w:jc w:val="both"/>
      </w:pPr>
      <w:r>
        <w:rPr/>
        <w:t>En peces infectados con </w:t>
      </w:r>
      <w:r>
        <w:rPr>
          <w:i/>
        </w:rPr>
        <w:t>A</w:t>
      </w:r>
      <w:r>
        <w:rPr/>
        <w:t>. </w:t>
      </w:r>
      <w:r>
        <w:rPr>
          <w:i/>
        </w:rPr>
        <w:t>salmonicida </w:t>
      </w:r>
      <w:r>
        <w:rPr/>
        <w:t>se observa la presencia de hemorragias en la base de las aletas y en las branquias, además de la presencia de úlceras (Kinkelin </w:t>
      </w:r>
      <w:r>
        <w:rPr>
          <w:i/>
        </w:rPr>
        <w:t>et al</w:t>
      </w:r>
      <w:r>
        <w:rPr/>
        <w:t>., 1991). La presentación crónica de la enfermedad se observa generalmente en peces de mayor edad y la presentación cutánea se hace evidente por la presencia de furúnculos, que dependiendo de la severidad de la infección puede extenderse hasta cavidad abdominal, provocando una infección sistémica (Noga, 2010). En intestino se han observado lesiones hemorrágicas y necróticas, los animales por lo general dejan de comer y el contenido del intestino está constituido por moco y sangre (Mulder </w:t>
      </w:r>
      <w:r>
        <w:rPr>
          <w:i/>
        </w:rPr>
        <w:t>et al</w:t>
      </w:r>
      <w:r>
        <w:rPr/>
        <w:t>., 2007). En corazón, se ha observado infiltración de fluido en pericardio, además de una coloración rojo cereza del bazo y color gris en hígado (Inglis </w:t>
      </w:r>
      <w:r>
        <w:rPr>
          <w:i/>
        </w:rPr>
        <w:t>et al</w:t>
      </w:r>
      <w:r>
        <w:rPr/>
        <w:t>., 1993).</w:t>
      </w:r>
    </w:p>
    <w:p>
      <w:pPr>
        <w:spacing w:after="0" w:line="480" w:lineRule="auto"/>
        <w:jc w:val="both"/>
        <w:sectPr>
          <w:pgSz w:w="12240" w:h="15840"/>
          <w:pgMar w:header="0" w:footer="695" w:top="1080" w:bottom="940" w:left="1200" w:right="1200"/>
        </w:sectPr>
      </w:pPr>
    </w:p>
    <w:p>
      <w:pPr>
        <w:pStyle w:val="Heading1"/>
        <w:numPr>
          <w:ilvl w:val="0"/>
          <w:numId w:val="7"/>
        </w:numPr>
        <w:tabs>
          <w:tab w:pos="812" w:val="left" w:leader="none"/>
        </w:tabs>
        <w:spacing w:line="240" w:lineRule="auto" w:before="49" w:after="0"/>
        <w:ind w:left="811" w:right="0" w:hanging="348"/>
        <w:jc w:val="left"/>
      </w:pPr>
      <w:r>
        <w:rPr/>
        <w:t>Hallazgos</w:t>
      </w:r>
      <w:r>
        <w:rPr>
          <w:spacing w:val="-1"/>
        </w:rPr>
        <w:t> </w:t>
      </w:r>
      <w:r>
        <w:rPr/>
        <w:t>histológicos</w:t>
      </w:r>
    </w:p>
    <w:p>
      <w:pPr>
        <w:pStyle w:val="BodyText"/>
        <w:rPr>
          <w:b/>
        </w:rPr>
      </w:pPr>
    </w:p>
    <w:p>
      <w:pPr>
        <w:pStyle w:val="BodyText"/>
        <w:spacing w:line="480" w:lineRule="auto" w:before="156"/>
        <w:ind w:left="103" w:right="99" w:firstLine="707"/>
        <w:jc w:val="both"/>
      </w:pPr>
      <w:r>
        <w:rPr/>
        <w:t>En la histopatología de la septicemia causada por las </w:t>
      </w:r>
      <w:r>
        <w:rPr>
          <w:i/>
        </w:rPr>
        <w:t>Aeromonas </w:t>
      </w:r>
      <w:r>
        <w:rPr/>
        <w:t>móviles se observa depleción hematopoyética, necrosis de células renales y esplénicas, necrosis en el lumen y la membrana mucosa del intestino, además de observarse necrosis focal presente en tejido cardiaco, hígado, gónadas y páncreas; en encéfalo se ha observado congestión leptomeníngea (Cipriano, 2001); de manera similar en hígado se ha observado hepatitis multifocal no supurativa y colangiohepatitis (Saavedra </w:t>
      </w:r>
      <w:r>
        <w:rPr>
          <w:i/>
        </w:rPr>
        <w:t>et al</w:t>
      </w:r>
      <w:r>
        <w:rPr/>
        <w:t>., 2004). En la dermis se ha observado edema severo, hiperemia del estrato reticular, ulceración y necrosis hemorrágica, que puede extenderse hasta músculo  esquelético en casos severos (Rey </w:t>
      </w:r>
      <w:r>
        <w:rPr>
          <w:i/>
        </w:rPr>
        <w:t>et al</w:t>
      </w:r>
      <w:r>
        <w:rPr/>
        <w:t>., 2009). En piel y músculo se ha observado dermatitis y miositis aguda-crónica, con presencia de infiltrado inflamatorio conformado por neutrófilos, principalmente (Saavedra </w:t>
      </w:r>
      <w:r>
        <w:rPr>
          <w:i/>
        </w:rPr>
        <w:t>et al</w:t>
      </w:r>
      <w:r>
        <w:rPr/>
        <w:t>., 2004). En ojos se ha observado trombosis e inflamación en la región periesclerótica así como en el epitelio corneal. En casos donde los peces se recuperan de la infección, la presencia de úlceras en la dermis es seguida de la regeneración del tejido y la eliminación del patógeno (Fuentes y Pérez,</w:t>
      </w:r>
      <w:r>
        <w:rPr>
          <w:spacing w:val="-8"/>
        </w:rPr>
        <w:t> </w:t>
      </w:r>
      <w:r>
        <w:rPr/>
        <w:t>1998).</w:t>
      </w:r>
    </w:p>
    <w:p>
      <w:pPr>
        <w:pStyle w:val="BodyText"/>
        <w:spacing w:line="480" w:lineRule="auto" w:before="10"/>
        <w:ind w:left="103" w:right="100" w:firstLine="707"/>
        <w:jc w:val="both"/>
      </w:pPr>
      <w:r>
        <w:rPr/>
        <w:t>Aislamientos obtenidos de truchas arcoíris clínicamente sanas, de diferentes especies de </w:t>
      </w:r>
      <w:r>
        <w:rPr>
          <w:i/>
        </w:rPr>
        <w:t>Aeromonas </w:t>
      </w:r>
      <w:r>
        <w:rPr/>
        <w:t>(</w:t>
      </w:r>
      <w:r>
        <w:rPr>
          <w:i/>
        </w:rPr>
        <w:t>A</w:t>
      </w:r>
      <w:r>
        <w:rPr/>
        <w:t>. </w:t>
      </w:r>
      <w:r>
        <w:rPr>
          <w:i/>
        </w:rPr>
        <w:t>bestiarum </w:t>
      </w:r>
      <w:r>
        <w:rPr/>
        <w:t>y </w:t>
      </w:r>
      <w:r>
        <w:rPr>
          <w:i/>
        </w:rPr>
        <w:t>A</w:t>
      </w:r>
      <w:r>
        <w:rPr/>
        <w:t>. </w:t>
      </w:r>
      <w:r>
        <w:rPr>
          <w:i/>
        </w:rPr>
        <w:t>veronii</w:t>
      </w:r>
      <w:r>
        <w:rPr/>
        <w:t>) empleadas para desafiar truchas sanas, son capaces de provocar mortalidad y signología, manifestadas en diferentes niveles de virulencia en donde las lesiones se manifestaron por úlceras y necrosis en casos crónicos y subagudos, distensión abdominal, anemia y hemorragias en tejidos internos (Kozińska, 2007). Otras diferentes rutas de infección experimental incluyen la inoculación intraperitoneal (IP) con aislamientos de </w:t>
      </w:r>
      <w:r>
        <w:rPr>
          <w:i/>
        </w:rPr>
        <w:t>A</w:t>
      </w:r>
      <w:r>
        <w:rPr/>
        <w:t>. </w:t>
      </w:r>
      <w:r>
        <w:rPr>
          <w:i/>
        </w:rPr>
        <w:t>hydrophila </w:t>
      </w:r>
      <w:r>
        <w:rPr/>
        <w:t>obtenidos de sedimentos de agua de río, las cuales provocaron lesiones hemorrágicas en la pared abdominal interna, palidez en hígado y ascitis (Paniagua </w:t>
      </w:r>
      <w:r>
        <w:rPr>
          <w:i/>
        </w:rPr>
        <w:t>et al</w:t>
      </w:r>
      <w:r>
        <w:rPr/>
        <w:t>., 1990). De manera similar, un estudio realizado por Nya y Austin (2010) en donde se inyectaron por vía IP lipopolisacáridos</w:t>
      </w:r>
    </w:p>
    <w:p>
      <w:pPr>
        <w:spacing w:after="0" w:line="480" w:lineRule="auto"/>
        <w:jc w:val="both"/>
        <w:sectPr>
          <w:pgSz w:w="12240" w:h="15840"/>
          <w:pgMar w:header="0" w:footer="695" w:top="1080" w:bottom="940" w:left="1200" w:right="1200"/>
        </w:sectPr>
      </w:pPr>
    </w:p>
    <w:p>
      <w:pPr>
        <w:pStyle w:val="BodyText"/>
        <w:spacing w:line="480" w:lineRule="auto" w:before="44"/>
        <w:ind w:left="103" w:right="117"/>
        <w:jc w:val="both"/>
      </w:pPr>
      <w:r>
        <w:rPr/>
        <w:t>(LPS) obtenidos de un aislamiento de </w:t>
      </w:r>
      <w:r>
        <w:rPr>
          <w:i/>
        </w:rPr>
        <w:t>A</w:t>
      </w:r>
      <w:r>
        <w:rPr/>
        <w:t>. </w:t>
      </w:r>
      <w:r>
        <w:rPr>
          <w:i/>
        </w:rPr>
        <w:t>hydrophila </w:t>
      </w:r>
      <w:r>
        <w:rPr/>
        <w:t>de un barramundi (</w:t>
      </w:r>
      <w:r>
        <w:rPr>
          <w:i/>
        </w:rPr>
        <w:t>Lates calcarifer</w:t>
      </w:r>
      <w:r>
        <w:rPr/>
        <w:t>) para desafiar a truchas arcoíris, no provocaron signología durante el periodo de infección; sin embargo, se presentó una mortalidad del 45%, observada en la mitad del periodo del experimento y un incremento en las células inmunológicas.</w:t>
      </w:r>
    </w:p>
    <w:p>
      <w:pPr>
        <w:pStyle w:val="BodyText"/>
        <w:spacing w:line="480" w:lineRule="auto" w:before="10"/>
        <w:ind w:left="103" w:right="121" w:firstLine="707"/>
        <w:jc w:val="both"/>
      </w:pPr>
      <w:r>
        <w:rPr/>
        <w:t>Sin embargo, los hallazgos histopatológicos en la epidermis de peces infectados con </w:t>
      </w:r>
      <w:r>
        <w:rPr>
          <w:i/>
        </w:rPr>
        <w:t>A</w:t>
      </w:r>
      <w:r>
        <w:rPr/>
        <w:t>. </w:t>
      </w:r>
      <w:r>
        <w:rPr>
          <w:i/>
        </w:rPr>
        <w:t>salmonicida </w:t>
      </w:r>
      <w:r>
        <w:rPr/>
        <w:t>se incluye la presencia agregados basófilos (colonias bacterianas) localizados de manera focal o multifocal, con o sin presencia de infiltrados de macrófagos, así como la presencia de focos de necrosis licuefactiva al centro de las lesiones, presente de manera similar en tejido conectivo del riñón (Inglis,</w:t>
      </w:r>
      <w:r>
        <w:rPr>
          <w:spacing w:val="-5"/>
        </w:rPr>
        <w:t> </w:t>
      </w:r>
      <w:r>
        <w:rPr/>
        <w:t>1993).</w:t>
      </w:r>
    </w:p>
    <w:p>
      <w:pPr>
        <w:pStyle w:val="BodyText"/>
        <w:spacing w:line="480" w:lineRule="auto" w:before="10"/>
        <w:ind w:left="103" w:right="125" w:firstLine="707"/>
        <w:jc w:val="both"/>
      </w:pPr>
      <w:r>
        <w:rPr/>
        <w:t>En la superficie del intestino se observan petequias y en tejido cardiaco se ha observado necrosis cardiaca tóxica especialmente en los atrios, así como la localización focal de agregados basófilos y una marcada depleción linfocitaria en riñón y bazo; además de observarse la desgranulación de eosinófilos en la mucosa del intestino, que puede extenderse y presentarse en menor grado en las branquias (Hiney </w:t>
      </w:r>
      <w:r>
        <w:rPr>
          <w:i/>
        </w:rPr>
        <w:t>et al</w:t>
      </w:r>
      <w:r>
        <w:rPr/>
        <w:t>., 1997, Powell </w:t>
      </w:r>
      <w:r>
        <w:rPr>
          <w:i/>
        </w:rPr>
        <w:t>et al</w:t>
      </w:r>
      <w:r>
        <w:rPr/>
        <w:t>., 1991). Un estudio realizado por Jutfelt y colaboradores (Jutfelt </w:t>
      </w:r>
      <w:r>
        <w:rPr>
          <w:i/>
        </w:rPr>
        <w:t>et al</w:t>
      </w:r>
      <w:r>
        <w:rPr/>
        <w:t>., 2006) demostró que </w:t>
      </w:r>
      <w:r>
        <w:rPr>
          <w:i/>
        </w:rPr>
        <w:t>A</w:t>
      </w:r>
      <w:r>
        <w:rPr/>
        <w:t>. </w:t>
      </w:r>
      <w:r>
        <w:rPr>
          <w:i/>
        </w:rPr>
        <w:t>salmonicida </w:t>
      </w:r>
      <w:r>
        <w:rPr/>
        <w:t>emplea la translocación desde el epitelio intestinal a diversos órganos, siendo esta una ruta de infección eficiente en hospederos inmunodeprimidos.</w:t>
      </w:r>
    </w:p>
    <w:p>
      <w:pPr>
        <w:pStyle w:val="BodyText"/>
      </w:pPr>
    </w:p>
    <w:p>
      <w:pPr>
        <w:pStyle w:val="BodyText"/>
        <w:spacing w:before="10"/>
      </w:pPr>
    </w:p>
    <w:p>
      <w:pPr>
        <w:pStyle w:val="ListParagraph"/>
        <w:numPr>
          <w:ilvl w:val="0"/>
          <w:numId w:val="6"/>
        </w:numPr>
        <w:tabs>
          <w:tab w:pos="812" w:val="left" w:leader="none"/>
        </w:tabs>
        <w:spacing w:line="240" w:lineRule="auto" w:before="0" w:after="0"/>
        <w:ind w:left="811" w:right="0" w:hanging="348"/>
        <w:jc w:val="left"/>
        <w:rPr>
          <w:b/>
          <w:sz w:val="24"/>
        </w:rPr>
      </w:pPr>
      <w:r>
        <w:rPr>
          <w:b/>
          <w:sz w:val="24"/>
        </w:rPr>
        <w:t>PRESENCIA DE </w:t>
      </w:r>
      <w:r>
        <w:rPr>
          <w:i/>
          <w:sz w:val="24"/>
        </w:rPr>
        <w:t>Aeromonas </w:t>
      </w:r>
      <w:r>
        <w:rPr>
          <w:sz w:val="24"/>
        </w:rPr>
        <w:t>spp. </w:t>
      </w:r>
      <w:r>
        <w:rPr>
          <w:b/>
          <w:sz w:val="24"/>
        </w:rPr>
        <w:t>EN</w:t>
      </w:r>
      <w:r>
        <w:rPr>
          <w:b/>
          <w:spacing w:val="-8"/>
          <w:sz w:val="24"/>
        </w:rPr>
        <w:t> </w:t>
      </w:r>
      <w:r>
        <w:rPr>
          <w:b/>
          <w:sz w:val="24"/>
        </w:rPr>
        <w:t>MÉXICO</w:t>
      </w:r>
    </w:p>
    <w:p>
      <w:pPr>
        <w:pStyle w:val="BodyText"/>
        <w:rPr>
          <w:b/>
        </w:rPr>
      </w:pPr>
    </w:p>
    <w:p>
      <w:pPr>
        <w:spacing w:line="480" w:lineRule="auto" w:before="161"/>
        <w:ind w:left="103" w:right="119" w:firstLine="707"/>
        <w:jc w:val="both"/>
        <w:rPr>
          <w:sz w:val="24"/>
        </w:rPr>
      </w:pPr>
      <w:r>
        <w:rPr>
          <w:sz w:val="24"/>
        </w:rPr>
        <w:t>Los estudios que se han realizado en México informan el aislamiento de diferentes especies de </w:t>
      </w:r>
      <w:r>
        <w:rPr>
          <w:i/>
          <w:sz w:val="24"/>
        </w:rPr>
        <w:t>Aeromonas</w:t>
      </w:r>
      <w:r>
        <w:rPr>
          <w:sz w:val="24"/>
        </w:rPr>
        <w:t>, tal es el caso de </w:t>
      </w:r>
      <w:r>
        <w:rPr>
          <w:i/>
          <w:sz w:val="24"/>
        </w:rPr>
        <w:t>A</w:t>
      </w:r>
      <w:r>
        <w:rPr>
          <w:sz w:val="24"/>
        </w:rPr>
        <w:t>. </w:t>
      </w:r>
      <w:r>
        <w:rPr>
          <w:i/>
          <w:sz w:val="24"/>
        </w:rPr>
        <w:t>hydrophila </w:t>
      </w:r>
      <w:r>
        <w:rPr>
          <w:sz w:val="24"/>
        </w:rPr>
        <w:t>aislado de charales (</w:t>
      </w:r>
      <w:r>
        <w:rPr>
          <w:i/>
          <w:sz w:val="24"/>
        </w:rPr>
        <w:t>Chirostoma humboldtianum</w:t>
      </w:r>
      <w:r>
        <w:rPr>
          <w:sz w:val="24"/>
        </w:rPr>
        <w:t>, Valenciannes, 1835) para consumo humano (Paniagua </w:t>
      </w:r>
      <w:r>
        <w:rPr>
          <w:i/>
          <w:sz w:val="24"/>
        </w:rPr>
        <w:t>et al</w:t>
      </w:r>
      <w:r>
        <w:rPr>
          <w:sz w:val="24"/>
        </w:rPr>
        <w:t>., 2006); otras especies como </w:t>
      </w:r>
      <w:r>
        <w:rPr>
          <w:i/>
          <w:sz w:val="24"/>
        </w:rPr>
        <w:t>A</w:t>
      </w:r>
      <w:r>
        <w:rPr>
          <w:sz w:val="24"/>
        </w:rPr>
        <w:t>. </w:t>
      </w:r>
      <w:r>
        <w:rPr>
          <w:i/>
          <w:sz w:val="24"/>
        </w:rPr>
        <w:t>hydrophila</w:t>
      </w:r>
      <w:r>
        <w:rPr>
          <w:sz w:val="24"/>
        </w:rPr>
        <w:t>, </w:t>
      </w:r>
      <w:r>
        <w:rPr>
          <w:i/>
          <w:sz w:val="24"/>
        </w:rPr>
        <w:t>A</w:t>
      </w:r>
      <w:r>
        <w:rPr>
          <w:sz w:val="24"/>
        </w:rPr>
        <w:t>. </w:t>
      </w:r>
      <w:r>
        <w:rPr>
          <w:i/>
          <w:sz w:val="24"/>
        </w:rPr>
        <w:t>bestiarum</w:t>
      </w:r>
      <w:r>
        <w:rPr>
          <w:sz w:val="24"/>
        </w:rPr>
        <w:t>, </w:t>
      </w:r>
      <w:r>
        <w:rPr>
          <w:i/>
          <w:sz w:val="24"/>
        </w:rPr>
        <w:t>A</w:t>
      </w:r>
      <w:r>
        <w:rPr>
          <w:sz w:val="24"/>
        </w:rPr>
        <w:t>. </w:t>
      </w:r>
      <w:r>
        <w:rPr>
          <w:i/>
          <w:sz w:val="24"/>
        </w:rPr>
        <w:t>salmonicida</w:t>
      </w:r>
      <w:r>
        <w:rPr>
          <w:sz w:val="24"/>
        </w:rPr>
        <w:t>, </w:t>
      </w:r>
      <w:r>
        <w:rPr>
          <w:i/>
          <w:sz w:val="24"/>
        </w:rPr>
        <w:t>A</w:t>
      </w:r>
      <w:r>
        <w:rPr>
          <w:sz w:val="24"/>
        </w:rPr>
        <w:t>.  </w:t>
      </w:r>
      <w:r>
        <w:rPr>
          <w:i/>
          <w:sz w:val="24"/>
        </w:rPr>
        <w:t>veronii </w:t>
      </w:r>
      <w:r>
        <w:rPr>
          <w:sz w:val="24"/>
        </w:rPr>
        <w:t>biovariedad </w:t>
      </w:r>
      <w:r>
        <w:rPr>
          <w:i/>
          <w:sz w:val="24"/>
        </w:rPr>
        <w:t>veronii  </w:t>
      </w:r>
      <w:r>
        <w:rPr>
          <w:sz w:val="24"/>
        </w:rPr>
        <w:t>y </w:t>
      </w:r>
      <w:r>
        <w:rPr>
          <w:i/>
          <w:sz w:val="24"/>
        </w:rPr>
        <w:t>A</w:t>
      </w:r>
      <w:r>
        <w:rPr>
          <w:sz w:val="24"/>
        </w:rPr>
        <w:t>.  </w:t>
      </w:r>
      <w:r>
        <w:rPr>
          <w:i/>
          <w:sz w:val="24"/>
        </w:rPr>
        <w:t>encheleia </w:t>
      </w:r>
      <w:r>
        <w:rPr>
          <w:sz w:val="24"/>
        </w:rPr>
        <w:t>han    sido</w:t>
      </w:r>
    </w:p>
    <w:p>
      <w:pPr>
        <w:spacing w:after="0" w:line="480" w:lineRule="auto"/>
        <w:jc w:val="both"/>
        <w:rPr>
          <w:sz w:val="24"/>
        </w:rPr>
        <w:sectPr>
          <w:pgSz w:w="12240" w:h="15840"/>
          <w:pgMar w:header="0" w:footer="695" w:top="1080" w:bottom="940" w:left="1200" w:right="1180"/>
        </w:sectPr>
      </w:pPr>
    </w:p>
    <w:p>
      <w:pPr>
        <w:pStyle w:val="BodyText"/>
        <w:spacing w:line="480" w:lineRule="auto" w:before="44"/>
        <w:ind w:left="103" w:right="99"/>
        <w:jc w:val="both"/>
      </w:pPr>
      <w:r>
        <w:rPr/>
        <w:t>aisladas de tilapias (</w:t>
      </w:r>
      <w:r>
        <w:rPr>
          <w:i/>
        </w:rPr>
        <w:t>Oreochromis niloticus</w:t>
      </w:r>
      <w:r>
        <w:rPr/>
        <w:t>) congeladas en un mercado de la ciudad de México (Castro-Escarpulli </w:t>
      </w:r>
      <w:r>
        <w:rPr>
          <w:i/>
        </w:rPr>
        <w:t>et al</w:t>
      </w:r>
      <w:r>
        <w:rPr/>
        <w:t>., 2003); asimismo un reporte de un caso de una granja de trucha arcoíris localizada en el Estado de México, presentó septicemia hemorrágica con morbilidad de 80% y mortalidad de 51.2%, el aislamiento bacteriológico demostró que </w:t>
      </w:r>
      <w:r>
        <w:rPr>
          <w:i/>
        </w:rPr>
        <w:t>A</w:t>
      </w:r>
      <w:r>
        <w:rPr/>
        <w:t>. </w:t>
      </w:r>
      <w:r>
        <w:rPr>
          <w:i/>
        </w:rPr>
        <w:t>hydrophila </w:t>
      </w:r>
      <w:r>
        <w:rPr/>
        <w:t>era el agente causal (Fuentes y Pérez, 1998), un estudio patológico en trucha arcoíris y tilapia (</w:t>
      </w:r>
      <w:r>
        <w:rPr>
          <w:i/>
        </w:rPr>
        <w:t>Oreochromis aureus</w:t>
      </w:r>
      <w:r>
        <w:rPr/>
        <w:t>, L.) que presentaban cogestión marcada y la infestación de </w:t>
      </w:r>
      <w:r>
        <w:rPr>
          <w:i/>
        </w:rPr>
        <w:t>Ichthyophthirius multifiliis </w:t>
      </w:r>
      <w:r>
        <w:rPr/>
        <w:t>en branquias, reportó el aislamiento de </w:t>
      </w:r>
      <w:r>
        <w:rPr>
          <w:i/>
        </w:rPr>
        <w:t>A</w:t>
      </w:r>
      <w:r>
        <w:rPr/>
        <w:t>. </w:t>
      </w:r>
      <w:r>
        <w:rPr>
          <w:i/>
        </w:rPr>
        <w:t>hydrophila</w:t>
      </w:r>
      <w:r>
        <w:rPr/>
        <w:t>, así como de tejidos internos (hígado, riñón, bazo) (Constantino </w:t>
      </w:r>
      <w:r>
        <w:rPr>
          <w:i/>
        </w:rPr>
        <w:t>et al</w:t>
      </w:r>
      <w:r>
        <w:rPr/>
        <w:t>., 1997), el aislamiento de </w:t>
      </w:r>
      <w:r>
        <w:rPr>
          <w:i/>
        </w:rPr>
        <w:t>A</w:t>
      </w:r>
      <w:r>
        <w:rPr/>
        <w:t>. </w:t>
      </w:r>
      <w:r>
        <w:rPr>
          <w:i/>
        </w:rPr>
        <w:t>bestiarum </w:t>
      </w:r>
      <w:r>
        <w:rPr/>
        <w:t>a partir de carpa común (</w:t>
      </w:r>
      <w:r>
        <w:rPr>
          <w:i/>
        </w:rPr>
        <w:t>Cyprinus carpio </w:t>
      </w:r>
      <w:r>
        <w:rPr/>
        <w:t>L.) (Soriano-Vargas </w:t>
      </w:r>
      <w:r>
        <w:rPr>
          <w:i/>
        </w:rPr>
        <w:t>et al</w:t>
      </w:r>
      <w:r>
        <w:rPr/>
        <w:t>., 2010), asimismo se han identificado las especies de </w:t>
      </w:r>
      <w:r>
        <w:rPr>
          <w:i/>
        </w:rPr>
        <w:t>A</w:t>
      </w:r>
      <w:r>
        <w:rPr/>
        <w:t>. </w:t>
      </w:r>
      <w:r>
        <w:rPr>
          <w:i/>
        </w:rPr>
        <w:t>salmonicida</w:t>
      </w:r>
      <w:r>
        <w:rPr/>
        <w:t>, </w:t>
      </w:r>
      <w:r>
        <w:rPr>
          <w:i/>
        </w:rPr>
        <w:t>A</w:t>
      </w:r>
      <w:r>
        <w:rPr/>
        <w:t>. </w:t>
      </w:r>
      <w:r>
        <w:rPr>
          <w:i/>
        </w:rPr>
        <w:t>hydrophila </w:t>
      </w:r>
      <w:r>
        <w:rPr/>
        <w:t>y </w:t>
      </w:r>
      <w:r>
        <w:rPr>
          <w:i/>
        </w:rPr>
        <w:t>A</w:t>
      </w:r>
      <w:r>
        <w:rPr/>
        <w:t>. </w:t>
      </w:r>
      <w:r>
        <w:rPr>
          <w:i/>
        </w:rPr>
        <w:t>veronii </w:t>
      </w:r>
      <w:r>
        <w:rPr/>
        <w:t>de diferentes truchas arcoíris que presentaron lesiones en la dermis (Zepeda-Velázquez </w:t>
      </w:r>
      <w:r>
        <w:rPr>
          <w:i/>
        </w:rPr>
        <w:t>et al</w:t>
      </w:r>
      <w:r>
        <w:rPr/>
        <w:t>., 2015).</w:t>
      </w:r>
    </w:p>
    <w:p>
      <w:pPr>
        <w:pStyle w:val="BodyText"/>
        <w:spacing w:line="480" w:lineRule="auto" w:before="10"/>
        <w:ind w:left="103" w:right="99" w:firstLine="707"/>
        <w:jc w:val="both"/>
      </w:pPr>
      <w:r>
        <w:rPr/>
        <w:t>En un estudio realizado por Salgado-Miranda y colaboradores (2010), se obtuvieron aislamientos de </w:t>
      </w:r>
      <w:r>
        <w:rPr>
          <w:i/>
        </w:rPr>
        <w:t>Aeromonas </w:t>
      </w:r>
      <w:r>
        <w:rPr/>
        <w:t>obtenidas a partir de truchas arcoíris, provenientes de diversas granjas de México, empleando bioquímicas se identificaron 2 especies: </w:t>
      </w:r>
      <w:r>
        <w:rPr>
          <w:i/>
        </w:rPr>
        <w:t>A</w:t>
      </w:r>
      <w:r>
        <w:rPr/>
        <w:t>. </w:t>
      </w:r>
      <w:r>
        <w:rPr>
          <w:i/>
        </w:rPr>
        <w:t>hydrophila</w:t>
      </w:r>
      <w:r>
        <w:rPr/>
        <w:t>, </w:t>
      </w:r>
      <w:r>
        <w:rPr>
          <w:i/>
        </w:rPr>
        <w:t>A</w:t>
      </w:r>
      <w:r>
        <w:rPr/>
        <w:t>. </w:t>
      </w:r>
      <w:r>
        <w:rPr>
          <w:i/>
        </w:rPr>
        <w:t>salmonicida </w:t>
      </w:r>
      <w:r>
        <w:rPr/>
        <w:t>y un porcentaje de aislamientos permanecieron como </w:t>
      </w:r>
      <w:r>
        <w:rPr>
          <w:i/>
        </w:rPr>
        <w:t>Aeromonas </w:t>
      </w:r>
      <w:r>
        <w:rPr/>
        <w:t>spp., el en 48.78 % de los aislamientos obtenidos fueron </w:t>
      </w:r>
      <w:r>
        <w:rPr>
          <w:i/>
        </w:rPr>
        <w:t>Aeromonas</w:t>
      </w:r>
      <w:r>
        <w:rPr/>
        <w:t>. Recientemente se identificaron 10 especies de </w:t>
      </w:r>
      <w:r>
        <w:rPr>
          <w:i/>
        </w:rPr>
        <w:t>Aeromonas </w:t>
      </w:r>
      <w:r>
        <w:rPr/>
        <w:t>aisladas de trucha arcoíris provenientes de diferentes granjas de México, siendo </w:t>
      </w:r>
      <w:r>
        <w:rPr>
          <w:i/>
        </w:rPr>
        <w:t>A</w:t>
      </w:r>
      <w:r>
        <w:rPr/>
        <w:t>. </w:t>
      </w:r>
      <w:r>
        <w:rPr>
          <w:i/>
        </w:rPr>
        <w:t>veronii </w:t>
      </w:r>
      <w:r>
        <w:rPr/>
        <w:t>biovar </w:t>
      </w:r>
      <w:r>
        <w:rPr>
          <w:i/>
        </w:rPr>
        <w:t>sobria</w:t>
      </w:r>
      <w:r>
        <w:rPr/>
        <w:t>, </w:t>
      </w:r>
      <w:r>
        <w:rPr>
          <w:i/>
        </w:rPr>
        <w:t>A</w:t>
      </w:r>
      <w:r>
        <w:rPr/>
        <w:t>. </w:t>
      </w:r>
      <w:r>
        <w:rPr>
          <w:i/>
        </w:rPr>
        <w:t>hydrophila </w:t>
      </w:r>
      <w:r>
        <w:rPr/>
        <w:t>y </w:t>
      </w:r>
      <w:r>
        <w:rPr>
          <w:i/>
        </w:rPr>
        <w:t>A</w:t>
      </w:r>
      <w:r>
        <w:rPr/>
        <w:t>. </w:t>
      </w:r>
      <w:r>
        <w:rPr>
          <w:i/>
        </w:rPr>
        <w:t>bestiarum </w:t>
      </w:r>
      <w:r>
        <w:rPr/>
        <w:t>las especies más predominantes (Vega-Sánchez </w:t>
      </w:r>
      <w:r>
        <w:rPr>
          <w:i/>
        </w:rPr>
        <w:t>et al</w:t>
      </w:r>
      <w:r>
        <w:rPr/>
        <w:t>., 2014a), las cuales se identificó que el 39.6% poseían uno o más genes que codifican para la presencia de β-lactamasas, metalo-beta- lactamasas e integrones clase 1 (Vega-Sánchez </w:t>
      </w:r>
      <w:r>
        <w:rPr>
          <w:i/>
        </w:rPr>
        <w:t>et al</w:t>
      </w:r>
      <w:r>
        <w:rPr/>
        <w:t>., 2014b). </w:t>
      </w:r>
      <w:r>
        <w:rPr>
          <w:i/>
        </w:rPr>
        <w:t>A. salmonicida </w:t>
      </w:r>
      <w:r>
        <w:rPr/>
        <w:t>es considerada en la truticultura como la principal bacteria no móvil patógena dentro de este género y puede ocasionar hasta 100% de mortalidad (Roberts, 2001).</w:t>
      </w:r>
    </w:p>
    <w:p>
      <w:pPr>
        <w:spacing w:after="0" w:line="480" w:lineRule="auto"/>
        <w:jc w:val="both"/>
        <w:sectPr>
          <w:pgSz w:w="12240" w:h="15840"/>
          <w:pgMar w:header="0" w:footer="695" w:top="1080" w:bottom="940" w:left="1200" w:right="1200"/>
        </w:sectPr>
      </w:pPr>
    </w:p>
    <w:p>
      <w:pPr>
        <w:pStyle w:val="BodyText"/>
        <w:spacing w:line="480" w:lineRule="auto" w:before="44"/>
        <w:ind w:left="103" w:right="100" w:firstLine="707"/>
        <w:jc w:val="both"/>
      </w:pPr>
      <w:r>
        <w:rPr/>
        <w:t>La producción de trucha en México es una actividad de gran importancia debido a su alta demanda como fuente de proteínas, datos publicados en el mes de mayo del 2015 en un comunicado de prensa; la producción nacional pesquera y acuícola del 2014 ascendió a un millón 751 mil 952 toneladas, obteniéndose un 32.2 % de incremento del año 2013 al año 2014; siendo la mojarra, trucha y el ostión las que destacan (SAGARPA, 2015). A finales del 2014 la producción de trucha arcoíris genero 527,247.11 kilos de peso vivo, con un equivalente de 28, 582, 065.83 pesos en el estado de México (CONAPESCA, 2015). La producción de ésta especie se localiza principalmente en los estados de: México, Puebla, Michoacán, Hidalgo, Chihuahua, Veracruz (SAGARPA, 2011), por lo que la presencia de este género en la truticultura debe ser considerada como una amenaza.</w:t>
      </w:r>
    </w:p>
    <w:p>
      <w:pPr>
        <w:pStyle w:val="BodyText"/>
      </w:pPr>
    </w:p>
    <w:p>
      <w:pPr>
        <w:pStyle w:val="BodyText"/>
        <w:spacing w:before="3"/>
        <w:rPr>
          <w:sz w:val="25"/>
        </w:rPr>
      </w:pPr>
    </w:p>
    <w:p>
      <w:pPr>
        <w:pStyle w:val="Heading1"/>
        <w:numPr>
          <w:ilvl w:val="0"/>
          <w:numId w:val="6"/>
        </w:numPr>
        <w:tabs>
          <w:tab w:pos="812" w:val="left" w:leader="none"/>
        </w:tabs>
        <w:spacing w:line="240" w:lineRule="auto" w:before="0" w:after="0"/>
        <w:ind w:left="811" w:right="0" w:hanging="348"/>
        <w:jc w:val="left"/>
      </w:pPr>
      <w:r>
        <w:rPr/>
        <w:t>DIAGNÓSTICO</w:t>
      </w:r>
    </w:p>
    <w:p>
      <w:pPr>
        <w:pStyle w:val="BodyText"/>
        <w:rPr>
          <w:b/>
        </w:rPr>
      </w:pPr>
    </w:p>
    <w:p>
      <w:pPr>
        <w:pStyle w:val="BodyText"/>
        <w:spacing w:line="480" w:lineRule="auto" w:before="156"/>
        <w:ind w:left="103" w:right="102" w:firstLine="719"/>
        <w:jc w:val="both"/>
      </w:pPr>
      <w:r>
        <w:rPr/>
        <w:t>El diagnostico general patógeno consiste en el aislamiento y purificación de las colonias bacterianas, así como la identificación por medio de los métodos anteriormente mencionados (Castro-Escarpulli </w:t>
      </w:r>
      <w:r>
        <w:rPr>
          <w:i/>
        </w:rPr>
        <w:t>et al</w:t>
      </w:r>
      <w:r>
        <w:rPr/>
        <w:t>., 2003). Pruebas complementarias permiten tener la certeza de que las bacterias pertenecen al género, como es la prueba de la DNAsa que en el caso de </w:t>
      </w:r>
      <w:r>
        <w:rPr>
          <w:i/>
        </w:rPr>
        <w:t>Aeromonas </w:t>
      </w:r>
      <w:r>
        <w:rPr/>
        <w:t>spp., da una reacción positiva gracias a la presencia de la enzima desoxirribonucleasa, además resulta de gran ayuda sembrar las colonias en agar </w:t>
      </w:r>
      <w:r>
        <w:rPr>
          <w:i/>
        </w:rPr>
        <w:t>Pseudomonas </w:t>
      </w:r>
      <w:r>
        <w:rPr/>
        <w:t>adicionado con 10 % de glicerol (marca comercial, BD Difco), en donde las colonias de </w:t>
      </w:r>
      <w:r>
        <w:rPr>
          <w:i/>
        </w:rPr>
        <w:t>Aeromonas </w:t>
      </w:r>
      <w:r>
        <w:rPr/>
        <w:t>no presentan fluorescencia al ser expuesta a luz ultravioleta (Noga ,2010). Sin embargo, para ahorrar tiempo y material puede emplearse el sistema comercial Api 20E, que permite la identificación de algunas especies de </w:t>
      </w:r>
      <w:r>
        <w:rPr>
          <w:i/>
        </w:rPr>
        <w:t>Aeromonas</w:t>
      </w:r>
      <w:r>
        <w:rPr/>
        <w:t>, para una correcta identificación de la especie es recomendado emplear pruebas moleculares (Vega-Sánchez </w:t>
      </w:r>
      <w:r>
        <w:rPr>
          <w:i/>
        </w:rPr>
        <w:t>et al</w:t>
      </w:r>
      <w:r>
        <w:rPr/>
        <w:t>., 2014b)</w:t>
      </w:r>
    </w:p>
    <w:p>
      <w:pPr>
        <w:spacing w:after="0" w:line="480" w:lineRule="auto"/>
        <w:jc w:val="both"/>
        <w:sectPr>
          <w:pgSz w:w="12240" w:h="15840"/>
          <w:pgMar w:header="0" w:footer="695" w:top="1080" w:bottom="940" w:left="1200" w:right="1200"/>
        </w:sectPr>
      </w:pPr>
    </w:p>
    <w:p>
      <w:pPr>
        <w:pStyle w:val="Heading1"/>
        <w:numPr>
          <w:ilvl w:val="0"/>
          <w:numId w:val="6"/>
        </w:numPr>
        <w:tabs>
          <w:tab w:pos="812" w:val="left" w:leader="none"/>
        </w:tabs>
        <w:spacing w:line="240" w:lineRule="auto" w:before="49" w:after="0"/>
        <w:ind w:left="811" w:right="0" w:hanging="348"/>
        <w:jc w:val="left"/>
      </w:pPr>
      <w:r>
        <w:rPr/>
        <w:t>CONTROL Y</w:t>
      </w:r>
      <w:r>
        <w:rPr>
          <w:spacing w:val="-4"/>
        </w:rPr>
        <w:t> </w:t>
      </w:r>
      <w:r>
        <w:rPr/>
        <w:t>TRATAMIENTO</w:t>
      </w:r>
    </w:p>
    <w:p>
      <w:pPr>
        <w:pStyle w:val="BodyText"/>
        <w:rPr>
          <w:b/>
        </w:rPr>
      </w:pPr>
    </w:p>
    <w:p>
      <w:pPr>
        <w:pStyle w:val="BodyText"/>
        <w:spacing w:line="480" w:lineRule="auto" w:before="156"/>
        <w:ind w:left="103" w:right="100" w:firstLine="360"/>
        <w:jc w:val="both"/>
      </w:pPr>
      <w:r>
        <w:rPr/>
        <w:t>El control para el manejo de brotes consiste en la eliminación de peces moribundos y de aquellos con signología clínica de la enfermedad, estabilizar los parámetros del agua: baja salinidad, estabilizar la temperatura a no más de los 17 °C, niveles adecuados de pH, procurar una oxigenación</w:t>
      </w:r>
      <w:r>
        <w:rPr>
          <w:spacing w:val="23"/>
        </w:rPr>
        <w:t> </w:t>
      </w:r>
      <w:r>
        <w:rPr/>
        <w:t>mínima</w:t>
      </w:r>
      <w:r>
        <w:rPr>
          <w:spacing w:val="21"/>
        </w:rPr>
        <w:t> </w:t>
      </w:r>
      <w:r>
        <w:rPr/>
        <w:t>de</w:t>
      </w:r>
      <w:r>
        <w:rPr>
          <w:spacing w:val="21"/>
        </w:rPr>
        <w:t> </w:t>
      </w:r>
      <w:r>
        <w:rPr/>
        <w:t>5.5</w:t>
      </w:r>
      <w:r>
        <w:rPr>
          <w:spacing w:val="22"/>
        </w:rPr>
        <w:t> </w:t>
      </w:r>
      <w:r>
        <w:rPr/>
        <w:t>partes</w:t>
      </w:r>
      <w:r>
        <w:rPr>
          <w:spacing w:val="23"/>
        </w:rPr>
        <w:t> </w:t>
      </w:r>
      <w:r>
        <w:rPr/>
        <w:t>por</w:t>
      </w:r>
      <w:r>
        <w:rPr>
          <w:spacing w:val="22"/>
        </w:rPr>
        <w:t> </w:t>
      </w:r>
      <w:r>
        <w:rPr/>
        <w:t>millón</w:t>
      </w:r>
      <w:r>
        <w:rPr>
          <w:spacing w:val="22"/>
        </w:rPr>
        <w:t> </w:t>
      </w:r>
      <w:r>
        <w:rPr/>
        <w:t>(ppm),</w:t>
      </w:r>
      <w:r>
        <w:rPr>
          <w:spacing w:val="22"/>
        </w:rPr>
        <w:t> </w:t>
      </w:r>
      <w:r>
        <w:rPr/>
        <w:t>conservar</w:t>
      </w:r>
      <w:r>
        <w:rPr>
          <w:spacing w:val="22"/>
        </w:rPr>
        <w:t> </w:t>
      </w:r>
      <w:r>
        <w:rPr/>
        <w:t>los</w:t>
      </w:r>
      <w:r>
        <w:rPr>
          <w:spacing w:val="23"/>
        </w:rPr>
        <w:t> </w:t>
      </w:r>
      <w:r>
        <w:rPr/>
        <w:t>niveles</w:t>
      </w:r>
      <w:r>
        <w:rPr>
          <w:spacing w:val="23"/>
        </w:rPr>
        <w:t> </w:t>
      </w:r>
      <w:r>
        <w:rPr/>
        <w:t>de</w:t>
      </w:r>
      <w:r>
        <w:rPr>
          <w:spacing w:val="21"/>
        </w:rPr>
        <w:t> </w:t>
      </w:r>
      <w:r>
        <w:rPr/>
        <w:t>amonio</w:t>
      </w:r>
      <w:r>
        <w:rPr>
          <w:spacing w:val="22"/>
        </w:rPr>
        <w:t> </w:t>
      </w:r>
      <w:r>
        <w:rPr/>
        <w:t>inferiores</w:t>
      </w:r>
      <w:r>
        <w:rPr>
          <w:spacing w:val="25"/>
        </w:rPr>
        <w:t> </w:t>
      </w:r>
      <w:r>
        <w:rPr/>
        <w:t>a</w:t>
      </w:r>
    </w:p>
    <w:p>
      <w:pPr>
        <w:pStyle w:val="BodyText"/>
        <w:spacing w:line="480" w:lineRule="auto" w:before="10"/>
        <w:ind w:left="103" w:right="99"/>
        <w:jc w:val="both"/>
      </w:pPr>
      <w:r>
        <w:rPr/>
        <w:t>0.015 ppm y reducir los contaminantes orgánicos. En el caso de </w:t>
      </w:r>
      <w:r>
        <w:rPr>
          <w:i/>
        </w:rPr>
        <w:t>Aeromonas </w:t>
      </w:r>
      <w:r>
        <w:rPr/>
        <w:t>móviles la aplicación  de antibióticos no es recomendado debido a que la enfermedad es auto limitante en los casos crónicos, si la enfermedad tiene una presentación severa con altos porcentajes de mortalidad y reducción en el consumo de alimento, si es recomendada la administración de sulfonamidas potenciadas (Noga, 2010; Blanco, 1995). Aunque el uso de antimicrobianos han sido de gran utilidad para el control de esta enfermedad y muchos otros agentes patógenos, el empleo de antimicrobianos se ve afectado por dos razones importantes: la resistencia a diversos antibióticos que puede exacerbar la presentación clínica de la enfermedad y los altos costos de la aplicación de los fármacos (Kirkan </w:t>
      </w:r>
      <w:r>
        <w:rPr>
          <w:i/>
        </w:rPr>
        <w:t>et al</w:t>
      </w:r>
      <w:r>
        <w:rPr/>
        <w:t>., 2003; Blanco,</w:t>
      </w:r>
      <w:r>
        <w:rPr>
          <w:spacing w:val="-10"/>
        </w:rPr>
        <w:t> </w:t>
      </w:r>
      <w:r>
        <w:rPr/>
        <w:t>1995).</w:t>
      </w:r>
    </w:p>
    <w:p>
      <w:pPr>
        <w:pStyle w:val="BodyText"/>
      </w:pPr>
    </w:p>
    <w:p>
      <w:pPr>
        <w:pStyle w:val="BodyText"/>
        <w:spacing w:before="3"/>
        <w:rPr>
          <w:sz w:val="25"/>
        </w:rPr>
      </w:pPr>
    </w:p>
    <w:p>
      <w:pPr>
        <w:pStyle w:val="Heading1"/>
        <w:numPr>
          <w:ilvl w:val="0"/>
          <w:numId w:val="6"/>
        </w:numPr>
        <w:tabs>
          <w:tab w:pos="1183" w:val="left" w:leader="none"/>
          <w:tab w:pos="1184" w:val="left" w:leader="none"/>
        </w:tabs>
        <w:spacing w:line="240" w:lineRule="auto" w:before="0" w:after="0"/>
        <w:ind w:left="1183" w:right="0" w:hanging="720"/>
        <w:jc w:val="left"/>
      </w:pPr>
      <w:r>
        <w:rPr/>
        <w:t>CONSIDERACIONES</w:t>
      </w:r>
      <w:r>
        <w:rPr>
          <w:spacing w:val="-5"/>
        </w:rPr>
        <w:t> </w:t>
      </w:r>
      <w:r>
        <w:rPr/>
        <w:t>FINALES</w:t>
      </w:r>
    </w:p>
    <w:p>
      <w:pPr>
        <w:pStyle w:val="BodyText"/>
        <w:rPr>
          <w:b/>
        </w:rPr>
      </w:pPr>
    </w:p>
    <w:p>
      <w:pPr>
        <w:pStyle w:val="BodyText"/>
        <w:spacing w:line="480" w:lineRule="auto" w:before="156"/>
        <w:ind w:left="103" w:right="101" w:firstLine="707"/>
        <w:jc w:val="both"/>
      </w:pPr>
      <w:r>
        <w:rPr/>
        <w:t>La mayoría de las lesiones descritas en el presente trabajo de revisión son generalmente encontradas tanto en los reportes de brotes naturales así como de infecciones experimentales, con ciertos cambios en la severidad y localización de las lesiones. Los problemas de manejo en las truchas y otras especies de peces, como son hacinamiento, jerarquía, contaminación del agua, hipoxia, cambios de pH, incluso las fluctuaciones de temperatura juegan un papel importarte en la presentación de ciertas especies de </w:t>
      </w:r>
      <w:r>
        <w:rPr>
          <w:i/>
        </w:rPr>
        <w:t>Aeromonas</w:t>
      </w:r>
      <w:r>
        <w:rPr/>
        <w:t>, favoreciendo la concentración del microorganismo solo en ciertas temporadas (Lee </w:t>
      </w:r>
      <w:r>
        <w:rPr>
          <w:i/>
        </w:rPr>
        <w:t>et al</w:t>
      </w:r>
      <w:r>
        <w:rPr/>
        <w:t>., 2002). En los teleósteos es importante que el tejido   asociado</w:t>
      </w:r>
    </w:p>
    <w:p>
      <w:pPr>
        <w:spacing w:after="0" w:line="480" w:lineRule="auto"/>
        <w:jc w:val="both"/>
        <w:sectPr>
          <w:pgSz w:w="12240" w:h="15840"/>
          <w:pgMar w:header="0" w:footer="695" w:top="1080" w:bottom="940" w:left="1200" w:right="1200"/>
        </w:sectPr>
      </w:pPr>
    </w:p>
    <w:p>
      <w:pPr>
        <w:pStyle w:val="BodyText"/>
        <w:spacing w:line="480" w:lineRule="auto" w:before="44"/>
        <w:ind w:left="103" w:right="100"/>
        <w:jc w:val="both"/>
      </w:pPr>
      <w:r>
        <w:rPr/>
        <w:t>a mucosa, conformado por branquias, piel e intestino se encuentre integro, </w:t>
      </w:r>
      <w:r>
        <w:rPr>
          <w:spacing w:val="-3"/>
        </w:rPr>
        <w:t>ya </w:t>
      </w:r>
      <w:r>
        <w:rPr/>
        <w:t>que estos conforman la barrera inicial para evitar la entrada de agentes patógenos (Rubio-Godoy, 2010) y a su vez el moco (que posee enzimas bactericidas como la lisozima e inmunoglobulinas) sea secretado reduciendo la habilidad de la bacteria para adherirse a las células epiteliales y evitar su ingreso al torrente sanguíneo (Dalmo </w:t>
      </w:r>
      <w:r>
        <w:rPr>
          <w:i/>
        </w:rPr>
        <w:t>et al</w:t>
      </w:r>
      <w:r>
        <w:rPr/>
        <w:t>.,</w:t>
      </w:r>
      <w:r>
        <w:rPr>
          <w:spacing w:val="-5"/>
        </w:rPr>
        <w:t> </w:t>
      </w:r>
      <w:r>
        <w:rPr/>
        <w:t>1997).</w:t>
      </w:r>
    </w:p>
    <w:p>
      <w:pPr>
        <w:pStyle w:val="BodyText"/>
        <w:spacing w:line="480" w:lineRule="auto" w:before="10"/>
        <w:ind w:left="103" w:right="101" w:firstLine="707"/>
        <w:jc w:val="both"/>
      </w:pPr>
      <w:r>
        <w:rPr/>
        <w:t>La signología descrita no es exclusiva de la infección por </w:t>
      </w:r>
      <w:r>
        <w:rPr>
          <w:i/>
        </w:rPr>
        <w:t>Aeromonas </w:t>
      </w:r>
      <w:r>
        <w:rPr/>
        <w:t>spp., ya que comparte algunos signos con otras enfermedades. Un manejo adecuado y medidas de prevención adecuadas (vacunación, eliminación de peces enfermos y moribundos, limpieza de los estanques, mantenimiento de temperaturas estables y estudios bacteriológicos, entre otros) para cada granja en cuestión, pueden ser de gran ayuda para evitar brotes de enfermedades bacterianas y en consecuencia morbilidad y mortalidades elevadas que repercuten en pérdidas monetarias. Sin embargo, la presentación de signología inespecífica en una explotación trutícola, es una señal de atención para revisar y ajustar parámetros productivos con respecto a la calidad del medio acuático en la explotación con el fin de evitar estrés en los peces.</w:t>
      </w:r>
    </w:p>
    <w:p>
      <w:pPr>
        <w:pStyle w:val="BodyText"/>
      </w:pPr>
    </w:p>
    <w:p>
      <w:pPr>
        <w:pStyle w:val="BodyText"/>
        <w:spacing w:before="3"/>
        <w:rPr>
          <w:sz w:val="25"/>
        </w:rPr>
      </w:pPr>
    </w:p>
    <w:p>
      <w:pPr>
        <w:pStyle w:val="Heading1"/>
        <w:spacing w:before="0"/>
        <w:jc w:val="both"/>
      </w:pPr>
      <w:r>
        <w:rPr/>
        <w:t>AGRADECIMIENTOS</w:t>
      </w:r>
    </w:p>
    <w:p>
      <w:pPr>
        <w:pStyle w:val="BodyText"/>
        <w:spacing w:before="6"/>
        <w:rPr>
          <w:b/>
          <w:sz w:val="23"/>
        </w:rPr>
      </w:pPr>
    </w:p>
    <w:p>
      <w:pPr>
        <w:pStyle w:val="BodyText"/>
        <w:spacing w:line="480" w:lineRule="auto"/>
        <w:ind w:left="103" w:right="104" w:firstLine="707"/>
        <w:jc w:val="both"/>
      </w:pPr>
      <w:r>
        <w:rPr/>
        <w:t>El presente trabajo fue financiado por el Consejo Nacional de Ciencia y Tecnología (CONACYT), proyecto CB-2008-01-103142 (registro UAEM 1900/2010C). </w:t>
      </w:r>
      <w:r>
        <w:rPr>
          <w:spacing w:val="-3"/>
        </w:rPr>
        <w:t>La </w:t>
      </w:r>
      <w:r>
        <w:rPr/>
        <w:t>autora agradece el apoyo y valiosos comentarios del Dr. Miguel Rubio Godoy, del Instituto de Ecología A.C (INECOL) y del Dr. Edgardo Soriano Vargas de la Universidad Autónoma del Estado de México, en el Centro de Investigación y Estudios Avanzados en Salud Animal</w:t>
      </w:r>
      <w:r>
        <w:rPr>
          <w:spacing w:val="-17"/>
        </w:rPr>
        <w:t> </w:t>
      </w:r>
      <w:r>
        <w:rPr/>
        <w:t>(CIESA).</w:t>
      </w:r>
    </w:p>
    <w:p>
      <w:pPr>
        <w:spacing w:after="0" w:line="480" w:lineRule="auto"/>
        <w:jc w:val="both"/>
        <w:sectPr>
          <w:pgSz w:w="12240" w:h="15840"/>
          <w:pgMar w:header="0" w:footer="695" w:top="1080" w:bottom="940" w:left="1200" w:right="1200"/>
        </w:sectPr>
      </w:pPr>
    </w:p>
    <w:p>
      <w:pPr>
        <w:pStyle w:val="Heading1"/>
        <w:ind w:right="59"/>
      </w:pPr>
      <w:r>
        <w:rPr/>
        <w:t>REFERENCIAS</w:t>
      </w:r>
    </w:p>
    <w:p>
      <w:pPr>
        <w:pStyle w:val="BodyText"/>
        <w:rPr>
          <w:b/>
        </w:rPr>
      </w:pPr>
    </w:p>
    <w:p>
      <w:pPr>
        <w:pStyle w:val="BodyText"/>
        <w:rPr>
          <w:b/>
        </w:rPr>
      </w:pPr>
    </w:p>
    <w:p>
      <w:pPr>
        <w:pStyle w:val="BodyText"/>
        <w:spacing w:before="7"/>
        <w:rPr>
          <w:b/>
          <w:sz w:val="23"/>
        </w:rPr>
      </w:pPr>
    </w:p>
    <w:p>
      <w:pPr>
        <w:pStyle w:val="ListParagraph"/>
        <w:numPr>
          <w:ilvl w:val="0"/>
          <w:numId w:val="8"/>
        </w:numPr>
        <w:tabs>
          <w:tab w:pos="812" w:val="left" w:leader="none"/>
        </w:tabs>
        <w:spacing w:line="480" w:lineRule="auto" w:before="0" w:after="0"/>
        <w:ind w:left="823" w:right="106" w:hanging="360"/>
        <w:jc w:val="both"/>
        <w:rPr>
          <w:sz w:val="24"/>
        </w:rPr>
      </w:pPr>
      <w:r>
        <w:rPr>
          <w:sz w:val="24"/>
        </w:rPr>
        <w:t>Allejo AN, Ellis AE. Ultra structural study of the response of eosinophil granule cells to </w:t>
      </w:r>
      <w:r>
        <w:rPr>
          <w:i/>
          <w:sz w:val="24"/>
        </w:rPr>
        <w:t>Aeromonas salmonicida </w:t>
      </w:r>
      <w:r>
        <w:rPr>
          <w:sz w:val="24"/>
        </w:rPr>
        <w:t>extracellular product and histamine liberations in rainbow trout, </w:t>
      </w:r>
      <w:r>
        <w:rPr>
          <w:i/>
          <w:sz w:val="24"/>
        </w:rPr>
        <w:t>Salmo gairdneri </w:t>
      </w:r>
      <w:r>
        <w:rPr>
          <w:sz w:val="24"/>
        </w:rPr>
        <w:t>Richardson. Dev Comp Immunol. 1989;</w:t>
      </w:r>
      <w:r>
        <w:rPr>
          <w:spacing w:val="-6"/>
          <w:sz w:val="24"/>
        </w:rPr>
        <w:t> </w:t>
      </w:r>
      <w:r>
        <w:rPr>
          <w:sz w:val="24"/>
        </w:rPr>
        <w:t>13:133-148.</w:t>
      </w:r>
    </w:p>
    <w:p>
      <w:pPr>
        <w:pStyle w:val="ListParagraph"/>
        <w:numPr>
          <w:ilvl w:val="0"/>
          <w:numId w:val="8"/>
        </w:numPr>
        <w:tabs>
          <w:tab w:pos="812" w:val="left" w:leader="none"/>
        </w:tabs>
        <w:spacing w:line="480" w:lineRule="auto" w:before="10" w:after="0"/>
        <w:ind w:left="823" w:right="99" w:hanging="360"/>
        <w:jc w:val="both"/>
        <w:rPr>
          <w:sz w:val="24"/>
        </w:rPr>
      </w:pPr>
      <w:r>
        <w:rPr>
          <w:sz w:val="24"/>
        </w:rPr>
        <w:t>Alperi A, Martínez-Murcia AJ, Ko WC, Monera A, Saavedra MJ, Figueras MJ. </w:t>
      </w:r>
      <w:r>
        <w:rPr>
          <w:i/>
          <w:sz w:val="24"/>
        </w:rPr>
        <w:t>Aeromonas </w:t>
      </w:r>
      <w:r>
        <w:rPr>
          <w:i/>
          <w:sz w:val="24"/>
        </w:rPr>
        <w:t>taiwanensis </w:t>
      </w:r>
      <w:r>
        <w:rPr>
          <w:sz w:val="24"/>
        </w:rPr>
        <w:t>sp. nov. and </w:t>
      </w:r>
      <w:r>
        <w:rPr>
          <w:i/>
          <w:sz w:val="24"/>
        </w:rPr>
        <w:t>Aeromonas sanarellii </w:t>
      </w:r>
      <w:r>
        <w:rPr>
          <w:sz w:val="24"/>
        </w:rPr>
        <w:t>sp. nov., two new clinical species from Taiwan. Int J Syst Evol Microbiol. 2010a; 60:</w:t>
      </w:r>
      <w:r>
        <w:rPr>
          <w:spacing w:val="-8"/>
          <w:sz w:val="24"/>
        </w:rPr>
        <w:t> </w:t>
      </w:r>
      <w:r>
        <w:rPr>
          <w:sz w:val="24"/>
        </w:rPr>
        <w:t>2048-2055.</w:t>
      </w:r>
    </w:p>
    <w:p>
      <w:pPr>
        <w:pStyle w:val="ListParagraph"/>
        <w:numPr>
          <w:ilvl w:val="0"/>
          <w:numId w:val="8"/>
        </w:numPr>
        <w:tabs>
          <w:tab w:pos="812" w:val="left" w:leader="none"/>
        </w:tabs>
        <w:spacing w:line="240" w:lineRule="auto" w:before="10" w:after="0"/>
        <w:ind w:left="811" w:right="0" w:hanging="348"/>
        <w:jc w:val="left"/>
        <w:rPr>
          <w:i/>
          <w:sz w:val="24"/>
        </w:rPr>
      </w:pPr>
      <w:r>
        <w:rPr>
          <w:sz w:val="24"/>
        </w:rPr>
        <w:t>Alperi A, Martínez-Murcia AJ, Monera A, Saavedra MJ, Figueras MJ. </w:t>
      </w:r>
      <w:r>
        <w:rPr>
          <w:i/>
          <w:sz w:val="24"/>
        </w:rPr>
        <w:t>Aeromonas  </w:t>
      </w:r>
      <w:r>
        <w:rPr>
          <w:i/>
          <w:spacing w:val="28"/>
          <w:sz w:val="24"/>
        </w:rPr>
        <w:t> </w:t>
      </w:r>
      <w:r>
        <w:rPr>
          <w:i/>
          <w:sz w:val="24"/>
        </w:rPr>
        <w:t>fluvialis</w:t>
      </w:r>
    </w:p>
    <w:p>
      <w:pPr>
        <w:pStyle w:val="BodyText"/>
        <w:rPr>
          <w:i/>
        </w:rPr>
      </w:pPr>
    </w:p>
    <w:p>
      <w:pPr>
        <w:pStyle w:val="BodyText"/>
        <w:ind w:left="823" w:right="59"/>
      </w:pPr>
      <w:r>
        <w:rPr/>
        <w:t>sp. nov., isolated from a Spanish river. Int J Syst Evol Microbiol. 2010b; 60: 72-77.</w:t>
      </w:r>
    </w:p>
    <w:p>
      <w:pPr>
        <w:pStyle w:val="BodyText"/>
      </w:pPr>
    </w:p>
    <w:p>
      <w:pPr>
        <w:pStyle w:val="ListParagraph"/>
        <w:numPr>
          <w:ilvl w:val="0"/>
          <w:numId w:val="8"/>
        </w:numPr>
        <w:tabs>
          <w:tab w:pos="812" w:val="left" w:leader="none"/>
        </w:tabs>
        <w:spacing w:line="480" w:lineRule="auto" w:before="0" w:after="0"/>
        <w:ind w:left="823" w:right="101" w:hanging="360"/>
        <w:jc w:val="both"/>
        <w:rPr>
          <w:sz w:val="24"/>
        </w:rPr>
      </w:pPr>
      <w:r>
        <w:rPr>
          <w:sz w:val="24"/>
        </w:rPr>
        <w:t>Aravena-Román M, Beaz-Hidalgo R, Inglis TJ, Riley TV, Martínez-Murcia AJ, Chang BJ, Figueras MJ. </w:t>
      </w:r>
      <w:r>
        <w:rPr>
          <w:i/>
          <w:sz w:val="24"/>
        </w:rPr>
        <w:t>Aeromonas australiensis </w:t>
      </w:r>
      <w:r>
        <w:rPr>
          <w:sz w:val="24"/>
        </w:rPr>
        <w:t>sp. nov., isolated from irrigation water. Int J Syst Evol Microbiol. 2013; 63:</w:t>
      </w:r>
      <w:r>
        <w:rPr>
          <w:spacing w:val="-3"/>
          <w:sz w:val="24"/>
        </w:rPr>
        <w:t> </w:t>
      </w:r>
      <w:r>
        <w:rPr>
          <w:sz w:val="24"/>
        </w:rPr>
        <w:t>2270-2276.</w:t>
      </w:r>
    </w:p>
    <w:p>
      <w:pPr>
        <w:pStyle w:val="ListParagraph"/>
        <w:numPr>
          <w:ilvl w:val="0"/>
          <w:numId w:val="8"/>
        </w:numPr>
        <w:tabs>
          <w:tab w:pos="812" w:val="left" w:leader="none"/>
        </w:tabs>
        <w:spacing w:line="240" w:lineRule="auto" w:before="10" w:after="0"/>
        <w:ind w:left="811" w:right="0" w:hanging="348"/>
        <w:jc w:val="left"/>
        <w:rPr>
          <w:sz w:val="24"/>
        </w:rPr>
      </w:pPr>
      <w:r>
        <w:rPr>
          <w:sz w:val="24"/>
        </w:rPr>
        <w:t>Austin  B,  Austin  DA.  Bacterial  fish  pathogens,  diseases  of  farmed  and  wild  fish.</w:t>
      </w:r>
      <w:r>
        <w:rPr>
          <w:spacing w:val="29"/>
          <w:sz w:val="24"/>
        </w:rPr>
        <w:t> </w:t>
      </w:r>
      <w:r>
        <w:rPr>
          <w:sz w:val="24"/>
        </w:rPr>
        <w:t>4ta.</w:t>
      </w:r>
    </w:p>
    <w:p>
      <w:pPr>
        <w:pStyle w:val="BodyText"/>
      </w:pPr>
    </w:p>
    <w:p>
      <w:pPr>
        <w:pStyle w:val="BodyText"/>
        <w:ind w:left="823" w:right="59"/>
      </w:pPr>
      <w:r>
        <w:rPr/>
        <w:t>Chichester, UK: Praxis Publishing Ltd, 2007:81-99.</w:t>
      </w:r>
    </w:p>
    <w:p>
      <w:pPr>
        <w:pStyle w:val="BodyText"/>
      </w:pPr>
    </w:p>
    <w:p>
      <w:pPr>
        <w:pStyle w:val="ListParagraph"/>
        <w:numPr>
          <w:ilvl w:val="0"/>
          <w:numId w:val="8"/>
        </w:numPr>
        <w:tabs>
          <w:tab w:pos="812" w:val="left" w:leader="none"/>
        </w:tabs>
        <w:spacing w:line="480" w:lineRule="auto" w:before="0" w:after="0"/>
        <w:ind w:left="823" w:right="103" w:hanging="360"/>
        <w:jc w:val="both"/>
        <w:rPr>
          <w:sz w:val="24"/>
        </w:rPr>
      </w:pPr>
      <w:r>
        <w:rPr>
          <w:sz w:val="24"/>
        </w:rPr>
        <w:t>Austin B, Austin DA, Dalsgaard I, Gudmundsdóttir BK, Høie S, Thornton JM, Larsen JL, O'Hici B, Powell R. Characterization of atypical </w:t>
      </w:r>
      <w:r>
        <w:rPr>
          <w:i/>
          <w:sz w:val="24"/>
        </w:rPr>
        <w:t>Aeromonas salmonicida </w:t>
      </w:r>
      <w:r>
        <w:rPr>
          <w:sz w:val="24"/>
        </w:rPr>
        <w:t>by different methods. Syst Appl Microbiol. 1998;</w:t>
      </w:r>
      <w:r>
        <w:rPr>
          <w:spacing w:val="-3"/>
          <w:sz w:val="24"/>
        </w:rPr>
        <w:t> </w:t>
      </w:r>
      <w:r>
        <w:rPr>
          <w:sz w:val="24"/>
        </w:rPr>
        <w:t>21:50-64.</w:t>
      </w:r>
    </w:p>
    <w:p>
      <w:pPr>
        <w:pStyle w:val="ListParagraph"/>
        <w:numPr>
          <w:ilvl w:val="0"/>
          <w:numId w:val="8"/>
        </w:numPr>
        <w:tabs>
          <w:tab w:pos="812" w:val="left" w:leader="none"/>
        </w:tabs>
        <w:spacing w:line="480" w:lineRule="auto" w:before="10" w:after="0"/>
        <w:ind w:left="823" w:right="99" w:hanging="360"/>
        <w:jc w:val="both"/>
        <w:rPr>
          <w:sz w:val="24"/>
        </w:rPr>
      </w:pPr>
      <w:r>
        <w:rPr>
          <w:sz w:val="24"/>
        </w:rPr>
        <w:t>Beaz-Hidalgo R, Alperi A, Figueras MJ, Romalde JL. </w:t>
      </w:r>
      <w:r>
        <w:rPr>
          <w:i/>
          <w:sz w:val="24"/>
        </w:rPr>
        <w:t>Aeromonas piscicola </w:t>
      </w:r>
      <w:r>
        <w:rPr>
          <w:sz w:val="24"/>
        </w:rPr>
        <w:t>sp. nov.,  isolated from diseased fish. Syst Appl Microbiol. 2009; 32:</w:t>
      </w:r>
      <w:r>
        <w:rPr>
          <w:spacing w:val="-6"/>
          <w:sz w:val="24"/>
        </w:rPr>
        <w:t> </w:t>
      </w:r>
      <w:r>
        <w:rPr>
          <w:sz w:val="24"/>
        </w:rPr>
        <w:t>471-479.</w:t>
      </w:r>
    </w:p>
    <w:p>
      <w:pPr>
        <w:pStyle w:val="ListParagraph"/>
        <w:numPr>
          <w:ilvl w:val="0"/>
          <w:numId w:val="8"/>
        </w:numPr>
        <w:tabs>
          <w:tab w:pos="812" w:val="left" w:leader="none"/>
        </w:tabs>
        <w:spacing w:line="480" w:lineRule="auto" w:before="10" w:after="0"/>
        <w:ind w:left="823" w:right="99" w:hanging="360"/>
        <w:jc w:val="both"/>
        <w:rPr>
          <w:sz w:val="24"/>
        </w:rPr>
      </w:pPr>
      <w:r>
        <w:rPr>
          <w:sz w:val="24"/>
        </w:rPr>
        <w:t>Beaz-Hidalgo R, Latif-Eugenín F, Hossain MJ, Berg K, Niemi RM, Rapala J, Lyra C, Liles MR,</w:t>
      </w:r>
      <w:r>
        <w:rPr>
          <w:spacing w:val="51"/>
          <w:sz w:val="24"/>
        </w:rPr>
        <w:t> </w:t>
      </w:r>
      <w:r>
        <w:rPr>
          <w:sz w:val="24"/>
        </w:rPr>
        <w:t>Figueras</w:t>
      </w:r>
      <w:r>
        <w:rPr>
          <w:spacing w:val="51"/>
          <w:sz w:val="24"/>
        </w:rPr>
        <w:t> </w:t>
      </w:r>
      <w:r>
        <w:rPr>
          <w:sz w:val="24"/>
        </w:rPr>
        <w:t>MJ.</w:t>
      </w:r>
      <w:r>
        <w:rPr>
          <w:spacing w:val="53"/>
          <w:sz w:val="24"/>
        </w:rPr>
        <w:t> </w:t>
      </w:r>
      <w:r>
        <w:rPr>
          <w:i/>
          <w:sz w:val="24"/>
        </w:rPr>
        <w:t>Aeromonas</w:t>
      </w:r>
      <w:r>
        <w:rPr>
          <w:i/>
          <w:spacing w:val="51"/>
          <w:sz w:val="24"/>
        </w:rPr>
        <w:t> </w:t>
      </w:r>
      <w:r>
        <w:rPr>
          <w:i/>
          <w:sz w:val="24"/>
        </w:rPr>
        <w:t>aquatica</w:t>
      </w:r>
      <w:r>
        <w:rPr>
          <w:i/>
          <w:spacing w:val="52"/>
          <w:sz w:val="24"/>
        </w:rPr>
        <w:t> </w:t>
      </w:r>
      <w:r>
        <w:rPr>
          <w:sz w:val="24"/>
        </w:rPr>
        <w:t>sp.</w:t>
      </w:r>
      <w:r>
        <w:rPr>
          <w:spacing w:val="51"/>
          <w:sz w:val="24"/>
        </w:rPr>
        <w:t> </w:t>
      </w:r>
      <w:r>
        <w:rPr>
          <w:sz w:val="24"/>
        </w:rPr>
        <w:t>nov.,</w:t>
      </w:r>
      <w:r>
        <w:rPr>
          <w:spacing w:val="52"/>
          <w:sz w:val="24"/>
        </w:rPr>
        <w:t> </w:t>
      </w:r>
      <w:r>
        <w:rPr>
          <w:i/>
          <w:sz w:val="24"/>
        </w:rPr>
        <w:t>Aeromonas</w:t>
      </w:r>
      <w:r>
        <w:rPr>
          <w:i/>
          <w:spacing w:val="51"/>
          <w:sz w:val="24"/>
        </w:rPr>
        <w:t> </w:t>
      </w:r>
      <w:r>
        <w:rPr>
          <w:i/>
          <w:sz w:val="24"/>
        </w:rPr>
        <w:t>finlandiensis</w:t>
      </w:r>
      <w:r>
        <w:rPr>
          <w:i/>
          <w:spacing w:val="54"/>
          <w:sz w:val="24"/>
        </w:rPr>
        <w:t> </w:t>
      </w:r>
      <w:r>
        <w:rPr>
          <w:sz w:val="24"/>
        </w:rPr>
        <w:t>sp.</w:t>
      </w:r>
      <w:r>
        <w:rPr>
          <w:spacing w:val="51"/>
          <w:sz w:val="24"/>
        </w:rPr>
        <w:t> </w:t>
      </w:r>
      <w:r>
        <w:rPr>
          <w:sz w:val="24"/>
        </w:rPr>
        <w:t>nov.</w:t>
      </w:r>
      <w:r>
        <w:rPr>
          <w:spacing w:val="51"/>
          <w:sz w:val="24"/>
        </w:rPr>
        <w:t> </w:t>
      </w:r>
      <w:r>
        <w:rPr>
          <w:sz w:val="24"/>
        </w:rPr>
        <w:t>and</w:t>
      </w:r>
    </w:p>
    <w:p>
      <w:pPr>
        <w:spacing w:after="0" w:line="480" w:lineRule="auto"/>
        <w:jc w:val="both"/>
        <w:rPr>
          <w:sz w:val="24"/>
        </w:rPr>
        <w:sectPr>
          <w:pgSz w:w="12240" w:h="15840"/>
          <w:pgMar w:header="0" w:footer="695" w:top="1080" w:bottom="940" w:left="1200" w:right="1200"/>
        </w:sectPr>
      </w:pPr>
    </w:p>
    <w:p>
      <w:pPr>
        <w:pStyle w:val="BodyText"/>
        <w:spacing w:line="480" w:lineRule="auto" w:before="44"/>
        <w:ind w:left="463" w:right="90"/>
      </w:pPr>
      <w:r>
        <w:rPr>
          <w:i/>
        </w:rPr>
        <w:t>Aeromonas lacus </w:t>
      </w:r>
      <w:r>
        <w:rPr/>
        <w:t>sp. nov. isolated from Finnish waters associated with cyanobacterial blooms. Syst Appl Microbiol. 2015; 38: 161-168.</w:t>
      </w:r>
    </w:p>
    <w:p>
      <w:pPr>
        <w:pStyle w:val="ListParagraph"/>
        <w:numPr>
          <w:ilvl w:val="0"/>
          <w:numId w:val="8"/>
        </w:numPr>
        <w:tabs>
          <w:tab w:pos="452" w:val="left" w:leader="none"/>
        </w:tabs>
        <w:spacing w:line="480" w:lineRule="auto" w:before="10" w:after="0"/>
        <w:ind w:left="463" w:right="101" w:hanging="360"/>
        <w:jc w:val="both"/>
        <w:rPr>
          <w:sz w:val="24"/>
        </w:rPr>
      </w:pPr>
      <w:r>
        <w:rPr>
          <w:sz w:val="24"/>
        </w:rPr>
        <w:t>Beaz-Hidalgo R, Martínez-Murcia A, Figueras MJ. Reclassification of </w:t>
      </w:r>
      <w:r>
        <w:rPr>
          <w:i/>
          <w:sz w:val="24"/>
        </w:rPr>
        <w:t>Aeromonas </w:t>
      </w:r>
      <w:r>
        <w:rPr>
          <w:i/>
          <w:sz w:val="24"/>
        </w:rPr>
        <w:t>hydrophila </w:t>
      </w:r>
      <w:r>
        <w:rPr>
          <w:sz w:val="24"/>
        </w:rPr>
        <w:t>subsp. </w:t>
      </w:r>
      <w:r>
        <w:rPr>
          <w:i/>
          <w:sz w:val="24"/>
        </w:rPr>
        <w:t>dhakensis </w:t>
      </w:r>
      <w:r>
        <w:rPr>
          <w:sz w:val="24"/>
        </w:rPr>
        <w:t>Huys et al. 2002 and </w:t>
      </w:r>
      <w:r>
        <w:rPr>
          <w:i/>
          <w:sz w:val="24"/>
        </w:rPr>
        <w:t>Aeromonas aquariorum </w:t>
      </w:r>
      <w:r>
        <w:rPr>
          <w:sz w:val="24"/>
        </w:rPr>
        <w:t>Martínez-Murcia et al. 2008 as </w:t>
      </w:r>
      <w:r>
        <w:rPr>
          <w:i/>
          <w:sz w:val="24"/>
        </w:rPr>
        <w:t>Aeromonas dhakensis </w:t>
      </w:r>
      <w:r>
        <w:rPr>
          <w:sz w:val="24"/>
        </w:rPr>
        <w:t>sp. nov. comb. nov. and emendation of the species </w:t>
      </w:r>
      <w:r>
        <w:rPr>
          <w:i/>
          <w:sz w:val="24"/>
        </w:rPr>
        <w:t>Aeromonas hydrophila</w:t>
      </w:r>
      <w:r>
        <w:rPr>
          <w:sz w:val="24"/>
        </w:rPr>
        <w:t>. Syst Appl Microbiol. 2013;</w:t>
      </w:r>
      <w:r>
        <w:rPr>
          <w:spacing w:val="-6"/>
          <w:sz w:val="24"/>
        </w:rPr>
        <w:t> </w:t>
      </w:r>
      <w:r>
        <w:rPr>
          <w:sz w:val="24"/>
        </w:rPr>
        <w:t>36:171-176.</w:t>
      </w:r>
    </w:p>
    <w:p>
      <w:pPr>
        <w:pStyle w:val="ListParagraph"/>
        <w:numPr>
          <w:ilvl w:val="0"/>
          <w:numId w:val="8"/>
        </w:numPr>
        <w:tabs>
          <w:tab w:pos="452" w:val="left" w:leader="none"/>
        </w:tabs>
        <w:spacing w:line="480" w:lineRule="auto" w:before="10" w:after="0"/>
        <w:ind w:left="463" w:right="102" w:hanging="360"/>
        <w:jc w:val="both"/>
        <w:rPr>
          <w:sz w:val="24"/>
        </w:rPr>
      </w:pPr>
      <w:r>
        <w:rPr>
          <w:sz w:val="24"/>
        </w:rPr>
        <w:t>Borrell N, Acinas SG, Figueras MJ, Martínez-Murcia AJ. Identification of </w:t>
      </w:r>
      <w:r>
        <w:rPr>
          <w:i/>
          <w:sz w:val="24"/>
        </w:rPr>
        <w:t>Aeromonas </w:t>
      </w:r>
      <w:r>
        <w:rPr>
          <w:sz w:val="24"/>
        </w:rPr>
        <w:t>clinical isolates by restriction fragment length polymorphism of PCR-amplified 16S rRNA genes. J Clin Microbiol. 1997;</w:t>
      </w:r>
      <w:r>
        <w:rPr>
          <w:spacing w:val="-6"/>
          <w:sz w:val="24"/>
        </w:rPr>
        <w:t> </w:t>
      </w:r>
      <w:r>
        <w:rPr>
          <w:sz w:val="24"/>
        </w:rPr>
        <w:t>35:1671-1674.</w:t>
      </w:r>
    </w:p>
    <w:p>
      <w:pPr>
        <w:pStyle w:val="ListParagraph"/>
        <w:numPr>
          <w:ilvl w:val="0"/>
          <w:numId w:val="8"/>
        </w:numPr>
        <w:tabs>
          <w:tab w:pos="452" w:val="left" w:leader="none"/>
        </w:tabs>
        <w:spacing w:line="240" w:lineRule="auto" w:before="10" w:after="0"/>
        <w:ind w:left="451" w:right="0" w:hanging="348"/>
        <w:jc w:val="left"/>
        <w:rPr>
          <w:sz w:val="24"/>
        </w:rPr>
      </w:pPr>
      <w:r>
        <w:rPr>
          <w:sz w:val="24"/>
        </w:rPr>
        <w:t>Brown L. Acuicultura para veterinarios. Producción y clínica de peces. España. Acribia</w:t>
      </w:r>
      <w:r>
        <w:rPr>
          <w:spacing w:val="12"/>
          <w:sz w:val="24"/>
        </w:rPr>
        <w:t> </w:t>
      </w:r>
      <w:r>
        <w:rPr>
          <w:sz w:val="24"/>
        </w:rPr>
        <w:t>S.A.</w:t>
      </w:r>
    </w:p>
    <w:p>
      <w:pPr>
        <w:pStyle w:val="BodyText"/>
      </w:pPr>
    </w:p>
    <w:p>
      <w:pPr>
        <w:pStyle w:val="BodyText"/>
        <w:ind w:left="463" w:right="90"/>
      </w:pPr>
      <w:r>
        <w:rPr/>
        <w:t>2000:139-148.</w:t>
      </w:r>
    </w:p>
    <w:p>
      <w:pPr>
        <w:pStyle w:val="BodyText"/>
      </w:pPr>
    </w:p>
    <w:p>
      <w:pPr>
        <w:pStyle w:val="ListParagraph"/>
        <w:numPr>
          <w:ilvl w:val="0"/>
          <w:numId w:val="8"/>
        </w:numPr>
        <w:tabs>
          <w:tab w:pos="452" w:val="left" w:leader="none"/>
        </w:tabs>
        <w:spacing w:line="240" w:lineRule="auto" w:before="0" w:after="0"/>
        <w:ind w:left="451" w:right="0" w:hanging="348"/>
        <w:jc w:val="left"/>
        <w:rPr>
          <w:sz w:val="24"/>
        </w:rPr>
      </w:pPr>
      <w:r>
        <w:rPr>
          <w:sz w:val="24"/>
        </w:rPr>
        <w:t>Buller</w:t>
      </w:r>
      <w:r>
        <w:rPr>
          <w:spacing w:val="18"/>
          <w:sz w:val="24"/>
        </w:rPr>
        <w:t> </w:t>
      </w:r>
      <w:r>
        <w:rPr>
          <w:sz w:val="24"/>
        </w:rPr>
        <w:t>NB.</w:t>
      </w:r>
      <w:r>
        <w:rPr>
          <w:spacing w:val="21"/>
          <w:sz w:val="24"/>
        </w:rPr>
        <w:t> </w:t>
      </w:r>
      <w:r>
        <w:rPr>
          <w:sz w:val="24"/>
        </w:rPr>
        <w:t>Bacteria</w:t>
      </w:r>
      <w:r>
        <w:rPr>
          <w:spacing w:val="18"/>
          <w:sz w:val="24"/>
        </w:rPr>
        <w:t> </w:t>
      </w:r>
      <w:r>
        <w:rPr>
          <w:sz w:val="24"/>
        </w:rPr>
        <w:t>from</w:t>
      </w:r>
      <w:r>
        <w:rPr>
          <w:spacing w:val="19"/>
          <w:sz w:val="24"/>
        </w:rPr>
        <w:t> </w:t>
      </w:r>
      <w:r>
        <w:rPr>
          <w:sz w:val="24"/>
        </w:rPr>
        <w:t>fish</w:t>
      </w:r>
      <w:r>
        <w:rPr>
          <w:spacing w:val="19"/>
          <w:sz w:val="24"/>
        </w:rPr>
        <w:t> </w:t>
      </w:r>
      <w:r>
        <w:rPr>
          <w:sz w:val="24"/>
        </w:rPr>
        <w:t>and</w:t>
      </w:r>
      <w:r>
        <w:rPr>
          <w:spacing w:val="19"/>
          <w:sz w:val="24"/>
        </w:rPr>
        <w:t> </w:t>
      </w:r>
      <w:r>
        <w:rPr>
          <w:sz w:val="24"/>
        </w:rPr>
        <w:t>other</w:t>
      </w:r>
      <w:r>
        <w:rPr>
          <w:spacing w:val="18"/>
          <w:sz w:val="24"/>
        </w:rPr>
        <w:t> </w:t>
      </w:r>
      <w:r>
        <w:rPr>
          <w:sz w:val="24"/>
        </w:rPr>
        <w:t>aquatic</w:t>
      </w:r>
      <w:r>
        <w:rPr>
          <w:spacing w:val="20"/>
          <w:sz w:val="24"/>
        </w:rPr>
        <w:t> </w:t>
      </w:r>
      <w:r>
        <w:rPr>
          <w:sz w:val="24"/>
        </w:rPr>
        <w:t>animals,</w:t>
      </w:r>
      <w:r>
        <w:rPr>
          <w:spacing w:val="20"/>
          <w:sz w:val="24"/>
        </w:rPr>
        <w:t> </w:t>
      </w:r>
      <w:r>
        <w:rPr>
          <w:sz w:val="24"/>
        </w:rPr>
        <w:t>a</w:t>
      </w:r>
      <w:r>
        <w:rPr>
          <w:spacing w:val="18"/>
          <w:sz w:val="24"/>
        </w:rPr>
        <w:t> </w:t>
      </w:r>
      <w:r>
        <w:rPr>
          <w:sz w:val="24"/>
        </w:rPr>
        <w:t>practical</w:t>
      </w:r>
      <w:r>
        <w:rPr>
          <w:spacing w:val="19"/>
          <w:sz w:val="24"/>
        </w:rPr>
        <w:t> </w:t>
      </w:r>
      <w:r>
        <w:rPr>
          <w:sz w:val="24"/>
        </w:rPr>
        <w:t>identification</w:t>
      </w:r>
      <w:r>
        <w:rPr>
          <w:spacing w:val="19"/>
          <w:sz w:val="24"/>
        </w:rPr>
        <w:t> </w:t>
      </w:r>
      <w:r>
        <w:rPr>
          <w:sz w:val="24"/>
        </w:rPr>
        <w:t>manual.</w:t>
      </w:r>
    </w:p>
    <w:p>
      <w:pPr>
        <w:pStyle w:val="BodyText"/>
      </w:pPr>
    </w:p>
    <w:p>
      <w:pPr>
        <w:pStyle w:val="BodyText"/>
        <w:ind w:left="463" w:right="90"/>
      </w:pPr>
      <w:r>
        <w:rPr/>
        <w:t>USA: CABI publishing, 2004:75-77.</w:t>
      </w:r>
    </w:p>
    <w:p>
      <w:pPr>
        <w:pStyle w:val="BodyText"/>
      </w:pPr>
    </w:p>
    <w:p>
      <w:pPr>
        <w:pStyle w:val="ListParagraph"/>
        <w:numPr>
          <w:ilvl w:val="0"/>
          <w:numId w:val="8"/>
        </w:numPr>
        <w:tabs>
          <w:tab w:pos="452" w:val="left" w:leader="none"/>
        </w:tabs>
        <w:spacing w:line="480" w:lineRule="auto" w:before="0" w:after="0"/>
        <w:ind w:left="463" w:right="104" w:hanging="360"/>
        <w:jc w:val="both"/>
        <w:rPr>
          <w:sz w:val="24"/>
        </w:rPr>
      </w:pPr>
      <w:r>
        <w:rPr>
          <w:sz w:val="24"/>
        </w:rPr>
        <w:t>Carnahan AM, Chakraborty T, Fanning GR, Verma D, Ali A, Janda JM, Joseph SW. </w:t>
      </w:r>
      <w:r>
        <w:rPr>
          <w:i/>
          <w:sz w:val="24"/>
        </w:rPr>
        <w:t>Aeromonas trota </w:t>
      </w:r>
      <w:r>
        <w:rPr>
          <w:sz w:val="24"/>
        </w:rPr>
        <w:t>sp. nov., an ampicillin-susceptible species isolated from  clinical specimens. J Clin Microbiol. 1991; 29:</w:t>
      </w:r>
      <w:r>
        <w:rPr>
          <w:spacing w:val="-6"/>
          <w:sz w:val="24"/>
        </w:rPr>
        <w:t> </w:t>
      </w:r>
      <w:r>
        <w:rPr>
          <w:sz w:val="24"/>
        </w:rPr>
        <w:t>1206-1210.</w:t>
      </w:r>
    </w:p>
    <w:p>
      <w:pPr>
        <w:pStyle w:val="ListParagraph"/>
        <w:numPr>
          <w:ilvl w:val="0"/>
          <w:numId w:val="8"/>
        </w:numPr>
        <w:tabs>
          <w:tab w:pos="452" w:val="left" w:leader="none"/>
        </w:tabs>
        <w:spacing w:line="480" w:lineRule="auto" w:before="10" w:after="0"/>
        <w:ind w:left="463" w:right="103" w:hanging="360"/>
        <w:jc w:val="both"/>
        <w:rPr>
          <w:sz w:val="24"/>
        </w:rPr>
      </w:pPr>
      <w:r>
        <w:rPr>
          <w:sz w:val="24"/>
        </w:rPr>
        <w:t>Castro-Escarpulli G, Aguilera-Arreola MG, Hernández-Rodríguez CH, Arteaga-Caribay NI, Carmona-Martínez AA, Peréz-Valdespino A. La identificación genética de </w:t>
      </w:r>
      <w:r>
        <w:rPr>
          <w:i/>
          <w:sz w:val="24"/>
        </w:rPr>
        <w:t>Aeromonas </w:t>
      </w:r>
      <w:r>
        <w:rPr>
          <w:sz w:val="24"/>
        </w:rPr>
        <w:t>una realidad y una necesidad en la microbiología diagnóstica. Bioquimia. 2003;</w:t>
      </w:r>
      <w:r>
        <w:rPr>
          <w:spacing w:val="-7"/>
          <w:sz w:val="24"/>
        </w:rPr>
        <w:t> </w:t>
      </w:r>
      <w:r>
        <w:rPr>
          <w:sz w:val="24"/>
        </w:rPr>
        <w:t>28:11-18.</w:t>
      </w:r>
    </w:p>
    <w:p>
      <w:pPr>
        <w:pStyle w:val="ListParagraph"/>
        <w:numPr>
          <w:ilvl w:val="0"/>
          <w:numId w:val="8"/>
        </w:numPr>
        <w:tabs>
          <w:tab w:pos="452" w:val="left" w:leader="none"/>
        </w:tabs>
        <w:spacing w:line="480" w:lineRule="auto" w:before="11" w:after="0"/>
        <w:ind w:left="463" w:right="98" w:hanging="360"/>
        <w:jc w:val="both"/>
        <w:rPr>
          <w:sz w:val="24"/>
        </w:rPr>
      </w:pPr>
      <w:r>
        <w:rPr>
          <w:sz w:val="24"/>
        </w:rPr>
        <w:t>Castro-Escarpulli G, Figueras MJ, Aguilera-Arreola G, Soler L, Fernández-Rendón E, Aparicio GO, Guarro J, Chacón MR. Characterisation of </w:t>
      </w:r>
      <w:r>
        <w:rPr>
          <w:i/>
          <w:sz w:val="24"/>
        </w:rPr>
        <w:t>Aeromonas </w:t>
      </w:r>
      <w:r>
        <w:rPr>
          <w:sz w:val="24"/>
        </w:rPr>
        <w:t>spp. isolated from frozen fish intended for human comsumption in México. Int J Food Microbiol. 2003; 84:41- 49.</w:t>
      </w:r>
    </w:p>
    <w:p>
      <w:pPr>
        <w:spacing w:after="0" w:line="480" w:lineRule="auto"/>
        <w:jc w:val="both"/>
        <w:rPr>
          <w:sz w:val="24"/>
        </w:rPr>
        <w:sectPr>
          <w:pgSz w:w="12240" w:h="15840"/>
          <w:pgMar w:header="0" w:footer="695" w:top="1080" w:bottom="940" w:left="1560" w:right="1200"/>
        </w:sectPr>
      </w:pPr>
    </w:p>
    <w:p>
      <w:pPr>
        <w:pStyle w:val="ListParagraph"/>
        <w:numPr>
          <w:ilvl w:val="0"/>
          <w:numId w:val="8"/>
        </w:numPr>
        <w:tabs>
          <w:tab w:pos="452" w:val="left" w:leader="none"/>
        </w:tabs>
        <w:spacing w:line="480" w:lineRule="auto" w:before="44" w:after="0"/>
        <w:ind w:left="463" w:right="101" w:hanging="360"/>
        <w:jc w:val="both"/>
        <w:rPr>
          <w:sz w:val="24"/>
        </w:rPr>
      </w:pPr>
      <w:r>
        <w:rPr>
          <w:sz w:val="24"/>
        </w:rPr>
        <w:t>Chih-Cheng L, Chi-Chang S, Gin-Der L, Liang-Wen D. </w:t>
      </w:r>
      <w:r>
        <w:rPr>
          <w:i/>
          <w:sz w:val="24"/>
        </w:rPr>
        <w:t>Aeromonas hydrophila </w:t>
      </w:r>
      <w:r>
        <w:rPr>
          <w:sz w:val="24"/>
        </w:rPr>
        <w:t>and </w:t>
      </w:r>
      <w:r>
        <w:rPr>
          <w:i/>
          <w:sz w:val="24"/>
        </w:rPr>
        <w:t>Aeromonas sobria </w:t>
      </w:r>
      <w:r>
        <w:rPr>
          <w:sz w:val="24"/>
        </w:rPr>
        <w:t>bacteremia: rare pathogens of infection in burn patient. Burns. 2007; 33:255-257.</w:t>
      </w:r>
    </w:p>
    <w:p>
      <w:pPr>
        <w:pStyle w:val="ListParagraph"/>
        <w:numPr>
          <w:ilvl w:val="0"/>
          <w:numId w:val="8"/>
        </w:numPr>
        <w:tabs>
          <w:tab w:pos="452" w:val="left" w:leader="none"/>
        </w:tabs>
        <w:spacing w:line="480" w:lineRule="auto" w:before="10" w:after="0"/>
        <w:ind w:left="463" w:right="103" w:hanging="360"/>
        <w:jc w:val="both"/>
        <w:rPr>
          <w:sz w:val="24"/>
        </w:rPr>
      </w:pPr>
      <w:r>
        <w:rPr>
          <w:sz w:val="24"/>
        </w:rPr>
        <w:t>Cipriano RC. </w:t>
      </w:r>
      <w:r>
        <w:rPr>
          <w:i/>
          <w:sz w:val="24"/>
        </w:rPr>
        <w:t>Aeromonas hydrophila </w:t>
      </w:r>
      <w:r>
        <w:rPr>
          <w:sz w:val="24"/>
        </w:rPr>
        <w:t>and motile aeromonad septicemias of fish. Fish Dis Leaflet. 2001;</w:t>
      </w:r>
      <w:r>
        <w:rPr>
          <w:spacing w:val="-5"/>
          <w:sz w:val="24"/>
        </w:rPr>
        <w:t> </w:t>
      </w:r>
      <w:r>
        <w:rPr>
          <w:sz w:val="24"/>
        </w:rPr>
        <w:t>68:1-25.</w:t>
      </w:r>
    </w:p>
    <w:p>
      <w:pPr>
        <w:pStyle w:val="ListParagraph"/>
        <w:numPr>
          <w:ilvl w:val="0"/>
          <w:numId w:val="8"/>
        </w:numPr>
        <w:tabs>
          <w:tab w:pos="452" w:val="left" w:leader="none"/>
        </w:tabs>
        <w:spacing w:line="480" w:lineRule="auto" w:before="10" w:after="0"/>
        <w:ind w:left="463" w:right="100" w:hanging="360"/>
        <w:jc w:val="both"/>
        <w:rPr>
          <w:sz w:val="24"/>
        </w:rPr>
      </w:pPr>
      <w:r>
        <w:rPr>
          <w:sz w:val="24"/>
        </w:rPr>
        <w:t>Cízek A, Dolejská M, Sochorová R, Strachotová K, Piacková V, Veselý T. Antimicrobial resistance and its genetic determinants in aeromonads isolated in ornamental (koi) carp (</w:t>
      </w:r>
      <w:r>
        <w:rPr>
          <w:i/>
          <w:sz w:val="24"/>
        </w:rPr>
        <w:t>Cyprinus carpio koi</w:t>
      </w:r>
      <w:r>
        <w:rPr>
          <w:sz w:val="24"/>
        </w:rPr>
        <w:t>) and common carp (</w:t>
      </w:r>
      <w:r>
        <w:rPr>
          <w:i/>
          <w:sz w:val="24"/>
        </w:rPr>
        <w:t>Cyprinus carpio</w:t>
      </w:r>
      <w:r>
        <w:rPr>
          <w:sz w:val="24"/>
        </w:rPr>
        <w:t>). Vet Microbiol. 2010; 142:435- 439.</w:t>
      </w:r>
    </w:p>
    <w:p>
      <w:pPr>
        <w:pStyle w:val="ListParagraph"/>
        <w:numPr>
          <w:ilvl w:val="0"/>
          <w:numId w:val="8"/>
        </w:numPr>
        <w:tabs>
          <w:tab w:pos="452" w:val="left" w:leader="none"/>
        </w:tabs>
        <w:spacing w:line="480" w:lineRule="auto" w:before="10" w:after="0"/>
        <w:ind w:left="463" w:right="103" w:hanging="360"/>
        <w:jc w:val="both"/>
        <w:rPr>
          <w:sz w:val="24"/>
        </w:rPr>
      </w:pPr>
      <w:r>
        <w:rPr>
          <w:sz w:val="24"/>
        </w:rPr>
        <w:t>Constantino CF, Armijo OA, Osorio SD, Chávez SLA. Infección por </w:t>
      </w:r>
      <w:r>
        <w:rPr>
          <w:i/>
          <w:sz w:val="24"/>
        </w:rPr>
        <w:t>Aeromonas hydrophila </w:t>
      </w:r>
      <w:r>
        <w:rPr>
          <w:sz w:val="24"/>
        </w:rPr>
        <w:t>e </w:t>
      </w:r>
      <w:r>
        <w:rPr>
          <w:i/>
          <w:sz w:val="24"/>
        </w:rPr>
        <w:t>Ichthyophthirius miltifiliis </w:t>
      </w:r>
      <w:r>
        <w:rPr>
          <w:sz w:val="24"/>
        </w:rPr>
        <w:t>en trucha y tilapia de un centro de acopio de Morelos, México. Estudio patológico. Vet Méx. 1997;</w:t>
      </w:r>
      <w:r>
        <w:rPr>
          <w:spacing w:val="-5"/>
          <w:sz w:val="24"/>
        </w:rPr>
        <w:t> </w:t>
      </w:r>
      <w:r>
        <w:rPr>
          <w:sz w:val="24"/>
        </w:rPr>
        <w:t>28:59-62.</w:t>
      </w:r>
    </w:p>
    <w:p>
      <w:pPr>
        <w:pStyle w:val="ListParagraph"/>
        <w:numPr>
          <w:ilvl w:val="0"/>
          <w:numId w:val="8"/>
        </w:numPr>
        <w:tabs>
          <w:tab w:pos="452" w:val="left" w:leader="none"/>
        </w:tabs>
        <w:spacing w:line="480" w:lineRule="auto" w:before="10" w:after="0"/>
        <w:ind w:left="463" w:right="101" w:hanging="360"/>
        <w:jc w:val="both"/>
        <w:rPr>
          <w:sz w:val="24"/>
        </w:rPr>
      </w:pPr>
      <w:r>
        <w:rPr>
          <w:sz w:val="24"/>
        </w:rPr>
        <w:t>Cremonesini D, Thomson A. Lung colonization with </w:t>
      </w:r>
      <w:r>
        <w:rPr>
          <w:i/>
          <w:sz w:val="24"/>
        </w:rPr>
        <w:t>Aeromonas hydrophila </w:t>
      </w:r>
      <w:r>
        <w:rPr>
          <w:sz w:val="24"/>
        </w:rPr>
        <w:t>in cystic fibrosis believed to have come from a tropical fish tank. J R Soc Med. 2008;</w:t>
      </w:r>
      <w:r>
        <w:rPr>
          <w:spacing w:val="-9"/>
          <w:sz w:val="24"/>
        </w:rPr>
        <w:t> </w:t>
      </w:r>
      <w:r>
        <w:rPr>
          <w:sz w:val="24"/>
        </w:rPr>
        <w:t>101:S44-45.</w:t>
      </w:r>
    </w:p>
    <w:p>
      <w:pPr>
        <w:pStyle w:val="ListParagraph"/>
        <w:numPr>
          <w:ilvl w:val="0"/>
          <w:numId w:val="8"/>
        </w:numPr>
        <w:tabs>
          <w:tab w:pos="452" w:val="left" w:leader="none"/>
        </w:tabs>
        <w:spacing w:line="480" w:lineRule="auto" w:before="10" w:after="0"/>
        <w:ind w:left="463" w:right="105" w:hanging="360"/>
        <w:jc w:val="both"/>
        <w:rPr>
          <w:sz w:val="24"/>
        </w:rPr>
      </w:pPr>
      <w:r>
        <w:rPr>
          <w:sz w:val="24"/>
        </w:rPr>
        <w:t>Dallaire-Dufresne S, Tanaka KH, Trudel MV, Lafaille A, Charette SJ. Virulence, genomic features, and plasticity of </w:t>
      </w:r>
      <w:r>
        <w:rPr>
          <w:i/>
          <w:sz w:val="24"/>
        </w:rPr>
        <w:t>Aeromonas salmonicida </w:t>
      </w:r>
      <w:r>
        <w:rPr>
          <w:sz w:val="24"/>
        </w:rPr>
        <w:t>subsp. salmonicida, the causative agent of fish furunculosis. Vet Microbiol. 2013;</w:t>
      </w:r>
      <w:r>
        <w:rPr>
          <w:spacing w:val="-4"/>
          <w:sz w:val="24"/>
        </w:rPr>
        <w:t> </w:t>
      </w:r>
      <w:r>
        <w:rPr>
          <w:sz w:val="24"/>
        </w:rPr>
        <w:t>8S0378-1135:00340-00344.</w:t>
      </w:r>
    </w:p>
    <w:p>
      <w:pPr>
        <w:pStyle w:val="ListParagraph"/>
        <w:numPr>
          <w:ilvl w:val="0"/>
          <w:numId w:val="8"/>
        </w:numPr>
        <w:tabs>
          <w:tab w:pos="452" w:val="left" w:leader="none"/>
        </w:tabs>
        <w:spacing w:line="480" w:lineRule="auto" w:before="10" w:after="0"/>
        <w:ind w:left="463" w:right="102" w:hanging="360"/>
        <w:jc w:val="both"/>
        <w:rPr>
          <w:sz w:val="24"/>
        </w:rPr>
      </w:pPr>
      <w:r>
        <w:rPr>
          <w:sz w:val="24"/>
        </w:rPr>
        <w:t>Dalmo RA, Ingebrigtsen K, Bøgwald J. Non-specific defense mechanisms in fish, with particular reference to the reticuloendothelial system (RES). J Fish Dis. 1997;</w:t>
      </w:r>
      <w:r>
        <w:rPr>
          <w:spacing w:val="-11"/>
          <w:sz w:val="24"/>
        </w:rPr>
        <w:t> </w:t>
      </w:r>
      <w:r>
        <w:rPr>
          <w:sz w:val="24"/>
        </w:rPr>
        <w:t>20:241-273.</w:t>
      </w:r>
    </w:p>
    <w:p>
      <w:pPr>
        <w:pStyle w:val="ListParagraph"/>
        <w:numPr>
          <w:ilvl w:val="0"/>
          <w:numId w:val="8"/>
        </w:numPr>
        <w:tabs>
          <w:tab w:pos="452" w:val="left" w:leader="none"/>
        </w:tabs>
        <w:spacing w:line="480" w:lineRule="auto" w:before="11" w:after="0"/>
        <w:ind w:left="463" w:right="103" w:hanging="360"/>
        <w:jc w:val="both"/>
        <w:rPr>
          <w:sz w:val="24"/>
        </w:rPr>
      </w:pPr>
      <w:r>
        <w:rPr>
          <w:sz w:val="24"/>
        </w:rPr>
        <w:t>Demarta A, Küpfer M, Riegel P, Harf-Monteil C, Tonolla M, Peduzzi R, Monera A, Saavedra MJ, Martínez-Murcia A. </w:t>
      </w:r>
      <w:r>
        <w:rPr>
          <w:i/>
          <w:sz w:val="24"/>
        </w:rPr>
        <w:t>Aeromonas tecta </w:t>
      </w:r>
      <w:r>
        <w:rPr>
          <w:sz w:val="24"/>
        </w:rPr>
        <w:t>sp. nov., isolated from clinical and environmental sources. Syst Appl Microbiol. 2008; 31:</w:t>
      </w:r>
      <w:r>
        <w:rPr>
          <w:spacing w:val="-5"/>
          <w:sz w:val="24"/>
        </w:rPr>
        <w:t> </w:t>
      </w:r>
      <w:r>
        <w:rPr>
          <w:sz w:val="24"/>
        </w:rPr>
        <w:t>278-286.</w:t>
      </w:r>
    </w:p>
    <w:p>
      <w:pPr>
        <w:spacing w:after="0" w:line="480" w:lineRule="auto"/>
        <w:jc w:val="both"/>
        <w:rPr>
          <w:sz w:val="24"/>
        </w:rPr>
        <w:sectPr>
          <w:pgSz w:w="12240" w:h="15840"/>
          <w:pgMar w:header="0" w:footer="695" w:top="1080" w:bottom="940" w:left="1560" w:right="1200"/>
        </w:sectPr>
      </w:pPr>
    </w:p>
    <w:p>
      <w:pPr>
        <w:pStyle w:val="ListParagraph"/>
        <w:numPr>
          <w:ilvl w:val="0"/>
          <w:numId w:val="8"/>
        </w:numPr>
        <w:tabs>
          <w:tab w:pos="452" w:val="left" w:leader="none"/>
        </w:tabs>
        <w:spacing w:line="480" w:lineRule="auto" w:before="44" w:after="0"/>
        <w:ind w:left="463" w:right="100" w:hanging="360"/>
        <w:jc w:val="both"/>
        <w:rPr>
          <w:sz w:val="24"/>
        </w:rPr>
      </w:pPr>
      <w:r>
        <w:rPr>
          <w:sz w:val="24"/>
        </w:rPr>
        <w:t>Figueras MJ, Alperi A, Beaz-Hidalgo R, Stackebrandt E, Brambilla E, Monera A, Martínez- Murcia AJ. </w:t>
      </w:r>
      <w:r>
        <w:rPr>
          <w:i/>
          <w:sz w:val="24"/>
        </w:rPr>
        <w:t>Aeromonas rivuli </w:t>
      </w:r>
      <w:r>
        <w:rPr>
          <w:sz w:val="24"/>
        </w:rPr>
        <w:t>sp. nov., isolated from the upstream region of a karst water rivulet. Int J Syst Evol Microbiol. 2011; 61:</w:t>
      </w:r>
      <w:r>
        <w:rPr>
          <w:spacing w:val="-6"/>
          <w:sz w:val="24"/>
        </w:rPr>
        <w:t> </w:t>
      </w:r>
      <w:r>
        <w:rPr>
          <w:sz w:val="24"/>
        </w:rPr>
        <w:t>242-248.</w:t>
      </w:r>
    </w:p>
    <w:p>
      <w:pPr>
        <w:pStyle w:val="ListParagraph"/>
        <w:numPr>
          <w:ilvl w:val="0"/>
          <w:numId w:val="8"/>
        </w:numPr>
        <w:tabs>
          <w:tab w:pos="452" w:val="left" w:leader="none"/>
        </w:tabs>
        <w:spacing w:line="480" w:lineRule="auto" w:before="10" w:after="0"/>
        <w:ind w:left="463" w:right="100" w:hanging="360"/>
        <w:jc w:val="both"/>
        <w:rPr>
          <w:sz w:val="24"/>
        </w:rPr>
      </w:pPr>
      <w:r>
        <w:rPr>
          <w:sz w:val="24"/>
        </w:rPr>
        <w:t>Fuentes RJM, Pérez HJA. Aislamiento de </w:t>
      </w:r>
      <w:r>
        <w:rPr>
          <w:i/>
          <w:sz w:val="24"/>
        </w:rPr>
        <w:t>Aeromonas hydrophila </w:t>
      </w:r>
      <w:r>
        <w:rPr>
          <w:sz w:val="24"/>
        </w:rPr>
        <w:t>en truchas Arcoíris (</w:t>
      </w:r>
      <w:r>
        <w:rPr>
          <w:i/>
          <w:sz w:val="24"/>
        </w:rPr>
        <w:t>Oncorhynchus mykiss</w:t>
      </w:r>
      <w:r>
        <w:rPr>
          <w:sz w:val="24"/>
        </w:rPr>
        <w:t>). Vet Méx. 1998;</w:t>
      </w:r>
      <w:r>
        <w:rPr>
          <w:spacing w:val="-5"/>
          <w:sz w:val="24"/>
        </w:rPr>
        <w:t> </w:t>
      </w:r>
      <w:r>
        <w:rPr>
          <w:sz w:val="24"/>
        </w:rPr>
        <w:t>29:117-119.</w:t>
      </w:r>
    </w:p>
    <w:p>
      <w:pPr>
        <w:pStyle w:val="ListParagraph"/>
        <w:numPr>
          <w:ilvl w:val="0"/>
          <w:numId w:val="8"/>
        </w:numPr>
        <w:tabs>
          <w:tab w:pos="452" w:val="left" w:leader="none"/>
        </w:tabs>
        <w:spacing w:line="480" w:lineRule="auto" w:before="10" w:after="0"/>
        <w:ind w:left="463" w:right="99" w:hanging="360"/>
        <w:jc w:val="both"/>
        <w:rPr>
          <w:sz w:val="24"/>
        </w:rPr>
      </w:pPr>
      <w:r>
        <w:rPr>
          <w:sz w:val="24"/>
        </w:rPr>
        <w:t>Garduño RA y Kay WW. Interaction of the fish pathogen </w:t>
      </w:r>
      <w:r>
        <w:rPr>
          <w:i/>
          <w:sz w:val="24"/>
        </w:rPr>
        <w:t>Aeromonas salmonicida </w:t>
      </w:r>
      <w:r>
        <w:rPr>
          <w:sz w:val="24"/>
        </w:rPr>
        <w:t>whit rainbow trout macrophages. Infect Immun. 1992;</w:t>
      </w:r>
      <w:r>
        <w:rPr>
          <w:spacing w:val="-9"/>
          <w:sz w:val="24"/>
        </w:rPr>
        <w:t> </w:t>
      </w:r>
      <w:r>
        <w:rPr>
          <w:sz w:val="24"/>
        </w:rPr>
        <w:t>860:4612-4620.</w:t>
      </w:r>
    </w:p>
    <w:p>
      <w:pPr>
        <w:pStyle w:val="ListParagraph"/>
        <w:numPr>
          <w:ilvl w:val="0"/>
          <w:numId w:val="8"/>
        </w:numPr>
        <w:tabs>
          <w:tab w:pos="452" w:val="left" w:leader="none"/>
        </w:tabs>
        <w:spacing w:line="480" w:lineRule="auto" w:before="11" w:after="0"/>
        <w:ind w:left="463" w:right="101" w:hanging="360"/>
        <w:jc w:val="both"/>
        <w:rPr>
          <w:sz w:val="24"/>
        </w:rPr>
      </w:pPr>
      <w:r>
        <w:rPr>
          <w:sz w:val="24"/>
        </w:rPr>
        <w:t>González MJ, Villanueva MP, Latif F, Fernández F, Fernández H. Aislamiento de </w:t>
      </w:r>
      <w:r>
        <w:rPr>
          <w:i/>
          <w:sz w:val="24"/>
        </w:rPr>
        <w:t>Plesiomonas shigelloides </w:t>
      </w:r>
      <w:r>
        <w:rPr>
          <w:sz w:val="24"/>
        </w:rPr>
        <w:t>y </w:t>
      </w:r>
      <w:r>
        <w:rPr>
          <w:i/>
          <w:sz w:val="24"/>
        </w:rPr>
        <w:t>Aeromonas veronii </w:t>
      </w:r>
      <w:r>
        <w:rPr>
          <w:sz w:val="24"/>
        </w:rPr>
        <w:t>biotipo sobria en heces de lobo marino común sudamericano, </w:t>
      </w:r>
      <w:r>
        <w:rPr>
          <w:i/>
          <w:sz w:val="24"/>
        </w:rPr>
        <w:t>Otaria flavescens </w:t>
      </w:r>
      <w:r>
        <w:rPr>
          <w:sz w:val="24"/>
        </w:rPr>
        <w:t>(Shaw, 1800). Rev Biol Mar Oceanogr. 2009; 44:763-765.</w:t>
      </w:r>
    </w:p>
    <w:p>
      <w:pPr>
        <w:pStyle w:val="ListParagraph"/>
        <w:numPr>
          <w:ilvl w:val="0"/>
          <w:numId w:val="8"/>
        </w:numPr>
        <w:tabs>
          <w:tab w:pos="452" w:val="left" w:leader="none"/>
        </w:tabs>
        <w:spacing w:line="480" w:lineRule="auto" w:before="10" w:after="0"/>
        <w:ind w:left="463" w:right="102" w:hanging="360"/>
        <w:jc w:val="both"/>
        <w:rPr>
          <w:sz w:val="24"/>
        </w:rPr>
      </w:pPr>
      <w:r>
        <w:rPr>
          <w:sz w:val="24"/>
        </w:rPr>
        <w:t>Gudmundsdóttir S, Lange S, Magnadóttir B, Gudmundsóttir BK. Protection against atypical furunculosis in Atlantic halibut, </w:t>
      </w:r>
      <w:r>
        <w:rPr>
          <w:i/>
          <w:sz w:val="24"/>
        </w:rPr>
        <w:t>Hippoglossus hippoglossus </w:t>
      </w:r>
      <w:r>
        <w:rPr>
          <w:sz w:val="24"/>
        </w:rPr>
        <w:t>(L.); comparison of a commercial furunculosis vaccine and autogenous vaccine. J Fish Dis. 2003;</w:t>
      </w:r>
      <w:r>
        <w:rPr>
          <w:spacing w:val="-9"/>
          <w:sz w:val="24"/>
        </w:rPr>
        <w:t> </w:t>
      </w:r>
      <w:r>
        <w:rPr>
          <w:sz w:val="24"/>
        </w:rPr>
        <w:t>26:331-338.</w:t>
      </w:r>
    </w:p>
    <w:p>
      <w:pPr>
        <w:pStyle w:val="ListParagraph"/>
        <w:numPr>
          <w:ilvl w:val="0"/>
          <w:numId w:val="8"/>
        </w:numPr>
        <w:tabs>
          <w:tab w:pos="452" w:val="left" w:leader="none"/>
        </w:tabs>
        <w:spacing w:line="240" w:lineRule="auto" w:before="10" w:after="0"/>
        <w:ind w:left="451" w:right="0" w:hanging="348"/>
        <w:jc w:val="left"/>
        <w:rPr>
          <w:sz w:val="24"/>
        </w:rPr>
      </w:pPr>
      <w:r>
        <w:rPr>
          <w:sz w:val="24"/>
        </w:rPr>
        <w:t>Guevara  DJM,  Huamaní  C,  Zerpa  R,  Valencia  E,  José  MM,  Guevara  G,  Anaya    </w:t>
      </w:r>
      <w:r>
        <w:rPr>
          <w:spacing w:val="23"/>
          <w:sz w:val="24"/>
        </w:rPr>
        <w:t> </w:t>
      </w:r>
      <w:r>
        <w:rPr>
          <w:sz w:val="24"/>
        </w:rPr>
        <w:t>M.</w:t>
      </w:r>
    </w:p>
    <w:p>
      <w:pPr>
        <w:pStyle w:val="BodyText"/>
      </w:pPr>
    </w:p>
    <w:p>
      <w:pPr>
        <w:pStyle w:val="BodyText"/>
        <w:ind w:left="445" w:right="342"/>
        <w:jc w:val="center"/>
      </w:pPr>
      <w:r>
        <w:rPr>
          <w:i/>
        </w:rPr>
        <w:t>Aeromonas </w:t>
      </w:r>
      <w:r>
        <w:rPr/>
        <w:t>en la diarrea aguda de niños menores de 5 años. An Fac Med. 2002; 63:41-45.</w:t>
      </w:r>
    </w:p>
    <w:p>
      <w:pPr>
        <w:pStyle w:val="BodyText"/>
      </w:pPr>
    </w:p>
    <w:p>
      <w:pPr>
        <w:pStyle w:val="ListParagraph"/>
        <w:numPr>
          <w:ilvl w:val="0"/>
          <w:numId w:val="8"/>
        </w:numPr>
        <w:tabs>
          <w:tab w:pos="452" w:val="left" w:leader="none"/>
        </w:tabs>
        <w:spacing w:line="480" w:lineRule="auto" w:before="0" w:after="0"/>
        <w:ind w:left="463" w:right="101" w:hanging="360"/>
        <w:jc w:val="both"/>
        <w:rPr>
          <w:sz w:val="24"/>
        </w:rPr>
      </w:pPr>
      <w:r>
        <w:rPr>
          <w:sz w:val="24"/>
        </w:rPr>
        <w:t>Han H-J, Kim D-Y, Kim W-S, Jung S-J, Oh M-J, Kim D-H. Atypical </w:t>
      </w:r>
      <w:r>
        <w:rPr>
          <w:i/>
          <w:sz w:val="24"/>
        </w:rPr>
        <w:t>Aeromonas </w:t>
      </w:r>
      <w:r>
        <w:rPr>
          <w:i/>
          <w:sz w:val="24"/>
        </w:rPr>
        <w:t>salmonicida </w:t>
      </w:r>
      <w:r>
        <w:rPr>
          <w:sz w:val="24"/>
        </w:rPr>
        <w:t>infection in the black rockfish, </w:t>
      </w:r>
      <w:r>
        <w:rPr>
          <w:i/>
          <w:sz w:val="24"/>
        </w:rPr>
        <w:t>Sebastes schlegeli Hilgendorf</w:t>
      </w:r>
      <w:r>
        <w:rPr>
          <w:sz w:val="24"/>
        </w:rPr>
        <w:t>, in Korea. J Fish Dis. 2011;</w:t>
      </w:r>
      <w:r>
        <w:rPr>
          <w:spacing w:val="-2"/>
          <w:sz w:val="24"/>
        </w:rPr>
        <w:t> </w:t>
      </w:r>
      <w:r>
        <w:rPr>
          <w:sz w:val="24"/>
        </w:rPr>
        <w:t>34:47-55.</w:t>
      </w:r>
    </w:p>
    <w:p>
      <w:pPr>
        <w:pStyle w:val="ListParagraph"/>
        <w:numPr>
          <w:ilvl w:val="0"/>
          <w:numId w:val="8"/>
        </w:numPr>
        <w:tabs>
          <w:tab w:pos="452" w:val="left" w:leader="none"/>
        </w:tabs>
        <w:spacing w:line="480" w:lineRule="auto" w:before="11" w:after="0"/>
        <w:ind w:left="463" w:right="105" w:hanging="360"/>
        <w:jc w:val="both"/>
        <w:rPr>
          <w:sz w:val="24"/>
        </w:rPr>
      </w:pPr>
      <w:r>
        <w:rPr>
          <w:sz w:val="24"/>
        </w:rPr>
        <w:t>Harf-Monteil C, Le Flèche A, Riegel P, Prévost G, Bermond D, Patrick AD, Monteil G, Monteil H. </w:t>
      </w:r>
      <w:r>
        <w:rPr>
          <w:i/>
          <w:sz w:val="24"/>
        </w:rPr>
        <w:t>Aeromonas simiae </w:t>
      </w:r>
      <w:r>
        <w:rPr>
          <w:sz w:val="24"/>
        </w:rPr>
        <w:t>sp. nov., isolated from monkey faeces. Int J Syst Evol Microbiol. 2004; 54:</w:t>
      </w:r>
      <w:r>
        <w:rPr>
          <w:spacing w:val="-1"/>
          <w:sz w:val="24"/>
        </w:rPr>
        <w:t> </w:t>
      </w:r>
      <w:r>
        <w:rPr>
          <w:sz w:val="24"/>
        </w:rPr>
        <w:t>481-485.</w:t>
      </w:r>
    </w:p>
    <w:p>
      <w:pPr>
        <w:spacing w:after="0" w:line="480" w:lineRule="auto"/>
        <w:jc w:val="both"/>
        <w:rPr>
          <w:sz w:val="24"/>
        </w:rPr>
        <w:sectPr>
          <w:pgSz w:w="12240" w:h="15840"/>
          <w:pgMar w:header="0" w:footer="695" w:top="1080" w:bottom="940" w:left="1560" w:right="1200"/>
        </w:sectPr>
      </w:pPr>
    </w:p>
    <w:p>
      <w:pPr>
        <w:pStyle w:val="ListParagraph"/>
        <w:numPr>
          <w:ilvl w:val="0"/>
          <w:numId w:val="8"/>
        </w:numPr>
        <w:tabs>
          <w:tab w:pos="452" w:val="left" w:leader="none"/>
        </w:tabs>
        <w:spacing w:line="480" w:lineRule="auto" w:before="44" w:after="0"/>
        <w:ind w:left="463" w:right="104" w:hanging="360"/>
        <w:jc w:val="both"/>
        <w:rPr>
          <w:sz w:val="24"/>
        </w:rPr>
      </w:pPr>
      <w:r>
        <w:rPr>
          <w:sz w:val="24"/>
        </w:rPr>
        <w:t>Havelaar AH, During M, Versteegh JF. Ampicillin-dextrin agar medium for the enumeration of </w:t>
      </w:r>
      <w:r>
        <w:rPr>
          <w:i/>
          <w:sz w:val="24"/>
        </w:rPr>
        <w:t>Aeromonas </w:t>
      </w:r>
      <w:r>
        <w:rPr>
          <w:sz w:val="24"/>
        </w:rPr>
        <w:t>species in water by membrane filtration. J Appl Bacteriol. 1987; 62:</w:t>
      </w:r>
      <w:r>
        <w:rPr>
          <w:spacing w:val="-10"/>
          <w:sz w:val="24"/>
        </w:rPr>
        <w:t> </w:t>
      </w:r>
      <w:r>
        <w:rPr>
          <w:sz w:val="24"/>
        </w:rPr>
        <w:t>279-287.</w:t>
      </w:r>
    </w:p>
    <w:p>
      <w:pPr>
        <w:pStyle w:val="ListParagraph"/>
        <w:numPr>
          <w:ilvl w:val="0"/>
          <w:numId w:val="8"/>
        </w:numPr>
        <w:tabs>
          <w:tab w:pos="452" w:val="left" w:leader="none"/>
        </w:tabs>
        <w:spacing w:line="480" w:lineRule="auto" w:before="10" w:after="0"/>
        <w:ind w:left="463" w:right="101" w:hanging="360"/>
        <w:jc w:val="both"/>
        <w:rPr>
          <w:sz w:val="24"/>
        </w:rPr>
      </w:pPr>
      <w:r>
        <w:rPr>
          <w:sz w:val="24"/>
        </w:rPr>
        <w:t>Hickman-Brenner FW, Fanning GR, Arduino MJ, Brenner DJ, Farmer JJ 3rd. </w:t>
      </w:r>
      <w:r>
        <w:rPr>
          <w:i/>
          <w:sz w:val="24"/>
        </w:rPr>
        <w:t>Aeromonas </w:t>
      </w:r>
      <w:r>
        <w:rPr>
          <w:i/>
          <w:sz w:val="24"/>
        </w:rPr>
        <w:t>schubertii</w:t>
      </w:r>
      <w:r>
        <w:rPr>
          <w:sz w:val="24"/>
        </w:rPr>
        <w:t>, a new mannitol-negative species found in human clinical specimens. J Clin Microbiol. 1988; 26:</w:t>
      </w:r>
      <w:r>
        <w:rPr>
          <w:spacing w:val="-1"/>
          <w:sz w:val="24"/>
        </w:rPr>
        <w:t> </w:t>
      </w:r>
      <w:r>
        <w:rPr>
          <w:sz w:val="24"/>
        </w:rPr>
        <w:t>1561-1564.</w:t>
      </w:r>
    </w:p>
    <w:p>
      <w:pPr>
        <w:pStyle w:val="ListParagraph"/>
        <w:numPr>
          <w:ilvl w:val="0"/>
          <w:numId w:val="8"/>
        </w:numPr>
        <w:tabs>
          <w:tab w:pos="452" w:val="left" w:leader="none"/>
        </w:tabs>
        <w:spacing w:line="480" w:lineRule="auto" w:before="10" w:after="0"/>
        <w:ind w:left="463" w:right="99" w:hanging="360"/>
        <w:jc w:val="both"/>
        <w:rPr>
          <w:sz w:val="24"/>
        </w:rPr>
      </w:pPr>
      <w:r>
        <w:rPr>
          <w:sz w:val="24"/>
        </w:rPr>
        <w:t>Hiney M, Smith P, Bernoth Eva- María. Covert </w:t>
      </w:r>
      <w:r>
        <w:rPr>
          <w:i/>
          <w:sz w:val="24"/>
        </w:rPr>
        <w:t>Aeromonas salmonicida </w:t>
      </w:r>
      <w:r>
        <w:rPr>
          <w:sz w:val="24"/>
        </w:rPr>
        <w:t>Infections. In: Anderson DP, Aoki T, Bernoth Eva- María, Ellis AE, editors. Furunculosis. United States of America: Academic Press Ltd,</w:t>
      </w:r>
      <w:r>
        <w:rPr>
          <w:spacing w:val="-8"/>
          <w:sz w:val="24"/>
        </w:rPr>
        <w:t> </w:t>
      </w:r>
      <w:r>
        <w:rPr>
          <w:sz w:val="24"/>
        </w:rPr>
        <w:t>1997:54-97.</w:t>
      </w:r>
    </w:p>
    <w:p>
      <w:pPr>
        <w:pStyle w:val="ListParagraph"/>
        <w:numPr>
          <w:ilvl w:val="0"/>
          <w:numId w:val="8"/>
        </w:numPr>
        <w:tabs>
          <w:tab w:pos="452" w:val="left" w:leader="none"/>
        </w:tabs>
        <w:spacing w:line="480" w:lineRule="auto" w:before="10" w:after="0"/>
        <w:ind w:left="463" w:right="100" w:hanging="360"/>
        <w:jc w:val="both"/>
        <w:rPr>
          <w:sz w:val="24"/>
        </w:rPr>
      </w:pPr>
      <w:r>
        <w:rPr>
          <w:sz w:val="24"/>
        </w:rPr>
        <w:t>Holten-Andersen L, Dalsgaard I, Buchmann K. Baltic salmon, </w:t>
      </w:r>
      <w:r>
        <w:rPr>
          <w:i/>
          <w:sz w:val="24"/>
        </w:rPr>
        <w:t>Salmo salar</w:t>
      </w:r>
      <w:r>
        <w:rPr>
          <w:sz w:val="24"/>
        </w:rPr>
        <w:t>, from Swedish river Lule älv is more resistant to furunculosis compared to rainbow trout. PLoS One. 2012; 7:e29571.</w:t>
      </w:r>
    </w:p>
    <w:p>
      <w:pPr>
        <w:pStyle w:val="ListParagraph"/>
        <w:numPr>
          <w:ilvl w:val="0"/>
          <w:numId w:val="8"/>
        </w:numPr>
        <w:tabs>
          <w:tab w:pos="452" w:val="left" w:leader="none"/>
        </w:tabs>
        <w:spacing w:line="480" w:lineRule="auto" w:before="10" w:after="0"/>
        <w:ind w:left="463" w:right="102" w:hanging="360"/>
        <w:jc w:val="both"/>
        <w:rPr>
          <w:sz w:val="24"/>
        </w:rPr>
      </w:pPr>
      <w:r>
        <w:rPr>
          <w:sz w:val="24"/>
        </w:rPr>
        <w:t>Hoover GJ, el-Mowafi A, Simko E, Kocal TE, Ferguson HW, Hayes MA. Plasma proteins of rainbow trout (</w:t>
      </w:r>
      <w:r>
        <w:rPr>
          <w:i/>
          <w:sz w:val="24"/>
        </w:rPr>
        <w:t>Oncorhynchus mykiss</w:t>
      </w:r>
      <w:r>
        <w:rPr>
          <w:sz w:val="24"/>
        </w:rPr>
        <w:t>) isolated by binding to lipopolysaccharide from </w:t>
      </w:r>
      <w:r>
        <w:rPr>
          <w:i/>
          <w:sz w:val="24"/>
        </w:rPr>
        <w:t>Aeromonas salmonicida</w:t>
      </w:r>
      <w:r>
        <w:rPr>
          <w:sz w:val="24"/>
        </w:rPr>
        <w:t>. Comp Biochem Physiol B Biochem Mol Biol. 1998;</w:t>
      </w:r>
      <w:r>
        <w:rPr>
          <w:spacing w:val="-8"/>
          <w:sz w:val="24"/>
        </w:rPr>
        <w:t> </w:t>
      </w:r>
      <w:r>
        <w:rPr>
          <w:sz w:val="24"/>
        </w:rPr>
        <w:t>120:559-569.</w:t>
      </w:r>
    </w:p>
    <w:p>
      <w:pPr>
        <w:pStyle w:val="ListParagraph"/>
        <w:numPr>
          <w:ilvl w:val="0"/>
          <w:numId w:val="8"/>
        </w:numPr>
        <w:tabs>
          <w:tab w:pos="452" w:val="left" w:leader="none"/>
        </w:tabs>
        <w:spacing w:line="480" w:lineRule="auto" w:before="10" w:after="0"/>
        <w:ind w:left="463" w:right="101" w:hanging="360"/>
        <w:jc w:val="both"/>
        <w:rPr>
          <w:sz w:val="24"/>
        </w:rPr>
      </w:pPr>
      <w:r>
        <w:rPr>
          <w:sz w:val="24"/>
        </w:rPr>
        <w:t>Huber I, Spanggaard B, Appel KF, Rossen L, Nielsen T, Gram L. Phylogenetic analysis in situ identification of the intestinal microbial community of rainbow trout (</w:t>
      </w:r>
      <w:r>
        <w:rPr>
          <w:i/>
          <w:sz w:val="24"/>
        </w:rPr>
        <w:t>Oncorhynchus </w:t>
      </w:r>
      <w:r>
        <w:rPr>
          <w:i/>
          <w:sz w:val="24"/>
        </w:rPr>
        <w:t>mykiss</w:t>
      </w:r>
      <w:r>
        <w:rPr>
          <w:sz w:val="24"/>
        </w:rPr>
        <w:t>, Walbaum). J Appl Microbiol. 2004;</w:t>
      </w:r>
      <w:r>
        <w:rPr>
          <w:spacing w:val="-7"/>
          <w:sz w:val="24"/>
        </w:rPr>
        <w:t> </w:t>
      </w:r>
      <w:r>
        <w:rPr>
          <w:sz w:val="24"/>
        </w:rPr>
        <w:t>96:117-132.</w:t>
      </w:r>
    </w:p>
    <w:p>
      <w:pPr>
        <w:pStyle w:val="ListParagraph"/>
        <w:numPr>
          <w:ilvl w:val="0"/>
          <w:numId w:val="8"/>
        </w:numPr>
        <w:tabs>
          <w:tab w:pos="452" w:val="left" w:leader="none"/>
        </w:tabs>
        <w:spacing w:line="480" w:lineRule="auto" w:before="10" w:after="0"/>
        <w:ind w:left="463" w:right="99" w:hanging="360"/>
        <w:jc w:val="both"/>
        <w:rPr>
          <w:sz w:val="24"/>
        </w:rPr>
      </w:pPr>
      <w:r>
        <w:rPr>
          <w:sz w:val="24"/>
        </w:rPr>
        <w:t>Huys G, Kämpfer P, Altwegg M, Kersters I, Lamb A, Coopman R, Lüthy-Hottenstein J, Vancanneyt M, Janssen P, Kersters K. </w:t>
      </w:r>
      <w:r>
        <w:rPr>
          <w:i/>
          <w:sz w:val="24"/>
        </w:rPr>
        <w:t>Aeromonas popoffii </w:t>
      </w:r>
      <w:r>
        <w:rPr>
          <w:sz w:val="24"/>
        </w:rPr>
        <w:t>sp. nov., a mesophilic bacterium isolated from drinking water production plants and reservoirs. Int J Syst Bacteriol. 1997; 47: 1165-1171.</w:t>
      </w:r>
    </w:p>
    <w:p>
      <w:pPr>
        <w:pStyle w:val="ListParagraph"/>
        <w:numPr>
          <w:ilvl w:val="0"/>
          <w:numId w:val="8"/>
        </w:numPr>
        <w:tabs>
          <w:tab w:pos="452" w:val="left" w:leader="none"/>
        </w:tabs>
        <w:spacing w:line="480" w:lineRule="auto" w:before="10" w:after="0"/>
        <w:ind w:left="463" w:right="110" w:hanging="360"/>
        <w:jc w:val="both"/>
        <w:rPr>
          <w:sz w:val="24"/>
        </w:rPr>
      </w:pPr>
      <w:r>
        <w:rPr>
          <w:sz w:val="24"/>
        </w:rPr>
        <w:t>Inglis V, Roberts RJ, Bromage NR. Bacterial Diseases of Fish. NY, Toronto: Halsted Press Wiley,</w:t>
      </w:r>
      <w:r>
        <w:rPr>
          <w:spacing w:val="-6"/>
          <w:sz w:val="24"/>
        </w:rPr>
        <w:t> </w:t>
      </w:r>
      <w:r>
        <w:rPr>
          <w:sz w:val="24"/>
        </w:rPr>
        <w:t>1993:122-155.</w:t>
      </w:r>
    </w:p>
    <w:p>
      <w:pPr>
        <w:spacing w:after="0" w:line="480" w:lineRule="auto"/>
        <w:jc w:val="both"/>
        <w:rPr>
          <w:sz w:val="24"/>
        </w:rPr>
        <w:sectPr>
          <w:pgSz w:w="12240" w:h="15840"/>
          <w:pgMar w:header="0" w:footer="695" w:top="1080" w:bottom="940" w:left="1560" w:right="1200"/>
        </w:sectPr>
      </w:pPr>
    </w:p>
    <w:p>
      <w:pPr>
        <w:pStyle w:val="ListParagraph"/>
        <w:numPr>
          <w:ilvl w:val="0"/>
          <w:numId w:val="8"/>
        </w:numPr>
        <w:tabs>
          <w:tab w:pos="452" w:val="left" w:leader="none"/>
        </w:tabs>
        <w:spacing w:line="480" w:lineRule="auto" w:before="44" w:after="0"/>
        <w:ind w:left="463" w:right="99" w:hanging="360"/>
        <w:jc w:val="both"/>
        <w:rPr>
          <w:sz w:val="24"/>
        </w:rPr>
      </w:pPr>
      <w:r>
        <w:rPr>
          <w:sz w:val="24"/>
        </w:rPr>
        <w:t>Isoken H. Igbinosa, Ehimario U. Igumbor, Farhad Aghdasi, </w:t>
      </w:r>
      <w:r>
        <w:rPr>
          <w:i/>
          <w:sz w:val="24"/>
        </w:rPr>
        <w:t>et al</w:t>
      </w:r>
      <w:r>
        <w:rPr>
          <w:sz w:val="24"/>
        </w:rPr>
        <w:t>. Emerging </w:t>
      </w:r>
      <w:r>
        <w:rPr>
          <w:i/>
          <w:sz w:val="24"/>
        </w:rPr>
        <w:t>Aeromonas </w:t>
      </w:r>
      <w:r>
        <w:rPr>
          <w:sz w:val="24"/>
        </w:rPr>
        <w:t>species infections and their significance in public health. ScientificWorldJournal. 2012; 2012:1-13.</w:t>
      </w:r>
    </w:p>
    <w:p>
      <w:pPr>
        <w:pStyle w:val="ListParagraph"/>
        <w:numPr>
          <w:ilvl w:val="0"/>
          <w:numId w:val="8"/>
        </w:numPr>
        <w:tabs>
          <w:tab w:pos="452" w:val="left" w:leader="none"/>
        </w:tabs>
        <w:spacing w:line="480" w:lineRule="auto" w:before="10" w:after="0"/>
        <w:ind w:left="463" w:right="106" w:hanging="360"/>
        <w:jc w:val="both"/>
        <w:rPr>
          <w:sz w:val="24"/>
        </w:rPr>
      </w:pPr>
      <w:r>
        <w:rPr>
          <w:sz w:val="24"/>
        </w:rPr>
        <w:t>Janda JM. Recent advances in the study of the taxonomy, pathogenicity, and infectious syndromes associated with the genus </w:t>
      </w:r>
      <w:r>
        <w:rPr>
          <w:i/>
          <w:sz w:val="24"/>
        </w:rPr>
        <w:t>Aeromonas</w:t>
      </w:r>
      <w:r>
        <w:rPr>
          <w:sz w:val="24"/>
        </w:rPr>
        <w:t>. Clin Microbiol Rev. 1991;</w:t>
      </w:r>
      <w:r>
        <w:rPr>
          <w:spacing w:val="-11"/>
          <w:sz w:val="24"/>
        </w:rPr>
        <w:t> </w:t>
      </w:r>
      <w:r>
        <w:rPr>
          <w:sz w:val="24"/>
        </w:rPr>
        <w:t>4:397-410.</w:t>
      </w:r>
    </w:p>
    <w:p>
      <w:pPr>
        <w:pStyle w:val="ListParagraph"/>
        <w:numPr>
          <w:ilvl w:val="0"/>
          <w:numId w:val="8"/>
        </w:numPr>
        <w:tabs>
          <w:tab w:pos="452" w:val="left" w:leader="none"/>
        </w:tabs>
        <w:spacing w:line="480" w:lineRule="auto" w:before="10" w:after="0"/>
        <w:ind w:left="463" w:right="103" w:hanging="360"/>
        <w:jc w:val="both"/>
        <w:rPr>
          <w:sz w:val="24"/>
        </w:rPr>
      </w:pPr>
      <w:r>
        <w:rPr>
          <w:sz w:val="24"/>
        </w:rPr>
        <w:t>Janda JM, Abbott SL. The genus </w:t>
      </w:r>
      <w:r>
        <w:rPr>
          <w:i/>
          <w:sz w:val="24"/>
        </w:rPr>
        <w:t>Aeromonas</w:t>
      </w:r>
      <w:r>
        <w:rPr>
          <w:sz w:val="24"/>
        </w:rPr>
        <w:t>: taxonomy, pathogenicity, and Infection. Clin Microbiol Rev. 2010;</w:t>
      </w:r>
      <w:r>
        <w:rPr>
          <w:spacing w:val="-2"/>
          <w:sz w:val="24"/>
        </w:rPr>
        <w:t> </w:t>
      </w:r>
      <w:r>
        <w:rPr>
          <w:sz w:val="24"/>
        </w:rPr>
        <w:t>23:35-73.</w:t>
      </w:r>
    </w:p>
    <w:p>
      <w:pPr>
        <w:pStyle w:val="ListParagraph"/>
        <w:numPr>
          <w:ilvl w:val="0"/>
          <w:numId w:val="8"/>
        </w:numPr>
        <w:tabs>
          <w:tab w:pos="452" w:val="left" w:leader="none"/>
        </w:tabs>
        <w:spacing w:line="480" w:lineRule="auto" w:before="11" w:after="0"/>
        <w:ind w:left="463" w:right="106" w:hanging="360"/>
        <w:jc w:val="both"/>
        <w:rPr>
          <w:sz w:val="24"/>
        </w:rPr>
      </w:pPr>
      <w:r>
        <w:rPr>
          <w:sz w:val="24"/>
        </w:rPr>
        <w:t>John A, Hanson P, Hanson LA. Health maintenance and principal microbial diseases of cultured fishes. 3era ed. USA: Wiley- Blackwell. 2011;</w:t>
      </w:r>
      <w:r>
        <w:rPr>
          <w:spacing w:val="-9"/>
          <w:sz w:val="24"/>
        </w:rPr>
        <w:t> </w:t>
      </w:r>
      <w:r>
        <w:rPr>
          <w:sz w:val="24"/>
        </w:rPr>
        <w:t>293-300.</w:t>
      </w:r>
    </w:p>
    <w:p>
      <w:pPr>
        <w:pStyle w:val="ListParagraph"/>
        <w:numPr>
          <w:ilvl w:val="0"/>
          <w:numId w:val="8"/>
        </w:numPr>
        <w:tabs>
          <w:tab w:pos="452" w:val="left" w:leader="none"/>
        </w:tabs>
        <w:spacing w:line="480" w:lineRule="auto" w:before="10" w:after="0"/>
        <w:ind w:left="463" w:right="100" w:hanging="360"/>
        <w:jc w:val="both"/>
        <w:rPr>
          <w:sz w:val="24"/>
        </w:rPr>
      </w:pPr>
      <w:r>
        <w:rPr>
          <w:sz w:val="24"/>
        </w:rPr>
        <w:t>Jutfelt F, Olsen RE, Glette J, Ringø E, Sundell K. Translocation of viable </w:t>
      </w:r>
      <w:r>
        <w:rPr>
          <w:i/>
          <w:sz w:val="24"/>
        </w:rPr>
        <w:t>Aeromonas </w:t>
      </w:r>
      <w:r>
        <w:rPr>
          <w:i/>
          <w:sz w:val="24"/>
        </w:rPr>
        <w:t>salmonicida </w:t>
      </w:r>
      <w:r>
        <w:rPr>
          <w:sz w:val="24"/>
        </w:rPr>
        <w:t>across the intestine of rainbow trout, </w:t>
      </w:r>
      <w:r>
        <w:rPr>
          <w:i/>
          <w:sz w:val="24"/>
        </w:rPr>
        <w:t>Oncorhynchus mykiss </w:t>
      </w:r>
      <w:r>
        <w:rPr>
          <w:sz w:val="24"/>
        </w:rPr>
        <w:t>(Walbaum). J Fish Dis. 2006;</w:t>
      </w:r>
      <w:r>
        <w:rPr>
          <w:spacing w:val="-2"/>
          <w:sz w:val="24"/>
        </w:rPr>
        <w:t> </w:t>
      </w:r>
      <w:r>
        <w:rPr>
          <w:sz w:val="24"/>
        </w:rPr>
        <w:t>29:255-262.</w:t>
      </w:r>
    </w:p>
    <w:p>
      <w:pPr>
        <w:pStyle w:val="ListParagraph"/>
        <w:numPr>
          <w:ilvl w:val="0"/>
          <w:numId w:val="8"/>
        </w:numPr>
        <w:tabs>
          <w:tab w:pos="452" w:val="left" w:leader="none"/>
        </w:tabs>
        <w:spacing w:line="480" w:lineRule="auto" w:before="10" w:after="0"/>
        <w:ind w:left="463" w:right="106" w:hanging="360"/>
        <w:jc w:val="both"/>
        <w:rPr>
          <w:sz w:val="24"/>
        </w:rPr>
      </w:pPr>
      <w:r>
        <w:rPr>
          <w:sz w:val="24"/>
        </w:rPr>
        <w:t>Kinkelin P, Michel CH, Ghittino P. Tratado de las enfermedades de los peces. Zaragoza, España. Acribia S.A.</w:t>
      </w:r>
      <w:r>
        <w:rPr>
          <w:spacing w:val="-3"/>
          <w:sz w:val="24"/>
        </w:rPr>
        <w:t> </w:t>
      </w:r>
      <w:r>
        <w:rPr>
          <w:sz w:val="24"/>
        </w:rPr>
        <w:t>1991:88-89.</w:t>
      </w:r>
    </w:p>
    <w:p>
      <w:pPr>
        <w:pStyle w:val="ListParagraph"/>
        <w:numPr>
          <w:ilvl w:val="0"/>
          <w:numId w:val="8"/>
        </w:numPr>
        <w:tabs>
          <w:tab w:pos="452" w:val="left" w:leader="none"/>
        </w:tabs>
        <w:spacing w:line="480" w:lineRule="auto" w:before="10" w:after="0"/>
        <w:ind w:left="463" w:right="101" w:hanging="360"/>
        <w:jc w:val="both"/>
        <w:rPr>
          <w:sz w:val="24"/>
        </w:rPr>
      </w:pPr>
      <w:r>
        <w:rPr>
          <w:sz w:val="24"/>
        </w:rPr>
        <w:t>Kırkan Ş, Göksoy EÖ, Kaya O. Isolation and antimicrobial susceptibility of </w:t>
      </w:r>
      <w:r>
        <w:rPr>
          <w:i/>
          <w:sz w:val="24"/>
        </w:rPr>
        <w:t>Aeromonas </w:t>
      </w:r>
      <w:r>
        <w:rPr>
          <w:i/>
          <w:sz w:val="24"/>
        </w:rPr>
        <w:t>salmonicida </w:t>
      </w:r>
      <w:r>
        <w:rPr>
          <w:sz w:val="24"/>
        </w:rPr>
        <w:t>in rainbow trout (</w:t>
      </w:r>
      <w:r>
        <w:rPr>
          <w:i/>
          <w:sz w:val="24"/>
        </w:rPr>
        <w:t>Oncorhynchus mykiss</w:t>
      </w:r>
      <w:r>
        <w:rPr>
          <w:sz w:val="24"/>
        </w:rPr>
        <w:t>) in Turkey hatchery farms. J Vet Med. 2003;</w:t>
      </w:r>
      <w:r>
        <w:rPr>
          <w:spacing w:val="-3"/>
          <w:sz w:val="24"/>
        </w:rPr>
        <w:t> </w:t>
      </w:r>
      <w:r>
        <w:rPr>
          <w:sz w:val="24"/>
        </w:rPr>
        <w:t>B50:339-342.</w:t>
      </w:r>
    </w:p>
    <w:p>
      <w:pPr>
        <w:pStyle w:val="ListParagraph"/>
        <w:numPr>
          <w:ilvl w:val="0"/>
          <w:numId w:val="8"/>
        </w:numPr>
        <w:tabs>
          <w:tab w:pos="452" w:val="left" w:leader="none"/>
        </w:tabs>
        <w:spacing w:line="480" w:lineRule="auto" w:before="10" w:after="0"/>
        <w:ind w:left="463" w:right="100" w:hanging="360"/>
        <w:jc w:val="both"/>
        <w:rPr>
          <w:sz w:val="24"/>
        </w:rPr>
      </w:pPr>
      <w:r>
        <w:rPr>
          <w:sz w:val="24"/>
        </w:rPr>
        <w:t>Kozińska A, Figueras M J, Chacon M R, Soler L. Phenotypic characteristics and pathogenicity of </w:t>
      </w:r>
      <w:r>
        <w:rPr>
          <w:i/>
          <w:sz w:val="24"/>
        </w:rPr>
        <w:t>Aeromonas </w:t>
      </w:r>
      <w:r>
        <w:rPr>
          <w:sz w:val="24"/>
        </w:rPr>
        <w:t>genomospecies isolated from common carp (</w:t>
      </w:r>
      <w:r>
        <w:rPr>
          <w:i/>
          <w:sz w:val="24"/>
        </w:rPr>
        <w:t>Cyprinus carpio </w:t>
      </w:r>
      <w:r>
        <w:rPr>
          <w:sz w:val="24"/>
        </w:rPr>
        <w:t>L.). J Appl Microbiol. 2002;</w:t>
      </w:r>
      <w:r>
        <w:rPr>
          <w:spacing w:val="-4"/>
          <w:sz w:val="24"/>
        </w:rPr>
        <w:t> </w:t>
      </w:r>
      <w:r>
        <w:rPr>
          <w:sz w:val="24"/>
        </w:rPr>
        <w:t>93:1034-1041.</w:t>
      </w:r>
    </w:p>
    <w:p>
      <w:pPr>
        <w:pStyle w:val="ListParagraph"/>
        <w:numPr>
          <w:ilvl w:val="0"/>
          <w:numId w:val="8"/>
        </w:numPr>
        <w:tabs>
          <w:tab w:pos="452" w:val="left" w:leader="none"/>
        </w:tabs>
        <w:spacing w:line="480" w:lineRule="auto" w:before="10" w:after="0"/>
        <w:ind w:left="463" w:right="108" w:hanging="360"/>
        <w:jc w:val="both"/>
        <w:rPr>
          <w:sz w:val="24"/>
        </w:rPr>
      </w:pPr>
      <w:r>
        <w:rPr>
          <w:sz w:val="24"/>
        </w:rPr>
        <w:t>Kozińska A. Dominant pathogenic species of mesophilic Aeromonads isolated from diseased and healthy fish cultured in Poland. J Fish Dis. 2007;</w:t>
      </w:r>
      <w:r>
        <w:rPr>
          <w:spacing w:val="-6"/>
          <w:sz w:val="24"/>
        </w:rPr>
        <w:t> </w:t>
      </w:r>
      <w:r>
        <w:rPr>
          <w:sz w:val="24"/>
        </w:rPr>
        <w:t>30:293-301.</w:t>
      </w:r>
    </w:p>
    <w:p>
      <w:pPr>
        <w:spacing w:after="0" w:line="480" w:lineRule="auto"/>
        <w:jc w:val="both"/>
        <w:rPr>
          <w:sz w:val="24"/>
        </w:rPr>
        <w:sectPr>
          <w:pgSz w:w="12240" w:h="15840"/>
          <w:pgMar w:header="0" w:footer="695" w:top="1080" w:bottom="940" w:left="1560" w:right="1200"/>
        </w:sectPr>
      </w:pPr>
    </w:p>
    <w:p>
      <w:pPr>
        <w:pStyle w:val="ListParagraph"/>
        <w:numPr>
          <w:ilvl w:val="0"/>
          <w:numId w:val="8"/>
        </w:numPr>
        <w:tabs>
          <w:tab w:pos="452" w:val="left" w:leader="none"/>
        </w:tabs>
        <w:spacing w:line="480" w:lineRule="auto" w:before="44" w:after="0"/>
        <w:ind w:left="463" w:right="103" w:hanging="360"/>
        <w:jc w:val="both"/>
        <w:rPr>
          <w:sz w:val="24"/>
        </w:rPr>
      </w:pPr>
      <w:r>
        <w:rPr>
          <w:sz w:val="24"/>
        </w:rPr>
        <w:t>LaPatra SE, Plant KP, Alcorn S, Ostland V, Winton J. An experimental vaccine against </w:t>
      </w:r>
      <w:r>
        <w:rPr>
          <w:i/>
          <w:sz w:val="24"/>
        </w:rPr>
        <w:t>Aeromonas hydrophila </w:t>
      </w:r>
      <w:r>
        <w:rPr>
          <w:sz w:val="24"/>
        </w:rPr>
        <w:t>can induce protection in rainbow trout, </w:t>
      </w:r>
      <w:r>
        <w:rPr>
          <w:i/>
          <w:sz w:val="24"/>
        </w:rPr>
        <w:t>Oncorhynchus mykiss </w:t>
      </w:r>
      <w:r>
        <w:rPr>
          <w:sz w:val="24"/>
        </w:rPr>
        <w:t>(Walbaum). J Fish Dis. 2010;</w:t>
      </w:r>
      <w:r>
        <w:rPr>
          <w:spacing w:val="-3"/>
          <w:sz w:val="24"/>
        </w:rPr>
        <w:t> </w:t>
      </w:r>
      <w:r>
        <w:rPr>
          <w:sz w:val="24"/>
        </w:rPr>
        <w:t>33:143-151.</w:t>
      </w:r>
    </w:p>
    <w:p>
      <w:pPr>
        <w:pStyle w:val="ListParagraph"/>
        <w:numPr>
          <w:ilvl w:val="0"/>
          <w:numId w:val="8"/>
        </w:numPr>
        <w:tabs>
          <w:tab w:pos="452" w:val="left" w:leader="none"/>
        </w:tabs>
        <w:spacing w:line="480" w:lineRule="auto" w:before="10" w:after="0"/>
        <w:ind w:left="463" w:right="98" w:hanging="360"/>
        <w:jc w:val="both"/>
        <w:rPr>
          <w:sz w:val="24"/>
        </w:rPr>
      </w:pPr>
      <w:r>
        <w:rPr>
          <w:sz w:val="24"/>
        </w:rPr>
        <w:t>Lee C, Cho JC, Lee SH, Lee DG, Kim SJ. Distribution of </w:t>
      </w:r>
      <w:r>
        <w:rPr>
          <w:i/>
          <w:sz w:val="24"/>
        </w:rPr>
        <w:t>Aeromonas </w:t>
      </w:r>
      <w:r>
        <w:rPr>
          <w:sz w:val="24"/>
        </w:rPr>
        <w:t>spp. as identified by 16S rDNA restriction fragment length polymorphism analysis in a trout farm. J Appl Microbiol. 2002;</w:t>
      </w:r>
      <w:r>
        <w:rPr>
          <w:spacing w:val="-1"/>
          <w:sz w:val="24"/>
        </w:rPr>
        <w:t> </w:t>
      </w:r>
      <w:r>
        <w:rPr>
          <w:sz w:val="24"/>
        </w:rPr>
        <w:t>93:976-985.</w:t>
      </w:r>
    </w:p>
    <w:p>
      <w:pPr>
        <w:pStyle w:val="ListParagraph"/>
        <w:numPr>
          <w:ilvl w:val="0"/>
          <w:numId w:val="8"/>
        </w:numPr>
        <w:tabs>
          <w:tab w:pos="452" w:val="left" w:leader="none"/>
        </w:tabs>
        <w:spacing w:line="480" w:lineRule="auto" w:before="10" w:after="0"/>
        <w:ind w:left="463" w:right="108" w:hanging="360"/>
        <w:jc w:val="both"/>
        <w:rPr>
          <w:sz w:val="24"/>
        </w:rPr>
      </w:pPr>
      <w:r>
        <w:rPr>
          <w:sz w:val="24"/>
        </w:rPr>
        <w:t>Lehane L, Rawlin G. Tropically acquired bacterial zoonoses from fish: A review. Med J Aust. 2000;</w:t>
      </w:r>
      <w:r>
        <w:rPr>
          <w:spacing w:val="-1"/>
          <w:sz w:val="24"/>
        </w:rPr>
        <w:t> </w:t>
      </w:r>
      <w:r>
        <w:rPr>
          <w:sz w:val="24"/>
        </w:rPr>
        <w:t>173:256-259.</w:t>
      </w:r>
    </w:p>
    <w:p>
      <w:pPr>
        <w:pStyle w:val="ListParagraph"/>
        <w:numPr>
          <w:ilvl w:val="0"/>
          <w:numId w:val="8"/>
        </w:numPr>
        <w:tabs>
          <w:tab w:pos="452" w:val="left" w:leader="none"/>
        </w:tabs>
        <w:spacing w:line="480" w:lineRule="auto" w:before="10" w:after="0"/>
        <w:ind w:left="463" w:right="99" w:hanging="360"/>
        <w:jc w:val="both"/>
        <w:rPr>
          <w:sz w:val="24"/>
        </w:rPr>
      </w:pPr>
      <w:r>
        <w:rPr>
          <w:sz w:val="24"/>
        </w:rPr>
        <w:t>Lutwyche P, Exner MM, Hancock RE, Trust TJ. A conserved </w:t>
      </w:r>
      <w:r>
        <w:rPr>
          <w:i/>
          <w:sz w:val="24"/>
        </w:rPr>
        <w:t>Aeromonas salmonicida </w:t>
      </w:r>
      <w:r>
        <w:rPr>
          <w:sz w:val="24"/>
        </w:rPr>
        <w:t>porin provides protective immunity to rainbow trout. Infect Immun. 1995;</w:t>
      </w:r>
      <w:r>
        <w:rPr>
          <w:spacing w:val="-10"/>
          <w:sz w:val="24"/>
        </w:rPr>
        <w:t> </w:t>
      </w:r>
      <w:r>
        <w:rPr>
          <w:sz w:val="24"/>
        </w:rPr>
        <w:t>63:3137-3142.</w:t>
      </w:r>
    </w:p>
    <w:p>
      <w:pPr>
        <w:pStyle w:val="ListParagraph"/>
        <w:numPr>
          <w:ilvl w:val="0"/>
          <w:numId w:val="8"/>
        </w:numPr>
        <w:tabs>
          <w:tab w:pos="452" w:val="left" w:leader="none"/>
        </w:tabs>
        <w:spacing w:line="480" w:lineRule="auto" w:before="10" w:after="0"/>
        <w:ind w:left="463" w:right="100" w:hanging="360"/>
        <w:jc w:val="both"/>
        <w:rPr>
          <w:sz w:val="24"/>
        </w:rPr>
      </w:pPr>
      <w:r>
        <w:rPr>
          <w:sz w:val="24"/>
        </w:rPr>
        <w:t>Marsden MJ, Vaughan LM, Foster TJ, Secombes CJ. A live (delta aroA) </w:t>
      </w:r>
      <w:r>
        <w:rPr>
          <w:i/>
          <w:sz w:val="24"/>
        </w:rPr>
        <w:t>Aeromonas </w:t>
      </w:r>
      <w:r>
        <w:rPr>
          <w:i/>
          <w:sz w:val="24"/>
        </w:rPr>
        <w:t>salmonicida </w:t>
      </w:r>
      <w:r>
        <w:rPr>
          <w:sz w:val="24"/>
        </w:rPr>
        <w:t>vaccine for furunculosis preferentially stimulates T-cell responses relative to B- cell responses in rainbow trout (</w:t>
      </w:r>
      <w:r>
        <w:rPr>
          <w:i/>
          <w:sz w:val="24"/>
        </w:rPr>
        <w:t>Oncorhynchus mykiss</w:t>
      </w:r>
      <w:r>
        <w:rPr>
          <w:sz w:val="24"/>
        </w:rPr>
        <w:t>). Infect. Immun. 1996;</w:t>
      </w:r>
      <w:r>
        <w:rPr>
          <w:spacing w:val="-11"/>
          <w:sz w:val="24"/>
        </w:rPr>
        <w:t> </w:t>
      </w:r>
      <w:r>
        <w:rPr>
          <w:sz w:val="24"/>
        </w:rPr>
        <w:t>64:3863-3869.</w:t>
      </w:r>
    </w:p>
    <w:p>
      <w:pPr>
        <w:pStyle w:val="ListParagraph"/>
        <w:numPr>
          <w:ilvl w:val="0"/>
          <w:numId w:val="8"/>
        </w:numPr>
        <w:tabs>
          <w:tab w:pos="452" w:val="left" w:leader="none"/>
        </w:tabs>
        <w:spacing w:line="480" w:lineRule="auto" w:before="10" w:after="0"/>
        <w:ind w:left="463" w:right="105" w:hanging="360"/>
        <w:jc w:val="both"/>
        <w:rPr>
          <w:sz w:val="24"/>
        </w:rPr>
      </w:pPr>
      <w:r>
        <w:rPr>
          <w:sz w:val="24"/>
        </w:rPr>
        <w:t>Martínez-Murcia A, Beaz-Hidalgo R, Svec P, Saavedra MJ, Figueras MJ, Sedlacek I. </w:t>
      </w:r>
      <w:r>
        <w:rPr>
          <w:i/>
          <w:sz w:val="24"/>
        </w:rPr>
        <w:t>Aeromonas cavernicola </w:t>
      </w:r>
      <w:r>
        <w:rPr>
          <w:sz w:val="24"/>
        </w:rPr>
        <w:t>sp. nov., isolated from fresh water of a brook in a cavern. Curr Microbiol. 2013;</w:t>
      </w:r>
      <w:r>
        <w:rPr>
          <w:spacing w:val="-1"/>
          <w:sz w:val="24"/>
        </w:rPr>
        <w:t> </w:t>
      </w:r>
      <w:r>
        <w:rPr>
          <w:sz w:val="24"/>
        </w:rPr>
        <w:t>66:197-204.</w:t>
      </w:r>
    </w:p>
    <w:p>
      <w:pPr>
        <w:pStyle w:val="ListParagraph"/>
        <w:numPr>
          <w:ilvl w:val="0"/>
          <w:numId w:val="8"/>
        </w:numPr>
        <w:tabs>
          <w:tab w:pos="452" w:val="left" w:leader="none"/>
        </w:tabs>
        <w:spacing w:line="480" w:lineRule="auto" w:before="10" w:after="0"/>
        <w:ind w:left="463" w:right="99" w:hanging="360"/>
        <w:jc w:val="both"/>
        <w:rPr>
          <w:sz w:val="24"/>
        </w:rPr>
      </w:pPr>
      <w:r>
        <w:rPr>
          <w:sz w:val="24"/>
        </w:rPr>
        <w:t>Martinez-Murcia AJ, Esteve C, Garay E, Collins MD. </w:t>
      </w:r>
      <w:r>
        <w:rPr>
          <w:i/>
          <w:sz w:val="24"/>
        </w:rPr>
        <w:t>Aeromonas allosaccharophila </w:t>
      </w:r>
      <w:r>
        <w:rPr>
          <w:sz w:val="24"/>
        </w:rPr>
        <w:t>sp. nov., a new mesophilic member of the genus </w:t>
      </w:r>
      <w:r>
        <w:rPr>
          <w:i/>
          <w:sz w:val="24"/>
        </w:rPr>
        <w:t>Aeromonas</w:t>
      </w:r>
      <w:r>
        <w:rPr>
          <w:sz w:val="24"/>
        </w:rPr>
        <w:t>. FEMS Microbiol Lett. 1992; 70: 199-205.</w:t>
      </w:r>
    </w:p>
    <w:p>
      <w:pPr>
        <w:pStyle w:val="ListParagraph"/>
        <w:numPr>
          <w:ilvl w:val="0"/>
          <w:numId w:val="8"/>
        </w:numPr>
        <w:tabs>
          <w:tab w:pos="452" w:val="left" w:leader="none"/>
        </w:tabs>
        <w:spacing w:line="480" w:lineRule="auto" w:before="11" w:after="0"/>
        <w:ind w:left="463" w:right="106" w:hanging="360"/>
        <w:jc w:val="both"/>
        <w:rPr>
          <w:sz w:val="24"/>
        </w:rPr>
      </w:pPr>
      <w:r>
        <w:rPr>
          <w:sz w:val="24"/>
        </w:rPr>
        <w:t>Martínez-Murcia AJ, Saavedra MJ, Mota VR, Maier T, Stackebrandt E, Cousin S. </w:t>
      </w:r>
      <w:r>
        <w:rPr>
          <w:i/>
          <w:sz w:val="24"/>
        </w:rPr>
        <w:t>Aeromonas aquariorum </w:t>
      </w:r>
      <w:r>
        <w:rPr>
          <w:sz w:val="24"/>
        </w:rPr>
        <w:t>sp. nov., isolated from aquaria of ornamental fish. Int J Syst Evol Microbiol. 2008; 58:</w:t>
      </w:r>
      <w:r>
        <w:rPr>
          <w:spacing w:val="-1"/>
          <w:sz w:val="24"/>
        </w:rPr>
        <w:t> </w:t>
      </w:r>
      <w:r>
        <w:rPr>
          <w:sz w:val="24"/>
        </w:rPr>
        <w:t>1169-1175.</w:t>
      </w:r>
    </w:p>
    <w:p>
      <w:pPr>
        <w:spacing w:after="0" w:line="480" w:lineRule="auto"/>
        <w:jc w:val="both"/>
        <w:rPr>
          <w:sz w:val="24"/>
        </w:rPr>
        <w:sectPr>
          <w:pgSz w:w="12240" w:h="15840"/>
          <w:pgMar w:header="0" w:footer="695" w:top="1080" w:bottom="940" w:left="1560" w:right="1200"/>
        </w:sectPr>
      </w:pPr>
    </w:p>
    <w:p>
      <w:pPr>
        <w:pStyle w:val="ListParagraph"/>
        <w:numPr>
          <w:ilvl w:val="0"/>
          <w:numId w:val="8"/>
        </w:numPr>
        <w:tabs>
          <w:tab w:pos="452" w:val="left" w:leader="none"/>
        </w:tabs>
        <w:spacing w:line="240" w:lineRule="auto" w:before="44" w:after="0"/>
        <w:ind w:left="451" w:right="0" w:hanging="348"/>
        <w:jc w:val="left"/>
        <w:rPr>
          <w:sz w:val="24"/>
        </w:rPr>
      </w:pPr>
      <w:r>
        <w:rPr>
          <w:sz w:val="24"/>
        </w:rPr>
        <w:t>Meik</w:t>
      </w:r>
      <w:r>
        <w:rPr>
          <w:spacing w:val="29"/>
          <w:sz w:val="24"/>
        </w:rPr>
        <w:t> </w:t>
      </w:r>
      <w:r>
        <w:rPr>
          <w:sz w:val="24"/>
        </w:rPr>
        <w:t>S</w:t>
      </w:r>
      <w:r>
        <w:rPr>
          <w:spacing w:val="29"/>
          <w:sz w:val="24"/>
        </w:rPr>
        <w:t> </w:t>
      </w:r>
      <w:r>
        <w:rPr>
          <w:sz w:val="24"/>
        </w:rPr>
        <w:t>Tiscornia</w:t>
      </w:r>
      <w:r>
        <w:rPr>
          <w:spacing w:val="26"/>
          <w:sz w:val="24"/>
        </w:rPr>
        <w:t> </w:t>
      </w:r>
      <w:r>
        <w:rPr>
          <w:sz w:val="24"/>
        </w:rPr>
        <w:t>J,</w:t>
      </w:r>
      <w:r>
        <w:rPr>
          <w:spacing w:val="28"/>
          <w:sz w:val="24"/>
        </w:rPr>
        <w:t> </w:t>
      </w:r>
      <w:r>
        <w:rPr>
          <w:sz w:val="24"/>
        </w:rPr>
        <w:t>Arias</w:t>
      </w:r>
      <w:r>
        <w:rPr>
          <w:spacing w:val="29"/>
          <w:sz w:val="24"/>
        </w:rPr>
        <w:t> </w:t>
      </w:r>
      <w:r>
        <w:rPr>
          <w:sz w:val="24"/>
        </w:rPr>
        <w:t>M,</w:t>
      </w:r>
      <w:r>
        <w:rPr>
          <w:spacing w:val="29"/>
          <w:sz w:val="24"/>
        </w:rPr>
        <w:t> </w:t>
      </w:r>
      <w:r>
        <w:rPr>
          <w:sz w:val="24"/>
        </w:rPr>
        <w:t>Kien</w:t>
      </w:r>
      <w:r>
        <w:rPr>
          <w:spacing w:val="28"/>
          <w:sz w:val="24"/>
        </w:rPr>
        <w:t> </w:t>
      </w:r>
      <w:r>
        <w:rPr>
          <w:sz w:val="24"/>
        </w:rPr>
        <w:t>MaC,</w:t>
      </w:r>
      <w:r>
        <w:rPr>
          <w:spacing w:val="28"/>
          <w:sz w:val="24"/>
        </w:rPr>
        <w:t> </w:t>
      </w:r>
      <w:r>
        <w:rPr>
          <w:sz w:val="24"/>
        </w:rPr>
        <w:t>Pellerano</w:t>
      </w:r>
      <w:r>
        <w:rPr>
          <w:spacing w:val="28"/>
          <w:sz w:val="24"/>
        </w:rPr>
        <w:t> </w:t>
      </w:r>
      <w:r>
        <w:rPr>
          <w:sz w:val="24"/>
        </w:rPr>
        <w:t>G.</w:t>
      </w:r>
      <w:r>
        <w:rPr>
          <w:spacing w:val="30"/>
          <w:sz w:val="24"/>
        </w:rPr>
        <w:t> </w:t>
      </w:r>
      <w:r>
        <w:rPr>
          <w:sz w:val="24"/>
        </w:rPr>
        <w:t>Infección</w:t>
      </w:r>
      <w:r>
        <w:rPr>
          <w:spacing w:val="29"/>
          <w:sz w:val="24"/>
        </w:rPr>
        <w:t> </w:t>
      </w:r>
      <w:r>
        <w:rPr>
          <w:sz w:val="24"/>
        </w:rPr>
        <w:t>cutánea</w:t>
      </w:r>
      <w:r>
        <w:rPr>
          <w:spacing w:val="28"/>
          <w:sz w:val="24"/>
        </w:rPr>
        <w:t> </w:t>
      </w:r>
      <w:r>
        <w:rPr>
          <w:sz w:val="24"/>
        </w:rPr>
        <w:t>por</w:t>
      </w:r>
      <w:r>
        <w:rPr>
          <w:spacing w:val="34"/>
          <w:sz w:val="24"/>
        </w:rPr>
        <w:t> </w:t>
      </w:r>
      <w:r>
        <w:rPr>
          <w:i/>
          <w:sz w:val="24"/>
        </w:rPr>
        <w:t>Aeromonas</w:t>
      </w:r>
      <w:r>
        <w:rPr>
          <w:sz w:val="24"/>
        </w:rPr>
        <w:t>.</w:t>
      </w:r>
    </w:p>
    <w:p>
      <w:pPr>
        <w:pStyle w:val="BodyText"/>
      </w:pPr>
    </w:p>
    <w:p>
      <w:pPr>
        <w:pStyle w:val="BodyText"/>
        <w:ind w:left="463" w:right="90"/>
      </w:pPr>
      <w:r>
        <w:rPr/>
        <w:t>Med Cutan Iber Lat Am. 2011; 39:23-25.</w:t>
      </w:r>
    </w:p>
    <w:p>
      <w:pPr>
        <w:pStyle w:val="BodyText"/>
      </w:pPr>
    </w:p>
    <w:p>
      <w:pPr>
        <w:pStyle w:val="ListParagraph"/>
        <w:numPr>
          <w:ilvl w:val="0"/>
          <w:numId w:val="8"/>
        </w:numPr>
        <w:tabs>
          <w:tab w:pos="452" w:val="left" w:leader="none"/>
        </w:tabs>
        <w:spacing w:line="480" w:lineRule="auto" w:before="0" w:after="0"/>
        <w:ind w:left="463" w:right="106" w:hanging="360"/>
        <w:jc w:val="both"/>
        <w:rPr>
          <w:sz w:val="24"/>
        </w:rPr>
      </w:pPr>
      <w:r>
        <w:rPr>
          <w:sz w:val="24"/>
        </w:rPr>
        <w:t>Merino S, Vilches S, Canals R, Ramirez S, Tomás JM. A C1q-binding 40 kDa porin from </w:t>
      </w:r>
      <w:r>
        <w:rPr>
          <w:i/>
          <w:sz w:val="24"/>
        </w:rPr>
        <w:t>Aeromonas salmonicida</w:t>
      </w:r>
      <w:r>
        <w:rPr>
          <w:sz w:val="24"/>
        </w:rPr>
        <w:t>: Cloning, sequencing, role in serum susceptibility and fish immunoprotection. Microb Pathog. 2005;</w:t>
      </w:r>
      <w:r>
        <w:rPr>
          <w:spacing w:val="-5"/>
          <w:sz w:val="24"/>
        </w:rPr>
        <w:t> </w:t>
      </w:r>
      <w:r>
        <w:rPr>
          <w:sz w:val="24"/>
        </w:rPr>
        <w:t>38:227-237.</w:t>
      </w:r>
    </w:p>
    <w:p>
      <w:pPr>
        <w:pStyle w:val="ListParagraph"/>
        <w:numPr>
          <w:ilvl w:val="0"/>
          <w:numId w:val="8"/>
        </w:numPr>
        <w:tabs>
          <w:tab w:pos="452" w:val="left" w:leader="none"/>
        </w:tabs>
        <w:spacing w:line="480" w:lineRule="auto" w:before="10" w:after="0"/>
        <w:ind w:left="463" w:right="101" w:hanging="360"/>
        <w:jc w:val="both"/>
        <w:rPr>
          <w:sz w:val="24"/>
        </w:rPr>
      </w:pPr>
      <w:r>
        <w:rPr>
          <w:sz w:val="24"/>
        </w:rPr>
        <w:t>Miñana-Galbis D, Farfán M, Fusté MC, Lorén JG. </w:t>
      </w:r>
      <w:r>
        <w:rPr>
          <w:i/>
          <w:sz w:val="24"/>
        </w:rPr>
        <w:t>Aeromonas molluscorum </w:t>
      </w:r>
      <w:r>
        <w:rPr>
          <w:sz w:val="24"/>
        </w:rPr>
        <w:t>sp. nov., isolated from bivalve molluscs. Int J Syst Evol Microbiol. 2004; 54: 2073-</w:t>
      </w:r>
      <w:r>
        <w:rPr>
          <w:spacing w:val="-7"/>
          <w:sz w:val="24"/>
        </w:rPr>
        <w:t> </w:t>
      </w:r>
      <w:r>
        <w:rPr>
          <w:sz w:val="24"/>
        </w:rPr>
        <w:t>2078.</w:t>
      </w:r>
    </w:p>
    <w:p>
      <w:pPr>
        <w:pStyle w:val="ListParagraph"/>
        <w:numPr>
          <w:ilvl w:val="0"/>
          <w:numId w:val="8"/>
        </w:numPr>
        <w:tabs>
          <w:tab w:pos="452" w:val="left" w:leader="none"/>
        </w:tabs>
        <w:spacing w:line="480" w:lineRule="auto" w:before="11" w:after="0"/>
        <w:ind w:left="463" w:right="101" w:hanging="360"/>
        <w:jc w:val="both"/>
        <w:rPr>
          <w:sz w:val="24"/>
        </w:rPr>
      </w:pPr>
      <w:r>
        <w:rPr>
          <w:sz w:val="24"/>
        </w:rPr>
        <w:t>Miñana-Galbis D, Farfán M, Gaspar L, Fusté J&amp;, MC. Proposal to assign  </w:t>
      </w:r>
      <w:r>
        <w:rPr>
          <w:i/>
          <w:sz w:val="24"/>
        </w:rPr>
        <w:t>Aeromonas </w:t>
      </w:r>
      <w:r>
        <w:rPr>
          <w:i/>
          <w:sz w:val="24"/>
        </w:rPr>
        <w:t>diversa </w:t>
      </w:r>
      <w:r>
        <w:rPr>
          <w:sz w:val="24"/>
        </w:rPr>
        <w:t>sp. nov. as a novel species designation for </w:t>
      </w:r>
      <w:r>
        <w:rPr>
          <w:i/>
          <w:sz w:val="24"/>
        </w:rPr>
        <w:t>Aeromonas </w:t>
      </w:r>
      <w:r>
        <w:rPr>
          <w:sz w:val="24"/>
        </w:rPr>
        <w:t>group 501. Syst Appl Microbiol. 2010; 33; 15-</w:t>
      </w:r>
      <w:r>
        <w:rPr>
          <w:spacing w:val="-1"/>
          <w:sz w:val="24"/>
        </w:rPr>
        <w:t> </w:t>
      </w:r>
      <w:r>
        <w:rPr>
          <w:sz w:val="24"/>
        </w:rPr>
        <w:t>19.</w:t>
      </w:r>
    </w:p>
    <w:p>
      <w:pPr>
        <w:pStyle w:val="ListParagraph"/>
        <w:numPr>
          <w:ilvl w:val="0"/>
          <w:numId w:val="8"/>
        </w:numPr>
        <w:tabs>
          <w:tab w:pos="452" w:val="left" w:leader="none"/>
        </w:tabs>
        <w:spacing w:line="480" w:lineRule="auto" w:before="10" w:after="0"/>
        <w:ind w:left="463" w:right="102" w:hanging="360"/>
        <w:jc w:val="both"/>
        <w:rPr>
          <w:sz w:val="24"/>
        </w:rPr>
      </w:pPr>
      <w:r>
        <w:rPr>
          <w:sz w:val="24"/>
        </w:rPr>
        <w:t>Mulder IE, Wadsworth S, Secombes CJ. Cytokine expression in the intestine of rainbow trout (</w:t>
      </w:r>
      <w:r>
        <w:rPr>
          <w:i/>
          <w:sz w:val="24"/>
        </w:rPr>
        <w:t>Oncorhynchus mykiss</w:t>
      </w:r>
      <w:r>
        <w:rPr>
          <w:sz w:val="24"/>
        </w:rPr>
        <w:t>) during infection with </w:t>
      </w:r>
      <w:r>
        <w:rPr>
          <w:i/>
          <w:sz w:val="24"/>
        </w:rPr>
        <w:t>Aeromonas salmonicida</w:t>
      </w:r>
      <w:r>
        <w:rPr>
          <w:sz w:val="24"/>
        </w:rPr>
        <w:t>. Fish Shellfish Immunol. 2007;</w:t>
      </w:r>
      <w:r>
        <w:rPr>
          <w:spacing w:val="-2"/>
          <w:sz w:val="24"/>
        </w:rPr>
        <w:t> </w:t>
      </w:r>
      <w:r>
        <w:rPr>
          <w:sz w:val="24"/>
        </w:rPr>
        <w:t>23:747-759.</w:t>
      </w:r>
    </w:p>
    <w:p>
      <w:pPr>
        <w:pStyle w:val="ListParagraph"/>
        <w:numPr>
          <w:ilvl w:val="0"/>
          <w:numId w:val="8"/>
        </w:numPr>
        <w:tabs>
          <w:tab w:pos="452" w:val="left" w:leader="none"/>
        </w:tabs>
        <w:spacing w:line="480" w:lineRule="auto" w:before="10" w:after="0"/>
        <w:ind w:left="463" w:right="106" w:hanging="360"/>
        <w:jc w:val="both"/>
        <w:rPr>
          <w:sz w:val="24"/>
        </w:rPr>
      </w:pPr>
      <w:r>
        <w:rPr>
          <w:sz w:val="24"/>
        </w:rPr>
        <w:t>Nam IY, Joh KJ. Rapid detection of virulence factors of </w:t>
      </w:r>
      <w:r>
        <w:rPr>
          <w:i/>
          <w:sz w:val="24"/>
        </w:rPr>
        <w:t>Aeromonas </w:t>
      </w:r>
      <w:r>
        <w:rPr>
          <w:sz w:val="24"/>
        </w:rPr>
        <w:t>isolated from a trout farm by hexaplex-PCR. Rapid. J Microbiol. 2007;</w:t>
      </w:r>
      <w:r>
        <w:rPr>
          <w:spacing w:val="-8"/>
          <w:sz w:val="24"/>
        </w:rPr>
        <w:t> </w:t>
      </w:r>
      <w:r>
        <w:rPr>
          <w:sz w:val="24"/>
        </w:rPr>
        <w:t>45:297-304.</w:t>
      </w:r>
    </w:p>
    <w:p>
      <w:pPr>
        <w:pStyle w:val="ListParagraph"/>
        <w:numPr>
          <w:ilvl w:val="0"/>
          <w:numId w:val="8"/>
        </w:numPr>
        <w:tabs>
          <w:tab w:pos="452" w:val="left" w:leader="none"/>
        </w:tabs>
        <w:spacing w:line="480" w:lineRule="auto" w:before="10" w:after="0"/>
        <w:ind w:left="463" w:right="103" w:hanging="360"/>
        <w:jc w:val="both"/>
        <w:rPr>
          <w:sz w:val="24"/>
        </w:rPr>
      </w:pPr>
      <w:r>
        <w:rPr>
          <w:sz w:val="24"/>
        </w:rPr>
        <w:t>Nawaz M, Sung K, Khan AS, Khan AA, Steele R. Biochemical and molecular characterization of tetracycline-resistant </w:t>
      </w:r>
      <w:r>
        <w:rPr>
          <w:i/>
          <w:sz w:val="24"/>
        </w:rPr>
        <w:t>Aeromonas veronii </w:t>
      </w:r>
      <w:r>
        <w:rPr>
          <w:sz w:val="24"/>
        </w:rPr>
        <w:t>isolates from catfish. Appl Environ Microbiol. 2006;</w:t>
      </w:r>
      <w:r>
        <w:rPr>
          <w:spacing w:val="-4"/>
          <w:sz w:val="24"/>
        </w:rPr>
        <w:t> </w:t>
      </w:r>
      <w:r>
        <w:rPr>
          <w:sz w:val="24"/>
        </w:rPr>
        <w:t>72:6461-6466.</w:t>
      </w:r>
    </w:p>
    <w:p>
      <w:pPr>
        <w:pStyle w:val="ListParagraph"/>
        <w:numPr>
          <w:ilvl w:val="0"/>
          <w:numId w:val="8"/>
        </w:numPr>
        <w:tabs>
          <w:tab w:pos="452" w:val="left" w:leader="none"/>
        </w:tabs>
        <w:spacing w:line="480" w:lineRule="auto" w:before="10" w:after="0"/>
        <w:ind w:left="463" w:right="104" w:hanging="360"/>
        <w:jc w:val="both"/>
        <w:rPr>
          <w:sz w:val="24"/>
        </w:rPr>
      </w:pPr>
      <w:r>
        <w:rPr>
          <w:sz w:val="24"/>
        </w:rPr>
        <w:t>Nhung PH, Hata H, Ohkusu K, Noda M, Shah MM, Goto K, Ezaki T. Use of the novel phylogenetic marker dnaJ and DNA-DNA hybridization to clarify interrelationships within the genus </w:t>
      </w:r>
      <w:r>
        <w:rPr>
          <w:i/>
          <w:sz w:val="24"/>
        </w:rPr>
        <w:t>Aeromonas. </w:t>
      </w:r>
      <w:r>
        <w:rPr>
          <w:sz w:val="24"/>
        </w:rPr>
        <w:t>Int J Syst Evol Microbiol. 2007;</w:t>
      </w:r>
      <w:r>
        <w:rPr>
          <w:spacing w:val="-8"/>
          <w:sz w:val="24"/>
        </w:rPr>
        <w:t> </w:t>
      </w:r>
      <w:r>
        <w:rPr>
          <w:sz w:val="24"/>
        </w:rPr>
        <w:t>57:1232-1237.</w:t>
      </w:r>
    </w:p>
    <w:p>
      <w:pPr>
        <w:pStyle w:val="ListParagraph"/>
        <w:numPr>
          <w:ilvl w:val="0"/>
          <w:numId w:val="8"/>
        </w:numPr>
        <w:tabs>
          <w:tab w:pos="452" w:val="left" w:leader="none"/>
        </w:tabs>
        <w:spacing w:line="480" w:lineRule="auto" w:before="10" w:after="0"/>
        <w:ind w:left="463" w:right="100" w:hanging="360"/>
        <w:jc w:val="both"/>
        <w:rPr>
          <w:sz w:val="24"/>
        </w:rPr>
      </w:pPr>
      <w:r>
        <w:rPr>
          <w:sz w:val="24"/>
        </w:rPr>
        <w:t>Noga EJ. Fish Disease, Diagnosis and treatment. 2da ed. USA: Wiley- Blackwell, 2010:185- 190.</w:t>
      </w:r>
    </w:p>
    <w:p>
      <w:pPr>
        <w:spacing w:after="0" w:line="480" w:lineRule="auto"/>
        <w:jc w:val="both"/>
        <w:rPr>
          <w:sz w:val="24"/>
        </w:rPr>
        <w:sectPr>
          <w:pgSz w:w="12240" w:h="15840"/>
          <w:pgMar w:header="0" w:footer="695" w:top="1080" w:bottom="940" w:left="1560" w:right="1200"/>
        </w:sectPr>
      </w:pPr>
    </w:p>
    <w:p>
      <w:pPr>
        <w:pStyle w:val="ListParagraph"/>
        <w:numPr>
          <w:ilvl w:val="0"/>
          <w:numId w:val="8"/>
        </w:numPr>
        <w:tabs>
          <w:tab w:pos="452" w:val="left" w:leader="none"/>
        </w:tabs>
        <w:spacing w:line="480" w:lineRule="auto" w:before="44" w:after="0"/>
        <w:ind w:left="463" w:right="103" w:hanging="360"/>
        <w:jc w:val="both"/>
        <w:rPr>
          <w:sz w:val="24"/>
        </w:rPr>
      </w:pPr>
      <w:r>
        <w:rPr>
          <w:sz w:val="24"/>
        </w:rPr>
        <w:t>Nya EJ, Austin B. Use of bacterial lipopolysaccharide (LPS) as an immunostimulant for the control of </w:t>
      </w:r>
      <w:r>
        <w:rPr>
          <w:i/>
          <w:sz w:val="24"/>
        </w:rPr>
        <w:t>Aeromonas hydrophila </w:t>
      </w:r>
      <w:r>
        <w:rPr>
          <w:sz w:val="24"/>
        </w:rPr>
        <w:t>infections in rainbow trout </w:t>
      </w:r>
      <w:r>
        <w:rPr>
          <w:i/>
          <w:sz w:val="24"/>
        </w:rPr>
        <w:t>Oncorhynchus mykiss </w:t>
      </w:r>
      <w:r>
        <w:rPr>
          <w:sz w:val="24"/>
        </w:rPr>
        <w:t>(Walbaum). J Appl Microbiol. 2010;</w:t>
      </w:r>
      <w:r>
        <w:rPr>
          <w:spacing w:val="-1"/>
          <w:sz w:val="24"/>
        </w:rPr>
        <w:t> </w:t>
      </w:r>
      <w:r>
        <w:rPr>
          <w:sz w:val="24"/>
        </w:rPr>
        <w:t>108:686-694.</w:t>
      </w:r>
    </w:p>
    <w:p>
      <w:pPr>
        <w:pStyle w:val="ListParagraph"/>
        <w:numPr>
          <w:ilvl w:val="0"/>
          <w:numId w:val="8"/>
        </w:numPr>
        <w:tabs>
          <w:tab w:pos="452" w:val="left" w:leader="none"/>
        </w:tabs>
        <w:spacing w:line="480" w:lineRule="auto" w:before="10" w:after="0"/>
        <w:ind w:left="463" w:right="100" w:hanging="360"/>
        <w:jc w:val="both"/>
        <w:rPr>
          <w:sz w:val="24"/>
        </w:rPr>
      </w:pPr>
      <w:r>
        <w:rPr>
          <w:sz w:val="24"/>
        </w:rPr>
        <w:t>Paniagua C, Rivero O, Anguita J, Naharro G. Pathogenicity factors and virulence for rainbow trout (</w:t>
      </w:r>
      <w:r>
        <w:rPr>
          <w:i/>
          <w:sz w:val="24"/>
        </w:rPr>
        <w:t>Salmo gairdneri</w:t>
      </w:r>
      <w:r>
        <w:rPr>
          <w:sz w:val="24"/>
        </w:rPr>
        <w:t>) of motile </w:t>
      </w:r>
      <w:r>
        <w:rPr>
          <w:i/>
          <w:sz w:val="24"/>
        </w:rPr>
        <w:t>Aeromonas </w:t>
      </w:r>
      <w:r>
        <w:rPr>
          <w:sz w:val="24"/>
        </w:rPr>
        <w:t>spp. isolated from a river. J Clin Microbiol. 1990;</w:t>
      </w:r>
      <w:r>
        <w:rPr>
          <w:spacing w:val="-1"/>
          <w:sz w:val="24"/>
        </w:rPr>
        <w:t> </w:t>
      </w:r>
      <w:r>
        <w:rPr>
          <w:sz w:val="24"/>
        </w:rPr>
        <w:t>28:350-355.</w:t>
      </w:r>
    </w:p>
    <w:p>
      <w:pPr>
        <w:pStyle w:val="ListParagraph"/>
        <w:numPr>
          <w:ilvl w:val="0"/>
          <w:numId w:val="8"/>
        </w:numPr>
        <w:tabs>
          <w:tab w:pos="452" w:val="left" w:leader="none"/>
        </w:tabs>
        <w:spacing w:line="480" w:lineRule="auto" w:before="10" w:after="0"/>
        <w:ind w:left="463" w:right="101" w:hanging="360"/>
        <w:jc w:val="both"/>
        <w:rPr>
          <w:sz w:val="24"/>
        </w:rPr>
      </w:pPr>
      <w:r>
        <w:rPr>
          <w:sz w:val="24"/>
        </w:rPr>
        <w:t>Paniagua LG, Monroy E, Perches M, Negrete E, García O, Vaca S. Antibiotic and heavy metal resistance of </w:t>
      </w:r>
      <w:r>
        <w:rPr>
          <w:i/>
          <w:sz w:val="24"/>
        </w:rPr>
        <w:t>Aeromonas hydrophila </w:t>
      </w:r>
      <w:r>
        <w:rPr>
          <w:sz w:val="24"/>
        </w:rPr>
        <w:t>isolated from charal </w:t>
      </w:r>
      <w:r>
        <w:rPr>
          <w:i/>
          <w:sz w:val="24"/>
        </w:rPr>
        <w:t>(Chirostoma  </w:t>
      </w:r>
      <w:r>
        <w:rPr>
          <w:i/>
          <w:sz w:val="24"/>
        </w:rPr>
        <w:t>humboldtianum</w:t>
      </w:r>
      <w:r>
        <w:rPr>
          <w:sz w:val="24"/>
        </w:rPr>
        <w:t>, Valenciannes, 1835).  Hidrobiológica. 2006;</w:t>
      </w:r>
      <w:r>
        <w:rPr>
          <w:spacing w:val="-8"/>
          <w:sz w:val="24"/>
        </w:rPr>
        <w:t> </w:t>
      </w:r>
      <w:r>
        <w:rPr>
          <w:sz w:val="24"/>
        </w:rPr>
        <w:t>16:75-79.</w:t>
      </w:r>
    </w:p>
    <w:p>
      <w:pPr>
        <w:pStyle w:val="ListParagraph"/>
        <w:numPr>
          <w:ilvl w:val="0"/>
          <w:numId w:val="8"/>
        </w:numPr>
        <w:tabs>
          <w:tab w:pos="452" w:val="left" w:leader="none"/>
        </w:tabs>
        <w:spacing w:line="480" w:lineRule="auto" w:before="10" w:after="0"/>
        <w:ind w:left="463" w:right="102" w:hanging="360"/>
        <w:jc w:val="both"/>
        <w:rPr>
          <w:sz w:val="24"/>
        </w:rPr>
      </w:pPr>
      <w:r>
        <w:rPr>
          <w:sz w:val="24"/>
        </w:rPr>
        <w:t>Pearson MD, Hirono I, Aoki T, Miranda R, Inglis V. Virulence properties of motile aeromonads isolated from farmed frogs </w:t>
      </w:r>
      <w:r>
        <w:rPr>
          <w:i/>
          <w:sz w:val="24"/>
        </w:rPr>
        <w:t>Rana tigerina </w:t>
      </w:r>
      <w:r>
        <w:rPr>
          <w:sz w:val="24"/>
        </w:rPr>
        <w:t>and </w:t>
      </w:r>
      <w:r>
        <w:rPr>
          <w:i/>
          <w:sz w:val="24"/>
        </w:rPr>
        <w:t>R</w:t>
      </w:r>
      <w:r>
        <w:rPr>
          <w:sz w:val="24"/>
        </w:rPr>
        <w:t>. </w:t>
      </w:r>
      <w:r>
        <w:rPr>
          <w:i/>
          <w:sz w:val="24"/>
        </w:rPr>
        <w:t>rugulosa</w:t>
      </w:r>
      <w:r>
        <w:rPr>
          <w:sz w:val="24"/>
        </w:rPr>
        <w:t>. Dis Aquat Organ. 2000;</w:t>
      </w:r>
      <w:r>
        <w:rPr>
          <w:spacing w:val="-1"/>
          <w:sz w:val="24"/>
        </w:rPr>
        <w:t> </w:t>
      </w:r>
      <w:r>
        <w:rPr>
          <w:sz w:val="24"/>
        </w:rPr>
        <w:t>40:185-193.</w:t>
      </w:r>
    </w:p>
    <w:p>
      <w:pPr>
        <w:pStyle w:val="ListParagraph"/>
        <w:numPr>
          <w:ilvl w:val="0"/>
          <w:numId w:val="8"/>
        </w:numPr>
        <w:tabs>
          <w:tab w:pos="452" w:val="left" w:leader="none"/>
        </w:tabs>
        <w:spacing w:line="480" w:lineRule="auto" w:before="10" w:after="0"/>
        <w:ind w:left="463" w:right="104" w:hanging="360"/>
        <w:jc w:val="both"/>
        <w:rPr>
          <w:sz w:val="24"/>
        </w:rPr>
      </w:pPr>
      <w:r>
        <w:rPr>
          <w:sz w:val="24"/>
        </w:rPr>
        <w:t>Pérez MJ, Fernández AIG, Rodríguez LA, Nieto TP. Differential susceptibility to furunculosis of turbot and rainbow trout and release of the furunculosis agent from furunculosis-affected fish. Dis Aquat Org. 1996;</w:t>
      </w:r>
      <w:r>
        <w:rPr>
          <w:spacing w:val="-5"/>
          <w:sz w:val="24"/>
        </w:rPr>
        <w:t> </w:t>
      </w:r>
      <w:r>
        <w:rPr>
          <w:sz w:val="24"/>
        </w:rPr>
        <w:t>26:133-137.</w:t>
      </w:r>
    </w:p>
    <w:p>
      <w:pPr>
        <w:pStyle w:val="ListParagraph"/>
        <w:numPr>
          <w:ilvl w:val="0"/>
          <w:numId w:val="8"/>
        </w:numPr>
        <w:tabs>
          <w:tab w:pos="452" w:val="left" w:leader="none"/>
        </w:tabs>
        <w:spacing w:line="480" w:lineRule="auto" w:before="10" w:after="0"/>
        <w:ind w:left="463" w:right="103" w:hanging="360"/>
        <w:jc w:val="both"/>
        <w:rPr>
          <w:sz w:val="24"/>
        </w:rPr>
      </w:pPr>
      <w:r>
        <w:rPr>
          <w:sz w:val="24"/>
        </w:rPr>
        <w:t>Ping-Chung L, Wen-hsiao C, Chih-ching T, Kuo-kau L. Purification of a toxic cysteine protease produced by pathogenic </w:t>
      </w:r>
      <w:r>
        <w:rPr>
          <w:i/>
          <w:sz w:val="24"/>
        </w:rPr>
        <w:t>Aeromonas hydrophila </w:t>
      </w:r>
      <w:r>
        <w:rPr>
          <w:sz w:val="24"/>
        </w:rPr>
        <w:t>isolated from rainbow trout.  J Basic Microbiol. 2010;</w:t>
      </w:r>
      <w:r>
        <w:rPr>
          <w:spacing w:val="-3"/>
          <w:sz w:val="24"/>
        </w:rPr>
        <w:t> </w:t>
      </w:r>
      <w:r>
        <w:rPr>
          <w:sz w:val="24"/>
        </w:rPr>
        <w:t>50:538-547.</w:t>
      </w:r>
    </w:p>
    <w:p>
      <w:pPr>
        <w:pStyle w:val="ListParagraph"/>
        <w:numPr>
          <w:ilvl w:val="0"/>
          <w:numId w:val="8"/>
        </w:numPr>
        <w:tabs>
          <w:tab w:pos="452" w:val="left" w:leader="none"/>
        </w:tabs>
        <w:spacing w:line="240" w:lineRule="auto" w:before="10" w:after="0"/>
        <w:ind w:left="451" w:right="0" w:hanging="348"/>
        <w:jc w:val="left"/>
        <w:rPr>
          <w:i/>
          <w:sz w:val="24"/>
        </w:rPr>
      </w:pPr>
      <w:r>
        <w:rPr>
          <w:sz w:val="24"/>
        </w:rPr>
        <w:t>Popoff M, Véron M. A taxonomic study of the </w:t>
      </w:r>
      <w:r>
        <w:rPr>
          <w:i/>
          <w:sz w:val="24"/>
        </w:rPr>
        <w:t>Aeromonas hydrophila</w:t>
      </w:r>
      <w:r>
        <w:rPr>
          <w:sz w:val="24"/>
        </w:rPr>
        <w:t>- </w:t>
      </w:r>
      <w:r>
        <w:rPr>
          <w:i/>
          <w:sz w:val="24"/>
        </w:rPr>
        <w:t>Aeromonas</w:t>
      </w:r>
      <w:r>
        <w:rPr>
          <w:i/>
          <w:spacing w:val="34"/>
          <w:sz w:val="24"/>
        </w:rPr>
        <w:t> </w:t>
      </w:r>
      <w:r>
        <w:rPr>
          <w:i/>
          <w:sz w:val="24"/>
        </w:rPr>
        <w:t>punctata</w:t>
      </w:r>
    </w:p>
    <w:p>
      <w:pPr>
        <w:pStyle w:val="BodyText"/>
        <w:rPr>
          <w:i/>
        </w:rPr>
      </w:pPr>
    </w:p>
    <w:p>
      <w:pPr>
        <w:pStyle w:val="BodyText"/>
        <w:ind w:left="463" w:right="90"/>
      </w:pPr>
      <w:r>
        <w:rPr/>
        <w:t>group. J Gen Microbiol. 1976; 94: 11-22.</w:t>
      </w:r>
    </w:p>
    <w:p>
      <w:pPr>
        <w:pStyle w:val="BodyText"/>
      </w:pPr>
    </w:p>
    <w:p>
      <w:pPr>
        <w:pStyle w:val="ListParagraph"/>
        <w:numPr>
          <w:ilvl w:val="0"/>
          <w:numId w:val="8"/>
        </w:numPr>
        <w:tabs>
          <w:tab w:pos="452" w:val="left" w:leader="none"/>
        </w:tabs>
        <w:spacing w:line="480" w:lineRule="auto" w:before="0" w:after="0"/>
        <w:ind w:left="463" w:right="101" w:hanging="360"/>
        <w:jc w:val="both"/>
        <w:rPr>
          <w:sz w:val="24"/>
        </w:rPr>
      </w:pPr>
      <w:r>
        <w:rPr>
          <w:sz w:val="24"/>
        </w:rPr>
        <w:t>Powell MD, Wright GM, Burka JF. Degranulation of eosinophilic granule cells induced by capsaicin and substance P in the intestine of the rainbow trout (</w:t>
      </w:r>
      <w:r>
        <w:rPr>
          <w:i/>
          <w:sz w:val="24"/>
        </w:rPr>
        <w:t>Oncorhynchus mykiss</w:t>
      </w:r>
      <w:r>
        <w:rPr>
          <w:sz w:val="24"/>
        </w:rPr>
        <w:t>, Walbaum). Cell Tissue Res. 1991;</w:t>
      </w:r>
      <w:r>
        <w:rPr>
          <w:spacing w:val="-4"/>
          <w:sz w:val="24"/>
        </w:rPr>
        <w:t> </w:t>
      </w:r>
      <w:r>
        <w:rPr>
          <w:sz w:val="24"/>
        </w:rPr>
        <w:t>266:469-74.</w:t>
      </w:r>
    </w:p>
    <w:p>
      <w:pPr>
        <w:spacing w:after="0" w:line="480" w:lineRule="auto"/>
        <w:jc w:val="both"/>
        <w:rPr>
          <w:sz w:val="24"/>
        </w:rPr>
        <w:sectPr>
          <w:pgSz w:w="12240" w:h="15840"/>
          <w:pgMar w:header="0" w:footer="695" w:top="1080" w:bottom="940" w:left="1560" w:right="1200"/>
        </w:sectPr>
      </w:pPr>
    </w:p>
    <w:p>
      <w:pPr>
        <w:pStyle w:val="ListParagraph"/>
        <w:numPr>
          <w:ilvl w:val="0"/>
          <w:numId w:val="8"/>
        </w:numPr>
        <w:tabs>
          <w:tab w:pos="452" w:val="left" w:leader="none"/>
        </w:tabs>
        <w:spacing w:line="480" w:lineRule="auto" w:before="44" w:after="0"/>
        <w:ind w:left="463" w:right="101" w:hanging="360"/>
        <w:jc w:val="both"/>
        <w:rPr>
          <w:sz w:val="24"/>
        </w:rPr>
      </w:pPr>
      <w:r>
        <w:rPr>
          <w:sz w:val="24"/>
        </w:rPr>
        <w:t>Puri P, Bansal V, Dinakaran S, Kayarkar VV. </w:t>
      </w:r>
      <w:r>
        <w:rPr>
          <w:i/>
          <w:sz w:val="24"/>
        </w:rPr>
        <w:t>Aeromonas sobria </w:t>
      </w:r>
      <w:r>
        <w:rPr>
          <w:sz w:val="24"/>
        </w:rPr>
        <w:t>corneal ulcer. Eye. 2003; 17:104-105.</w:t>
      </w:r>
    </w:p>
    <w:p>
      <w:pPr>
        <w:pStyle w:val="ListParagraph"/>
        <w:numPr>
          <w:ilvl w:val="0"/>
          <w:numId w:val="8"/>
        </w:numPr>
        <w:tabs>
          <w:tab w:pos="452" w:val="left" w:leader="none"/>
        </w:tabs>
        <w:spacing w:line="480" w:lineRule="auto" w:before="10" w:after="0"/>
        <w:ind w:left="463" w:right="102" w:hanging="360"/>
        <w:jc w:val="both"/>
        <w:rPr>
          <w:sz w:val="24"/>
        </w:rPr>
      </w:pPr>
      <w:r>
        <w:rPr>
          <w:sz w:val="24"/>
        </w:rPr>
        <w:t>Rahman M, Huys G, Rahman M, Albert MJ, Kuhn </w:t>
      </w:r>
      <w:r>
        <w:rPr>
          <w:spacing w:val="-3"/>
          <w:sz w:val="24"/>
        </w:rPr>
        <w:t>I, </w:t>
      </w:r>
      <w:r>
        <w:rPr>
          <w:sz w:val="24"/>
        </w:rPr>
        <w:t>Molby R. Persistence, transmission, and virulence characteristics of </w:t>
      </w:r>
      <w:r>
        <w:rPr>
          <w:i/>
          <w:sz w:val="24"/>
        </w:rPr>
        <w:t>Aeromonas </w:t>
      </w:r>
      <w:r>
        <w:rPr>
          <w:sz w:val="24"/>
        </w:rPr>
        <w:t>strains in a duckweed aquaculture-based hospital sewage water recycling plant in Bangladesh. Appl Environ Microbiol. 2007;</w:t>
      </w:r>
      <w:r>
        <w:rPr>
          <w:spacing w:val="-14"/>
          <w:sz w:val="24"/>
        </w:rPr>
        <w:t> </w:t>
      </w:r>
      <w:r>
        <w:rPr>
          <w:sz w:val="24"/>
        </w:rPr>
        <w:t>73:1444-1451.</w:t>
      </w:r>
    </w:p>
    <w:p>
      <w:pPr>
        <w:pStyle w:val="ListParagraph"/>
        <w:numPr>
          <w:ilvl w:val="0"/>
          <w:numId w:val="8"/>
        </w:numPr>
        <w:tabs>
          <w:tab w:pos="452" w:val="left" w:leader="none"/>
        </w:tabs>
        <w:spacing w:line="240" w:lineRule="auto" w:before="10" w:after="0"/>
        <w:ind w:left="451" w:right="0" w:hanging="348"/>
        <w:jc w:val="left"/>
        <w:rPr>
          <w:i/>
          <w:sz w:val="24"/>
        </w:rPr>
      </w:pPr>
      <w:r>
        <w:rPr>
          <w:sz w:val="24"/>
        </w:rPr>
        <w:t>Rahman</w:t>
      </w:r>
      <w:r>
        <w:rPr>
          <w:spacing w:val="46"/>
          <w:sz w:val="24"/>
        </w:rPr>
        <w:t> </w:t>
      </w:r>
      <w:r>
        <w:rPr>
          <w:sz w:val="24"/>
        </w:rPr>
        <w:t>MH,</w:t>
      </w:r>
      <w:r>
        <w:rPr>
          <w:spacing w:val="46"/>
          <w:sz w:val="24"/>
        </w:rPr>
        <w:t> </w:t>
      </w:r>
      <w:r>
        <w:rPr>
          <w:sz w:val="24"/>
        </w:rPr>
        <w:t>Suzuki</w:t>
      </w:r>
      <w:r>
        <w:rPr>
          <w:spacing w:val="47"/>
          <w:sz w:val="24"/>
        </w:rPr>
        <w:t> </w:t>
      </w:r>
      <w:r>
        <w:rPr>
          <w:sz w:val="24"/>
        </w:rPr>
        <w:t>S,</w:t>
      </w:r>
      <w:r>
        <w:rPr>
          <w:spacing w:val="46"/>
          <w:sz w:val="24"/>
        </w:rPr>
        <w:t> </w:t>
      </w:r>
      <w:r>
        <w:rPr>
          <w:sz w:val="24"/>
        </w:rPr>
        <w:t>Kawai</w:t>
      </w:r>
      <w:r>
        <w:rPr>
          <w:spacing w:val="47"/>
          <w:sz w:val="24"/>
        </w:rPr>
        <w:t> </w:t>
      </w:r>
      <w:r>
        <w:rPr>
          <w:sz w:val="24"/>
        </w:rPr>
        <w:t>K.</w:t>
      </w:r>
      <w:r>
        <w:rPr>
          <w:spacing w:val="46"/>
          <w:sz w:val="24"/>
        </w:rPr>
        <w:t> </w:t>
      </w:r>
      <w:r>
        <w:rPr>
          <w:sz w:val="24"/>
        </w:rPr>
        <w:t>The</w:t>
      </w:r>
      <w:r>
        <w:rPr>
          <w:spacing w:val="45"/>
          <w:sz w:val="24"/>
        </w:rPr>
        <w:t> </w:t>
      </w:r>
      <w:r>
        <w:rPr>
          <w:sz w:val="24"/>
        </w:rPr>
        <w:t>effect</w:t>
      </w:r>
      <w:r>
        <w:rPr>
          <w:spacing w:val="47"/>
          <w:sz w:val="24"/>
        </w:rPr>
        <w:t> </w:t>
      </w:r>
      <w:r>
        <w:rPr>
          <w:sz w:val="24"/>
        </w:rPr>
        <w:t>of</w:t>
      </w:r>
      <w:r>
        <w:rPr>
          <w:spacing w:val="46"/>
          <w:sz w:val="24"/>
        </w:rPr>
        <w:t> </w:t>
      </w:r>
      <w:r>
        <w:rPr>
          <w:sz w:val="24"/>
        </w:rPr>
        <w:t>temperature</w:t>
      </w:r>
      <w:r>
        <w:rPr>
          <w:spacing w:val="47"/>
          <w:sz w:val="24"/>
        </w:rPr>
        <w:t> </w:t>
      </w:r>
      <w:r>
        <w:rPr>
          <w:sz w:val="24"/>
        </w:rPr>
        <w:t>on</w:t>
      </w:r>
      <w:r>
        <w:rPr>
          <w:spacing w:val="53"/>
          <w:sz w:val="24"/>
        </w:rPr>
        <w:t> </w:t>
      </w:r>
      <w:r>
        <w:rPr>
          <w:i/>
          <w:sz w:val="24"/>
        </w:rPr>
        <w:t>Aeromonas</w:t>
      </w:r>
      <w:r>
        <w:rPr>
          <w:i/>
          <w:spacing w:val="47"/>
          <w:sz w:val="24"/>
        </w:rPr>
        <w:t> </w:t>
      </w:r>
      <w:r>
        <w:rPr>
          <w:i/>
          <w:sz w:val="24"/>
        </w:rPr>
        <w:t>hydrophila</w:t>
      </w:r>
    </w:p>
    <w:p>
      <w:pPr>
        <w:pStyle w:val="BodyText"/>
        <w:rPr>
          <w:i/>
        </w:rPr>
      </w:pPr>
    </w:p>
    <w:p>
      <w:pPr>
        <w:spacing w:before="0"/>
        <w:ind w:left="463" w:right="90" w:firstLine="0"/>
        <w:jc w:val="left"/>
        <w:rPr>
          <w:sz w:val="24"/>
        </w:rPr>
      </w:pPr>
      <w:r>
        <w:rPr>
          <w:sz w:val="24"/>
        </w:rPr>
        <w:t>infection in goldfish, </w:t>
      </w:r>
      <w:r>
        <w:rPr>
          <w:i/>
          <w:sz w:val="24"/>
        </w:rPr>
        <w:t>Carassius auratus</w:t>
      </w:r>
      <w:r>
        <w:rPr>
          <w:sz w:val="24"/>
        </w:rPr>
        <w:t>. J Appl Ichthyol. 2001; 17:282-285.</w:t>
      </w:r>
    </w:p>
    <w:p>
      <w:pPr>
        <w:pStyle w:val="BodyText"/>
      </w:pPr>
    </w:p>
    <w:p>
      <w:pPr>
        <w:pStyle w:val="ListParagraph"/>
        <w:numPr>
          <w:ilvl w:val="0"/>
          <w:numId w:val="8"/>
        </w:numPr>
        <w:tabs>
          <w:tab w:pos="452" w:val="left" w:leader="none"/>
        </w:tabs>
        <w:spacing w:line="480" w:lineRule="auto" w:before="0" w:after="0"/>
        <w:ind w:left="463" w:right="98" w:hanging="360"/>
        <w:jc w:val="both"/>
        <w:rPr>
          <w:sz w:val="24"/>
        </w:rPr>
      </w:pPr>
      <w:r>
        <w:rPr>
          <w:sz w:val="24"/>
        </w:rPr>
        <w:t>Rey A, Verjan N, Ferguson HW, Iregul C. Pathogenesis of </w:t>
      </w:r>
      <w:r>
        <w:rPr>
          <w:i/>
          <w:sz w:val="24"/>
        </w:rPr>
        <w:t>Aeromonas hydrophila </w:t>
      </w:r>
      <w:r>
        <w:rPr>
          <w:sz w:val="24"/>
        </w:rPr>
        <w:t>strain KJ99 infection and its extracellular products in two species of fish. Rec Vet. 2009; 164:493- 499.</w:t>
      </w:r>
    </w:p>
    <w:p>
      <w:pPr>
        <w:pStyle w:val="ListParagraph"/>
        <w:numPr>
          <w:ilvl w:val="0"/>
          <w:numId w:val="8"/>
        </w:numPr>
        <w:tabs>
          <w:tab w:pos="452" w:val="left" w:leader="none"/>
        </w:tabs>
        <w:spacing w:line="240" w:lineRule="auto" w:before="10" w:after="0"/>
        <w:ind w:left="451" w:right="0" w:hanging="348"/>
        <w:jc w:val="left"/>
        <w:rPr>
          <w:sz w:val="24"/>
        </w:rPr>
      </w:pPr>
      <w:r>
        <w:rPr>
          <w:sz w:val="24"/>
        </w:rPr>
        <w:t>Roberts RJ. Fish Pathology. 3era ed. USA, Toronto: W.B. Saunders. 2001;</w:t>
      </w:r>
      <w:r>
        <w:rPr>
          <w:spacing w:val="-9"/>
          <w:sz w:val="24"/>
        </w:rPr>
        <w:t> </w:t>
      </w:r>
      <w:r>
        <w:rPr>
          <w:sz w:val="24"/>
        </w:rPr>
        <w:t>315-321.</w:t>
      </w:r>
    </w:p>
    <w:p>
      <w:pPr>
        <w:pStyle w:val="BodyText"/>
      </w:pPr>
    </w:p>
    <w:p>
      <w:pPr>
        <w:pStyle w:val="ListParagraph"/>
        <w:numPr>
          <w:ilvl w:val="0"/>
          <w:numId w:val="8"/>
        </w:numPr>
        <w:tabs>
          <w:tab w:pos="452" w:val="left" w:leader="none"/>
        </w:tabs>
        <w:spacing w:line="240" w:lineRule="auto" w:before="0" w:after="0"/>
        <w:ind w:left="451" w:right="0" w:hanging="348"/>
        <w:jc w:val="left"/>
        <w:rPr>
          <w:sz w:val="24"/>
        </w:rPr>
      </w:pPr>
      <w:r>
        <w:rPr>
          <w:sz w:val="24"/>
        </w:rPr>
        <w:t>Rubio-Godoy M. Inmunología de los peces óseos. Rev Mex Cienc Pecu. 2010;</w:t>
      </w:r>
      <w:r>
        <w:rPr>
          <w:spacing w:val="-12"/>
          <w:sz w:val="24"/>
        </w:rPr>
        <w:t> </w:t>
      </w:r>
      <w:r>
        <w:rPr>
          <w:sz w:val="24"/>
        </w:rPr>
        <w:t>1:47-57.</w:t>
      </w:r>
    </w:p>
    <w:p>
      <w:pPr>
        <w:pStyle w:val="BodyText"/>
      </w:pPr>
    </w:p>
    <w:p>
      <w:pPr>
        <w:pStyle w:val="ListParagraph"/>
        <w:numPr>
          <w:ilvl w:val="0"/>
          <w:numId w:val="8"/>
        </w:numPr>
        <w:tabs>
          <w:tab w:pos="452" w:val="left" w:leader="none"/>
        </w:tabs>
        <w:spacing w:line="240" w:lineRule="auto" w:before="0" w:after="0"/>
        <w:ind w:left="451" w:right="0" w:hanging="348"/>
        <w:jc w:val="left"/>
        <w:rPr>
          <w:sz w:val="24"/>
        </w:rPr>
      </w:pPr>
      <w:r>
        <w:rPr>
          <w:sz w:val="24"/>
        </w:rPr>
        <w:t>Saavedra</w:t>
      </w:r>
      <w:r>
        <w:rPr>
          <w:spacing w:val="21"/>
          <w:sz w:val="24"/>
        </w:rPr>
        <w:t> </w:t>
      </w:r>
      <w:r>
        <w:rPr>
          <w:sz w:val="24"/>
        </w:rPr>
        <w:t>MJ,</w:t>
      </w:r>
      <w:r>
        <w:rPr>
          <w:spacing w:val="22"/>
          <w:sz w:val="24"/>
        </w:rPr>
        <w:t> </w:t>
      </w:r>
      <w:r>
        <w:rPr>
          <w:sz w:val="24"/>
        </w:rPr>
        <w:t>Guedes-Novais</w:t>
      </w:r>
      <w:r>
        <w:rPr>
          <w:spacing w:val="23"/>
          <w:sz w:val="24"/>
        </w:rPr>
        <w:t> </w:t>
      </w:r>
      <w:r>
        <w:rPr>
          <w:sz w:val="24"/>
        </w:rPr>
        <w:t>S,</w:t>
      </w:r>
      <w:r>
        <w:rPr>
          <w:spacing w:val="22"/>
          <w:sz w:val="24"/>
        </w:rPr>
        <w:t> </w:t>
      </w:r>
      <w:r>
        <w:rPr>
          <w:sz w:val="24"/>
        </w:rPr>
        <w:t>Alves</w:t>
      </w:r>
      <w:r>
        <w:rPr>
          <w:spacing w:val="23"/>
          <w:sz w:val="24"/>
        </w:rPr>
        <w:t> </w:t>
      </w:r>
      <w:r>
        <w:rPr>
          <w:sz w:val="24"/>
        </w:rPr>
        <w:t>A,</w:t>
      </w:r>
      <w:r>
        <w:rPr>
          <w:spacing w:val="22"/>
          <w:sz w:val="24"/>
        </w:rPr>
        <w:t> </w:t>
      </w:r>
      <w:r>
        <w:rPr>
          <w:sz w:val="24"/>
        </w:rPr>
        <w:t>Rema</w:t>
      </w:r>
      <w:r>
        <w:rPr>
          <w:spacing w:val="22"/>
          <w:sz w:val="24"/>
        </w:rPr>
        <w:t> </w:t>
      </w:r>
      <w:r>
        <w:rPr>
          <w:sz w:val="24"/>
        </w:rPr>
        <w:t>P,</w:t>
      </w:r>
      <w:r>
        <w:rPr>
          <w:spacing w:val="22"/>
          <w:sz w:val="24"/>
        </w:rPr>
        <w:t> </w:t>
      </w:r>
      <w:r>
        <w:rPr>
          <w:sz w:val="24"/>
        </w:rPr>
        <w:t>Tacão</w:t>
      </w:r>
      <w:r>
        <w:rPr>
          <w:spacing w:val="22"/>
          <w:sz w:val="24"/>
        </w:rPr>
        <w:t> </w:t>
      </w:r>
      <w:r>
        <w:rPr>
          <w:sz w:val="24"/>
        </w:rPr>
        <w:t>M,</w:t>
      </w:r>
      <w:r>
        <w:rPr>
          <w:spacing w:val="23"/>
          <w:sz w:val="24"/>
        </w:rPr>
        <w:t> </w:t>
      </w:r>
      <w:r>
        <w:rPr>
          <w:sz w:val="24"/>
        </w:rPr>
        <w:t>Correia</w:t>
      </w:r>
      <w:r>
        <w:rPr>
          <w:spacing w:val="24"/>
          <w:sz w:val="24"/>
        </w:rPr>
        <w:t> </w:t>
      </w:r>
      <w:r>
        <w:rPr>
          <w:sz w:val="24"/>
        </w:rPr>
        <w:t>A,</w:t>
      </w:r>
      <w:r>
        <w:rPr>
          <w:spacing w:val="24"/>
          <w:sz w:val="24"/>
        </w:rPr>
        <w:t> </w:t>
      </w:r>
      <w:r>
        <w:rPr>
          <w:sz w:val="24"/>
        </w:rPr>
        <w:t>Martínez-Murcia</w:t>
      </w:r>
    </w:p>
    <w:p>
      <w:pPr>
        <w:pStyle w:val="BodyText"/>
      </w:pPr>
    </w:p>
    <w:p>
      <w:pPr>
        <w:pStyle w:val="ListParagraph"/>
        <w:numPr>
          <w:ilvl w:val="1"/>
          <w:numId w:val="8"/>
        </w:numPr>
        <w:tabs>
          <w:tab w:pos="797" w:val="left" w:leader="none"/>
        </w:tabs>
        <w:spacing w:line="480" w:lineRule="auto" w:before="0" w:after="0"/>
        <w:ind w:left="463" w:right="105" w:firstLine="0"/>
        <w:jc w:val="left"/>
        <w:rPr>
          <w:sz w:val="24"/>
        </w:rPr>
      </w:pPr>
      <w:r>
        <w:rPr>
          <w:sz w:val="24"/>
        </w:rPr>
        <w:t>Resistance to beta-lactam antibiotics in </w:t>
      </w:r>
      <w:r>
        <w:rPr>
          <w:i/>
          <w:sz w:val="24"/>
        </w:rPr>
        <w:t>Aeromonas hydrophila </w:t>
      </w:r>
      <w:r>
        <w:rPr>
          <w:sz w:val="24"/>
        </w:rPr>
        <w:t>isolated from rainbow trout (</w:t>
      </w:r>
      <w:r>
        <w:rPr>
          <w:i/>
          <w:sz w:val="24"/>
        </w:rPr>
        <w:t>Oncorhynchus mykiss</w:t>
      </w:r>
      <w:r>
        <w:rPr>
          <w:sz w:val="24"/>
        </w:rPr>
        <w:t>). Int Microbiol. 2004;</w:t>
      </w:r>
      <w:r>
        <w:rPr>
          <w:spacing w:val="-9"/>
          <w:sz w:val="24"/>
        </w:rPr>
        <w:t> </w:t>
      </w:r>
      <w:r>
        <w:rPr>
          <w:sz w:val="24"/>
        </w:rPr>
        <w:t>7:207-211.</w:t>
      </w:r>
    </w:p>
    <w:p>
      <w:pPr>
        <w:pStyle w:val="ListParagraph"/>
        <w:numPr>
          <w:ilvl w:val="0"/>
          <w:numId w:val="8"/>
        </w:numPr>
        <w:tabs>
          <w:tab w:pos="452" w:val="left" w:leader="none"/>
        </w:tabs>
        <w:spacing w:line="480" w:lineRule="auto" w:before="10" w:after="0"/>
        <w:ind w:left="463" w:right="102" w:hanging="360"/>
        <w:jc w:val="both"/>
        <w:rPr>
          <w:sz w:val="24"/>
        </w:rPr>
      </w:pPr>
      <w:r>
        <w:rPr>
          <w:sz w:val="24"/>
        </w:rPr>
        <w:t>SAGARPA. Crece producción y consumo de trucha en el país. Comunicado de prensa NUM.378/11, 2011 [Citado 08 octubre, 2015]. Disponible en: URL: </w:t>
      </w:r>
      <w:hyperlink r:id="rId22">
        <w:r>
          <w:rPr>
            <w:color w:val="0000FF"/>
            <w:sz w:val="24"/>
            <w:u w:val="single" w:color="0000FF"/>
          </w:rPr>
          <w:t>http://www.sagarpa.gob.mx/saladeprensa/boletines2/2011/julio/Documents/2011B379.pdf</w:t>
        </w:r>
      </w:hyperlink>
    </w:p>
    <w:p>
      <w:pPr>
        <w:pStyle w:val="ListParagraph"/>
        <w:numPr>
          <w:ilvl w:val="0"/>
          <w:numId w:val="8"/>
        </w:numPr>
        <w:tabs>
          <w:tab w:pos="452" w:val="left" w:leader="none"/>
        </w:tabs>
        <w:spacing w:line="480" w:lineRule="auto" w:before="10" w:after="0"/>
        <w:ind w:left="463" w:right="102" w:hanging="360"/>
        <w:jc w:val="both"/>
        <w:rPr>
          <w:sz w:val="24"/>
        </w:rPr>
      </w:pPr>
      <w:r>
        <w:rPr>
          <w:sz w:val="24"/>
        </w:rPr>
        <w:t>Salgado-Miranda C, Palomares E, Jurado M, Marín A, Vega F, Soriano-Vargas E. Isolation and distribution of bacterial flora in farmed rainbow trout from México. J Aquat Anim Health. 2010;</w:t>
      </w:r>
      <w:r>
        <w:rPr>
          <w:spacing w:val="-4"/>
          <w:sz w:val="24"/>
        </w:rPr>
        <w:t> </w:t>
      </w:r>
      <w:r>
        <w:rPr>
          <w:sz w:val="24"/>
        </w:rPr>
        <w:t>22:244-247.</w:t>
      </w:r>
    </w:p>
    <w:p>
      <w:pPr>
        <w:pStyle w:val="ListParagraph"/>
        <w:numPr>
          <w:ilvl w:val="0"/>
          <w:numId w:val="8"/>
        </w:numPr>
        <w:tabs>
          <w:tab w:pos="452" w:val="left" w:leader="none"/>
        </w:tabs>
        <w:spacing w:line="480" w:lineRule="auto" w:before="10" w:after="0"/>
        <w:ind w:left="463" w:right="105" w:hanging="360"/>
        <w:jc w:val="both"/>
        <w:rPr>
          <w:sz w:val="24"/>
        </w:rPr>
      </w:pPr>
      <w:r>
        <w:rPr>
          <w:sz w:val="24"/>
        </w:rPr>
        <w:t>Soriano–Vargas E, Castro–Escarpulli G, Aguilera–Arreola MG, Vega–Castillo F, Salgado– Miranda</w:t>
      </w:r>
      <w:r>
        <w:rPr>
          <w:spacing w:val="19"/>
          <w:sz w:val="24"/>
        </w:rPr>
        <w:t> </w:t>
      </w:r>
      <w:r>
        <w:rPr>
          <w:sz w:val="24"/>
        </w:rPr>
        <w:t>C.</w:t>
      </w:r>
      <w:r>
        <w:rPr>
          <w:spacing w:val="20"/>
          <w:sz w:val="24"/>
        </w:rPr>
        <w:t> </w:t>
      </w:r>
      <w:r>
        <w:rPr>
          <w:sz w:val="24"/>
        </w:rPr>
        <w:t>Aislamiento</w:t>
      </w:r>
      <w:r>
        <w:rPr>
          <w:spacing w:val="20"/>
          <w:sz w:val="24"/>
        </w:rPr>
        <w:t> </w:t>
      </w:r>
      <w:r>
        <w:rPr>
          <w:sz w:val="24"/>
        </w:rPr>
        <w:t>e</w:t>
      </w:r>
      <w:r>
        <w:rPr>
          <w:spacing w:val="19"/>
          <w:sz w:val="24"/>
        </w:rPr>
        <w:t> </w:t>
      </w:r>
      <w:r>
        <w:rPr>
          <w:sz w:val="24"/>
        </w:rPr>
        <w:t>identificación</w:t>
      </w:r>
      <w:r>
        <w:rPr>
          <w:spacing w:val="20"/>
          <w:sz w:val="24"/>
        </w:rPr>
        <w:t> </w:t>
      </w:r>
      <w:r>
        <w:rPr>
          <w:sz w:val="24"/>
        </w:rPr>
        <w:t>de</w:t>
      </w:r>
      <w:r>
        <w:rPr>
          <w:spacing w:val="22"/>
          <w:sz w:val="24"/>
        </w:rPr>
        <w:t> </w:t>
      </w:r>
      <w:r>
        <w:rPr>
          <w:i/>
          <w:sz w:val="24"/>
        </w:rPr>
        <w:t>Aeromonas</w:t>
      </w:r>
      <w:r>
        <w:rPr>
          <w:i/>
          <w:spacing w:val="20"/>
          <w:sz w:val="24"/>
        </w:rPr>
        <w:t> </w:t>
      </w:r>
      <w:r>
        <w:rPr>
          <w:i/>
          <w:sz w:val="24"/>
        </w:rPr>
        <w:t>bestiarum</w:t>
      </w:r>
      <w:r>
        <w:rPr>
          <w:i/>
          <w:spacing w:val="21"/>
          <w:sz w:val="24"/>
        </w:rPr>
        <w:t> </w:t>
      </w:r>
      <w:r>
        <w:rPr>
          <w:sz w:val="24"/>
        </w:rPr>
        <w:t>a</w:t>
      </w:r>
      <w:r>
        <w:rPr>
          <w:spacing w:val="19"/>
          <w:sz w:val="24"/>
        </w:rPr>
        <w:t> </w:t>
      </w:r>
      <w:r>
        <w:rPr>
          <w:sz w:val="24"/>
        </w:rPr>
        <w:t>partir</w:t>
      </w:r>
      <w:r>
        <w:rPr>
          <w:spacing w:val="19"/>
          <w:sz w:val="24"/>
        </w:rPr>
        <w:t> </w:t>
      </w:r>
      <w:r>
        <w:rPr>
          <w:sz w:val="24"/>
        </w:rPr>
        <w:t>de</w:t>
      </w:r>
      <w:r>
        <w:rPr>
          <w:spacing w:val="19"/>
          <w:sz w:val="24"/>
        </w:rPr>
        <w:t> </w:t>
      </w:r>
      <w:r>
        <w:rPr>
          <w:sz w:val="24"/>
        </w:rPr>
        <w:t>carpa</w:t>
      </w:r>
      <w:r>
        <w:rPr>
          <w:spacing w:val="19"/>
          <w:sz w:val="24"/>
        </w:rPr>
        <w:t> </w:t>
      </w:r>
      <w:r>
        <w:rPr>
          <w:sz w:val="24"/>
        </w:rPr>
        <w:t>común</w:t>
      </w:r>
    </w:p>
    <w:p>
      <w:pPr>
        <w:spacing w:after="0" w:line="480" w:lineRule="auto"/>
        <w:jc w:val="both"/>
        <w:rPr>
          <w:sz w:val="24"/>
        </w:rPr>
        <w:sectPr>
          <w:pgSz w:w="12240" w:h="15840"/>
          <w:pgMar w:header="0" w:footer="695" w:top="1080" w:bottom="940" w:left="1560" w:right="1200"/>
        </w:sectPr>
      </w:pPr>
    </w:p>
    <w:p>
      <w:pPr>
        <w:pStyle w:val="BodyText"/>
        <w:spacing w:line="480" w:lineRule="auto" w:before="44"/>
        <w:ind w:left="463" w:right="90"/>
      </w:pPr>
      <w:r>
        <w:rPr/>
        <w:t>de cultivo (</w:t>
      </w:r>
      <w:r>
        <w:rPr>
          <w:i/>
        </w:rPr>
        <w:t>Cyprinus carpio </w:t>
      </w:r>
      <w:r>
        <w:rPr/>
        <w:t>L.) procedentes de Santa María de Chapa de Mota, Estado de México, México. Vet Méx. 2010; 41:111-115.</w:t>
      </w:r>
    </w:p>
    <w:p>
      <w:pPr>
        <w:pStyle w:val="ListParagraph"/>
        <w:numPr>
          <w:ilvl w:val="0"/>
          <w:numId w:val="8"/>
        </w:numPr>
        <w:tabs>
          <w:tab w:pos="452" w:val="left" w:leader="none"/>
        </w:tabs>
        <w:spacing w:line="480" w:lineRule="auto" w:before="10" w:after="0"/>
        <w:ind w:left="463" w:right="102" w:hanging="360"/>
        <w:jc w:val="both"/>
        <w:rPr>
          <w:sz w:val="24"/>
        </w:rPr>
      </w:pPr>
      <w:r>
        <w:rPr>
          <w:sz w:val="24"/>
        </w:rPr>
        <w:t>Tequianes-Bravo L, Pérez-Gonzáles DA, Gonzáles-Malváez MM, Flores-Pimentel M, Marroquín-Segura R. Aislamiento de </w:t>
      </w:r>
      <w:r>
        <w:rPr>
          <w:i/>
          <w:sz w:val="24"/>
        </w:rPr>
        <w:t>Aeromonas </w:t>
      </w:r>
      <w:r>
        <w:rPr>
          <w:sz w:val="24"/>
        </w:rPr>
        <w:t>productoras de aerolisina y enterotoxina, en muestras de agua potable en la Facultad de Estudios Superiores Zaragoza y otras dependencias de la Universidad Nacional Autónoma de México. Bioquimia. 2005;</w:t>
      </w:r>
      <w:r>
        <w:rPr>
          <w:spacing w:val="-10"/>
          <w:sz w:val="24"/>
        </w:rPr>
        <w:t> </w:t>
      </w:r>
      <w:r>
        <w:rPr>
          <w:sz w:val="24"/>
        </w:rPr>
        <w:t>30:23-29.</w:t>
      </w:r>
    </w:p>
    <w:p>
      <w:pPr>
        <w:pStyle w:val="ListParagraph"/>
        <w:numPr>
          <w:ilvl w:val="0"/>
          <w:numId w:val="8"/>
        </w:numPr>
        <w:tabs>
          <w:tab w:pos="452" w:val="left" w:leader="none"/>
        </w:tabs>
        <w:spacing w:line="480" w:lineRule="auto" w:before="10" w:after="0"/>
        <w:ind w:left="463" w:right="105" w:hanging="360"/>
        <w:jc w:val="both"/>
        <w:rPr>
          <w:sz w:val="24"/>
        </w:rPr>
      </w:pPr>
      <w:r>
        <w:rPr>
          <w:sz w:val="24"/>
        </w:rPr>
        <w:t>Tomás JM. The main </w:t>
      </w:r>
      <w:r>
        <w:rPr>
          <w:i/>
          <w:sz w:val="24"/>
        </w:rPr>
        <w:t>Aeromonas </w:t>
      </w:r>
      <w:r>
        <w:rPr>
          <w:sz w:val="24"/>
        </w:rPr>
        <w:t>pathogenic factors. ISRN Microbiology. 2012; ID 25261:1-22.</w:t>
      </w:r>
    </w:p>
    <w:p>
      <w:pPr>
        <w:pStyle w:val="ListParagraph"/>
        <w:numPr>
          <w:ilvl w:val="0"/>
          <w:numId w:val="8"/>
        </w:numPr>
        <w:tabs>
          <w:tab w:pos="452" w:val="left" w:leader="none"/>
        </w:tabs>
        <w:spacing w:line="480" w:lineRule="auto" w:before="10" w:after="0"/>
        <w:ind w:left="463" w:right="106" w:hanging="360"/>
        <w:jc w:val="both"/>
        <w:rPr>
          <w:sz w:val="24"/>
        </w:rPr>
      </w:pPr>
      <w:r>
        <w:rPr>
          <w:sz w:val="24"/>
        </w:rPr>
        <w:t>Turska-Szewczuk A, Guz </w:t>
      </w:r>
      <w:r>
        <w:rPr>
          <w:spacing w:val="-3"/>
          <w:sz w:val="24"/>
        </w:rPr>
        <w:t>L, </w:t>
      </w:r>
      <w:r>
        <w:rPr>
          <w:sz w:val="24"/>
        </w:rPr>
        <w:t>Lindner B, Pietras H, Russa R, Holst O. Structural characterization of the O-specific polysaccharide from the lipopolysaccharide of the fish pathogen </w:t>
      </w:r>
      <w:r>
        <w:rPr>
          <w:i/>
          <w:sz w:val="24"/>
        </w:rPr>
        <w:t>Aeromonas bestiarum </w:t>
      </w:r>
      <w:r>
        <w:rPr>
          <w:sz w:val="24"/>
        </w:rPr>
        <w:t>strain P1S. Carbohydr Res. 2011;</w:t>
      </w:r>
      <w:r>
        <w:rPr>
          <w:spacing w:val="-6"/>
          <w:sz w:val="24"/>
        </w:rPr>
        <w:t> </w:t>
      </w:r>
      <w:r>
        <w:rPr>
          <w:sz w:val="24"/>
        </w:rPr>
        <w:t>346:815-821.</w:t>
      </w:r>
    </w:p>
    <w:p>
      <w:pPr>
        <w:pStyle w:val="ListParagraph"/>
        <w:numPr>
          <w:ilvl w:val="0"/>
          <w:numId w:val="8"/>
        </w:numPr>
        <w:tabs>
          <w:tab w:pos="452" w:val="left" w:leader="none"/>
        </w:tabs>
        <w:spacing w:line="480" w:lineRule="auto" w:before="10" w:after="0"/>
        <w:ind w:left="463" w:right="103" w:hanging="360"/>
        <w:jc w:val="both"/>
        <w:rPr>
          <w:sz w:val="24"/>
        </w:rPr>
      </w:pPr>
      <w:r>
        <w:rPr>
          <w:sz w:val="24"/>
        </w:rPr>
        <w:t>Turutoglu H, Ercelik S, Corlu M. </w:t>
      </w:r>
      <w:r>
        <w:rPr>
          <w:i/>
          <w:sz w:val="24"/>
        </w:rPr>
        <w:t>Aeromonas hydrophila</w:t>
      </w:r>
      <w:r>
        <w:rPr>
          <w:sz w:val="24"/>
        </w:rPr>
        <w:t>-associated skin lesions and septicemia in a Nile crocodile (</w:t>
      </w:r>
      <w:r>
        <w:rPr>
          <w:i/>
          <w:sz w:val="24"/>
        </w:rPr>
        <w:t>Crocodylus niloticus</w:t>
      </w:r>
      <w:r>
        <w:rPr>
          <w:sz w:val="24"/>
        </w:rPr>
        <w:t>). Jl S Afr vet Ass. 2005;</w:t>
      </w:r>
      <w:r>
        <w:rPr>
          <w:spacing w:val="-10"/>
          <w:sz w:val="24"/>
        </w:rPr>
        <w:t> </w:t>
      </w:r>
      <w:r>
        <w:rPr>
          <w:sz w:val="24"/>
        </w:rPr>
        <w:t>76:40-42.</w:t>
      </w:r>
    </w:p>
    <w:p>
      <w:pPr>
        <w:pStyle w:val="ListParagraph"/>
        <w:numPr>
          <w:ilvl w:val="0"/>
          <w:numId w:val="8"/>
        </w:numPr>
        <w:tabs>
          <w:tab w:pos="452" w:val="left" w:leader="none"/>
        </w:tabs>
        <w:spacing w:line="480" w:lineRule="auto" w:before="10" w:after="0"/>
        <w:ind w:left="463" w:right="99" w:hanging="360"/>
        <w:jc w:val="both"/>
        <w:rPr>
          <w:sz w:val="24"/>
        </w:rPr>
      </w:pPr>
      <w:r>
        <w:rPr>
          <w:sz w:val="24"/>
        </w:rPr>
        <w:t>Vásquez-Piñeros MA, Rondón-Barragán IS, Restrepo-Betancur LF, Eslava-Mocha PR. Estudio clínico y hematológico de una infección experimental con </w:t>
      </w:r>
      <w:r>
        <w:rPr>
          <w:i/>
          <w:sz w:val="24"/>
        </w:rPr>
        <w:t>Aeromonas hydrophila </w:t>
      </w:r>
      <w:r>
        <w:rPr>
          <w:sz w:val="24"/>
        </w:rPr>
        <w:t>y </w:t>
      </w:r>
      <w:r>
        <w:rPr>
          <w:i/>
          <w:sz w:val="24"/>
        </w:rPr>
        <w:t>Edwardsiella tarda </w:t>
      </w:r>
      <w:r>
        <w:rPr>
          <w:sz w:val="24"/>
        </w:rPr>
        <w:t>en tilapia, </w:t>
      </w:r>
      <w:r>
        <w:rPr>
          <w:i/>
          <w:sz w:val="24"/>
        </w:rPr>
        <w:t>Oreochromis </w:t>
      </w:r>
      <w:r>
        <w:rPr>
          <w:sz w:val="24"/>
        </w:rPr>
        <w:t>sp. Orinoquia. 2010;</w:t>
      </w:r>
      <w:r>
        <w:rPr>
          <w:spacing w:val="-5"/>
          <w:sz w:val="24"/>
        </w:rPr>
        <w:t> </w:t>
      </w:r>
      <w:r>
        <w:rPr>
          <w:sz w:val="24"/>
        </w:rPr>
        <w:t>14:33-44.</w:t>
      </w:r>
    </w:p>
    <w:p>
      <w:pPr>
        <w:pStyle w:val="ListParagraph"/>
        <w:numPr>
          <w:ilvl w:val="0"/>
          <w:numId w:val="8"/>
        </w:numPr>
        <w:tabs>
          <w:tab w:pos="452" w:val="left" w:leader="none"/>
        </w:tabs>
        <w:spacing w:line="480" w:lineRule="auto" w:before="10" w:after="0"/>
        <w:ind w:left="463" w:right="102" w:hanging="360"/>
        <w:jc w:val="both"/>
        <w:rPr>
          <w:sz w:val="24"/>
        </w:rPr>
      </w:pPr>
      <w:r>
        <w:rPr>
          <w:sz w:val="24"/>
        </w:rPr>
        <w:t>Vega-Sánchez V, Acosta-Dibarrat J, Vega-Castillo F, Castro-Escarpulli G, Aguilera-Arreola MG, Soriano-Vargas E. Phenotypical characteristics, genetic identification,  and antimicrobial sensitivity of </w:t>
      </w:r>
      <w:r>
        <w:rPr>
          <w:i/>
          <w:sz w:val="24"/>
        </w:rPr>
        <w:t>Aeromonas </w:t>
      </w:r>
      <w:r>
        <w:rPr>
          <w:sz w:val="24"/>
        </w:rPr>
        <w:t>species isolated from farmed rainbow trout (</w:t>
      </w:r>
      <w:r>
        <w:rPr>
          <w:i/>
          <w:sz w:val="24"/>
        </w:rPr>
        <w:t>Oncorhynchus mykiss</w:t>
      </w:r>
      <w:r>
        <w:rPr>
          <w:sz w:val="24"/>
        </w:rPr>
        <w:t>) in Mexico. Acta Tropica. 2014a;</w:t>
      </w:r>
      <w:r>
        <w:rPr>
          <w:spacing w:val="-9"/>
          <w:sz w:val="24"/>
        </w:rPr>
        <w:t> </w:t>
      </w:r>
      <w:r>
        <w:rPr>
          <w:sz w:val="24"/>
        </w:rPr>
        <w:t>130:76-79.</w:t>
      </w:r>
    </w:p>
    <w:p>
      <w:pPr>
        <w:pStyle w:val="ListParagraph"/>
        <w:numPr>
          <w:ilvl w:val="0"/>
          <w:numId w:val="8"/>
        </w:numPr>
        <w:tabs>
          <w:tab w:pos="452" w:val="left" w:leader="none"/>
        </w:tabs>
        <w:spacing w:line="480" w:lineRule="auto" w:before="10" w:after="0"/>
        <w:ind w:left="463" w:right="101" w:hanging="360"/>
        <w:jc w:val="both"/>
        <w:rPr>
          <w:sz w:val="24"/>
        </w:rPr>
      </w:pPr>
      <w:r>
        <w:rPr>
          <w:sz w:val="24"/>
        </w:rPr>
        <w:t>Vega-Sánchez V, Latif-Eugenín F, Soriano-Vargas E, Beaz-Hidalgo R, Figueras MJ, Aguilera-Arreola MG,  Castro-Escarpulli  G. Re-identification  of  </w:t>
      </w:r>
      <w:r>
        <w:rPr>
          <w:i/>
          <w:sz w:val="24"/>
        </w:rPr>
        <w:t>Aeromonas  </w:t>
      </w:r>
      <w:r>
        <w:rPr>
          <w:sz w:val="24"/>
        </w:rPr>
        <w:t>isolates</w:t>
      </w:r>
      <w:r>
        <w:rPr>
          <w:spacing w:val="-5"/>
          <w:sz w:val="24"/>
        </w:rPr>
        <w:t> </w:t>
      </w:r>
      <w:r>
        <w:rPr>
          <w:sz w:val="24"/>
        </w:rPr>
        <w:t>from</w:t>
      </w:r>
    </w:p>
    <w:p>
      <w:pPr>
        <w:spacing w:after="0" w:line="480" w:lineRule="auto"/>
        <w:jc w:val="both"/>
        <w:rPr>
          <w:sz w:val="24"/>
        </w:rPr>
        <w:sectPr>
          <w:pgSz w:w="12240" w:h="15840"/>
          <w:pgMar w:header="0" w:footer="695" w:top="1080" w:bottom="940" w:left="1560" w:right="1200"/>
        </w:sectPr>
      </w:pPr>
    </w:p>
    <w:p>
      <w:pPr>
        <w:pStyle w:val="BodyText"/>
        <w:spacing w:line="480" w:lineRule="auto" w:before="44"/>
        <w:ind w:left="463" w:right="90"/>
      </w:pPr>
      <w:r>
        <w:rPr/>
        <w:t>rainbow trout and incidence of class 1 integron and β-lactamase genes. Vet Microbiol. 2014b; 172: 528-533.</w:t>
      </w:r>
    </w:p>
    <w:p>
      <w:pPr>
        <w:pStyle w:val="ListParagraph"/>
        <w:numPr>
          <w:ilvl w:val="0"/>
          <w:numId w:val="8"/>
        </w:numPr>
        <w:tabs>
          <w:tab w:pos="452" w:val="left" w:leader="none"/>
        </w:tabs>
        <w:spacing w:line="480" w:lineRule="auto" w:before="10" w:after="0"/>
        <w:ind w:left="463" w:right="99" w:hanging="360"/>
        <w:jc w:val="both"/>
        <w:rPr>
          <w:sz w:val="24"/>
        </w:rPr>
      </w:pPr>
      <w:r>
        <w:rPr>
          <w:sz w:val="24"/>
        </w:rPr>
        <w:t>Wiklund T, Dalsgaard I. Occurrence and significance of atypical </w:t>
      </w:r>
      <w:r>
        <w:rPr>
          <w:i/>
          <w:sz w:val="24"/>
        </w:rPr>
        <w:t>Aeromonas salmonicida </w:t>
      </w:r>
      <w:r>
        <w:rPr>
          <w:sz w:val="24"/>
        </w:rPr>
        <w:t>in non-salmonid and salmonid fish species: a review. Dis Aquat Org. 1998;</w:t>
      </w:r>
      <w:r>
        <w:rPr>
          <w:spacing w:val="-9"/>
          <w:sz w:val="24"/>
        </w:rPr>
        <w:t> </w:t>
      </w:r>
      <w:r>
        <w:rPr>
          <w:sz w:val="24"/>
        </w:rPr>
        <w:t>32:49-69.</w:t>
      </w:r>
    </w:p>
    <w:p>
      <w:pPr>
        <w:pStyle w:val="ListParagraph"/>
        <w:numPr>
          <w:ilvl w:val="0"/>
          <w:numId w:val="8"/>
        </w:numPr>
        <w:tabs>
          <w:tab w:pos="452" w:val="left" w:leader="none"/>
        </w:tabs>
        <w:spacing w:line="480" w:lineRule="auto" w:before="10" w:after="0"/>
        <w:ind w:left="463" w:right="101" w:hanging="360"/>
        <w:jc w:val="both"/>
        <w:rPr>
          <w:sz w:val="24"/>
        </w:rPr>
      </w:pPr>
      <w:r>
        <w:rPr>
          <w:sz w:val="24"/>
        </w:rPr>
        <w:t>Yang X, Yang QQ, Guo QY, Yi CY, Mao HP, Lin JX, Jiang ZP, Yu XQ. </w:t>
      </w:r>
      <w:r>
        <w:rPr>
          <w:i/>
          <w:sz w:val="24"/>
        </w:rPr>
        <w:t>Aeromonas </w:t>
      </w:r>
      <w:r>
        <w:rPr>
          <w:i/>
          <w:sz w:val="24"/>
        </w:rPr>
        <w:t>salmonicida </w:t>
      </w:r>
      <w:r>
        <w:rPr>
          <w:sz w:val="24"/>
        </w:rPr>
        <w:t>peritonitis after eating fish in a patient undergoing CAPD. Perit Dial Int. 2008; 28:316-317.</w:t>
      </w:r>
    </w:p>
    <w:p>
      <w:pPr>
        <w:pStyle w:val="ListParagraph"/>
        <w:numPr>
          <w:ilvl w:val="0"/>
          <w:numId w:val="8"/>
        </w:numPr>
        <w:tabs>
          <w:tab w:pos="452" w:val="left" w:leader="none"/>
        </w:tabs>
        <w:spacing w:line="480" w:lineRule="auto" w:before="11" w:after="0"/>
        <w:ind w:left="463" w:right="105" w:hanging="360"/>
        <w:jc w:val="both"/>
        <w:rPr>
          <w:sz w:val="24"/>
        </w:rPr>
      </w:pPr>
      <w:r>
        <w:rPr>
          <w:sz w:val="24"/>
        </w:rPr>
        <w:t>Yogananth N, Bhakyaraj R, Chanthuru A, Anbalagan T, Nila KM. Detection of virulence gene in </w:t>
      </w:r>
      <w:r>
        <w:rPr>
          <w:i/>
          <w:sz w:val="24"/>
        </w:rPr>
        <w:t>Aeromonas hydrophila </w:t>
      </w:r>
      <w:r>
        <w:rPr>
          <w:sz w:val="24"/>
        </w:rPr>
        <w:t>isolated from fish samples using PCR technique. J Biotechnol. 2009;</w:t>
      </w:r>
      <w:r>
        <w:rPr>
          <w:spacing w:val="-3"/>
          <w:sz w:val="24"/>
        </w:rPr>
        <w:t> </w:t>
      </w:r>
      <w:r>
        <w:rPr>
          <w:sz w:val="24"/>
        </w:rPr>
        <w:t>4:51-53.</w:t>
      </w:r>
    </w:p>
    <w:p>
      <w:pPr>
        <w:pStyle w:val="ListParagraph"/>
        <w:numPr>
          <w:ilvl w:val="0"/>
          <w:numId w:val="8"/>
        </w:numPr>
        <w:tabs>
          <w:tab w:pos="452" w:val="left" w:leader="none"/>
        </w:tabs>
        <w:spacing w:line="480" w:lineRule="auto" w:before="10" w:after="0"/>
        <w:ind w:left="463" w:right="108" w:hanging="360"/>
        <w:jc w:val="both"/>
        <w:rPr>
          <w:sz w:val="24"/>
        </w:rPr>
      </w:pPr>
      <w:r>
        <w:rPr>
          <w:sz w:val="24"/>
        </w:rPr>
        <w:t>Yu HB, Zhang YL, Yao F, Vilches S, Merino S, Tomás JM, Howard SP, Leung KY. Identification and characterization of putative virulence genes and gene clusters in </w:t>
      </w:r>
      <w:r>
        <w:rPr>
          <w:i/>
          <w:sz w:val="24"/>
        </w:rPr>
        <w:t>Aeromonas hydrophila </w:t>
      </w:r>
      <w:r>
        <w:rPr>
          <w:sz w:val="24"/>
        </w:rPr>
        <w:t>PPD134/91. Appl Environ Microbiol. 2005;</w:t>
      </w:r>
      <w:r>
        <w:rPr>
          <w:spacing w:val="-6"/>
          <w:sz w:val="24"/>
        </w:rPr>
        <w:t> </w:t>
      </w:r>
      <w:r>
        <w:rPr>
          <w:sz w:val="24"/>
        </w:rPr>
        <w:t>71:4469-4477.</w:t>
      </w:r>
    </w:p>
    <w:p>
      <w:pPr>
        <w:spacing w:after="0" w:line="480" w:lineRule="auto"/>
        <w:jc w:val="both"/>
        <w:rPr>
          <w:sz w:val="24"/>
        </w:rPr>
        <w:sectPr>
          <w:pgSz w:w="12240" w:h="15840"/>
          <w:pgMar w:header="0" w:footer="695" w:top="1080" w:bottom="940" w:left="1560" w:right="1200"/>
        </w:sectPr>
      </w:pPr>
    </w:p>
    <w:p>
      <w:pPr>
        <w:spacing w:before="46"/>
        <w:ind w:left="463" w:right="0" w:firstLine="0"/>
        <w:jc w:val="left"/>
        <w:rPr>
          <w:i/>
          <w:sz w:val="20"/>
        </w:rPr>
      </w:pPr>
      <w:r>
        <w:rPr>
          <w:b/>
          <w:sz w:val="20"/>
        </w:rPr>
        <w:t>Cuadro 1. </w:t>
      </w:r>
      <w:r>
        <w:rPr>
          <w:sz w:val="20"/>
        </w:rPr>
        <w:t>Especies del género </w:t>
      </w:r>
      <w:r>
        <w:rPr>
          <w:i/>
          <w:sz w:val="20"/>
        </w:rPr>
        <w:t>Aeromonas.</w:t>
      </w:r>
    </w:p>
    <w:p>
      <w:pPr>
        <w:pStyle w:val="BodyText"/>
        <w:spacing w:before="7" w:after="1"/>
        <w:rPr>
          <w:i/>
          <w:sz w:val="20"/>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86"/>
        <w:gridCol w:w="1297"/>
        <w:gridCol w:w="991"/>
        <w:gridCol w:w="1364"/>
        <w:gridCol w:w="1188"/>
        <w:gridCol w:w="1702"/>
        <w:gridCol w:w="1702"/>
      </w:tblGrid>
      <w:tr>
        <w:trPr>
          <w:trHeight w:val="470" w:hRule="exact"/>
        </w:trPr>
        <w:tc>
          <w:tcPr>
            <w:tcW w:w="2086" w:type="dxa"/>
            <w:vMerge w:val="restart"/>
          </w:tcPr>
          <w:p>
            <w:pPr>
              <w:pStyle w:val="TableParagraph"/>
              <w:spacing w:line="228" w:lineRule="exact"/>
              <w:ind w:left="120"/>
              <w:rPr>
                <w:b/>
                <w:sz w:val="20"/>
              </w:rPr>
            </w:pPr>
            <w:r>
              <w:rPr>
                <w:b/>
                <w:sz w:val="20"/>
              </w:rPr>
              <w:t>Género y especie</w:t>
            </w:r>
          </w:p>
        </w:tc>
        <w:tc>
          <w:tcPr>
            <w:tcW w:w="1297" w:type="dxa"/>
            <w:vMerge w:val="restart"/>
          </w:tcPr>
          <w:p>
            <w:pPr>
              <w:pStyle w:val="TableParagraph"/>
              <w:tabs>
                <w:tab w:pos="1021" w:val="left" w:leader="none"/>
              </w:tabs>
              <w:spacing w:line="480" w:lineRule="auto"/>
              <w:ind w:left="117" w:right="63"/>
              <w:rPr>
                <w:b/>
                <w:sz w:val="20"/>
              </w:rPr>
            </w:pPr>
            <w:r>
              <w:rPr>
                <w:b/>
                <w:sz w:val="20"/>
              </w:rPr>
              <w:t>Cepa</w:t>
              <w:tab/>
              <w:t>de referencia</w:t>
            </w:r>
          </w:p>
        </w:tc>
        <w:tc>
          <w:tcPr>
            <w:tcW w:w="2355" w:type="dxa"/>
            <w:gridSpan w:val="2"/>
          </w:tcPr>
          <w:p>
            <w:pPr>
              <w:pStyle w:val="TableParagraph"/>
              <w:spacing w:line="228" w:lineRule="exact"/>
              <w:ind w:left="117"/>
              <w:rPr>
                <w:b/>
                <w:sz w:val="20"/>
              </w:rPr>
            </w:pPr>
            <w:r>
              <w:rPr>
                <w:b/>
                <w:sz w:val="20"/>
              </w:rPr>
              <w:t>Importancia clínica</w:t>
            </w:r>
          </w:p>
        </w:tc>
        <w:tc>
          <w:tcPr>
            <w:tcW w:w="1188" w:type="dxa"/>
            <w:vMerge w:val="restart"/>
          </w:tcPr>
          <w:p>
            <w:pPr>
              <w:pStyle w:val="TableParagraph"/>
              <w:spacing w:line="480" w:lineRule="auto"/>
              <w:ind w:left="117" w:right="52"/>
              <w:rPr>
                <w:b/>
                <w:sz w:val="20"/>
              </w:rPr>
            </w:pPr>
            <w:r>
              <w:rPr>
                <w:b/>
                <w:sz w:val="20"/>
              </w:rPr>
              <w:t>Grupos de hibridación</w:t>
            </w:r>
          </w:p>
        </w:tc>
        <w:tc>
          <w:tcPr>
            <w:tcW w:w="1702" w:type="dxa"/>
            <w:vMerge w:val="restart"/>
          </w:tcPr>
          <w:p>
            <w:pPr>
              <w:pStyle w:val="TableParagraph"/>
              <w:spacing w:line="228" w:lineRule="exact"/>
              <w:ind w:left="119"/>
              <w:rPr>
                <w:b/>
                <w:sz w:val="20"/>
              </w:rPr>
            </w:pPr>
            <w:r>
              <w:rPr>
                <w:b/>
                <w:sz w:val="20"/>
              </w:rPr>
              <w:t>Observaciones</w:t>
            </w:r>
          </w:p>
        </w:tc>
        <w:tc>
          <w:tcPr>
            <w:tcW w:w="1702" w:type="dxa"/>
            <w:vMerge w:val="restart"/>
          </w:tcPr>
          <w:p>
            <w:pPr>
              <w:pStyle w:val="TableParagraph"/>
              <w:spacing w:line="228" w:lineRule="exact"/>
              <w:ind w:left="119"/>
              <w:rPr>
                <w:b/>
                <w:sz w:val="20"/>
              </w:rPr>
            </w:pPr>
            <w:r>
              <w:rPr>
                <w:b/>
                <w:sz w:val="20"/>
              </w:rPr>
              <w:t>Referencia</w:t>
            </w:r>
          </w:p>
        </w:tc>
      </w:tr>
      <w:tr>
        <w:trPr>
          <w:trHeight w:val="470" w:hRule="exact"/>
        </w:trPr>
        <w:tc>
          <w:tcPr>
            <w:tcW w:w="2086" w:type="dxa"/>
            <w:vMerge/>
          </w:tcPr>
          <w:p>
            <w:pPr/>
          </w:p>
        </w:tc>
        <w:tc>
          <w:tcPr>
            <w:tcW w:w="1297" w:type="dxa"/>
            <w:vMerge/>
          </w:tcPr>
          <w:p>
            <w:pPr/>
          </w:p>
        </w:tc>
        <w:tc>
          <w:tcPr>
            <w:tcW w:w="991" w:type="dxa"/>
          </w:tcPr>
          <w:p>
            <w:pPr>
              <w:pStyle w:val="TableParagraph"/>
              <w:spacing w:line="228" w:lineRule="exact"/>
              <w:ind w:left="117"/>
              <w:rPr>
                <w:b/>
                <w:sz w:val="20"/>
              </w:rPr>
            </w:pPr>
            <w:r>
              <w:rPr>
                <w:b/>
                <w:sz w:val="20"/>
              </w:rPr>
              <w:t>Humano</w:t>
            </w:r>
          </w:p>
        </w:tc>
        <w:tc>
          <w:tcPr>
            <w:tcW w:w="1364" w:type="dxa"/>
          </w:tcPr>
          <w:p>
            <w:pPr>
              <w:pStyle w:val="TableParagraph"/>
              <w:spacing w:line="228" w:lineRule="exact"/>
              <w:ind w:left="120" w:right="144"/>
              <w:rPr>
                <w:b/>
                <w:sz w:val="20"/>
              </w:rPr>
            </w:pPr>
            <w:r>
              <w:rPr>
                <w:b/>
                <w:sz w:val="20"/>
              </w:rPr>
              <w:t>Otros</w:t>
            </w:r>
          </w:p>
        </w:tc>
        <w:tc>
          <w:tcPr>
            <w:tcW w:w="1188" w:type="dxa"/>
            <w:vMerge/>
          </w:tcPr>
          <w:p>
            <w:pPr/>
          </w:p>
        </w:tc>
        <w:tc>
          <w:tcPr>
            <w:tcW w:w="1702" w:type="dxa"/>
            <w:vMerge/>
          </w:tcPr>
          <w:p>
            <w:pPr/>
          </w:p>
        </w:tc>
        <w:tc>
          <w:tcPr>
            <w:tcW w:w="1702" w:type="dxa"/>
            <w:vMerge/>
          </w:tcPr>
          <w:p>
            <w:pPr/>
          </w:p>
        </w:tc>
      </w:tr>
      <w:tr>
        <w:trPr>
          <w:trHeight w:val="929" w:hRule="exact"/>
        </w:trPr>
        <w:tc>
          <w:tcPr>
            <w:tcW w:w="2086" w:type="dxa"/>
          </w:tcPr>
          <w:p>
            <w:pPr>
              <w:pStyle w:val="TableParagraph"/>
              <w:spacing w:line="223" w:lineRule="exact"/>
              <w:ind w:left="67"/>
              <w:rPr>
                <w:i/>
                <w:sz w:val="20"/>
              </w:rPr>
            </w:pPr>
            <w:r>
              <w:rPr>
                <w:i/>
                <w:sz w:val="20"/>
              </w:rPr>
              <w:t>A. allosaccharophila</w:t>
            </w:r>
          </w:p>
        </w:tc>
        <w:tc>
          <w:tcPr>
            <w:tcW w:w="1297" w:type="dxa"/>
          </w:tcPr>
          <w:p>
            <w:pPr>
              <w:pStyle w:val="TableParagraph"/>
              <w:spacing w:line="223" w:lineRule="exact"/>
              <w:ind w:left="64" w:right="63"/>
              <w:rPr>
                <w:sz w:val="20"/>
              </w:rPr>
            </w:pPr>
            <w:r>
              <w:rPr>
                <w:sz w:val="20"/>
              </w:rPr>
              <w:t>CECT4199</w:t>
            </w:r>
          </w:p>
        </w:tc>
        <w:tc>
          <w:tcPr>
            <w:tcW w:w="991" w:type="dxa"/>
          </w:tcPr>
          <w:p>
            <w:pPr/>
          </w:p>
        </w:tc>
        <w:tc>
          <w:tcPr>
            <w:tcW w:w="1364" w:type="dxa"/>
          </w:tcPr>
          <w:p>
            <w:pPr>
              <w:pStyle w:val="TableParagraph"/>
              <w:spacing w:line="223" w:lineRule="exact"/>
              <w:ind w:left="67" w:right="144"/>
              <w:rPr>
                <w:sz w:val="20"/>
              </w:rPr>
            </w:pPr>
            <w:r>
              <w:rPr>
                <w:sz w:val="20"/>
              </w:rPr>
              <w:t>Anguilas</w:t>
            </w:r>
          </w:p>
        </w:tc>
        <w:tc>
          <w:tcPr>
            <w:tcW w:w="1188" w:type="dxa"/>
          </w:tcPr>
          <w:p>
            <w:pPr>
              <w:pStyle w:val="TableParagraph"/>
              <w:spacing w:line="223" w:lineRule="exact"/>
              <w:ind w:left="64" w:right="52"/>
              <w:rPr>
                <w:sz w:val="20"/>
              </w:rPr>
            </w:pPr>
            <w:r>
              <w:rPr>
                <w:sz w:val="20"/>
              </w:rPr>
              <w:t>HG 15</w:t>
            </w:r>
          </w:p>
        </w:tc>
        <w:tc>
          <w:tcPr>
            <w:tcW w:w="1702" w:type="dxa"/>
          </w:tcPr>
          <w:p>
            <w:pPr/>
          </w:p>
        </w:tc>
        <w:tc>
          <w:tcPr>
            <w:tcW w:w="1702" w:type="dxa"/>
          </w:tcPr>
          <w:p>
            <w:pPr>
              <w:pStyle w:val="TableParagraph"/>
              <w:spacing w:line="223" w:lineRule="exact"/>
              <w:ind w:left="67"/>
              <w:rPr>
                <w:sz w:val="20"/>
              </w:rPr>
            </w:pPr>
            <w:r>
              <w:rPr>
                <w:sz w:val="20"/>
              </w:rPr>
              <w:t>Martínez-Murcia</w:t>
            </w:r>
          </w:p>
          <w:p>
            <w:pPr>
              <w:pStyle w:val="TableParagraph"/>
              <w:rPr>
                <w:i/>
                <w:sz w:val="20"/>
              </w:rPr>
            </w:pPr>
          </w:p>
          <w:p>
            <w:pPr>
              <w:pStyle w:val="TableParagraph"/>
              <w:spacing w:before="1"/>
              <w:ind w:left="67"/>
              <w:rPr>
                <w:sz w:val="20"/>
              </w:rPr>
            </w:pPr>
            <w:r>
              <w:rPr>
                <w:i/>
                <w:sz w:val="20"/>
              </w:rPr>
              <w:t>et al</w:t>
            </w:r>
            <w:r>
              <w:rPr>
                <w:sz w:val="20"/>
              </w:rPr>
              <w:t>., 1992.</w:t>
            </w:r>
          </w:p>
        </w:tc>
      </w:tr>
      <w:tr>
        <w:trPr>
          <w:trHeight w:val="931" w:hRule="exact"/>
        </w:trPr>
        <w:tc>
          <w:tcPr>
            <w:tcW w:w="2086" w:type="dxa"/>
          </w:tcPr>
          <w:p>
            <w:pPr>
              <w:pStyle w:val="TableParagraph"/>
              <w:spacing w:line="223" w:lineRule="exact"/>
              <w:ind w:left="67"/>
              <w:rPr>
                <w:i/>
                <w:sz w:val="20"/>
              </w:rPr>
            </w:pPr>
            <w:r>
              <w:rPr>
                <w:i/>
                <w:sz w:val="20"/>
              </w:rPr>
              <w:t>A. aquatica</w:t>
            </w:r>
          </w:p>
        </w:tc>
        <w:tc>
          <w:tcPr>
            <w:tcW w:w="1297" w:type="dxa"/>
          </w:tcPr>
          <w:p>
            <w:pPr>
              <w:pStyle w:val="TableParagraph"/>
              <w:spacing w:line="223" w:lineRule="exact"/>
              <w:ind w:left="64" w:right="63"/>
              <w:rPr>
                <w:sz w:val="13"/>
              </w:rPr>
            </w:pPr>
            <w:r>
              <w:rPr>
                <w:sz w:val="20"/>
              </w:rPr>
              <w:t>CECT 8025</w:t>
            </w:r>
            <w:r>
              <w:rPr>
                <w:position w:val="7"/>
                <w:sz w:val="13"/>
              </w:rPr>
              <w:t>T</w:t>
            </w:r>
          </w:p>
        </w:tc>
        <w:tc>
          <w:tcPr>
            <w:tcW w:w="991" w:type="dxa"/>
          </w:tcPr>
          <w:p>
            <w:pPr/>
          </w:p>
        </w:tc>
        <w:tc>
          <w:tcPr>
            <w:tcW w:w="1364" w:type="dxa"/>
          </w:tcPr>
          <w:p>
            <w:pPr>
              <w:pStyle w:val="TableParagraph"/>
              <w:spacing w:line="223" w:lineRule="exact"/>
              <w:ind w:left="67" w:right="144"/>
              <w:rPr>
                <w:sz w:val="20"/>
              </w:rPr>
            </w:pPr>
            <w:r>
              <w:rPr>
                <w:sz w:val="20"/>
              </w:rPr>
              <w:t>Agua de lago</w:t>
            </w:r>
          </w:p>
        </w:tc>
        <w:tc>
          <w:tcPr>
            <w:tcW w:w="1188" w:type="dxa"/>
          </w:tcPr>
          <w:p>
            <w:pPr/>
          </w:p>
        </w:tc>
        <w:tc>
          <w:tcPr>
            <w:tcW w:w="1702" w:type="dxa"/>
          </w:tcPr>
          <w:p>
            <w:pPr/>
          </w:p>
        </w:tc>
        <w:tc>
          <w:tcPr>
            <w:tcW w:w="1702" w:type="dxa"/>
          </w:tcPr>
          <w:p>
            <w:pPr>
              <w:pStyle w:val="TableParagraph"/>
              <w:spacing w:line="223" w:lineRule="exact"/>
              <w:ind w:left="67"/>
              <w:rPr>
                <w:sz w:val="20"/>
              </w:rPr>
            </w:pPr>
            <w:r>
              <w:rPr>
                <w:sz w:val="20"/>
              </w:rPr>
              <w:t>Beaz-Hidalgo</w:t>
            </w:r>
          </w:p>
          <w:p>
            <w:pPr>
              <w:pStyle w:val="TableParagraph"/>
              <w:rPr>
                <w:i/>
                <w:sz w:val="20"/>
              </w:rPr>
            </w:pPr>
          </w:p>
          <w:p>
            <w:pPr>
              <w:pStyle w:val="TableParagraph"/>
              <w:spacing w:before="1"/>
              <w:ind w:left="67"/>
              <w:rPr>
                <w:sz w:val="20"/>
              </w:rPr>
            </w:pPr>
            <w:r>
              <w:rPr>
                <w:i/>
                <w:sz w:val="20"/>
              </w:rPr>
              <w:t>et al</w:t>
            </w:r>
            <w:r>
              <w:rPr>
                <w:sz w:val="20"/>
              </w:rPr>
              <w:t>., 2015</w:t>
            </w:r>
          </w:p>
        </w:tc>
      </w:tr>
      <w:tr>
        <w:trPr>
          <w:trHeight w:val="929" w:hRule="exact"/>
        </w:trPr>
        <w:tc>
          <w:tcPr>
            <w:tcW w:w="2086" w:type="dxa"/>
          </w:tcPr>
          <w:p>
            <w:pPr>
              <w:pStyle w:val="TableParagraph"/>
              <w:spacing w:line="223" w:lineRule="exact"/>
              <w:ind w:left="67"/>
              <w:rPr>
                <w:i/>
                <w:sz w:val="20"/>
              </w:rPr>
            </w:pPr>
            <w:r>
              <w:rPr>
                <w:i/>
                <w:sz w:val="20"/>
              </w:rPr>
              <w:t>A. australiensis</w:t>
            </w:r>
          </w:p>
        </w:tc>
        <w:tc>
          <w:tcPr>
            <w:tcW w:w="1297" w:type="dxa"/>
          </w:tcPr>
          <w:p>
            <w:pPr>
              <w:pStyle w:val="TableParagraph"/>
              <w:spacing w:line="223" w:lineRule="exact"/>
              <w:ind w:left="64" w:right="63"/>
              <w:rPr>
                <w:sz w:val="13"/>
              </w:rPr>
            </w:pPr>
            <w:r>
              <w:rPr>
                <w:sz w:val="20"/>
              </w:rPr>
              <w:t>CECT 8023</w:t>
            </w:r>
            <w:r>
              <w:rPr>
                <w:position w:val="7"/>
                <w:sz w:val="13"/>
              </w:rPr>
              <w:t>T</w:t>
            </w:r>
          </w:p>
        </w:tc>
        <w:tc>
          <w:tcPr>
            <w:tcW w:w="991" w:type="dxa"/>
          </w:tcPr>
          <w:p>
            <w:pPr/>
          </w:p>
        </w:tc>
        <w:tc>
          <w:tcPr>
            <w:tcW w:w="1364" w:type="dxa"/>
          </w:tcPr>
          <w:p>
            <w:pPr>
              <w:pStyle w:val="TableParagraph"/>
              <w:spacing w:line="223" w:lineRule="exact"/>
              <w:ind w:left="67" w:right="144"/>
              <w:rPr>
                <w:sz w:val="20"/>
              </w:rPr>
            </w:pPr>
            <w:r>
              <w:rPr>
                <w:sz w:val="20"/>
              </w:rPr>
              <w:t>Agua</w:t>
            </w:r>
          </w:p>
        </w:tc>
        <w:tc>
          <w:tcPr>
            <w:tcW w:w="1188" w:type="dxa"/>
          </w:tcPr>
          <w:p>
            <w:pPr/>
          </w:p>
        </w:tc>
        <w:tc>
          <w:tcPr>
            <w:tcW w:w="1702" w:type="dxa"/>
          </w:tcPr>
          <w:p>
            <w:pPr/>
          </w:p>
        </w:tc>
        <w:tc>
          <w:tcPr>
            <w:tcW w:w="1702" w:type="dxa"/>
          </w:tcPr>
          <w:p>
            <w:pPr>
              <w:pStyle w:val="TableParagraph"/>
              <w:spacing w:line="223" w:lineRule="exact"/>
              <w:ind w:left="67"/>
              <w:rPr>
                <w:sz w:val="20"/>
              </w:rPr>
            </w:pPr>
            <w:r>
              <w:rPr>
                <w:sz w:val="20"/>
              </w:rPr>
              <w:t>Aravena-Román</w:t>
            </w:r>
          </w:p>
          <w:p>
            <w:pPr>
              <w:pStyle w:val="TableParagraph"/>
              <w:spacing w:before="1"/>
              <w:rPr>
                <w:i/>
                <w:sz w:val="20"/>
              </w:rPr>
            </w:pPr>
          </w:p>
          <w:p>
            <w:pPr>
              <w:pStyle w:val="TableParagraph"/>
              <w:ind w:left="67"/>
              <w:rPr>
                <w:sz w:val="20"/>
              </w:rPr>
            </w:pPr>
            <w:r>
              <w:rPr>
                <w:i/>
                <w:sz w:val="20"/>
              </w:rPr>
              <w:t>et al</w:t>
            </w:r>
            <w:r>
              <w:rPr>
                <w:sz w:val="20"/>
              </w:rPr>
              <w:t>., 2012.</w:t>
            </w:r>
          </w:p>
        </w:tc>
      </w:tr>
      <w:tr>
        <w:trPr>
          <w:trHeight w:val="931" w:hRule="exact"/>
        </w:trPr>
        <w:tc>
          <w:tcPr>
            <w:tcW w:w="2086" w:type="dxa"/>
          </w:tcPr>
          <w:p>
            <w:pPr>
              <w:pStyle w:val="TableParagraph"/>
              <w:spacing w:line="223" w:lineRule="exact"/>
              <w:ind w:left="67"/>
              <w:rPr>
                <w:i/>
                <w:sz w:val="20"/>
              </w:rPr>
            </w:pPr>
            <w:r>
              <w:rPr>
                <w:i/>
                <w:sz w:val="20"/>
              </w:rPr>
              <w:t>A. bestiarum</w:t>
            </w:r>
          </w:p>
        </w:tc>
        <w:tc>
          <w:tcPr>
            <w:tcW w:w="1297" w:type="dxa"/>
          </w:tcPr>
          <w:p>
            <w:pPr>
              <w:pStyle w:val="TableParagraph"/>
              <w:spacing w:line="223" w:lineRule="exact"/>
              <w:ind w:left="64" w:right="63"/>
              <w:rPr>
                <w:sz w:val="20"/>
              </w:rPr>
            </w:pPr>
            <w:r>
              <w:rPr>
                <w:sz w:val="20"/>
              </w:rPr>
              <w:t>CECT4227</w:t>
            </w:r>
          </w:p>
        </w:tc>
        <w:tc>
          <w:tcPr>
            <w:tcW w:w="991" w:type="dxa"/>
          </w:tcPr>
          <w:p>
            <w:pPr>
              <w:pStyle w:val="TableParagraph"/>
              <w:spacing w:line="223" w:lineRule="exact"/>
              <w:ind w:left="64"/>
              <w:rPr>
                <w:sz w:val="20"/>
              </w:rPr>
            </w:pPr>
            <w:r>
              <w:rPr>
                <w:w w:val="99"/>
                <w:sz w:val="20"/>
              </w:rPr>
              <w:t>+</w:t>
            </w:r>
          </w:p>
        </w:tc>
        <w:tc>
          <w:tcPr>
            <w:tcW w:w="1364" w:type="dxa"/>
          </w:tcPr>
          <w:p>
            <w:pPr>
              <w:pStyle w:val="TableParagraph"/>
              <w:spacing w:line="223" w:lineRule="exact"/>
              <w:ind w:left="67" w:right="144"/>
              <w:rPr>
                <w:sz w:val="20"/>
              </w:rPr>
            </w:pPr>
            <w:r>
              <w:rPr>
                <w:sz w:val="20"/>
              </w:rPr>
              <w:t>Peces</w:t>
            </w:r>
          </w:p>
        </w:tc>
        <w:tc>
          <w:tcPr>
            <w:tcW w:w="1188" w:type="dxa"/>
          </w:tcPr>
          <w:p>
            <w:pPr>
              <w:pStyle w:val="TableParagraph"/>
              <w:spacing w:line="223" w:lineRule="exact"/>
              <w:ind w:left="64" w:right="52"/>
              <w:rPr>
                <w:sz w:val="20"/>
              </w:rPr>
            </w:pPr>
            <w:r>
              <w:rPr>
                <w:sz w:val="20"/>
              </w:rPr>
              <w:t>HG 2</w:t>
            </w:r>
          </w:p>
        </w:tc>
        <w:tc>
          <w:tcPr>
            <w:tcW w:w="1702" w:type="dxa"/>
          </w:tcPr>
          <w:p>
            <w:pPr>
              <w:pStyle w:val="TableParagraph"/>
              <w:spacing w:line="480" w:lineRule="auto"/>
              <w:ind w:left="67"/>
              <w:rPr>
                <w:sz w:val="20"/>
              </w:rPr>
            </w:pPr>
            <w:r>
              <w:rPr>
                <w:sz w:val="20"/>
              </w:rPr>
              <w:t>Rara vez infecta humanos</w:t>
            </w:r>
          </w:p>
        </w:tc>
        <w:tc>
          <w:tcPr>
            <w:tcW w:w="1702" w:type="dxa"/>
          </w:tcPr>
          <w:p>
            <w:pPr>
              <w:pStyle w:val="TableParagraph"/>
              <w:tabs>
                <w:tab w:pos="724" w:val="left" w:leader="none"/>
              </w:tabs>
              <w:spacing w:line="480" w:lineRule="auto"/>
              <w:ind w:left="67" w:right="64"/>
              <w:rPr>
                <w:sz w:val="20"/>
              </w:rPr>
            </w:pPr>
            <w:r>
              <w:rPr>
                <w:sz w:val="20"/>
              </w:rPr>
              <w:t>Janda</w:t>
              <w:tab/>
              <w:t>y  </w:t>
            </w:r>
            <w:r>
              <w:rPr>
                <w:spacing w:val="44"/>
                <w:sz w:val="20"/>
              </w:rPr>
              <w:t> </w:t>
            </w:r>
            <w:r>
              <w:rPr>
                <w:sz w:val="20"/>
              </w:rPr>
              <w:t>Abbott,</w:t>
            </w:r>
            <w:r>
              <w:rPr>
                <w:w w:val="99"/>
                <w:sz w:val="20"/>
              </w:rPr>
              <w:t> </w:t>
            </w:r>
            <w:r>
              <w:rPr>
                <w:sz w:val="20"/>
              </w:rPr>
              <w:t>2010.</w:t>
            </w:r>
          </w:p>
        </w:tc>
      </w:tr>
      <w:tr>
        <w:trPr>
          <w:trHeight w:val="929" w:hRule="exact"/>
        </w:trPr>
        <w:tc>
          <w:tcPr>
            <w:tcW w:w="2086" w:type="dxa"/>
          </w:tcPr>
          <w:p>
            <w:pPr>
              <w:pStyle w:val="TableParagraph"/>
              <w:rPr>
                <w:i/>
                <w:sz w:val="20"/>
              </w:rPr>
            </w:pPr>
          </w:p>
          <w:p>
            <w:pPr>
              <w:pStyle w:val="TableParagraph"/>
              <w:spacing w:before="3"/>
              <w:rPr>
                <w:i/>
                <w:sz w:val="19"/>
              </w:rPr>
            </w:pPr>
          </w:p>
          <w:p>
            <w:pPr>
              <w:pStyle w:val="TableParagraph"/>
              <w:ind w:left="67"/>
              <w:rPr>
                <w:i/>
                <w:sz w:val="20"/>
              </w:rPr>
            </w:pPr>
            <w:r>
              <w:rPr>
                <w:i/>
                <w:sz w:val="20"/>
              </w:rPr>
              <w:t>A. bivalvium</w:t>
            </w:r>
          </w:p>
        </w:tc>
        <w:tc>
          <w:tcPr>
            <w:tcW w:w="1297" w:type="dxa"/>
          </w:tcPr>
          <w:p>
            <w:pPr>
              <w:pStyle w:val="TableParagraph"/>
              <w:spacing w:line="223" w:lineRule="exact"/>
              <w:ind w:left="64" w:right="63"/>
              <w:rPr>
                <w:sz w:val="13"/>
              </w:rPr>
            </w:pPr>
            <w:r>
              <w:rPr>
                <w:sz w:val="20"/>
              </w:rPr>
              <w:t>868E</w:t>
            </w:r>
            <w:r>
              <w:rPr>
                <w:position w:val="7"/>
                <w:sz w:val="13"/>
              </w:rPr>
              <w:t>T</w:t>
            </w:r>
          </w:p>
        </w:tc>
        <w:tc>
          <w:tcPr>
            <w:tcW w:w="991" w:type="dxa"/>
          </w:tcPr>
          <w:p>
            <w:pPr/>
          </w:p>
        </w:tc>
        <w:tc>
          <w:tcPr>
            <w:tcW w:w="1364" w:type="dxa"/>
          </w:tcPr>
          <w:p>
            <w:pPr>
              <w:pStyle w:val="TableParagraph"/>
              <w:spacing w:line="477" w:lineRule="auto"/>
              <w:ind w:left="67" w:right="144"/>
              <w:rPr>
                <w:sz w:val="20"/>
              </w:rPr>
            </w:pPr>
            <w:r>
              <w:rPr>
                <w:sz w:val="20"/>
              </w:rPr>
              <w:t>Molusco (</w:t>
            </w:r>
            <w:r>
              <w:rPr>
                <w:i/>
                <w:sz w:val="20"/>
              </w:rPr>
              <w:t>Cardium </w:t>
            </w:r>
            <w:r>
              <w:rPr>
                <w:sz w:val="20"/>
              </w:rPr>
              <w:t>sp.)</w:t>
            </w:r>
          </w:p>
        </w:tc>
        <w:tc>
          <w:tcPr>
            <w:tcW w:w="1188" w:type="dxa"/>
          </w:tcPr>
          <w:p>
            <w:pPr/>
          </w:p>
        </w:tc>
        <w:tc>
          <w:tcPr>
            <w:tcW w:w="1702" w:type="dxa"/>
          </w:tcPr>
          <w:p>
            <w:pPr/>
          </w:p>
        </w:tc>
        <w:tc>
          <w:tcPr>
            <w:tcW w:w="1702" w:type="dxa"/>
          </w:tcPr>
          <w:p>
            <w:pPr>
              <w:pStyle w:val="TableParagraph"/>
              <w:spacing w:line="223" w:lineRule="exact"/>
              <w:ind w:left="67"/>
              <w:rPr>
                <w:sz w:val="20"/>
              </w:rPr>
            </w:pPr>
            <w:r>
              <w:rPr>
                <w:sz w:val="20"/>
              </w:rPr>
              <w:t>Miñana-Galbis</w:t>
            </w:r>
          </w:p>
          <w:p>
            <w:pPr>
              <w:pStyle w:val="TableParagraph"/>
              <w:spacing w:before="9"/>
              <w:rPr>
                <w:i/>
                <w:sz w:val="19"/>
              </w:rPr>
            </w:pPr>
          </w:p>
          <w:p>
            <w:pPr>
              <w:pStyle w:val="TableParagraph"/>
              <w:spacing w:before="1"/>
              <w:ind w:left="67"/>
              <w:rPr>
                <w:sz w:val="20"/>
              </w:rPr>
            </w:pPr>
            <w:r>
              <w:rPr>
                <w:i/>
                <w:sz w:val="20"/>
              </w:rPr>
              <w:t>et al</w:t>
            </w:r>
            <w:r>
              <w:rPr>
                <w:sz w:val="20"/>
              </w:rPr>
              <w:t>., 2007.</w:t>
            </w:r>
          </w:p>
        </w:tc>
      </w:tr>
      <w:tr>
        <w:trPr>
          <w:trHeight w:val="931" w:hRule="exact"/>
        </w:trPr>
        <w:tc>
          <w:tcPr>
            <w:tcW w:w="2086" w:type="dxa"/>
          </w:tcPr>
          <w:p>
            <w:pPr>
              <w:pStyle w:val="TableParagraph"/>
              <w:spacing w:line="223" w:lineRule="exact"/>
              <w:ind w:left="67"/>
              <w:rPr>
                <w:i/>
                <w:sz w:val="20"/>
              </w:rPr>
            </w:pPr>
            <w:r>
              <w:rPr>
                <w:i/>
                <w:sz w:val="20"/>
              </w:rPr>
              <w:t>A. cavernícola</w:t>
            </w:r>
          </w:p>
        </w:tc>
        <w:tc>
          <w:tcPr>
            <w:tcW w:w="1297" w:type="dxa"/>
          </w:tcPr>
          <w:p>
            <w:pPr>
              <w:pStyle w:val="TableParagraph"/>
              <w:spacing w:line="223" w:lineRule="exact"/>
              <w:ind w:left="64" w:right="63"/>
              <w:rPr>
                <w:sz w:val="20"/>
              </w:rPr>
            </w:pPr>
            <w:r>
              <w:rPr>
                <w:sz w:val="20"/>
              </w:rPr>
              <w:t>CECT838</w:t>
            </w:r>
          </w:p>
        </w:tc>
        <w:tc>
          <w:tcPr>
            <w:tcW w:w="991" w:type="dxa"/>
          </w:tcPr>
          <w:p>
            <w:pPr>
              <w:pStyle w:val="TableParagraph"/>
              <w:spacing w:line="223" w:lineRule="exact"/>
              <w:ind w:left="64"/>
              <w:rPr>
                <w:sz w:val="20"/>
              </w:rPr>
            </w:pPr>
            <w:r>
              <w:rPr>
                <w:w w:val="99"/>
                <w:sz w:val="20"/>
              </w:rPr>
              <w:t>+</w:t>
            </w:r>
          </w:p>
        </w:tc>
        <w:tc>
          <w:tcPr>
            <w:tcW w:w="1364" w:type="dxa"/>
          </w:tcPr>
          <w:p>
            <w:pPr>
              <w:pStyle w:val="TableParagraph"/>
              <w:spacing w:line="223" w:lineRule="exact"/>
              <w:ind w:left="67" w:right="144"/>
              <w:rPr>
                <w:sz w:val="20"/>
              </w:rPr>
            </w:pPr>
            <w:r>
              <w:rPr>
                <w:sz w:val="20"/>
              </w:rPr>
              <w:t>Peces</w:t>
            </w:r>
          </w:p>
          <w:p>
            <w:pPr>
              <w:pStyle w:val="TableParagraph"/>
              <w:rPr>
                <w:i/>
                <w:sz w:val="20"/>
              </w:rPr>
            </w:pPr>
          </w:p>
          <w:p>
            <w:pPr>
              <w:pStyle w:val="TableParagraph"/>
              <w:spacing w:before="1"/>
              <w:ind w:left="67" w:right="144"/>
              <w:rPr>
                <w:sz w:val="20"/>
              </w:rPr>
            </w:pPr>
            <w:r>
              <w:rPr>
                <w:sz w:val="20"/>
              </w:rPr>
              <w:t>Agua potable</w:t>
            </w:r>
          </w:p>
        </w:tc>
        <w:tc>
          <w:tcPr>
            <w:tcW w:w="1188" w:type="dxa"/>
          </w:tcPr>
          <w:p>
            <w:pPr>
              <w:pStyle w:val="TableParagraph"/>
              <w:spacing w:line="223" w:lineRule="exact"/>
              <w:ind w:left="64" w:right="52"/>
              <w:rPr>
                <w:sz w:val="20"/>
              </w:rPr>
            </w:pPr>
            <w:r>
              <w:rPr>
                <w:sz w:val="20"/>
              </w:rPr>
              <w:t>HG 4</w:t>
            </w:r>
          </w:p>
        </w:tc>
        <w:tc>
          <w:tcPr>
            <w:tcW w:w="1702" w:type="dxa"/>
          </w:tcPr>
          <w:p>
            <w:pPr>
              <w:pStyle w:val="TableParagraph"/>
              <w:spacing w:line="223" w:lineRule="exact"/>
              <w:ind w:left="67"/>
              <w:rPr>
                <w:i/>
                <w:sz w:val="20"/>
              </w:rPr>
            </w:pPr>
            <w:r>
              <w:rPr>
                <w:i/>
                <w:sz w:val="20"/>
              </w:rPr>
              <w:t>A. punctata</w:t>
            </w:r>
          </w:p>
        </w:tc>
        <w:tc>
          <w:tcPr>
            <w:tcW w:w="1702" w:type="dxa"/>
          </w:tcPr>
          <w:p>
            <w:pPr>
              <w:pStyle w:val="TableParagraph"/>
              <w:tabs>
                <w:tab w:pos="724" w:val="left" w:leader="none"/>
              </w:tabs>
              <w:spacing w:line="480" w:lineRule="auto"/>
              <w:ind w:left="67" w:right="64"/>
              <w:rPr>
                <w:sz w:val="20"/>
              </w:rPr>
            </w:pPr>
            <w:r>
              <w:rPr>
                <w:sz w:val="20"/>
              </w:rPr>
              <w:t>Janda</w:t>
              <w:tab/>
              <w:t>y  </w:t>
            </w:r>
            <w:r>
              <w:rPr>
                <w:spacing w:val="44"/>
                <w:sz w:val="20"/>
              </w:rPr>
              <w:t> </w:t>
            </w:r>
            <w:r>
              <w:rPr>
                <w:sz w:val="20"/>
              </w:rPr>
              <w:t>Abbott,</w:t>
            </w:r>
            <w:r>
              <w:rPr>
                <w:w w:val="99"/>
                <w:sz w:val="20"/>
              </w:rPr>
              <w:t> </w:t>
            </w:r>
            <w:r>
              <w:rPr>
                <w:sz w:val="20"/>
              </w:rPr>
              <w:t>2010.</w:t>
            </w:r>
          </w:p>
        </w:tc>
      </w:tr>
      <w:tr>
        <w:trPr>
          <w:trHeight w:val="929" w:hRule="exact"/>
        </w:trPr>
        <w:tc>
          <w:tcPr>
            <w:tcW w:w="2086" w:type="dxa"/>
          </w:tcPr>
          <w:p>
            <w:pPr>
              <w:pStyle w:val="TableParagraph"/>
              <w:spacing w:line="224" w:lineRule="exact"/>
              <w:ind w:left="67"/>
              <w:rPr>
                <w:i/>
                <w:sz w:val="20"/>
              </w:rPr>
            </w:pPr>
            <w:r>
              <w:rPr>
                <w:i/>
                <w:sz w:val="20"/>
              </w:rPr>
              <w:t>A. caviae</w:t>
            </w:r>
          </w:p>
        </w:tc>
        <w:tc>
          <w:tcPr>
            <w:tcW w:w="1297" w:type="dxa"/>
          </w:tcPr>
          <w:p>
            <w:pPr>
              <w:pStyle w:val="TableParagraph"/>
              <w:spacing w:line="224" w:lineRule="exact"/>
              <w:ind w:left="64" w:right="63"/>
              <w:rPr>
                <w:sz w:val="13"/>
              </w:rPr>
            </w:pPr>
            <w:r>
              <w:rPr>
                <w:sz w:val="20"/>
              </w:rPr>
              <w:t>CECT 7862</w:t>
            </w:r>
            <w:r>
              <w:rPr>
                <w:position w:val="7"/>
                <w:sz w:val="13"/>
              </w:rPr>
              <w:t>T</w:t>
            </w:r>
          </w:p>
        </w:tc>
        <w:tc>
          <w:tcPr>
            <w:tcW w:w="991" w:type="dxa"/>
          </w:tcPr>
          <w:p>
            <w:pPr/>
          </w:p>
        </w:tc>
        <w:tc>
          <w:tcPr>
            <w:tcW w:w="1364" w:type="dxa"/>
          </w:tcPr>
          <w:p>
            <w:pPr/>
          </w:p>
        </w:tc>
        <w:tc>
          <w:tcPr>
            <w:tcW w:w="1188" w:type="dxa"/>
          </w:tcPr>
          <w:p>
            <w:pPr/>
          </w:p>
        </w:tc>
        <w:tc>
          <w:tcPr>
            <w:tcW w:w="1702" w:type="dxa"/>
          </w:tcPr>
          <w:p>
            <w:pPr>
              <w:pStyle w:val="TableParagraph"/>
              <w:tabs>
                <w:tab w:pos="825" w:val="left" w:leader="none"/>
                <w:tab w:pos="1340" w:val="left" w:leader="none"/>
              </w:tabs>
              <w:spacing w:line="477" w:lineRule="auto"/>
              <w:ind w:left="67" w:right="64"/>
              <w:rPr>
                <w:sz w:val="20"/>
              </w:rPr>
            </w:pPr>
            <w:r>
              <w:rPr>
                <w:sz w:val="20"/>
              </w:rPr>
              <w:t>Agua</w:t>
              <w:tab/>
              <w:t>de</w:t>
              <w:tab/>
            </w:r>
            <w:r>
              <w:rPr>
                <w:spacing w:val="-1"/>
                <w:sz w:val="20"/>
              </w:rPr>
              <w:t>una </w:t>
            </w:r>
            <w:r>
              <w:rPr>
                <w:sz w:val="20"/>
              </w:rPr>
              <w:t>caverna</w:t>
            </w:r>
          </w:p>
        </w:tc>
        <w:tc>
          <w:tcPr>
            <w:tcW w:w="1702" w:type="dxa"/>
          </w:tcPr>
          <w:p>
            <w:pPr>
              <w:pStyle w:val="TableParagraph"/>
              <w:spacing w:line="224" w:lineRule="exact"/>
              <w:ind w:left="67"/>
              <w:rPr>
                <w:sz w:val="20"/>
              </w:rPr>
            </w:pPr>
            <w:r>
              <w:rPr>
                <w:sz w:val="20"/>
              </w:rPr>
              <w:t>Martínez-Murcia</w:t>
            </w:r>
          </w:p>
          <w:p>
            <w:pPr>
              <w:pStyle w:val="TableParagraph"/>
              <w:spacing w:before="9"/>
              <w:rPr>
                <w:i/>
                <w:sz w:val="19"/>
              </w:rPr>
            </w:pPr>
          </w:p>
          <w:p>
            <w:pPr>
              <w:pStyle w:val="TableParagraph"/>
              <w:spacing w:before="1"/>
              <w:ind w:left="67"/>
              <w:rPr>
                <w:sz w:val="20"/>
              </w:rPr>
            </w:pPr>
            <w:r>
              <w:rPr>
                <w:i/>
                <w:sz w:val="20"/>
              </w:rPr>
              <w:t>et al</w:t>
            </w:r>
            <w:r>
              <w:rPr>
                <w:sz w:val="20"/>
              </w:rPr>
              <w:t>., 2013</w:t>
            </w:r>
          </w:p>
        </w:tc>
      </w:tr>
      <w:tr>
        <w:trPr>
          <w:trHeight w:val="931" w:hRule="exact"/>
        </w:trPr>
        <w:tc>
          <w:tcPr>
            <w:tcW w:w="2086" w:type="dxa"/>
          </w:tcPr>
          <w:p>
            <w:pPr>
              <w:pStyle w:val="TableParagraph"/>
              <w:spacing w:line="223" w:lineRule="exact"/>
              <w:ind w:left="67"/>
              <w:rPr>
                <w:i/>
                <w:sz w:val="20"/>
              </w:rPr>
            </w:pPr>
            <w:r>
              <w:rPr>
                <w:i/>
                <w:sz w:val="20"/>
              </w:rPr>
              <w:t>A. dhakensis</w:t>
            </w:r>
          </w:p>
        </w:tc>
        <w:tc>
          <w:tcPr>
            <w:tcW w:w="1297" w:type="dxa"/>
          </w:tcPr>
          <w:p>
            <w:pPr>
              <w:pStyle w:val="TableParagraph"/>
              <w:spacing w:line="223" w:lineRule="exact"/>
              <w:ind w:left="64" w:right="63"/>
              <w:rPr>
                <w:sz w:val="13"/>
              </w:rPr>
            </w:pPr>
            <w:r>
              <w:rPr>
                <w:sz w:val="20"/>
              </w:rPr>
              <w:t>MDC47</w:t>
            </w:r>
            <w:r>
              <w:rPr>
                <w:position w:val="7"/>
                <w:sz w:val="13"/>
              </w:rPr>
              <w:t>T</w:t>
            </w:r>
          </w:p>
        </w:tc>
        <w:tc>
          <w:tcPr>
            <w:tcW w:w="991" w:type="dxa"/>
          </w:tcPr>
          <w:p>
            <w:pPr/>
          </w:p>
        </w:tc>
        <w:tc>
          <w:tcPr>
            <w:tcW w:w="1364" w:type="dxa"/>
          </w:tcPr>
          <w:p>
            <w:pPr>
              <w:pStyle w:val="TableParagraph"/>
              <w:spacing w:line="480" w:lineRule="auto"/>
              <w:ind w:left="67" w:right="144"/>
              <w:rPr>
                <w:sz w:val="20"/>
              </w:rPr>
            </w:pPr>
            <w:r>
              <w:rPr>
                <w:sz w:val="20"/>
              </w:rPr>
              <w:t>Agua y peces de ornato</w:t>
            </w:r>
          </w:p>
        </w:tc>
        <w:tc>
          <w:tcPr>
            <w:tcW w:w="1188" w:type="dxa"/>
          </w:tcPr>
          <w:p>
            <w:pPr/>
          </w:p>
        </w:tc>
        <w:tc>
          <w:tcPr>
            <w:tcW w:w="1702" w:type="dxa"/>
          </w:tcPr>
          <w:p>
            <w:pPr>
              <w:pStyle w:val="TableParagraph"/>
              <w:spacing w:line="223" w:lineRule="exact"/>
              <w:ind w:left="67"/>
              <w:rPr>
                <w:sz w:val="20"/>
              </w:rPr>
            </w:pPr>
            <w:r>
              <w:rPr>
                <w:sz w:val="20"/>
              </w:rPr>
              <w:t>Animales sanos</w:t>
            </w:r>
          </w:p>
        </w:tc>
        <w:tc>
          <w:tcPr>
            <w:tcW w:w="1702" w:type="dxa"/>
          </w:tcPr>
          <w:p>
            <w:pPr>
              <w:pStyle w:val="TableParagraph"/>
              <w:spacing w:line="223" w:lineRule="exact"/>
              <w:ind w:left="67"/>
              <w:rPr>
                <w:sz w:val="20"/>
              </w:rPr>
            </w:pPr>
            <w:r>
              <w:rPr>
                <w:sz w:val="20"/>
              </w:rPr>
              <w:t>Martínez-Murcia</w:t>
            </w:r>
          </w:p>
          <w:p>
            <w:pPr>
              <w:pStyle w:val="TableParagraph"/>
              <w:rPr>
                <w:i/>
                <w:sz w:val="20"/>
              </w:rPr>
            </w:pPr>
          </w:p>
          <w:p>
            <w:pPr>
              <w:pStyle w:val="TableParagraph"/>
              <w:spacing w:before="1"/>
              <w:ind w:left="67"/>
              <w:rPr>
                <w:sz w:val="20"/>
              </w:rPr>
            </w:pPr>
            <w:r>
              <w:rPr>
                <w:i/>
                <w:sz w:val="20"/>
              </w:rPr>
              <w:t>et al</w:t>
            </w:r>
            <w:r>
              <w:rPr>
                <w:sz w:val="20"/>
              </w:rPr>
              <w:t>., 2008.</w:t>
            </w:r>
          </w:p>
        </w:tc>
      </w:tr>
      <w:tr>
        <w:trPr>
          <w:trHeight w:val="929" w:hRule="exact"/>
        </w:trPr>
        <w:tc>
          <w:tcPr>
            <w:tcW w:w="2086" w:type="dxa"/>
          </w:tcPr>
          <w:p>
            <w:pPr>
              <w:pStyle w:val="TableParagraph"/>
              <w:spacing w:line="223" w:lineRule="exact"/>
              <w:ind w:left="67"/>
              <w:rPr>
                <w:i/>
                <w:sz w:val="20"/>
              </w:rPr>
            </w:pPr>
            <w:r>
              <w:rPr>
                <w:i/>
                <w:sz w:val="20"/>
              </w:rPr>
              <w:t>A. diversa</w:t>
            </w:r>
          </w:p>
        </w:tc>
        <w:tc>
          <w:tcPr>
            <w:tcW w:w="1297" w:type="dxa"/>
          </w:tcPr>
          <w:p>
            <w:pPr>
              <w:pStyle w:val="TableParagraph"/>
              <w:spacing w:line="223" w:lineRule="exact"/>
              <w:ind w:left="64" w:right="63"/>
              <w:rPr>
                <w:sz w:val="20"/>
              </w:rPr>
            </w:pPr>
            <w:r>
              <w:rPr>
                <w:sz w:val="20"/>
              </w:rPr>
              <w:t>CECT4240</w:t>
            </w:r>
          </w:p>
        </w:tc>
        <w:tc>
          <w:tcPr>
            <w:tcW w:w="991" w:type="dxa"/>
          </w:tcPr>
          <w:p>
            <w:pPr/>
          </w:p>
        </w:tc>
        <w:tc>
          <w:tcPr>
            <w:tcW w:w="1364" w:type="dxa"/>
          </w:tcPr>
          <w:p>
            <w:pPr/>
          </w:p>
        </w:tc>
        <w:tc>
          <w:tcPr>
            <w:tcW w:w="1188" w:type="dxa"/>
          </w:tcPr>
          <w:p>
            <w:pPr>
              <w:pStyle w:val="TableParagraph"/>
              <w:spacing w:line="223" w:lineRule="exact"/>
              <w:ind w:left="64" w:right="52"/>
              <w:rPr>
                <w:sz w:val="20"/>
              </w:rPr>
            </w:pPr>
            <w:r>
              <w:rPr>
                <w:sz w:val="20"/>
              </w:rPr>
              <w:t>HG 13</w:t>
            </w:r>
          </w:p>
        </w:tc>
        <w:tc>
          <w:tcPr>
            <w:tcW w:w="1702" w:type="dxa"/>
          </w:tcPr>
          <w:p>
            <w:pPr>
              <w:pStyle w:val="TableParagraph"/>
              <w:spacing w:line="223" w:lineRule="exact"/>
              <w:ind w:left="67"/>
              <w:rPr>
                <w:sz w:val="20"/>
              </w:rPr>
            </w:pPr>
            <w:r>
              <w:rPr>
                <w:sz w:val="20"/>
              </w:rPr>
              <w:t>Grupo entérico 501</w:t>
            </w:r>
          </w:p>
        </w:tc>
        <w:tc>
          <w:tcPr>
            <w:tcW w:w="1702" w:type="dxa"/>
          </w:tcPr>
          <w:p>
            <w:pPr>
              <w:pStyle w:val="TableParagraph"/>
              <w:spacing w:line="223" w:lineRule="exact"/>
              <w:ind w:left="67"/>
              <w:rPr>
                <w:sz w:val="20"/>
              </w:rPr>
            </w:pPr>
            <w:r>
              <w:rPr>
                <w:sz w:val="20"/>
              </w:rPr>
              <w:t>Miñana-Galbis</w:t>
            </w:r>
          </w:p>
          <w:p>
            <w:pPr>
              <w:pStyle w:val="TableParagraph"/>
              <w:spacing w:before="9"/>
              <w:rPr>
                <w:i/>
                <w:sz w:val="19"/>
              </w:rPr>
            </w:pPr>
          </w:p>
          <w:p>
            <w:pPr>
              <w:pStyle w:val="TableParagraph"/>
              <w:spacing w:before="1"/>
              <w:ind w:left="67"/>
              <w:rPr>
                <w:sz w:val="20"/>
              </w:rPr>
            </w:pPr>
            <w:r>
              <w:rPr>
                <w:i/>
                <w:sz w:val="20"/>
              </w:rPr>
              <w:t>et al</w:t>
            </w:r>
            <w:r>
              <w:rPr>
                <w:sz w:val="20"/>
              </w:rPr>
              <w:t>., 2010.</w:t>
            </w:r>
          </w:p>
        </w:tc>
      </w:tr>
      <w:tr>
        <w:trPr>
          <w:trHeight w:val="929" w:hRule="exact"/>
        </w:trPr>
        <w:tc>
          <w:tcPr>
            <w:tcW w:w="2086" w:type="dxa"/>
          </w:tcPr>
          <w:p>
            <w:pPr>
              <w:pStyle w:val="TableParagraph"/>
              <w:spacing w:line="223" w:lineRule="exact"/>
              <w:ind w:left="67"/>
              <w:rPr>
                <w:i/>
                <w:sz w:val="20"/>
              </w:rPr>
            </w:pPr>
            <w:r>
              <w:rPr>
                <w:i/>
                <w:sz w:val="20"/>
              </w:rPr>
              <w:t>A. encheleia</w:t>
            </w:r>
          </w:p>
        </w:tc>
        <w:tc>
          <w:tcPr>
            <w:tcW w:w="1297" w:type="dxa"/>
          </w:tcPr>
          <w:p>
            <w:pPr>
              <w:pStyle w:val="TableParagraph"/>
              <w:spacing w:line="223" w:lineRule="exact"/>
              <w:ind w:left="64" w:right="63"/>
              <w:rPr>
                <w:sz w:val="20"/>
              </w:rPr>
            </w:pPr>
            <w:r>
              <w:rPr>
                <w:sz w:val="20"/>
              </w:rPr>
              <w:t>CECT4342</w:t>
            </w:r>
          </w:p>
        </w:tc>
        <w:tc>
          <w:tcPr>
            <w:tcW w:w="991" w:type="dxa"/>
          </w:tcPr>
          <w:p>
            <w:pPr/>
          </w:p>
        </w:tc>
        <w:tc>
          <w:tcPr>
            <w:tcW w:w="1364" w:type="dxa"/>
          </w:tcPr>
          <w:p>
            <w:pPr/>
          </w:p>
        </w:tc>
        <w:tc>
          <w:tcPr>
            <w:tcW w:w="1188" w:type="dxa"/>
          </w:tcPr>
          <w:p>
            <w:pPr>
              <w:pStyle w:val="TableParagraph"/>
              <w:spacing w:line="223" w:lineRule="exact"/>
              <w:ind w:left="64" w:right="52"/>
              <w:rPr>
                <w:sz w:val="20"/>
              </w:rPr>
            </w:pPr>
            <w:r>
              <w:rPr>
                <w:sz w:val="20"/>
              </w:rPr>
              <w:t>HG 11</w:t>
            </w:r>
          </w:p>
        </w:tc>
        <w:tc>
          <w:tcPr>
            <w:tcW w:w="1702" w:type="dxa"/>
          </w:tcPr>
          <w:p>
            <w:pPr/>
          </w:p>
        </w:tc>
        <w:tc>
          <w:tcPr>
            <w:tcW w:w="1702" w:type="dxa"/>
          </w:tcPr>
          <w:p>
            <w:pPr>
              <w:pStyle w:val="TableParagraph"/>
              <w:tabs>
                <w:tab w:pos="724" w:val="left" w:leader="none"/>
              </w:tabs>
              <w:spacing w:line="480" w:lineRule="auto"/>
              <w:ind w:left="67" w:right="64"/>
              <w:rPr>
                <w:sz w:val="20"/>
              </w:rPr>
            </w:pPr>
            <w:r>
              <w:rPr>
                <w:sz w:val="20"/>
              </w:rPr>
              <w:t>Janda</w:t>
              <w:tab/>
              <w:t>y  </w:t>
            </w:r>
            <w:r>
              <w:rPr>
                <w:spacing w:val="44"/>
                <w:sz w:val="20"/>
              </w:rPr>
              <w:t> </w:t>
            </w:r>
            <w:r>
              <w:rPr>
                <w:sz w:val="20"/>
              </w:rPr>
              <w:t>Abbott,</w:t>
            </w:r>
            <w:r>
              <w:rPr>
                <w:w w:val="99"/>
                <w:sz w:val="20"/>
              </w:rPr>
              <w:t> </w:t>
            </w:r>
            <w:r>
              <w:rPr>
                <w:sz w:val="20"/>
              </w:rPr>
              <w:t>2010.</w:t>
            </w:r>
          </w:p>
        </w:tc>
      </w:tr>
      <w:tr>
        <w:trPr>
          <w:trHeight w:val="931" w:hRule="exact"/>
        </w:trPr>
        <w:tc>
          <w:tcPr>
            <w:tcW w:w="2086" w:type="dxa"/>
          </w:tcPr>
          <w:p>
            <w:pPr>
              <w:pStyle w:val="TableParagraph"/>
              <w:spacing w:line="226" w:lineRule="exact"/>
              <w:ind w:left="67"/>
              <w:rPr>
                <w:i/>
                <w:sz w:val="20"/>
              </w:rPr>
            </w:pPr>
            <w:r>
              <w:rPr>
                <w:i/>
                <w:sz w:val="20"/>
              </w:rPr>
              <w:t>A. eucrenophila</w:t>
            </w:r>
          </w:p>
        </w:tc>
        <w:tc>
          <w:tcPr>
            <w:tcW w:w="1297" w:type="dxa"/>
          </w:tcPr>
          <w:p>
            <w:pPr>
              <w:pStyle w:val="TableParagraph"/>
              <w:spacing w:line="226" w:lineRule="exact"/>
              <w:ind w:left="64" w:right="63"/>
              <w:rPr>
                <w:sz w:val="20"/>
              </w:rPr>
            </w:pPr>
            <w:r>
              <w:rPr>
                <w:sz w:val="20"/>
              </w:rPr>
              <w:t>CECT4224</w:t>
            </w:r>
          </w:p>
        </w:tc>
        <w:tc>
          <w:tcPr>
            <w:tcW w:w="991" w:type="dxa"/>
          </w:tcPr>
          <w:p>
            <w:pPr/>
          </w:p>
        </w:tc>
        <w:tc>
          <w:tcPr>
            <w:tcW w:w="1364" w:type="dxa"/>
          </w:tcPr>
          <w:p>
            <w:pPr/>
          </w:p>
        </w:tc>
        <w:tc>
          <w:tcPr>
            <w:tcW w:w="1188" w:type="dxa"/>
          </w:tcPr>
          <w:p>
            <w:pPr>
              <w:pStyle w:val="TableParagraph"/>
              <w:spacing w:line="226" w:lineRule="exact"/>
              <w:ind w:left="64" w:right="52"/>
              <w:rPr>
                <w:sz w:val="20"/>
              </w:rPr>
            </w:pPr>
            <w:r>
              <w:rPr>
                <w:sz w:val="20"/>
              </w:rPr>
              <w:t>HG 6</w:t>
            </w:r>
          </w:p>
        </w:tc>
        <w:tc>
          <w:tcPr>
            <w:tcW w:w="1702" w:type="dxa"/>
          </w:tcPr>
          <w:p>
            <w:pPr/>
          </w:p>
        </w:tc>
        <w:tc>
          <w:tcPr>
            <w:tcW w:w="1702" w:type="dxa"/>
          </w:tcPr>
          <w:p>
            <w:pPr>
              <w:pStyle w:val="TableParagraph"/>
              <w:tabs>
                <w:tab w:pos="724" w:val="left" w:leader="none"/>
              </w:tabs>
              <w:spacing w:line="477" w:lineRule="auto"/>
              <w:ind w:left="67" w:right="64"/>
              <w:rPr>
                <w:sz w:val="20"/>
              </w:rPr>
            </w:pPr>
            <w:r>
              <w:rPr>
                <w:sz w:val="20"/>
              </w:rPr>
              <w:t>Janda</w:t>
              <w:tab/>
              <w:t>y  </w:t>
            </w:r>
            <w:r>
              <w:rPr>
                <w:spacing w:val="44"/>
                <w:sz w:val="20"/>
              </w:rPr>
              <w:t> </w:t>
            </w:r>
            <w:r>
              <w:rPr>
                <w:sz w:val="20"/>
              </w:rPr>
              <w:t>Abbott,</w:t>
            </w:r>
            <w:r>
              <w:rPr>
                <w:w w:val="99"/>
                <w:sz w:val="20"/>
              </w:rPr>
              <w:t> </w:t>
            </w:r>
            <w:r>
              <w:rPr>
                <w:sz w:val="20"/>
              </w:rPr>
              <w:t>2010.</w:t>
            </w:r>
          </w:p>
        </w:tc>
      </w:tr>
      <w:tr>
        <w:trPr>
          <w:trHeight w:val="931" w:hRule="exact"/>
        </w:trPr>
        <w:tc>
          <w:tcPr>
            <w:tcW w:w="2086" w:type="dxa"/>
          </w:tcPr>
          <w:p>
            <w:pPr>
              <w:pStyle w:val="TableParagraph"/>
              <w:spacing w:line="223" w:lineRule="exact"/>
              <w:ind w:left="67"/>
              <w:rPr>
                <w:i/>
                <w:sz w:val="20"/>
              </w:rPr>
            </w:pPr>
            <w:r>
              <w:rPr>
                <w:i/>
                <w:sz w:val="20"/>
              </w:rPr>
              <w:t>A. finlandiensis</w:t>
            </w:r>
          </w:p>
        </w:tc>
        <w:tc>
          <w:tcPr>
            <w:tcW w:w="1297" w:type="dxa"/>
          </w:tcPr>
          <w:p>
            <w:pPr>
              <w:pStyle w:val="TableParagraph"/>
              <w:spacing w:line="223" w:lineRule="exact"/>
              <w:ind w:left="64" w:right="63"/>
              <w:rPr>
                <w:sz w:val="13"/>
              </w:rPr>
            </w:pPr>
            <w:r>
              <w:rPr>
                <w:sz w:val="20"/>
              </w:rPr>
              <w:t>CECT 8028</w:t>
            </w:r>
            <w:r>
              <w:rPr>
                <w:position w:val="7"/>
                <w:sz w:val="13"/>
              </w:rPr>
              <w:t>T</w:t>
            </w:r>
          </w:p>
        </w:tc>
        <w:tc>
          <w:tcPr>
            <w:tcW w:w="991" w:type="dxa"/>
          </w:tcPr>
          <w:p>
            <w:pPr/>
          </w:p>
        </w:tc>
        <w:tc>
          <w:tcPr>
            <w:tcW w:w="1364" w:type="dxa"/>
          </w:tcPr>
          <w:p>
            <w:pPr>
              <w:pStyle w:val="TableParagraph"/>
              <w:spacing w:line="223" w:lineRule="exact"/>
              <w:ind w:left="67" w:right="144"/>
              <w:rPr>
                <w:sz w:val="20"/>
              </w:rPr>
            </w:pPr>
            <w:r>
              <w:rPr>
                <w:sz w:val="20"/>
              </w:rPr>
              <w:t>Agua de lago</w:t>
            </w:r>
          </w:p>
        </w:tc>
        <w:tc>
          <w:tcPr>
            <w:tcW w:w="1188" w:type="dxa"/>
          </w:tcPr>
          <w:p>
            <w:pPr/>
          </w:p>
        </w:tc>
        <w:tc>
          <w:tcPr>
            <w:tcW w:w="1702" w:type="dxa"/>
          </w:tcPr>
          <w:p>
            <w:pPr/>
          </w:p>
        </w:tc>
        <w:tc>
          <w:tcPr>
            <w:tcW w:w="1702" w:type="dxa"/>
          </w:tcPr>
          <w:p>
            <w:pPr>
              <w:pStyle w:val="TableParagraph"/>
              <w:tabs>
                <w:tab w:pos="1483" w:val="left" w:leader="none"/>
              </w:tabs>
              <w:spacing w:line="480" w:lineRule="auto"/>
              <w:ind w:left="67" w:right="64"/>
              <w:rPr>
                <w:sz w:val="20"/>
              </w:rPr>
            </w:pPr>
            <w:r>
              <w:rPr>
                <w:sz w:val="20"/>
              </w:rPr>
              <w:t>Beaz-Hidalgo</w:t>
              <w:tab/>
            </w:r>
            <w:r>
              <w:rPr>
                <w:i/>
                <w:sz w:val="20"/>
              </w:rPr>
              <w:t>et</w:t>
            </w:r>
            <w:r>
              <w:rPr>
                <w:i/>
                <w:w w:val="99"/>
                <w:sz w:val="20"/>
              </w:rPr>
              <w:t> </w:t>
            </w:r>
            <w:r>
              <w:rPr>
                <w:i/>
                <w:sz w:val="20"/>
              </w:rPr>
              <w:t>al</w:t>
            </w:r>
            <w:r>
              <w:rPr>
                <w:sz w:val="20"/>
              </w:rPr>
              <w:t>.,</w:t>
            </w:r>
            <w:r>
              <w:rPr>
                <w:spacing w:val="-2"/>
                <w:sz w:val="20"/>
              </w:rPr>
              <w:t> </w:t>
            </w:r>
            <w:r>
              <w:rPr>
                <w:sz w:val="20"/>
              </w:rPr>
              <w:t>2015</w:t>
            </w:r>
          </w:p>
        </w:tc>
      </w:tr>
    </w:tbl>
    <w:p>
      <w:pPr>
        <w:spacing w:after="0" w:line="480" w:lineRule="auto"/>
        <w:rPr>
          <w:sz w:val="20"/>
        </w:rPr>
        <w:sectPr>
          <w:pgSz w:w="12240" w:h="15840"/>
          <w:pgMar w:header="0" w:footer="695" w:top="1080" w:bottom="940" w:left="840" w:right="840"/>
        </w:sect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86"/>
        <w:gridCol w:w="1297"/>
        <w:gridCol w:w="991"/>
        <w:gridCol w:w="1364"/>
        <w:gridCol w:w="1188"/>
        <w:gridCol w:w="1702"/>
        <w:gridCol w:w="1702"/>
      </w:tblGrid>
      <w:tr>
        <w:trPr>
          <w:trHeight w:val="932" w:hRule="exact"/>
        </w:trPr>
        <w:tc>
          <w:tcPr>
            <w:tcW w:w="2086" w:type="dxa"/>
          </w:tcPr>
          <w:p>
            <w:pPr>
              <w:pStyle w:val="TableParagraph"/>
              <w:spacing w:line="218" w:lineRule="exact"/>
              <w:ind w:left="67"/>
              <w:rPr>
                <w:i/>
                <w:sz w:val="20"/>
              </w:rPr>
            </w:pPr>
            <w:r>
              <w:rPr>
                <w:i/>
                <w:sz w:val="20"/>
              </w:rPr>
              <w:t>A. fluvialis</w:t>
            </w:r>
          </w:p>
        </w:tc>
        <w:tc>
          <w:tcPr>
            <w:tcW w:w="1297" w:type="dxa"/>
          </w:tcPr>
          <w:p>
            <w:pPr>
              <w:pStyle w:val="TableParagraph"/>
              <w:spacing w:line="218" w:lineRule="exact"/>
              <w:ind w:left="64" w:right="63"/>
              <w:rPr>
                <w:sz w:val="13"/>
              </w:rPr>
            </w:pPr>
            <w:r>
              <w:rPr>
                <w:sz w:val="20"/>
              </w:rPr>
              <w:t>CECT 7401</w:t>
            </w:r>
            <w:r>
              <w:rPr>
                <w:position w:val="7"/>
                <w:sz w:val="13"/>
              </w:rPr>
              <w:t>T</w:t>
            </w:r>
          </w:p>
        </w:tc>
        <w:tc>
          <w:tcPr>
            <w:tcW w:w="991" w:type="dxa"/>
          </w:tcPr>
          <w:p>
            <w:pPr/>
          </w:p>
        </w:tc>
        <w:tc>
          <w:tcPr>
            <w:tcW w:w="1364" w:type="dxa"/>
          </w:tcPr>
          <w:p>
            <w:pPr>
              <w:pStyle w:val="TableParagraph"/>
              <w:spacing w:line="218" w:lineRule="exact"/>
              <w:ind w:left="67" w:right="144"/>
              <w:rPr>
                <w:sz w:val="20"/>
              </w:rPr>
            </w:pPr>
            <w:r>
              <w:rPr>
                <w:sz w:val="20"/>
              </w:rPr>
              <w:t>Agua de río</w:t>
            </w:r>
          </w:p>
        </w:tc>
        <w:tc>
          <w:tcPr>
            <w:tcW w:w="1188" w:type="dxa"/>
          </w:tcPr>
          <w:p>
            <w:pPr/>
          </w:p>
        </w:tc>
        <w:tc>
          <w:tcPr>
            <w:tcW w:w="1702" w:type="dxa"/>
          </w:tcPr>
          <w:p>
            <w:pPr/>
          </w:p>
        </w:tc>
        <w:tc>
          <w:tcPr>
            <w:tcW w:w="1702" w:type="dxa"/>
          </w:tcPr>
          <w:p>
            <w:pPr>
              <w:pStyle w:val="TableParagraph"/>
              <w:tabs>
                <w:tab w:pos="926" w:val="left" w:leader="none"/>
                <w:tab w:pos="1370" w:val="left" w:leader="none"/>
              </w:tabs>
              <w:spacing w:line="477" w:lineRule="auto"/>
              <w:ind w:left="67" w:right="63" w:firstLine="50"/>
              <w:rPr>
                <w:sz w:val="20"/>
              </w:rPr>
            </w:pPr>
            <w:r>
              <w:rPr>
                <w:sz w:val="20"/>
              </w:rPr>
              <w:t>Alperi</w:t>
              <w:tab/>
            </w:r>
            <w:r>
              <w:rPr>
                <w:i/>
                <w:sz w:val="20"/>
              </w:rPr>
              <w:t>et</w:t>
              <w:tab/>
              <w:t>al</w:t>
            </w:r>
            <w:r>
              <w:rPr>
                <w:sz w:val="20"/>
              </w:rPr>
              <w:t>., 2010b</w:t>
            </w:r>
          </w:p>
        </w:tc>
      </w:tr>
      <w:tr>
        <w:trPr>
          <w:trHeight w:val="3308" w:hRule="exact"/>
        </w:trPr>
        <w:tc>
          <w:tcPr>
            <w:tcW w:w="2086" w:type="dxa"/>
            <w:tcBorders>
              <w:bottom w:val="single" w:sz="8" w:space="0" w:color="000000"/>
            </w:tcBorders>
          </w:tcPr>
          <w:p>
            <w:pPr>
              <w:pStyle w:val="TableParagraph"/>
              <w:numPr>
                <w:ilvl w:val="0"/>
                <w:numId w:val="9"/>
              </w:numPr>
              <w:tabs>
                <w:tab w:pos="290" w:val="left" w:leader="none"/>
              </w:tabs>
              <w:spacing w:line="216" w:lineRule="exact" w:before="0" w:after="0"/>
              <w:ind w:left="289" w:right="0" w:hanging="222"/>
              <w:jc w:val="left"/>
              <w:rPr>
                <w:i/>
                <w:sz w:val="20"/>
              </w:rPr>
            </w:pPr>
            <w:r>
              <w:rPr>
                <w:i/>
                <w:sz w:val="20"/>
              </w:rPr>
              <w:t>hydrophila</w:t>
            </w:r>
          </w:p>
          <w:p>
            <w:pPr>
              <w:pStyle w:val="TableParagraph"/>
              <w:rPr>
                <w:i/>
                <w:sz w:val="20"/>
              </w:rPr>
            </w:pPr>
          </w:p>
          <w:p>
            <w:pPr>
              <w:pStyle w:val="TableParagraph"/>
              <w:spacing w:before="1"/>
              <w:ind w:left="67"/>
              <w:rPr>
                <w:sz w:val="20"/>
              </w:rPr>
            </w:pPr>
            <w:r>
              <w:rPr>
                <w:sz w:val="20"/>
              </w:rPr>
              <w:t>subespecies</w:t>
            </w:r>
          </w:p>
          <w:p>
            <w:pPr>
              <w:pStyle w:val="TableParagraph"/>
              <w:spacing w:before="10"/>
              <w:rPr>
                <w:i/>
                <w:sz w:val="19"/>
              </w:rPr>
            </w:pPr>
          </w:p>
          <w:p>
            <w:pPr>
              <w:pStyle w:val="TableParagraph"/>
              <w:numPr>
                <w:ilvl w:val="1"/>
                <w:numId w:val="9"/>
              </w:numPr>
              <w:tabs>
                <w:tab w:pos="775" w:val="left" w:leader="none"/>
                <w:tab w:pos="776" w:val="left" w:leader="none"/>
              </w:tabs>
              <w:spacing w:line="240" w:lineRule="auto" w:before="0" w:after="0"/>
              <w:ind w:left="775" w:right="0" w:hanging="348"/>
              <w:jc w:val="left"/>
              <w:rPr>
                <w:i/>
                <w:sz w:val="20"/>
              </w:rPr>
            </w:pPr>
            <w:r>
              <w:rPr>
                <w:i/>
                <w:sz w:val="20"/>
              </w:rPr>
              <w:t>anaerogenes</w:t>
            </w:r>
          </w:p>
          <w:p>
            <w:pPr>
              <w:pStyle w:val="TableParagraph"/>
              <w:rPr>
                <w:i/>
                <w:sz w:val="20"/>
              </w:rPr>
            </w:pPr>
          </w:p>
          <w:p>
            <w:pPr>
              <w:pStyle w:val="TableParagraph"/>
              <w:numPr>
                <w:ilvl w:val="1"/>
                <w:numId w:val="9"/>
              </w:numPr>
              <w:tabs>
                <w:tab w:pos="775" w:val="left" w:leader="none"/>
                <w:tab w:pos="776" w:val="left" w:leader="none"/>
              </w:tabs>
              <w:spacing w:line="240" w:lineRule="auto" w:before="0" w:after="0"/>
              <w:ind w:left="775" w:right="0" w:hanging="348"/>
              <w:jc w:val="left"/>
              <w:rPr>
                <w:i/>
                <w:sz w:val="20"/>
              </w:rPr>
            </w:pPr>
            <w:r>
              <w:rPr>
                <w:i/>
                <w:sz w:val="20"/>
              </w:rPr>
              <w:t>decolorationis</w:t>
            </w:r>
          </w:p>
          <w:p>
            <w:pPr>
              <w:pStyle w:val="TableParagraph"/>
              <w:rPr>
                <w:i/>
                <w:sz w:val="20"/>
              </w:rPr>
            </w:pPr>
          </w:p>
          <w:p>
            <w:pPr>
              <w:pStyle w:val="TableParagraph"/>
              <w:numPr>
                <w:ilvl w:val="1"/>
                <w:numId w:val="9"/>
              </w:numPr>
              <w:tabs>
                <w:tab w:pos="775" w:val="left" w:leader="none"/>
                <w:tab w:pos="776" w:val="left" w:leader="none"/>
              </w:tabs>
              <w:spacing w:line="240" w:lineRule="auto" w:before="0" w:after="0"/>
              <w:ind w:left="775" w:right="0" w:hanging="348"/>
              <w:jc w:val="left"/>
              <w:rPr>
                <w:i/>
                <w:sz w:val="20"/>
              </w:rPr>
            </w:pPr>
            <w:r>
              <w:rPr>
                <w:i/>
                <w:sz w:val="20"/>
              </w:rPr>
              <w:t>dhakensis</w:t>
            </w:r>
          </w:p>
          <w:p>
            <w:pPr>
              <w:pStyle w:val="TableParagraph"/>
              <w:spacing w:before="9"/>
              <w:rPr>
                <w:i/>
                <w:sz w:val="19"/>
              </w:rPr>
            </w:pPr>
          </w:p>
          <w:p>
            <w:pPr>
              <w:pStyle w:val="TableParagraph"/>
              <w:numPr>
                <w:ilvl w:val="1"/>
                <w:numId w:val="9"/>
              </w:numPr>
              <w:tabs>
                <w:tab w:pos="775" w:val="left" w:leader="none"/>
                <w:tab w:pos="776" w:val="left" w:leader="none"/>
              </w:tabs>
              <w:spacing w:line="240" w:lineRule="auto" w:before="0" w:after="0"/>
              <w:ind w:left="775" w:right="0" w:hanging="348"/>
              <w:jc w:val="left"/>
              <w:rPr>
                <w:i/>
                <w:sz w:val="20"/>
              </w:rPr>
            </w:pPr>
            <w:r>
              <w:rPr>
                <w:i/>
                <w:sz w:val="20"/>
              </w:rPr>
              <w:t>hydrophila</w:t>
            </w:r>
          </w:p>
          <w:p>
            <w:pPr>
              <w:pStyle w:val="TableParagraph"/>
              <w:rPr>
                <w:i/>
                <w:sz w:val="20"/>
              </w:rPr>
            </w:pPr>
          </w:p>
          <w:p>
            <w:pPr>
              <w:pStyle w:val="TableParagraph"/>
              <w:numPr>
                <w:ilvl w:val="1"/>
                <w:numId w:val="9"/>
              </w:numPr>
              <w:tabs>
                <w:tab w:pos="775" w:val="left" w:leader="none"/>
                <w:tab w:pos="776" w:val="left" w:leader="none"/>
              </w:tabs>
              <w:spacing w:line="240" w:lineRule="auto" w:before="1" w:after="0"/>
              <w:ind w:left="775" w:right="0" w:hanging="348"/>
              <w:jc w:val="left"/>
              <w:rPr>
                <w:i/>
                <w:sz w:val="20"/>
              </w:rPr>
            </w:pPr>
            <w:r>
              <w:rPr>
                <w:i/>
                <w:sz w:val="20"/>
              </w:rPr>
              <w:t>ranaei</w:t>
            </w:r>
          </w:p>
        </w:tc>
        <w:tc>
          <w:tcPr>
            <w:tcW w:w="1297" w:type="dxa"/>
            <w:tcBorders>
              <w:bottom w:val="single" w:sz="8" w:space="0" w:color="000000"/>
            </w:tcBorders>
          </w:tcPr>
          <w:p>
            <w:pPr>
              <w:pStyle w:val="TableParagraph"/>
              <w:rPr>
                <w:i/>
                <w:sz w:val="20"/>
              </w:rPr>
            </w:pPr>
          </w:p>
          <w:p>
            <w:pPr>
              <w:pStyle w:val="TableParagraph"/>
              <w:spacing w:before="9"/>
              <w:rPr>
                <w:i/>
                <w:sz w:val="18"/>
              </w:rPr>
            </w:pPr>
          </w:p>
          <w:p>
            <w:pPr>
              <w:pStyle w:val="TableParagraph"/>
              <w:spacing w:before="1"/>
              <w:ind w:left="64" w:right="63"/>
              <w:rPr>
                <w:sz w:val="20"/>
              </w:rPr>
            </w:pPr>
            <w:r>
              <w:rPr>
                <w:sz w:val="20"/>
              </w:rPr>
              <w:t>CECT839</w:t>
            </w:r>
          </w:p>
        </w:tc>
        <w:tc>
          <w:tcPr>
            <w:tcW w:w="991" w:type="dxa"/>
            <w:tcBorders>
              <w:bottom w:val="single" w:sz="8" w:space="0" w:color="000000"/>
            </w:tcBorders>
          </w:tcPr>
          <w:p>
            <w:pPr>
              <w:pStyle w:val="TableParagraph"/>
              <w:spacing w:line="216" w:lineRule="exact"/>
              <w:ind w:left="64"/>
              <w:rPr>
                <w:sz w:val="20"/>
              </w:rPr>
            </w:pPr>
            <w:r>
              <w:rPr>
                <w:w w:val="99"/>
                <w:sz w:val="20"/>
              </w:rPr>
              <w:t>+</w:t>
            </w:r>
          </w:p>
        </w:tc>
        <w:tc>
          <w:tcPr>
            <w:tcW w:w="1364" w:type="dxa"/>
            <w:tcBorders>
              <w:bottom w:val="single" w:sz="8" w:space="0" w:color="000000"/>
            </w:tcBorders>
          </w:tcPr>
          <w:p>
            <w:pPr>
              <w:pStyle w:val="TableParagraph"/>
              <w:spacing w:line="216" w:lineRule="exact"/>
              <w:ind w:left="67" w:right="144"/>
              <w:rPr>
                <w:sz w:val="20"/>
              </w:rPr>
            </w:pPr>
            <w:r>
              <w:rPr>
                <w:sz w:val="20"/>
              </w:rPr>
              <w:t>Peces</w:t>
            </w:r>
          </w:p>
          <w:p>
            <w:pPr>
              <w:pStyle w:val="TableParagraph"/>
              <w:rPr>
                <w:i/>
                <w:sz w:val="20"/>
              </w:rPr>
            </w:pPr>
          </w:p>
          <w:p>
            <w:pPr>
              <w:pStyle w:val="TableParagraph"/>
              <w:spacing w:line="477" w:lineRule="auto" w:before="1"/>
              <w:ind w:left="67" w:right="195"/>
              <w:rPr>
                <w:sz w:val="20"/>
              </w:rPr>
            </w:pPr>
            <w:r>
              <w:rPr>
                <w:sz w:val="20"/>
              </w:rPr>
              <w:t>Anfibios Agua potable</w:t>
            </w:r>
          </w:p>
        </w:tc>
        <w:tc>
          <w:tcPr>
            <w:tcW w:w="1188" w:type="dxa"/>
            <w:tcBorders>
              <w:bottom w:val="single" w:sz="8" w:space="0" w:color="000000"/>
            </w:tcBorders>
          </w:tcPr>
          <w:p>
            <w:pPr>
              <w:pStyle w:val="TableParagraph"/>
              <w:spacing w:line="216" w:lineRule="exact"/>
              <w:ind w:left="64" w:right="52"/>
              <w:rPr>
                <w:sz w:val="20"/>
              </w:rPr>
            </w:pPr>
            <w:r>
              <w:rPr>
                <w:sz w:val="20"/>
              </w:rPr>
              <w:t>HG 1</w:t>
            </w:r>
          </w:p>
        </w:tc>
        <w:tc>
          <w:tcPr>
            <w:tcW w:w="1702" w:type="dxa"/>
            <w:tcBorders>
              <w:bottom w:val="single" w:sz="8" w:space="0" w:color="000000"/>
            </w:tcBorders>
          </w:tcPr>
          <w:p>
            <w:pPr/>
          </w:p>
        </w:tc>
        <w:tc>
          <w:tcPr>
            <w:tcW w:w="1702" w:type="dxa"/>
            <w:tcBorders>
              <w:bottom w:val="single" w:sz="8" w:space="0" w:color="000000"/>
            </w:tcBorders>
          </w:tcPr>
          <w:p>
            <w:pPr>
              <w:pStyle w:val="TableParagraph"/>
              <w:rPr>
                <w:i/>
                <w:sz w:val="20"/>
              </w:rPr>
            </w:pPr>
          </w:p>
          <w:p>
            <w:pPr>
              <w:pStyle w:val="TableParagraph"/>
              <w:rPr>
                <w:i/>
                <w:sz w:val="20"/>
              </w:rPr>
            </w:pPr>
          </w:p>
          <w:p>
            <w:pPr>
              <w:pStyle w:val="TableParagraph"/>
              <w:rPr>
                <w:i/>
                <w:sz w:val="20"/>
              </w:rPr>
            </w:pPr>
          </w:p>
          <w:p>
            <w:pPr>
              <w:pStyle w:val="TableParagraph"/>
              <w:rPr>
                <w:i/>
                <w:sz w:val="20"/>
              </w:rPr>
            </w:pPr>
          </w:p>
          <w:p>
            <w:pPr>
              <w:pStyle w:val="TableParagraph"/>
              <w:rPr>
                <w:i/>
                <w:sz w:val="20"/>
              </w:rPr>
            </w:pPr>
          </w:p>
          <w:p>
            <w:pPr>
              <w:pStyle w:val="TableParagraph"/>
              <w:spacing w:before="9"/>
              <w:rPr>
                <w:i/>
                <w:sz w:val="18"/>
              </w:rPr>
            </w:pPr>
          </w:p>
          <w:p>
            <w:pPr>
              <w:pStyle w:val="TableParagraph"/>
              <w:spacing w:line="480" w:lineRule="auto"/>
              <w:ind w:left="67"/>
              <w:rPr>
                <w:sz w:val="20"/>
              </w:rPr>
            </w:pPr>
            <w:r>
              <w:rPr>
                <w:sz w:val="20"/>
              </w:rPr>
              <w:t>Popoff y Véron, 1976.</w:t>
            </w:r>
          </w:p>
        </w:tc>
      </w:tr>
      <w:tr>
        <w:trPr>
          <w:trHeight w:val="953" w:hRule="exact"/>
        </w:trPr>
        <w:tc>
          <w:tcPr>
            <w:tcW w:w="2086" w:type="dxa"/>
            <w:tcBorders>
              <w:top w:val="single" w:sz="8" w:space="0" w:color="000000"/>
              <w:bottom w:val="single" w:sz="8" w:space="0" w:color="000000"/>
              <w:right w:val="single" w:sz="8" w:space="0" w:color="000000"/>
            </w:tcBorders>
          </w:tcPr>
          <w:p>
            <w:pPr>
              <w:pStyle w:val="TableParagraph"/>
              <w:rPr>
                <w:i/>
                <w:sz w:val="20"/>
              </w:rPr>
            </w:pPr>
          </w:p>
          <w:p>
            <w:pPr>
              <w:pStyle w:val="TableParagraph"/>
              <w:spacing w:before="1"/>
              <w:rPr>
                <w:i/>
                <w:sz w:val="20"/>
              </w:rPr>
            </w:pPr>
          </w:p>
          <w:p>
            <w:pPr>
              <w:pStyle w:val="TableParagraph"/>
              <w:rPr>
                <w:i/>
                <w:sz w:val="20"/>
              </w:rPr>
            </w:pPr>
            <w:r>
              <w:rPr>
                <w:i/>
                <w:sz w:val="20"/>
              </w:rPr>
              <w:t>A. jandaei</w:t>
            </w:r>
          </w:p>
        </w:tc>
        <w:tc>
          <w:tcPr>
            <w:tcW w:w="1297" w:type="dxa"/>
            <w:tcBorders>
              <w:top w:val="single" w:sz="8" w:space="0" w:color="000000"/>
              <w:left w:val="single" w:sz="8" w:space="0" w:color="000000"/>
              <w:bottom w:val="single" w:sz="8" w:space="0" w:color="000000"/>
              <w:right w:val="single" w:sz="8" w:space="0" w:color="000000"/>
            </w:tcBorders>
          </w:tcPr>
          <w:p>
            <w:pPr>
              <w:pStyle w:val="TableParagraph"/>
              <w:ind w:left="-1"/>
              <w:rPr>
                <w:sz w:val="20"/>
              </w:rPr>
            </w:pPr>
            <w:r>
              <w:rPr>
                <w:sz w:val="20"/>
              </w:rPr>
              <w:t>CECT4228</w:t>
            </w:r>
          </w:p>
        </w:tc>
        <w:tc>
          <w:tcPr>
            <w:tcW w:w="991" w:type="dxa"/>
            <w:tcBorders>
              <w:top w:val="single" w:sz="8" w:space="0" w:color="000000"/>
              <w:left w:val="single" w:sz="8" w:space="0" w:color="000000"/>
              <w:bottom w:val="single" w:sz="8" w:space="0" w:color="000000"/>
            </w:tcBorders>
          </w:tcPr>
          <w:p>
            <w:pPr>
              <w:pStyle w:val="TableParagraph"/>
              <w:rPr>
                <w:sz w:val="20"/>
              </w:rPr>
            </w:pPr>
            <w:r>
              <w:rPr>
                <w:w w:val="99"/>
                <w:sz w:val="20"/>
              </w:rPr>
              <w:t>+</w:t>
            </w:r>
          </w:p>
        </w:tc>
        <w:tc>
          <w:tcPr>
            <w:tcW w:w="1364" w:type="dxa"/>
            <w:tcBorders>
              <w:top w:val="single" w:sz="8" w:space="0" w:color="000000"/>
              <w:bottom w:val="single" w:sz="8" w:space="0" w:color="000000"/>
              <w:right w:val="single" w:sz="8" w:space="0" w:color="000000"/>
            </w:tcBorders>
          </w:tcPr>
          <w:p>
            <w:pPr>
              <w:pStyle w:val="TableParagraph"/>
              <w:ind w:right="5"/>
              <w:rPr>
                <w:sz w:val="20"/>
              </w:rPr>
            </w:pPr>
            <w:r>
              <w:rPr>
                <w:sz w:val="20"/>
              </w:rPr>
              <w:t>Anguila</w:t>
            </w:r>
          </w:p>
        </w:tc>
        <w:tc>
          <w:tcPr>
            <w:tcW w:w="1188" w:type="dxa"/>
            <w:tcBorders>
              <w:top w:val="single" w:sz="8" w:space="0" w:color="000000"/>
              <w:left w:val="single" w:sz="8" w:space="0" w:color="000000"/>
              <w:bottom w:val="single" w:sz="8" w:space="0" w:color="000000"/>
              <w:right w:val="single" w:sz="8" w:space="0" w:color="000000"/>
            </w:tcBorders>
          </w:tcPr>
          <w:p>
            <w:pPr>
              <w:pStyle w:val="TableParagraph"/>
              <w:ind w:left="43"/>
              <w:rPr>
                <w:sz w:val="20"/>
              </w:rPr>
            </w:pPr>
            <w:r>
              <w:rPr>
                <w:sz w:val="20"/>
              </w:rPr>
              <w:t>HG 9</w:t>
            </w:r>
          </w:p>
        </w:tc>
        <w:tc>
          <w:tcPr>
            <w:tcW w:w="1702" w:type="dxa"/>
            <w:tcBorders>
              <w:top w:val="single" w:sz="8" w:space="0" w:color="000000"/>
              <w:left w:val="single" w:sz="8" w:space="0" w:color="000000"/>
              <w:bottom w:val="single" w:sz="8" w:space="0" w:color="000000"/>
              <w:right w:val="single" w:sz="8" w:space="0" w:color="000000"/>
            </w:tcBorders>
          </w:tcPr>
          <w:p>
            <w:pPr/>
          </w:p>
        </w:tc>
        <w:tc>
          <w:tcPr>
            <w:tcW w:w="1702" w:type="dxa"/>
            <w:tcBorders>
              <w:top w:val="single" w:sz="8" w:space="0" w:color="000000"/>
              <w:left w:val="single" w:sz="8" w:space="0" w:color="000000"/>
              <w:bottom w:val="single" w:sz="8" w:space="0" w:color="000000"/>
              <w:right w:val="single" w:sz="8" w:space="0" w:color="000000"/>
            </w:tcBorders>
          </w:tcPr>
          <w:p>
            <w:pPr>
              <w:pStyle w:val="TableParagraph"/>
              <w:ind w:left="2" w:right="1"/>
              <w:rPr>
                <w:sz w:val="20"/>
              </w:rPr>
            </w:pPr>
            <w:r>
              <w:rPr>
                <w:sz w:val="20"/>
              </w:rPr>
              <w:t>Carnahan</w:t>
            </w:r>
          </w:p>
          <w:p>
            <w:pPr>
              <w:pStyle w:val="TableParagraph"/>
              <w:rPr>
                <w:i/>
                <w:sz w:val="20"/>
              </w:rPr>
            </w:pPr>
          </w:p>
          <w:p>
            <w:pPr>
              <w:pStyle w:val="TableParagraph"/>
              <w:spacing w:before="1"/>
              <w:ind w:left="2" w:right="1"/>
              <w:rPr>
                <w:sz w:val="20"/>
              </w:rPr>
            </w:pPr>
            <w:r>
              <w:rPr>
                <w:i/>
                <w:sz w:val="20"/>
              </w:rPr>
              <w:t>et al</w:t>
            </w:r>
            <w:r>
              <w:rPr>
                <w:sz w:val="20"/>
              </w:rPr>
              <w:t>., 1991.</w:t>
            </w:r>
          </w:p>
        </w:tc>
      </w:tr>
      <w:tr>
        <w:trPr>
          <w:trHeight w:val="955" w:hRule="exact"/>
        </w:trPr>
        <w:tc>
          <w:tcPr>
            <w:tcW w:w="2086" w:type="dxa"/>
            <w:tcBorders>
              <w:top w:val="single" w:sz="8" w:space="0" w:color="000000"/>
              <w:bottom w:val="single" w:sz="8" w:space="0" w:color="000000"/>
              <w:right w:val="single" w:sz="8" w:space="0" w:color="000000"/>
            </w:tcBorders>
          </w:tcPr>
          <w:p>
            <w:pPr>
              <w:pStyle w:val="TableParagraph"/>
              <w:spacing w:before="3"/>
              <w:rPr>
                <w:i/>
                <w:sz w:val="20"/>
              </w:rPr>
            </w:pPr>
            <w:r>
              <w:rPr>
                <w:i/>
                <w:sz w:val="20"/>
              </w:rPr>
              <w:t>A. lactus</w:t>
            </w:r>
          </w:p>
        </w:tc>
        <w:tc>
          <w:tcPr>
            <w:tcW w:w="1297" w:type="dxa"/>
            <w:tcBorders>
              <w:top w:val="single" w:sz="8" w:space="0" w:color="000000"/>
              <w:left w:val="single" w:sz="8" w:space="0" w:color="000000"/>
              <w:bottom w:val="single" w:sz="8" w:space="0" w:color="000000"/>
              <w:right w:val="single" w:sz="8" w:space="0" w:color="000000"/>
            </w:tcBorders>
          </w:tcPr>
          <w:p>
            <w:pPr>
              <w:pStyle w:val="TableParagraph"/>
              <w:spacing w:line="233" w:lineRule="exact"/>
              <w:ind w:left="-1"/>
              <w:rPr>
                <w:sz w:val="13"/>
              </w:rPr>
            </w:pPr>
            <w:r>
              <w:rPr>
                <w:sz w:val="20"/>
              </w:rPr>
              <w:t>CECT 8024</w:t>
            </w:r>
            <w:r>
              <w:rPr>
                <w:position w:val="7"/>
                <w:sz w:val="13"/>
              </w:rPr>
              <w:t>T</w:t>
            </w:r>
          </w:p>
        </w:tc>
        <w:tc>
          <w:tcPr>
            <w:tcW w:w="991" w:type="dxa"/>
            <w:tcBorders>
              <w:top w:val="single" w:sz="8" w:space="0" w:color="000000"/>
              <w:left w:val="single" w:sz="8" w:space="0" w:color="000000"/>
              <w:bottom w:val="single" w:sz="8" w:space="0" w:color="000000"/>
            </w:tcBorders>
          </w:tcPr>
          <w:p>
            <w:pPr/>
          </w:p>
        </w:tc>
        <w:tc>
          <w:tcPr>
            <w:tcW w:w="1364" w:type="dxa"/>
            <w:tcBorders>
              <w:top w:val="single" w:sz="8" w:space="0" w:color="000000"/>
              <w:bottom w:val="single" w:sz="8" w:space="0" w:color="000000"/>
              <w:right w:val="single" w:sz="8" w:space="0" w:color="000000"/>
            </w:tcBorders>
          </w:tcPr>
          <w:p>
            <w:pPr>
              <w:pStyle w:val="TableParagraph"/>
              <w:spacing w:before="3"/>
              <w:ind w:right="5"/>
              <w:rPr>
                <w:sz w:val="20"/>
              </w:rPr>
            </w:pPr>
            <w:r>
              <w:rPr>
                <w:sz w:val="20"/>
              </w:rPr>
              <w:t>Agua de lago</w:t>
            </w:r>
          </w:p>
        </w:tc>
        <w:tc>
          <w:tcPr>
            <w:tcW w:w="1188" w:type="dxa"/>
            <w:tcBorders>
              <w:top w:val="single" w:sz="8" w:space="0" w:color="000000"/>
              <w:left w:val="single" w:sz="8" w:space="0" w:color="000000"/>
              <w:bottom w:val="single" w:sz="8" w:space="0" w:color="000000"/>
              <w:right w:val="single" w:sz="8" w:space="0" w:color="000000"/>
            </w:tcBorders>
          </w:tcPr>
          <w:p>
            <w:pPr/>
          </w:p>
        </w:tc>
        <w:tc>
          <w:tcPr>
            <w:tcW w:w="1702" w:type="dxa"/>
            <w:tcBorders>
              <w:top w:val="single" w:sz="8" w:space="0" w:color="000000"/>
              <w:left w:val="single" w:sz="8" w:space="0" w:color="000000"/>
              <w:bottom w:val="single" w:sz="8" w:space="0" w:color="000000"/>
              <w:right w:val="single" w:sz="8" w:space="0" w:color="000000"/>
            </w:tcBorders>
          </w:tcPr>
          <w:p>
            <w:pPr/>
          </w:p>
        </w:tc>
        <w:tc>
          <w:tcPr>
            <w:tcW w:w="1702" w:type="dxa"/>
            <w:tcBorders>
              <w:top w:val="single" w:sz="8" w:space="0" w:color="000000"/>
              <w:left w:val="single" w:sz="8" w:space="0" w:color="000000"/>
              <w:bottom w:val="single" w:sz="8" w:space="0" w:color="000000"/>
              <w:right w:val="single" w:sz="8" w:space="0" w:color="000000"/>
            </w:tcBorders>
          </w:tcPr>
          <w:p>
            <w:pPr>
              <w:pStyle w:val="TableParagraph"/>
              <w:spacing w:before="3"/>
              <w:ind w:left="2" w:right="1"/>
              <w:rPr>
                <w:sz w:val="20"/>
              </w:rPr>
            </w:pPr>
            <w:r>
              <w:rPr>
                <w:sz w:val="20"/>
              </w:rPr>
              <w:t>Beaz-Hidalgo</w:t>
            </w:r>
          </w:p>
          <w:p>
            <w:pPr>
              <w:pStyle w:val="TableParagraph"/>
              <w:rPr>
                <w:i/>
                <w:sz w:val="20"/>
              </w:rPr>
            </w:pPr>
          </w:p>
          <w:p>
            <w:pPr>
              <w:pStyle w:val="TableParagraph"/>
              <w:spacing w:before="1"/>
              <w:ind w:left="2" w:right="1"/>
              <w:rPr>
                <w:sz w:val="20"/>
              </w:rPr>
            </w:pPr>
            <w:r>
              <w:rPr>
                <w:i/>
                <w:sz w:val="20"/>
              </w:rPr>
              <w:t>et al</w:t>
            </w:r>
            <w:r>
              <w:rPr>
                <w:sz w:val="20"/>
              </w:rPr>
              <w:t>., 2015</w:t>
            </w:r>
          </w:p>
        </w:tc>
      </w:tr>
      <w:tr>
        <w:trPr>
          <w:trHeight w:val="955" w:hRule="exact"/>
        </w:trPr>
        <w:tc>
          <w:tcPr>
            <w:tcW w:w="2086" w:type="dxa"/>
            <w:tcBorders>
              <w:top w:val="single" w:sz="8" w:space="0" w:color="000000"/>
              <w:bottom w:val="single" w:sz="8" w:space="0" w:color="000000"/>
              <w:right w:val="single" w:sz="8" w:space="0" w:color="000000"/>
            </w:tcBorders>
          </w:tcPr>
          <w:p>
            <w:pPr>
              <w:pStyle w:val="TableParagraph"/>
              <w:rPr>
                <w:i/>
                <w:sz w:val="20"/>
              </w:rPr>
            </w:pPr>
          </w:p>
          <w:p>
            <w:pPr>
              <w:pStyle w:val="TableParagraph"/>
              <w:spacing w:before="3"/>
              <w:rPr>
                <w:i/>
                <w:sz w:val="20"/>
              </w:rPr>
            </w:pPr>
          </w:p>
          <w:p>
            <w:pPr>
              <w:pStyle w:val="TableParagraph"/>
              <w:rPr>
                <w:i/>
                <w:sz w:val="20"/>
              </w:rPr>
            </w:pPr>
            <w:r>
              <w:rPr>
                <w:i/>
                <w:sz w:val="20"/>
              </w:rPr>
              <w:t>A. lusitana</w:t>
            </w:r>
          </w:p>
        </w:tc>
        <w:tc>
          <w:tcPr>
            <w:tcW w:w="1297" w:type="dxa"/>
            <w:tcBorders>
              <w:top w:val="single" w:sz="8" w:space="0" w:color="000000"/>
              <w:left w:val="single" w:sz="8" w:space="0" w:color="000000"/>
              <w:bottom w:val="single" w:sz="8" w:space="0" w:color="000000"/>
              <w:right w:val="single" w:sz="8" w:space="0" w:color="000000"/>
            </w:tcBorders>
          </w:tcPr>
          <w:p>
            <w:pPr>
              <w:pStyle w:val="TableParagraph"/>
              <w:spacing w:line="233" w:lineRule="exact"/>
              <w:ind w:left="-1"/>
              <w:rPr>
                <w:sz w:val="13"/>
              </w:rPr>
            </w:pPr>
            <w:r>
              <w:rPr>
                <w:sz w:val="20"/>
              </w:rPr>
              <w:t>CECT 7828</w:t>
            </w:r>
            <w:r>
              <w:rPr>
                <w:position w:val="7"/>
                <w:sz w:val="13"/>
              </w:rPr>
              <w:t>T</w:t>
            </w:r>
          </w:p>
        </w:tc>
        <w:tc>
          <w:tcPr>
            <w:tcW w:w="991" w:type="dxa"/>
            <w:tcBorders>
              <w:top w:val="single" w:sz="8" w:space="0" w:color="000000"/>
              <w:left w:val="single" w:sz="8" w:space="0" w:color="000000"/>
              <w:bottom w:val="single" w:sz="8" w:space="0" w:color="000000"/>
            </w:tcBorders>
          </w:tcPr>
          <w:p>
            <w:pPr/>
          </w:p>
        </w:tc>
        <w:tc>
          <w:tcPr>
            <w:tcW w:w="1364" w:type="dxa"/>
            <w:tcBorders>
              <w:top w:val="single" w:sz="8" w:space="0" w:color="000000"/>
              <w:bottom w:val="single" w:sz="8" w:space="0" w:color="000000"/>
              <w:right w:val="single" w:sz="8" w:space="0" w:color="000000"/>
            </w:tcBorders>
          </w:tcPr>
          <w:p>
            <w:pPr/>
          </w:p>
        </w:tc>
        <w:tc>
          <w:tcPr>
            <w:tcW w:w="1188" w:type="dxa"/>
            <w:tcBorders>
              <w:top w:val="single" w:sz="8" w:space="0" w:color="000000"/>
              <w:left w:val="single" w:sz="8" w:space="0" w:color="000000"/>
              <w:bottom w:val="single" w:sz="8" w:space="0" w:color="000000"/>
              <w:right w:val="single" w:sz="8" w:space="0" w:color="000000"/>
            </w:tcBorders>
          </w:tcPr>
          <w:p>
            <w:pPr/>
          </w:p>
        </w:tc>
        <w:tc>
          <w:tcPr>
            <w:tcW w:w="1702" w:type="dxa"/>
            <w:tcBorders>
              <w:top w:val="single" w:sz="8" w:space="0" w:color="000000"/>
              <w:left w:val="single" w:sz="8" w:space="0" w:color="000000"/>
              <w:bottom w:val="single" w:sz="8" w:space="0" w:color="000000"/>
              <w:right w:val="single" w:sz="8" w:space="0" w:color="000000"/>
            </w:tcBorders>
          </w:tcPr>
          <w:p>
            <w:pPr>
              <w:pStyle w:val="TableParagraph"/>
              <w:spacing w:before="3"/>
              <w:ind w:left="43" w:right="40"/>
              <w:rPr>
                <w:sz w:val="20"/>
              </w:rPr>
            </w:pPr>
            <w:r>
              <w:rPr>
                <w:sz w:val="20"/>
              </w:rPr>
              <w:t>Agua termal</w:t>
            </w:r>
          </w:p>
        </w:tc>
        <w:tc>
          <w:tcPr>
            <w:tcW w:w="1702" w:type="dxa"/>
            <w:tcBorders>
              <w:top w:val="single" w:sz="8" w:space="0" w:color="000000"/>
              <w:left w:val="single" w:sz="8" w:space="0" w:color="000000"/>
              <w:bottom w:val="single" w:sz="8" w:space="0" w:color="000000"/>
              <w:right w:val="single" w:sz="8" w:space="0" w:color="000000"/>
            </w:tcBorders>
          </w:tcPr>
          <w:p>
            <w:pPr>
              <w:pStyle w:val="TableParagraph"/>
              <w:spacing w:before="3"/>
              <w:ind w:left="2" w:right="1"/>
              <w:rPr>
                <w:sz w:val="20"/>
              </w:rPr>
            </w:pPr>
            <w:r>
              <w:rPr>
                <w:sz w:val="20"/>
              </w:rPr>
              <w:t>Martínez-Murcia</w:t>
            </w:r>
          </w:p>
          <w:p>
            <w:pPr>
              <w:pStyle w:val="TableParagraph"/>
              <w:rPr>
                <w:i/>
                <w:sz w:val="20"/>
              </w:rPr>
            </w:pPr>
          </w:p>
          <w:p>
            <w:pPr>
              <w:pStyle w:val="TableParagraph"/>
              <w:spacing w:before="1"/>
              <w:ind w:left="52" w:right="1"/>
              <w:rPr>
                <w:sz w:val="20"/>
              </w:rPr>
            </w:pPr>
            <w:r>
              <w:rPr>
                <w:i/>
                <w:sz w:val="20"/>
              </w:rPr>
              <w:t>et al</w:t>
            </w:r>
            <w:r>
              <w:rPr>
                <w:sz w:val="20"/>
              </w:rPr>
              <w:t>., 2011.</w:t>
            </w:r>
          </w:p>
        </w:tc>
      </w:tr>
      <w:tr>
        <w:trPr>
          <w:trHeight w:val="1016" w:hRule="exact"/>
        </w:trPr>
        <w:tc>
          <w:tcPr>
            <w:tcW w:w="2086" w:type="dxa"/>
            <w:tcBorders>
              <w:top w:val="single" w:sz="8" w:space="0" w:color="000000"/>
              <w:bottom w:val="single" w:sz="8" w:space="0" w:color="000000"/>
              <w:right w:val="single" w:sz="8" w:space="0" w:color="000000"/>
            </w:tcBorders>
          </w:tcPr>
          <w:p>
            <w:pPr>
              <w:pStyle w:val="TableParagraph"/>
              <w:spacing w:before="3"/>
              <w:rPr>
                <w:i/>
                <w:sz w:val="20"/>
              </w:rPr>
            </w:pPr>
            <w:r>
              <w:rPr>
                <w:i/>
                <w:sz w:val="20"/>
              </w:rPr>
              <w:t>A. media</w:t>
            </w:r>
          </w:p>
        </w:tc>
        <w:tc>
          <w:tcPr>
            <w:tcW w:w="1297" w:type="dxa"/>
            <w:tcBorders>
              <w:top w:val="single" w:sz="8" w:space="0" w:color="000000"/>
              <w:left w:val="single" w:sz="8" w:space="0" w:color="000000"/>
              <w:bottom w:val="single" w:sz="8" w:space="0" w:color="000000"/>
              <w:right w:val="single" w:sz="8" w:space="0" w:color="000000"/>
            </w:tcBorders>
          </w:tcPr>
          <w:p>
            <w:pPr>
              <w:pStyle w:val="TableParagraph"/>
              <w:spacing w:before="3"/>
              <w:ind w:left="-1"/>
              <w:rPr>
                <w:sz w:val="20"/>
              </w:rPr>
            </w:pPr>
            <w:r>
              <w:rPr>
                <w:sz w:val="20"/>
              </w:rPr>
              <w:t>CECT4232</w:t>
            </w:r>
          </w:p>
        </w:tc>
        <w:tc>
          <w:tcPr>
            <w:tcW w:w="991" w:type="dxa"/>
            <w:tcBorders>
              <w:top w:val="single" w:sz="8" w:space="0" w:color="000000"/>
              <w:left w:val="single" w:sz="8" w:space="0" w:color="000000"/>
              <w:bottom w:val="single" w:sz="8" w:space="0" w:color="000000"/>
            </w:tcBorders>
          </w:tcPr>
          <w:p>
            <w:pPr>
              <w:pStyle w:val="TableParagraph"/>
              <w:spacing w:before="3"/>
              <w:rPr>
                <w:sz w:val="20"/>
              </w:rPr>
            </w:pPr>
            <w:r>
              <w:rPr>
                <w:w w:val="99"/>
                <w:sz w:val="20"/>
              </w:rPr>
              <w:t>+</w:t>
            </w:r>
          </w:p>
        </w:tc>
        <w:tc>
          <w:tcPr>
            <w:tcW w:w="1364" w:type="dxa"/>
            <w:tcBorders>
              <w:top w:val="single" w:sz="8" w:space="0" w:color="000000"/>
              <w:bottom w:val="single" w:sz="8" w:space="0" w:color="000000"/>
              <w:right w:val="single" w:sz="8" w:space="0" w:color="000000"/>
            </w:tcBorders>
          </w:tcPr>
          <w:p>
            <w:pPr>
              <w:pStyle w:val="TableParagraph"/>
              <w:spacing w:line="477" w:lineRule="auto" w:before="3"/>
              <w:ind w:right="5"/>
              <w:rPr>
                <w:sz w:val="20"/>
              </w:rPr>
            </w:pPr>
            <w:r>
              <w:rPr>
                <w:sz w:val="20"/>
              </w:rPr>
              <w:t>Peces marinos Agua potable</w:t>
            </w:r>
          </w:p>
        </w:tc>
        <w:tc>
          <w:tcPr>
            <w:tcW w:w="1188" w:type="dxa"/>
            <w:tcBorders>
              <w:top w:val="single" w:sz="8" w:space="0" w:color="000000"/>
              <w:left w:val="single" w:sz="8" w:space="0" w:color="000000"/>
              <w:bottom w:val="single" w:sz="8" w:space="0" w:color="000000"/>
              <w:right w:val="single" w:sz="8" w:space="0" w:color="000000"/>
            </w:tcBorders>
          </w:tcPr>
          <w:p>
            <w:pPr>
              <w:pStyle w:val="TableParagraph"/>
              <w:spacing w:before="3"/>
              <w:ind w:left="43"/>
              <w:rPr>
                <w:sz w:val="20"/>
              </w:rPr>
            </w:pPr>
            <w:r>
              <w:rPr>
                <w:sz w:val="20"/>
              </w:rPr>
              <w:t>HG 5</w:t>
            </w:r>
          </w:p>
        </w:tc>
        <w:tc>
          <w:tcPr>
            <w:tcW w:w="1702" w:type="dxa"/>
            <w:tcBorders>
              <w:top w:val="single" w:sz="8" w:space="0" w:color="000000"/>
              <w:left w:val="single" w:sz="8" w:space="0" w:color="000000"/>
              <w:bottom w:val="single" w:sz="8" w:space="0" w:color="000000"/>
              <w:right w:val="single" w:sz="8" w:space="0" w:color="000000"/>
            </w:tcBorders>
          </w:tcPr>
          <w:p>
            <w:pPr/>
          </w:p>
        </w:tc>
        <w:tc>
          <w:tcPr>
            <w:tcW w:w="1702" w:type="dxa"/>
            <w:tcBorders>
              <w:top w:val="single" w:sz="8" w:space="0" w:color="000000"/>
              <w:left w:val="single" w:sz="8" w:space="0" w:color="000000"/>
              <w:bottom w:val="single" w:sz="8" w:space="0" w:color="000000"/>
              <w:right w:val="single" w:sz="8" w:space="0" w:color="000000"/>
            </w:tcBorders>
          </w:tcPr>
          <w:p>
            <w:pPr>
              <w:pStyle w:val="TableParagraph"/>
              <w:tabs>
                <w:tab w:pos="719" w:val="left" w:leader="none"/>
                <w:tab w:pos="1076" w:val="left" w:leader="none"/>
              </w:tabs>
              <w:spacing w:line="477" w:lineRule="auto" w:before="3"/>
              <w:ind w:left="2" w:right="1"/>
              <w:rPr>
                <w:sz w:val="20"/>
              </w:rPr>
            </w:pPr>
            <w:r>
              <w:rPr>
                <w:sz w:val="20"/>
              </w:rPr>
              <w:t>Janda</w:t>
              <w:tab/>
              <w:t>y</w:t>
              <w:tab/>
            </w:r>
            <w:r>
              <w:rPr>
                <w:w w:val="95"/>
                <w:sz w:val="20"/>
              </w:rPr>
              <w:t>Abbott, </w:t>
            </w:r>
            <w:r>
              <w:rPr>
                <w:sz w:val="20"/>
              </w:rPr>
              <w:t>2010.</w:t>
            </w:r>
          </w:p>
        </w:tc>
      </w:tr>
      <w:tr>
        <w:trPr>
          <w:trHeight w:val="955" w:hRule="exact"/>
        </w:trPr>
        <w:tc>
          <w:tcPr>
            <w:tcW w:w="2086" w:type="dxa"/>
            <w:tcBorders>
              <w:top w:val="single" w:sz="8" w:space="0" w:color="000000"/>
              <w:bottom w:val="single" w:sz="8" w:space="0" w:color="000000"/>
              <w:right w:val="single" w:sz="8" w:space="0" w:color="000000"/>
            </w:tcBorders>
          </w:tcPr>
          <w:p>
            <w:pPr>
              <w:pStyle w:val="TableParagraph"/>
              <w:rPr>
                <w:i/>
                <w:sz w:val="20"/>
              </w:rPr>
            </w:pPr>
            <w:r>
              <w:rPr>
                <w:i/>
                <w:sz w:val="20"/>
              </w:rPr>
              <w:t>A. molluscorum</w:t>
            </w:r>
          </w:p>
        </w:tc>
        <w:tc>
          <w:tcPr>
            <w:tcW w:w="1297" w:type="dxa"/>
            <w:tcBorders>
              <w:top w:val="single" w:sz="8" w:space="0" w:color="000000"/>
              <w:left w:val="single" w:sz="8" w:space="0" w:color="000000"/>
              <w:bottom w:val="single" w:sz="8" w:space="0" w:color="000000"/>
              <w:right w:val="single" w:sz="8" w:space="0" w:color="000000"/>
            </w:tcBorders>
          </w:tcPr>
          <w:p>
            <w:pPr>
              <w:pStyle w:val="TableParagraph"/>
              <w:spacing w:line="230" w:lineRule="exact"/>
              <w:ind w:left="-1"/>
              <w:rPr>
                <w:sz w:val="13"/>
              </w:rPr>
            </w:pPr>
            <w:r>
              <w:rPr>
                <w:sz w:val="20"/>
              </w:rPr>
              <w:t>868T</w:t>
            </w:r>
            <w:r>
              <w:rPr>
                <w:position w:val="7"/>
                <w:sz w:val="13"/>
              </w:rPr>
              <w:t>T</w:t>
            </w:r>
          </w:p>
        </w:tc>
        <w:tc>
          <w:tcPr>
            <w:tcW w:w="991" w:type="dxa"/>
            <w:tcBorders>
              <w:top w:val="single" w:sz="8" w:space="0" w:color="000000"/>
              <w:left w:val="single" w:sz="8" w:space="0" w:color="000000"/>
              <w:bottom w:val="single" w:sz="8" w:space="0" w:color="000000"/>
            </w:tcBorders>
          </w:tcPr>
          <w:p>
            <w:pPr/>
          </w:p>
        </w:tc>
        <w:tc>
          <w:tcPr>
            <w:tcW w:w="1364" w:type="dxa"/>
            <w:tcBorders>
              <w:top w:val="single" w:sz="8" w:space="0" w:color="000000"/>
              <w:bottom w:val="single" w:sz="8" w:space="0" w:color="000000"/>
              <w:right w:val="single" w:sz="8" w:space="0" w:color="000000"/>
            </w:tcBorders>
          </w:tcPr>
          <w:p>
            <w:pPr>
              <w:pStyle w:val="TableParagraph"/>
              <w:ind w:right="5"/>
              <w:rPr>
                <w:sz w:val="20"/>
              </w:rPr>
            </w:pPr>
            <w:r>
              <w:rPr>
                <w:sz w:val="20"/>
              </w:rPr>
              <w:t>Molusco</w:t>
            </w:r>
          </w:p>
        </w:tc>
        <w:tc>
          <w:tcPr>
            <w:tcW w:w="1188" w:type="dxa"/>
            <w:tcBorders>
              <w:top w:val="single" w:sz="8" w:space="0" w:color="000000"/>
              <w:left w:val="single" w:sz="8" w:space="0" w:color="000000"/>
              <w:bottom w:val="single" w:sz="8" w:space="0" w:color="000000"/>
              <w:right w:val="single" w:sz="8" w:space="0" w:color="000000"/>
            </w:tcBorders>
          </w:tcPr>
          <w:p>
            <w:pPr/>
          </w:p>
        </w:tc>
        <w:tc>
          <w:tcPr>
            <w:tcW w:w="1702" w:type="dxa"/>
            <w:tcBorders>
              <w:top w:val="single" w:sz="8" w:space="0" w:color="000000"/>
              <w:left w:val="single" w:sz="8" w:space="0" w:color="000000"/>
              <w:bottom w:val="single" w:sz="8" w:space="0" w:color="000000"/>
              <w:right w:val="single" w:sz="8" w:space="0" w:color="000000"/>
            </w:tcBorders>
          </w:tcPr>
          <w:p>
            <w:pPr/>
          </w:p>
        </w:tc>
        <w:tc>
          <w:tcPr>
            <w:tcW w:w="1702" w:type="dxa"/>
            <w:tcBorders>
              <w:top w:val="single" w:sz="8" w:space="0" w:color="000000"/>
              <w:left w:val="single" w:sz="8" w:space="0" w:color="000000"/>
              <w:bottom w:val="single" w:sz="8" w:space="0" w:color="000000"/>
              <w:right w:val="single" w:sz="8" w:space="0" w:color="000000"/>
            </w:tcBorders>
          </w:tcPr>
          <w:p>
            <w:pPr>
              <w:pStyle w:val="TableParagraph"/>
              <w:ind w:left="2" w:right="1"/>
              <w:rPr>
                <w:sz w:val="20"/>
              </w:rPr>
            </w:pPr>
            <w:r>
              <w:rPr>
                <w:sz w:val="20"/>
              </w:rPr>
              <w:t>Miñana-Galbis</w:t>
            </w:r>
          </w:p>
          <w:p>
            <w:pPr>
              <w:pStyle w:val="TableParagraph"/>
              <w:rPr>
                <w:i/>
                <w:sz w:val="20"/>
              </w:rPr>
            </w:pPr>
          </w:p>
          <w:p>
            <w:pPr>
              <w:pStyle w:val="TableParagraph"/>
              <w:spacing w:before="1"/>
              <w:ind w:left="2" w:right="1"/>
              <w:rPr>
                <w:sz w:val="20"/>
              </w:rPr>
            </w:pPr>
            <w:r>
              <w:rPr>
                <w:i/>
                <w:sz w:val="20"/>
              </w:rPr>
              <w:t>et al</w:t>
            </w:r>
            <w:r>
              <w:rPr>
                <w:sz w:val="20"/>
              </w:rPr>
              <w:t>., 2004.</w:t>
            </w:r>
          </w:p>
        </w:tc>
      </w:tr>
      <w:tr>
        <w:trPr>
          <w:trHeight w:val="1073" w:hRule="exact"/>
        </w:trPr>
        <w:tc>
          <w:tcPr>
            <w:tcW w:w="2086" w:type="dxa"/>
            <w:tcBorders>
              <w:top w:val="single" w:sz="8" w:space="0" w:color="000000"/>
              <w:bottom w:val="single" w:sz="8" w:space="0" w:color="000000"/>
              <w:right w:val="single" w:sz="8" w:space="0" w:color="000000"/>
            </w:tcBorders>
          </w:tcPr>
          <w:p>
            <w:pPr>
              <w:pStyle w:val="TableParagraph"/>
              <w:rPr>
                <w:i/>
                <w:sz w:val="20"/>
              </w:rPr>
            </w:pPr>
            <w:r>
              <w:rPr>
                <w:i/>
                <w:sz w:val="20"/>
              </w:rPr>
              <w:t>A. piscícola</w:t>
            </w:r>
          </w:p>
        </w:tc>
        <w:tc>
          <w:tcPr>
            <w:tcW w:w="1297" w:type="dxa"/>
            <w:tcBorders>
              <w:top w:val="single" w:sz="8" w:space="0" w:color="000000"/>
              <w:left w:val="single" w:sz="8" w:space="0" w:color="000000"/>
              <w:bottom w:val="single" w:sz="8" w:space="0" w:color="000000"/>
              <w:right w:val="single" w:sz="8" w:space="0" w:color="000000"/>
            </w:tcBorders>
          </w:tcPr>
          <w:p>
            <w:pPr>
              <w:pStyle w:val="TableParagraph"/>
              <w:spacing w:line="230" w:lineRule="exact"/>
              <w:ind w:left="-1"/>
              <w:rPr>
                <w:sz w:val="13"/>
              </w:rPr>
            </w:pPr>
            <w:r>
              <w:rPr>
                <w:sz w:val="20"/>
              </w:rPr>
              <w:t>S1.2</w:t>
            </w:r>
            <w:r>
              <w:rPr>
                <w:position w:val="7"/>
                <w:sz w:val="13"/>
              </w:rPr>
              <w:t>T</w:t>
            </w:r>
          </w:p>
        </w:tc>
        <w:tc>
          <w:tcPr>
            <w:tcW w:w="991" w:type="dxa"/>
            <w:tcBorders>
              <w:top w:val="single" w:sz="8" w:space="0" w:color="000000"/>
              <w:left w:val="single" w:sz="8" w:space="0" w:color="000000"/>
              <w:bottom w:val="single" w:sz="8" w:space="0" w:color="000000"/>
            </w:tcBorders>
          </w:tcPr>
          <w:p>
            <w:pPr/>
          </w:p>
        </w:tc>
        <w:tc>
          <w:tcPr>
            <w:tcW w:w="1364" w:type="dxa"/>
            <w:tcBorders>
              <w:top w:val="single" w:sz="8" w:space="0" w:color="000000"/>
              <w:bottom w:val="single" w:sz="8" w:space="0" w:color="000000"/>
              <w:right w:val="single" w:sz="8" w:space="0" w:color="000000"/>
            </w:tcBorders>
          </w:tcPr>
          <w:p>
            <w:pPr>
              <w:pStyle w:val="TableParagraph"/>
              <w:tabs>
                <w:tab w:pos="680" w:val="left" w:leader="none"/>
              </w:tabs>
              <w:spacing w:line="480" w:lineRule="auto"/>
              <w:ind w:right="5"/>
              <w:rPr>
                <w:sz w:val="20"/>
              </w:rPr>
            </w:pPr>
            <w:r>
              <w:rPr>
                <w:sz w:val="20"/>
              </w:rPr>
              <w:t>Pez</w:t>
              <w:tab/>
            </w:r>
            <w:r>
              <w:rPr>
                <w:spacing w:val="-1"/>
                <w:sz w:val="20"/>
              </w:rPr>
              <w:t>enfermo </w:t>
            </w:r>
            <w:r>
              <w:rPr>
                <w:sz w:val="20"/>
              </w:rPr>
              <w:t>(</w:t>
            </w:r>
            <w:r>
              <w:rPr>
                <w:i/>
                <w:sz w:val="20"/>
              </w:rPr>
              <w:t>Salmo</w:t>
            </w:r>
            <w:r>
              <w:rPr>
                <w:i/>
                <w:spacing w:val="-2"/>
                <w:sz w:val="20"/>
              </w:rPr>
              <w:t> </w:t>
            </w:r>
            <w:r>
              <w:rPr>
                <w:i/>
                <w:sz w:val="20"/>
              </w:rPr>
              <w:t>salar</w:t>
            </w:r>
            <w:r>
              <w:rPr>
                <w:sz w:val="20"/>
              </w:rPr>
              <w:t>)</w:t>
            </w:r>
          </w:p>
        </w:tc>
        <w:tc>
          <w:tcPr>
            <w:tcW w:w="1188" w:type="dxa"/>
            <w:tcBorders>
              <w:top w:val="single" w:sz="8" w:space="0" w:color="000000"/>
              <w:left w:val="single" w:sz="8" w:space="0" w:color="000000"/>
              <w:bottom w:val="single" w:sz="8" w:space="0" w:color="000000"/>
              <w:right w:val="single" w:sz="8" w:space="0" w:color="000000"/>
            </w:tcBorders>
          </w:tcPr>
          <w:p>
            <w:pPr/>
          </w:p>
        </w:tc>
        <w:tc>
          <w:tcPr>
            <w:tcW w:w="1702" w:type="dxa"/>
            <w:tcBorders>
              <w:top w:val="single" w:sz="8" w:space="0" w:color="000000"/>
              <w:left w:val="single" w:sz="8" w:space="0" w:color="000000"/>
              <w:bottom w:val="single" w:sz="8" w:space="0" w:color="000000"/>
              <w:right w:val="single" w:sz="8" w:space="0" w:color="000000"/>
            </w:tcBorders>
          </w:tcPr>
          <w:p>
            <w:pPr>
              <w:pStyle w:val="TableParagraph"/>
              <w:spacing w:line="480" w:lineRule="auto"/>
              <w:ind w:left="43" w:right="40"/>
              <w:rPr>
                <w:sz w:val="20"/>
              </w:rPr>
            </w:pPr>
            <w:r>
              <w:rPr>
                <w:sz w:val="20"/>
              </w:rPr>
              <w:t>Animales </w:t>
            </w:r>
            <w:r>
              <w:rPr>
                <w:w w:val="95"/>
                <w:sz w:val="20"/>
              </w:rPr>
              <w:t>moribundos</w:t>
            </w:r>
          </w:p>
        </w:tc>
        <w:tc>
          <w:tcPr>
            <w:tcW w:w="1702" w:type="dxa"/>
            <w:tcBorders>
              <w:top w:val="single" w:sz="8" w:space="0" w:color="000000"/>
              <w:left w:val="single" w:sz="8" w:space="0" w:color="000000"/>
              <w:bottom w:val="single" w:sz="8" w:space="0" w:color="000000"/>
              <w:right w:val="single" w:sz="8" w:space="0" w:color="000000"/>
            </w:tcBorders>
          </w:tcPr>
          <w:p>
            <w:pPr>
              <w:pStyle w:val="TableParagraph"/>
              <w:ind w:left="2" w:right="1"/>
              <w:rPr>
                <w:sz w:val="20"/>
              </w:rPr>
            </w:pPr>
            <w:r>
              <w:rPr>
                <w:sz w:val="20"/>
              </w:rPr>
              <w:t>Beaz-Hidalgo</w:t>
            </w:r>
          </w:p>
          <w:p>
            <w:pPr>
              <w:pStyle w:val="TableParagraph"/>
              <w:rPr>
                <w:i/>
                <w:sz w:val="20"/>
              </w:rPr>
            </w:pPr>
          </w:p>
          <w:p>
            <w:pPr>
              <w:pStyle w:val="TableParagraph"/>
              <w:spacing w:before="1"/>
              <w:ind w:left="52" w:right="1"/>
              <w:rPr>
                <w:sz w:val="20"/>
              </w:rPr>
            </w:pPr>
            <w:r>
              <w:rPr>
                <w:i/>
                <w:sz w:val="20"/>
              </w:rPr>
              <w:t>et al</w:t>
            </w:r>
            <w:r>
              <w:rPr>
                <w:sz w:val="20"/>
              </w:rPr>
              <w:t>., 2009.</w:t>
            </w:r>
          </w:p>
        </w:tc>
      </w:tr>
      <w:tr>
        <w:trPr>
          <w:trHeight w:val="495" w:hRule="exact"/>
        </w:trPr>
        <w:tc>
          <w:tcPr>
            <w:tcW w:w="2086" w:type="dxa"/>
            <w:tcBorders>
              <w:top w:val="single" w:sz="8" w:space="0" w:color="000000"/>
              <w:bottom w:val="single" w:sz="8" w:space="0" w:color="000000"/>
              <w:right w:val="single" w:sz="8" w:space="0" w:color="000000"/>
            </w:tcBorders>
          </w:tcPr>
          <w:p>
            <w:pPr>
              <w:pStyle w:val="TableParagraph"/>
              <w:spacing w:before="3"/>
              <w:rPr>
                <w:i/>
                <w:sz w:val="20"/>
              </w:rPr>
            </w:pPr>
            <w:r>
              <w:rPr>
                <w:i/>
                <w:sz w:val="20"/>
              </w:rPr>
              <w:t>A. popoffii</w:t>
            </w:r>
          </w:p>
        </w:tc>
        <w:tc>
          <w:tcPr>
            <w:tcW w:w="1297" w:type="dxa"/>
            <w:tcBorders>
              <w:top w:val="single" w:sz="8" w:space="0" w:color="000000"/>
              <w:left w:val="single" w:sz="8" w:space="0" w:color="000000"/>
              <w:bottom w:val="single" w:sz="8" w:space="0" w:color="000000"/>
              <w:right w:val="single" w:sz="8" w:space="0" w:color="000000"/>
            </w:tcBorders>
          </w:tcPr>
          <w:p>
            <w:pPr>
              <w:pStyle w:val="TableParagraph"/>
              <w:spacing w:before="3"/>
              <w:ind w:left="-1"/>
              <w:rPr>
                <w:sz w:val="20"/>
              </w:rPr>
            </w:pPr>
            <w:r>
              <w:rPr>
                <w:sz w:val="20"/>
              </w:rPr>
              <w:t>CECT4995</w:t>
            </w:r>
          </w:p>
        </w:tc>
        <w:tc>
          <w:tcPr>
            <w:tcW w:w="991" w:type="dxa"/>
            <w:tcBorders>
              <w:top w:val="single" w:sz="8" w:space="0" w:color="000000"/>
              <w:left w:val="single" w:sz="8" w:space="0" w:color="000000"/>
              <w:bottom w:val="single" w:sz="8" w:space="0" w:color="000000"/>
            </w:tcBorders>
          </w:tcPr>
          <w:p>
            <w:pPr>
              <w:pStyle w:val="TableParagraph"/>
              <w:spacing w:before="3"/>
              <w:rPr>
                <w:sz w:val="20"/>
              </w:rPr>
            </w:pPr>
            <w:r>
              <w:rPr>
                <w:w w:val="99"/>
                <w:sz w:val="20"/>
              </w:rPr>
              <w:t>+</w:t>
            </w:r>
          </w:p>
        </w:tc>
        <w:tc>
          <w:tcPr>
            <w:tcW w:w="1364" w:type="dxa"/>
            <w:tcBorders>
              <w:top w:val="single" w:sz="8" w:space="0" w:color="000000"/>
              <w:bottom w:val="single" w:sz="8" w:space="0" w:color="000000"/>
              <w:right w:val="single" w:sz="8" w:space="0" w:color="000000"/>
            </w:tcBorders>
          </w:tcPr>
          <w:p>
            <w:pPr/>
          </w:p>
        </w:tc>
        <w:tc>
          <w:tcPr>
            <w:tcW w:w="1188" w:type="dxa"/>
            <w:tcBorders>
              <w:top w:val="single" w:sz="8" w:space="0" w:color="000000"/>
              <w:left w:val="single" w:sz="8" w:space="0" w:color="000000"/>
              <w:bottom w:val="single" w:sz="8" w:space="0" w:color="000000"/>
              <w:right w:val="single" w:sz="8" w:space="0" w:color="000000"/>
            </w:tcBorders>
          </w:tcPr>
          <w:p>
            <w:pPr>
              <w:pStyle w:val="TableParagraph"/>
              <w:spacing w:before="3"/>
              <w:ind w:left="43"/>
              <w:rPr>
                <w:sz w:val="20"/>
              </w:rPr>
            </w:pPr>
            <w:r>
              <w:rPr>
                <w:sz w:val="20"/>
              </w:rPr>
              <w:t>HG 17</w:t>
            </w:r>
          </w:p>
        </w:tc>
        <w:tc>
          <w:tcPr>
            <w:tcW w:w="1702" w:type="dxa"/>
            <w:tcBorders>
              <w:top w:val="single" w:sz="8" w:space="0" w:color="000000"/>
              <w:left w:val="single" w:sz="8" w:space="0" w:color="000000"/>
              <w:bottom w:val="single" w:sz="8" w:space="0" w:color="000000"/>
              <w:right w:val="single" w:sz="8" w:space="0" w:color="000000"/>
            </w:tcBorders>
          </w:tcPr>
          <w:p>
            <w:pPr/>
          </w:p>
        </w:tc>
        <w:tc>
          <w:tcPr>
            <w:tcW w:w="1702" w:type="dxa"/>
            <w:tcBorders>
              <w:top w:val="single" w:sz="8" w:space="0" w:color="000000"/>
              <w:left w:val="single" w:sz="8" w:space="0" w:color="000000"/>
              <w:bottom w:val="single" w:sz="8" w:space="0" w:color="000000"/>
              <w:right w:val="single" w:sz="8" w:space="0" w:color="000000"/>
            </w:tcBorders>
          </w:tcPr>
          <w:p>
            <w:pPr>
              <w:pStyle w:val="TableParagraph"/>
              <w:spacing w:before="3"/>
              <w:ind w:left="2" w:right="1"/>
              <w:rPr>
                <w:sz w:val="20"/>
              </w:rPr>
            </w:pPr>
            <w:r>
              <w:rPr>
                <w:sz w:val="20"/>
              </w:rPr>
              <w:t>Huys </w:t>
            </w:r>
            <w:r>
              <w:rPr>
                <w:i/>
                <w:sz w:val="20"/>
              </w:rPr>
              <w:t>et al</w:t>
            </w:r>
            <w:r>
              <w:rPr>
                <w:sz w:val="20"/>
              </w:rPr>
              <w:t>., 1997.</w:t>
            </w:r>
          </w:p>
        </w:tc>
      </w:tr>
      <w:tr>
        <w:trPr>
          <w:trHeight w:val="955" w:hRule="exact"/>
        </w:trPr>
        <w:tc>
          <w:tcPr>
            <w:tcW w:w="2086" w:type="dxa"/>
            <w:tcBorders>
              <w:top w:val="single" w:sz="8" w:space="0" w:color="000000"/>
              <w:bottom w:val="single" w:sz="8" w:space="0" w:color="000000"/>
              <w:right w:val="single" w:sz="8" w:space="0" w:color="000000"/>
            </w:tcBorders>
          </w:tcPr>
          <w:p>
            <w:pPr>
              <w:pStyle w:val="TableParagraph"/>
              <w:spacing w:before="3"/>
              <w:rPr>
                <w:i/>
                <w:sz w:val="20"/>
              </w:rPr>
            </w:pPr>
            <w:r>
              <w:rPr>
                <w:i/>
                <w:sz w:val="20"/>
              </w:rPr>
              <w:t>A. rivuli</w:t>
            </w:r>
          </w:p>
        </w:tc>
        <w:tc>
          <w:tcPr>
            <w:tcW w:w="1297" w:type="dxa"/>
            <w:tcBorders>
              <w:top w:val="single" w:sz="8" w:space="0" w:color="000000"/>
              <w:left w:val="single" w:sz="8" w:space="0" w:color="000000"/>
              <w:bottom w:val="single" w:sz="8" w:space="0" w:color="000000"/>
              <w:right w:val="single" w:sz="8" w:space="0" w:color="000000"/>
            </w:tcBorders>
          </w:tcPr>
          <w:p>
            <w:pPr>
              <w:pStyle w:val="TableParagraph"/>
              <w:spacing w:line="233" w:lineRule="exact"/>
              <w:ind w:left="-1"/>
              <w:rPr>
                <w:sz w:val="13"/>
              </w:rPr>
            </w:pPr>
            <w:r>
              <w:rPr>
                <w:sz w:val="20"/>
              </w:rPr>
              <w:t>WB4.1-19</w:t>
            </w:r>
            <w:r>
              <w:rPr>
                <w:position w:val="7"/>
                <w:sz w:val="13"/>
              </w:rPr>
              <w:t>T</w:t>
            </w:r>
          </w:p>
        </w:tc>
        <w:tc>
          <w:tcPr>
            <w:tcW w:w="991" w:type="dxa"/>
            <w:tcBorders>
              <w:top w:val="single" w:sz="8" w:space="0" w:color="000000"/>
              <w:left w:val="single" w:sz="8" w:space="0" w:color="000000"/>
              <w:bottom w:val="single" w:sz="8" w:space="0" w:color="000000"/>
            </w:tcBorders>
          </w:tcPr>
          <w:p>
            <w:pPr/>
          </w:p>
        </w:tc>
        <w:tc>
          <w:tcPr>
            <w:tcW w:w="1364" w:type="dxa"/>
            <w:tcBorders>
              <w:top w:val="single" w:sz="8" w:space="0" w:color="000000"/>
              <w:bottom w:val="single" w:sz="8" w:space="0" w:color="000000"/>
              <w:right w:val="single" w:sz="8" w:space="0" w:color="000000"/>
            </w:tcBorders>
          </w:tcPr>
          <w:p>
            <w:pPr>
              <w:pStyle w:val="TableParagraph"/>
              <w:spacing w:before="3"/>
              <w:ind w:right="5"/>
              <w:rPr>
                <w:sz w:val="20"/>
              </w:rPr>
            </w:pPr>
            <w:r>
              <w:rPr>
                <w:sz w:val="20"/>
              </w:rPr>
              <w:t>Agua de río</w:t>
            </w:r>
          </w:p>
        </w:tc>
        <w:tc>
          <w:tcPr>
            <w:tcW w:w="1188" w:type="dxa"/>
            <w:tcBorders>
              <w:top w:val="single" w:sz="8" w:space="0" w:color="000000"/>
              <w:left w:val="single" w:sz="8" w:space="0" w:color="000000"/>
              <w:bottom w:val="single" w:sz="8" w:space="0" w:color="000000"/>
              <w:right w:val="single" w:sz="8" w:space="0" w:color="000000"/>
            </w:tcBorders>
          </w:tcPr>
          <w:p>
            <w:pPr/>
          </w:p>
        </w:tc>
        <w:tc>
          <w:tcPr>
            <w:tcW w:w="1702" w:type="dxa"/>
            <w:tcBorders>
              <w:top w:val="single" w:sz="8" w:space="0" w:color="000000"/>
              <w:left w:val="single" w:sz="8" w:space="0" w:color="000000"/>
              <w:bottom w:val="single" w:sz="8" w:space="0" w:color="000000"/>
              <w:right w:val="single" w:sz="8" w:space="0" w:color="000000"/>
            </w:tcBorders>
          </w:tcPr>
          <w:p>
            <w:pPr>
              <w:pStyle w:val="TableParagraph"/>
              <w:spacing w:before="3"/>
              <w:ind w:left="43" w:right="40"/>
              <w:rPr>
                <w:sz w:val="20"/>
              </w:rPr>
            </w:pPr>
            <w:r>
              <w:rPr>
                <w:sz w:val="20"/>
              </w:rPr>
              <w:t>Sin hemólisis</w:t>
            </w:r>
          </w:p>
        </w:tc>
        <w:tc>
          <w:tcPr>
            <w:tcW w:w="1702" w:type="dxa"/>
            <w:tcBorders>
              <w:top w:val="single" w:sz="8" w:space="0" w:color="000000"/>
              <w:left w:val="single" w:sz="8" w:space="0" w:color="000000"/>
              <w:bottom w:val="single" w:sz="8" w:space="0" w:color="000000"/>
              <w:right w:val="single" w:sz="8" w:space="0" w:color="000000"/>
            </w:tcBorders>
          </w:tcPr>
          <w:p>
            <w:pPr>
              <w:pStyle w:val="TableParagraph"/>
              <w:tabs>
                <w:tab w:pos="986" w:val="left" w:leader="none"/>
                <w:tab w:pos="1427" w:val="left" w:leader="none"/>
              </w:tabs>
              <w:spacing w:line="480" w:lineRule="auto" w:before="3"/>
              <w:ind w:left="2" w:right="-2"/>
              <w:rPr>
                <w:sz w:val="20"/>
              </w:rPr>
            </w:pPr>
            <w:r>
              <w:rPr>
                <w:sz w:val="20"/>
              </w:rPr>
              <w:t>Figueras</w:t>
              <w:tab/>
            </w:r>
            <w:r>
              <w:rPr>
                <w:i/>
                <w:sz w:val="20"/>
              </w:rPr>
              <w:t>et</w:t>
              <w:tab/>
              <w:t>al</w:t>
            </w:r>
            <w:r>
              <w:rPr>
                <w:sz w:val="20"/>
              </w:rPr>
              <w:t>.,</w:t>
            </w:r>
            <w:r>
              <w:rPr>
                <w:w w:val="99"/>
                <w:sz w:val="20"/>
              </w:rPr>
              <w:t> </w:t>
            </w:r>
            <w:r>
              <w:rPr>
                <w:sz w:val="20"/>
              </w:rPr>
              <w:t>2011.</w:t>
            </w:r>
          </w:p>
        </w:tc>
      </w:tr>
      <w:tr>
        <w:trPr>
          <w:trHeight w:val="955" w:hRule="exact"/>
        </w:trPr>
        <w:tc>
          <w:tcPr>
            <w:tcW w:w="2086" w:type="dxa"/>
            <w:tcBorders>
              <w:top w:val="single" w:sz="8" w:space="0" w:color="000000"/>
              <w:left w:val="single" w:sz="8" w:space="0" w:color="000000"/>
              <w:bottom w:val="single" w:sz="8" w:space="0" w:color="000000"/>
              <w:right w:val="single" w:sz="8" w:space="0" w:color="000000"/>
            </w:tcBorders>
          </w:tcPr>
          <w:p>
            <w:pPr>
              <w:pStyle w:val="TableParagraph"/>
              <w:spacing w:before="3"/>
              <w:ind w:left="2"/>
              <w:rPr>
                <w:i/>
                <w:sz w:val="20"/>
              </w:rPr>
            </w:pPr>
            <w:r>
              <w:rPr>
                <w:i/>
                <w:sz w:val="20"/>
              </w:rPr>
              <w:t>A. sanarellii</w:t>
            </w:r>
          </w:p>
        </w:tc>
        <w:tc>
          <w:tcPr>
            <w:tcW w:w="1297" w:type="dxa"/>
            <w:tcBorders>
              <w:top w:val="single" w:sz="8" w:space="0" w:color="000000"/>
              <w:left w:val="single" w:sz="8" w:space="0" w:color="000000"/>
              <w:bottom w:val="single" w:sz="8" w:space="0" w:color="000000"/>
              <w:right w:val="single" w:sz="8" w:space="0" w:color="000000"/>
            </w:tcBorders>
          </w:tcPr>
          <w:p>
            <w:pPr>
              <w:pStyle w:val="TableParagraph"/>
              <w:spacing w:line="233" w:lineRule="exact"/>
              <w:ind w:left="-1"/>
              <w:rPr>
                <w:sz w:val="13"/>
              </w:rPr>
            </w:pPr>
            <w:r>
              <w:rPr>
                <w:sz w:val="20"/>
              </w:rPr>
              <w:t>A2-67</w:t>
            </w:r>
            <w:r>
              <w:rPr>
                <w:position w:val="7"/>
                <w:sz w:val="13"/>
              </w:rPr>
              <w:t>T</w:t>
            </w:r>
          </w:p>
        </w:tc>
        <w:tc>
          <w:tcPr>
            <w:tcW w:w="991" w:type="dxa"/>
            <w:tcBorders>
              <w:top w:val="single" w:sz="8" w:space="0" w:color="000000"/>
              <w:left w:val="single" w:sz="8" w:space="0" w:color="000000"/>
              <w:bottom w:val="single" w:sz="8" w:space="0" w:color="000000"/>
              <w:right w:val="single" w:sz="8" w:space="0" w:color="000000"/>
            </w:tcBorders>
          </w:tcPr>
          <w:p>
            <w:pPr>
              <w:pStyle w:val="TableParagraph"/>
              <w:spacing w:before="3"/>
              <w:rPr>
                <w:sz w:val="20"/>
              </w:rPr>
            </w:pPr>
            <w:r>
              <w:rPr>
                <w:w w:val="99"/>
                <w:sz w:val="20"/>
              </w:rPr>
              <w:t>+</w:t>
            </w:r>
          </w:p>
        </w:tc>
        <w:tc>
          <w:tcPr>
            <w:tcW w:w="1364" w:type="dxa"/>
            <w:tcBorders>
              <w:top w:val="single" w:sz="8" w:space="0" w:color="000000"/>
              <w:left w:val="single" w:sz="8" w:space="0" w:color="000000"/>
              <w:bottom w:val="single" w:sz="8" w:space="0" w:color="000000"/>
              <w:right w:val="single" w:sz="8" w:space="0" w:color="000000"/>
            </w:tcBorders>
          </w:tcPr>
          <w:p>
            <w:pPr/>
          </w:p>
        </w:tc>
        <w:tc>
          <w:tcPr>
            <w:tcW w:w="1188" w:type="dxa"/>
            <w:tcBorders>
              <w:top w:val="single" w:sz="8" w:space="0" w:color="000000"/>
              <w:left w:val="single" w:sz="8" w:space="0" w:color="000000"/>
              <w:bottom w:val="single" w:sz="8" w:space="0" w:color="000000"/>
              <w:right w:val="single" w:sz="8" w:space="0" w:color="000000"/>
            </w:tcBorders>
          </w:tcPr>
          <w:p>
            <w:pPr/>
          </w:p>
        </w:tc>
        <w:tc>
          <w:tcPr>
            <w:tcW w:w="1702" w:type="dxa"/>
            <w:tcBorders>
              <w:top w:val="single" w:sz="8" w:space="0" w:color="000000"/>
              <w:left w:val="single" w:sz="8" w:space="0" w:color="000000"/>
              <w:bottom w:val="single" w:sz="8" w:space="0" w:color="000000"/>
              <w:right w:val="single" w:sz="8" w:space="0" w:color="000000"/>
            </w:tcBorders>
          </w:tcPr>
          <w:p>
            <w:pPr>
              <w:pStyle w:val="TableParagraph"/>
              <w:tabs>
                <w:tab w:pos="1451" w:val="left" w:leader="none"/>
              </w:tabs>
              <w:spacing w:line="477" w:lineRule="auto" w:before="3"/>
              <w:ind w:left="43" w:right="40"/>
              <w:rPr>
                <w:sz w:val="20"/>
              </w:rPr>
            </w:pPr>
            <w:r>
              <w:rPr>
                <w:sz w:val="20"/>
              </w:rPr>
              <w:t>Aislado</w:t>
              <w:tab/>
              <w:t>de infección</w:t>
            </w:r>
            <w:r>
              <w:rPr>
                <w:spacing w:val="-9"/>
                <w:sz w:val="20"/>
              </w:rPr>
              <w:t> </w:t>
            </w:r>
            <w:r>
              <w:rPr>
                <w:sz w:val="20"/>
              </w:rPr>
              <w:t>cutánea</w:t>
            </w:r>
          </w:p>
        </w:tc>
        <w:tc>
          <w:tcPr>
            <w:tcW w:w="1702" w:type="dxa"/>
            <w:tcBorders>
              <w:top w:val="single" w:sz="8" w:space="0" w:color="000000"/>
              <w:left w:val="single" w:sz="8" w:space="0" w:color="000000"/>
              <w:bottom w:val="single" w:sz="8" w:space="0" w:color="000000"/>
              <w:right w:val="single" w:sz="8" w:space="0" w:color="000000"/>
            </w:tcBorders>
          </w:tcPr>
          <w:p>
            <w:pPr>
              <w:pStyle w:val="TableParagraph"/>
              <w:spacing w:before="3"/>
              <w:ind w:left="2" w:right="1"/>
              <w:rPr>
                <w:sz w:val="20"/>
              </w:rPr>
            </w:pPr>
            <w:r>
              <w:rPr>
                <w:sz w:val="20"/>
              </w:rPr>
              <w:t>Alperi </w:t>
            </w:r>
            <w:r>
              <w:rPr>
                <w:i/>
                <w:sz w:val="20"/>
              </w:rPr>
              <w:t>et al</w:t>
            </w:r>
            <w:r>
              <w:rPr>
                <w:sz w:val="20"/>
              </w:rPr>
              <w:t>., 2010a.</w:t>
            </w:r>
          </w:p>
        </w:tc>
      </w:tr>
    </w:tbl>
    <w:p>
      <w:pPr>
        <w:spacing w:after="0"/>
        <w:rPr>
          <w:sz w:val="20"/>
        </w:rPr>
        <w:sectPr>
          <w:footerReference w:type="default" r:id="rId23"/>
          <w:pgSz w:w="12240" w:h="15840"/>
          <w:pgMar w:footer="695" w:header="0" w:top="1140" w:bottom="880" w:left="840" w:right="820"/>
        </w:sectPr>
      </w:pPr>
    </w:p>
    <w:tbl>
      <w:tblPr>
        <w:tblW w:w="0" w:type="auto"/>
        <w:jc w:val="left"/>
        <w:tblInd w:w="1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086"/>
        <w:gridCol w:w="1297"/>
        <w:gridCol w:w="991"/>
        <w:gridCol w:w="1364"/>
        <w:gridCol w:w="1188"/>
        <w:gridCol w:w="1702"/>
        <w:gridCol w:w="1702"/>
      </w:tblGrid>
      <w:tr>
        <w:trPr>
          <w:trHeight w:val="956" w:hRule="exact"/>
        </w:trPr>
        <w:tc>
          <w:tcPr>
            <w:tcW w:w="2086" w:type="dxa"/>
          </w:tcPr>
          <w:p>
            <w:pPr>
              <w:pStyle w:val="TableParagraph"/>
              <w:spacing w:before="3"/>
              <w:ind w:left="2"/>
              <w:rPr>
                <w:i/>
                <w:sz w:val="20"/>
              </w:rPr>
            </w:pPr>
            <w:r>
              <w:rPr>
                <w:i/>
                <w:sz w:val="20"/>
              </w:rPr>
              <w:t>A. schubertii</w:t>
            </w:r>
          </w:p>
        </w:tc>
        <w:tc>
          <w:tcPr>
            <w:tcW w:w="1297" w:type="dxa"/>
          </w:tcPr>
          <w:p>
            <w:pPr>
              <w:pStyle w:val="TableParagraph"/>
              <w:spacing w:before="3"/>
              <w:ind w:left="-1"/>
              <w:rPr>
                <w:sz w:val="20"/>
              </w:rPr>
            </w:pPr>
            <w:r>
              <w:rPr>
                <w:sz w:val="20"/>
              </w:rPr>
              <w:t>CECT4241</w:t>
            </w:r>
          </w:p>
        </w:tc>
        <w:tc>
          <w:tcPr>
            <w:tcW w:w="991" w:type="dxa"/>
          </w:tcPr>
          <w:p>
            <w:pPr>
              <w:pStyle w:val="TableParagraph"/>
              <w:spacing w:before="3"/>
              <w:rPr>
                <w:sz w:val="20"/>
              </w:rPr>
            </w:pPr>
            <w:r>
              <w:rPr>
                <w:w w:val="99"/>
                <w:sz w:val="20"/>
              </w:rPr>
              <w:t>+</w:t>
            </w:r>
          </w:p>
        </w:tc>
        <w:tc>
          <w:tcPr>
            <w:tcW w:w="1364" w:type="dxa"/>
          </w:tcPr>
          <w:p>
            <w:pPr/>
          </w:p>
        </w:tc>
        <w:tc>
          <w:tcPr>
            <w:tcW w:w="1188" w:type="dxa"/>
          </w:tcPr>
          <w:p>
            <w:pPr>
              <w:pStyle w:val="TableParagraph"/>
              <w:spacing w:before="3"/>
              <w:ind w:left="43"/>
              <w:rPr>
                <w:sz w:val="20"/>
              </w:rPr>
            </w:pPr>
            <w:r>
              <w:rPr>
                <w:sz w:val="20"/>
              </w:rPr>
              <w:t>HG 12</w:t>
            </w:r>
          </w:p>
        </w:tc>
        <w:tc>
          <w:tcPr>
            <w:tcW w:w="1702" w:type="dxa"/>
          </w:tcPr>
          <w:p>
            <w:pPr/>
          </w:p>
        </w:tc>
        <w:tc>
          <w:tcPr>
            <w:tcW w:w="1702" w:type="dxa"/>
          </w:tcPr>
          <w:p>
            <w:pPr>
              <w:pStyle w:val="TableParagraph"/>
              <w:spacing w:before="3"/>
              <w:ind w:left="2" w:right="1"/>
              <w:rPr>
                <w:sz w:val="20"/>
              </w:rPr>
            </w:pPr>
            <w:r>
              <w:rPr>
                <w:sz w:val="20"/>
              </w:rPr>
              <w:t>Hickman-Brenner</w:t>
            </w:r>
          </w:p>
          <w:p>
            <w:pPr>
              <w:pStyle w:val="TableParagraph"/>
              <w:spacing w:before="1"/>
              <w:rPr>
                <w:i/>
                <w:sz w:val="20"/>
              </w:rPr>
            </w:pPr>
          </w:p>
          <w:p>
            <w:pPr>
              <w:pStyle w:val="TableParagraph"/>
              <w:ind w:left="52" w:right="1"/>
              <w:rPr>
                <w:sz w:val="20"/>
              </w:rPr>
            </w:pPr>
            <w:r>
              <w:rPr>
                <w:i/>
                <w:sz w:val="20"/>
              </w:rPr>
              <w:t>et al</w:t>
            </w:r>
            <w:r>
              <w:rPr>
                <w:sz w:val="20"/>
              </w:rPr>
              <w:t>., 1988.</w:t>
            </w:r>
          </w:p>
        </w:tc>
      </w:tr>
      <w:tr>
        <w:trPr>
          <w:trHeight w:val="955" w:hRule="exact"/>
        </w:trPr>
        <w:tc>
          <w:tcPr>
            <w:tcW w:w="2086" w:type="dxa"/>
          </w:tcPr>
          <w:p>
            <w:pPr>
              <w:pStyle w:val="TableParagraph"/>
              <w:spacing w:before="3"/>
              <w:ind w:left="2"/>
              <w:rPr>
                <w:i/>
                <w:sz w:val="20"/>
              </w:rPr>
            </w:pPr>
            <w:r>
              <w:rPr>
                <w:i/>
                <w:sz w:val="20"/>
              </w:rPr>
              <w:t>A. simiae</w:t>
            </w:r>
          </w:p>
        </w:tc>
        <w:tc>
          <w:tcPr>
            <w:tcW w:w="1297" w:type="dxa"/>
          </w:tcPr>
          <w:p>
            <w:pPr>
              <w:pStyle w:val="TableParagraph"/>
              <w:spacing w:line="233" w:lineRule="exact"/>
              <w:ind w:left="-1"/>
              <w:rPr>
                <w:sz w:val="13"/>
              </w:rPr>
            </w:pPr>
            <w:r>
              <w:rPr>
                <w:sz w:val="20"/>
              </w:rPr>
              <w:t>IBS S6874</w:t>
            </w:r>
            <w:r>
              <w:rPr>
                <w:position w:val="7"/>
                <w:sz w:val="13"/>
              </w:rPr>
              <w:t>T</w:t>
            </w:r>
          </w:p>
        </w:tc>
        <w:tc>
          <w:tcPr>
            <w:tcW w:w="991" w:type="dxa"/>
          </w:tcPr>
          <w:p>
            <w:pPr/>
          </w:p>
        </w:tc>
        <w:tc>
          <w:tcPr>
            <w:tcW w:w="1364" w:type="dxa"/>
          </w:tcPr>
          <w:p>
            <w:pPr>
              <w:pStyle w:val="TableParagraph"/>
              <w:spacing w:line="480" w:lineRule="auto" w:before="3"/>
              <w:ind w:left="2" w:right="-1"/>
              <w:rPr>
                <w:sz w:val="20"/>
              </w:rPr>
            </w:pPr>
            <w:r>
              <w:rPr>
                <w:sz w:val="20"/>
              </w:rPr>
              <w:t>Monos (</w:t>
            </w:r>
            <w:r>
              <w:rPr>
                <w:i/>
                <w:sz w:val="20"/>
              </w:rPr>
              <w:t>Macaca </w:t>
            </w:r>
            <w:r>
              <w:rPr>
                <w:i/>
                <w:sz w:val="20"/>
              </w:rPr>
              <w:t>fascicularis</w:t>
            </w:r>
            <w:r>
              <w:rPr>
                <w:sz w:val="20"/>
              </w:rPr>
              <w:t>)</w:t>
            </w:r>
          </w:p>
        </w:tc>
        <w:tc>
          <w:tcPr>
            <w:tcW w:w="1188" w:type="dxa"/>
          </w:tcPr>
          <w:p>
            <w:pPr/>
          </w:p>
        </w:tc>
        <w:tc>
          <w:tcPr>
            <w:tcW w:w="1702" w:type="dxa"/>
          </w:tcPr>
          <w:p>
            <w:pPr>
              <w:pStyle w:val="TableParagraph"/>
              <w:tabs>
                <w:tab w:pos="1143" w:val="left" w:leader="none"/>
              </w:tabs>
              <w:spacing w:line="480" w:lineRule="auto" w:before="3"/>
              <w:ind w:left="43" w:right="43"/>
              <w:rPr>
                <w:sz w:val="20"/>
              </w:rPr>
            </w:pPr>
            <w:r>
              <w:rPr>
                <w:sz w:val="20"/>
              </w:rPr>
              <w:t>Mamíferos</w:t>
              <w:tab/>
              <w:t>sanos, aislado de</w:t>
            </w:r>
            <w:r>
              <w:rPr>
                <w:spacing w:val="-5"/>
                <w:sz w:val="20"/>
              </w:rPr>
              <w:t> </w:t>
            </w:r>
            <w:r>
              <w:rPr>
                <w:sz w:val="20"/>
              </w:rPr>
              <w:t>heces</w:t>
            </w:r>
          </w:p>
        </w:tc>
        <w:tc>
          <w:tcPr>
            <w:tcW w:w="1702" w:type="dxa"/>
          </w:tcPr>
          <w:p>
            <w:pPr>
              <w:pStyle w:val="TableParagraph"/>
              <w:spacing w:before="3"/>
              <w:ind w:left="2" w:right="1"/>
              <w:rPr>
                <w:sz w:val="20"/>
              </w:rPr>
            </w:pPr>
            <w:r>
              <w:rPr>
                <w:sz w:val="20"/>
              </w:rPr>
              <w:t>Harf-Monteil</w:t>
            </w:r>
          </w:p>
          <w:p>
            <w:pPr>
              <w:pStyle w:val="TableParagraph"/>
              <w:rPr>
                <w:i/>
                <w:sz w:val="20"/>
              </w:rPr>
            </w:pPr>
          </w:p>
          <w:p>
            <w:pPr>
              <w:pStyle w:val="TableParagraph"/>
              <w:spacing w:before="1"/>
              <w:ind w:left="2" w:right="1"/>
              <w:rPr>
                <w:sz w:val="20"/>
              </w:rPr>
            </w:pPr>
            <w:r>
              <w:rPr>
                <w:i/>
                <w:sz w:val="20"/>
              </w:rPr>
              <w:t>et al</w:t>
            </w:r>
            <w:r>
              <w:rPr>
                <w:sz w:val="20"/>
              </w:rPr>
              <w:t>., 2004.</w:t>
            </w:r>
          </w:p>
        </w:tc>
      </w:tr>
      <w:tr>
        <w:trPr>
          <w:trHeight w:val="955" w:hRule="exact"/>
        </w:trPr>
        <w:tc>
          <w:tcPr>
            <w:tcW w:w="2086" w:type="dxa"/>
          </w:tcPr>
          <w:p>
            <w:pPr>
              <w:pStyle w:val="TableParagraph"/>
              <w:spacing w:before="3"/>
              <w:ind w:left="2"/>
              <w:rPr>
                <w:i/>
                <w:sz w:val="20"/>
              </w:rPr>
            </w:pPr>
            <w:r>
              <w:rPr>
                <w:i/>
                <w:sz w:val="20"/>
              </w:rPr>
              <w:t>A. sobria</w:t>
            </w:r>
          </w:p>
        </w:tc>
        <w:tc>
          <w:tcPr>
            <w:tcW w:w="1297" w:type="dxa"/>
          </w:tcPr>
          <w:p>
            <w:pPr>
              <w:pStyle w:val="TableParagraph"/>
              <w:spacing w:before="3"/>
              <w:ind w:left="-1"/>
              <w:rPr>
                <w:sz w:val="20"/>
              </w:rPr>
            </w:pPr>
            <w:r>
              <w:rPr>
                <w:sz w:val="20"/>
              </w:rPr>
              <w:t>CECT837</w:t>
            </w:r>
          </w:p>
        </w:tc>
        <w:tc>
          <w:tcPr>
            <w:tcW w:w="991" w:type="dxa"/>
          </w:tcPr>
          <w:p>
            <w:pPr>
              <w:pStyle w:val="TableParagraph"/>
              <w:spacing w:before="3"/>
              <w:rPr>
                <w:sz w:val="20"/>
              </w:rPr>
            </w:pPr>
            <w:r>
              <w:rPr>
                <w:w w:val="99"/>
                <w:sz w:val="20"/>
              </w:rPr>
              <w:t>+</w:t>
            </w:r>
          </w:p>
        </w:tc>
        <w:tc>
          <w:tcPr>
            <w:tcW w:w="1364" w:type="dxa"/>
          </w:tcPr>
          <w:p>
            <w:pPr>
              <w:pStyle w:val="TableParagraph"/>
              <w:spacing w:before="3"/>
              <w:ind w:left="2" w:right="-1"/>
              <w:rPr>
                <w:sz w:val="20"/>
              </w:rPr>
            </w:pPr>
            <w:r>
              <w:rPr>
                <w:sz w:val="20"/>
              </w:rPr>
              <w:t>Peces</w:t>
            </w:r>
          </w:p>
          <w:p>
            <w:pPr>
              <w:pStyle w:val="TableParagraph"/>
              <w:rPr>
                <w:i/>
                <w:sz w:val="20"/>
              </w:rPr>
            </w:pPr>
          </w:p>
          <w:p>
            <w:pPr>
              <w:pStyle w:val="TableParagraph"/>
              <w:spacing w:before="1"/>
              <w:ind w:left="2" w:right="-1"/>
              <w:rPr>
                <w:sz w:val="20"/>
              </w:rPr>
            </w:pPr>
            <w:r>
              <w:rPr>
                <w:sz w:val="20"/>
              </w:rPr>
              <w:t>Agua potable</w:t>
            </w:r>
          </w:p>
        </w:tc>
        <w:tc>
          <w:tcPr>
            <w:tcW w:w="1188" w:type="dxa"/>
          </w:tcPr>
          <w:p>
            <w:pPr>
              <w:pStyle w:val="TableParagraph"/>
              <w:spacing w:before="3"/>
              <w:ind w:left="43"/>
              <w:rPr>
                <w:sz w:val="20"/>
              </w:rPr>
            </w:pPr>
            <w:r>
              <w:rPr>
                <w:sz w:val="20"/>
              </w:rPr>
              <w:t>HG 7</w:t>
            </w:r>
          </w:p>
        </w:tc>
        <w:tc>
          <w:tcPr>
            <w:tcW w:w="1702" w:type="dxa"/>
          </w:tcPr>
          <w:p>
            <w:pPr/>
          </w:p>
        </w:tc>
        <w:tc>
          <w:tcPr>
            <w:tcW w:w="1702" w:type="dxa"/>
          </w:tcPr>
          <w:p>
            <w:pPr>
              <w:pStyle w:val="TableParagraph"/>
              <w:tabs>
                <w:tab w:pos="719" w:val="left" w:leader="none"/>
                <w:tab w:pos="1076" w:val="left" w:leader="none"/>
              </w:tabs>
              <w:spacing w:line="480" w:lineRule="auto" w:before="3"/>
              <w:ind w:left="2" w:right="1"/>
              <w:rPr>
                <w:sz w:val="20"/>
              </w:rPr>
            </w:pPr>
            <w:r>
              <w:rPr>
                <w:sz w:val="20"/>
              </w:rPr>
              <w:t>Janda</w:t>
              <w:tab/>
              <w:t>y</w:t>
              <w:tab/>
            </w:r>
            <w:r>
              <w:rPr>
                <w:w w:val="95"/>
                <w:sz w:val="20"/>
              </w:rPr>
              <w:t>Abbott, </w:t>
            </w:r>
            <w:r>
              <w:rPr>
                <w:sz w:val="20"/>
              </w:rPr>
              <w:t>2010.</w:t>
            </w:r>
          </w:p>
        </w:tc>
      </w:tr>
      <w:tr>
        <w:trPr>
          <w:trHeight w:val="956" w:hRule="exact"/>
        </w:trPr>
        <w:tc>
          <w:tcPr>
            <w:tcW w:w="2086" w:type="dxa"/>
          </w:tcPr>
          <w:p>
            <w:pPr>
              <w:pStyle w:val="TableParagraph"/>
              <w:spacing w:before="3"/>
              <w:ind w:left="2"/>
              <w:rPr>
                <w:i/>
                <w:sz w:val="20"/>
              </w:rPr>
            </w:pPr>
            <w:r>
              <w:rPr>
                <w:i/>
                <w:sz w:val="20"/>
              </w:rPr>
              <w:t>A. taiwanensis</w:t>
            </w:r>
          </w:p>
        </w:tc>
        <w:tc>
          <w:tcPr>
            <w:tcW w:w="1297" w:type="dxa"/>
          </w:tcPr>
          <w:p>
            <w:pPr>
              <w:pStyle w:val="TableParagraph"/>
              <w:spacing w:line="233" w:lineRule="exact"/>
              <w:ind w:left="-1"/>
              <w:rPr>
                <w:sz w:val="13"/>
              </w:rPr>
            </w:pPr>
            <w:r>
              <w:rPr>
                <w:sz w:val="20"/>
              </w:rPr>
              <w:t>A2-50</w:t>
            </w:r>
            <w:r>
              <w:rPr>
                <w:position w:val="7"/>
                <w:sz w:val="13"/>
              </w:rPr>
              <w:t>T</w:t>
            </w:r>
          </w:p>
        </w:tc>
        <w:tc>
          <w:tcPr>
            <w:tcW w:w="991" w:type="dxa"/>
          </w:tcPr>
          <w:p>
            <w:pPr>
              <w:pStyle w:val="TableParagraph"/>
              <w:spacing w:before="3"/>
              <w:rPr>
                <w:sz w:val="20"/>
              </w:rPr>
            </w:pPr>
            <w:r>
              <w:rPr>
                <w:w w:val="99"/>
                <w:sz w:val="20"/>
              </w:rPr>
              <w:t>+</w:t>
            </w:r>
          </w:p>
        </w:tc>
        <w:tc>
          <w:tcPr>
            <w:tcW w:w="1364" w:type="dxa"/>
          </w:tcPr>
          <w:p>
            <w:pPr/>
          </w:p>
        </w:tc>
        <w:tc>
          <w:tcPr>
            <w:tcW w:w="1188" w:type="dxa"/>
          </w:tcPr>
          <w:p>
            <w:pPr/>
          </w:p>
        </w:tc>
        <w:tc>
          <w:tcPr>
            <w:tcW w:w="1702" w:type="dxa"/>
          </w:tcPr>
          <w:p>
            <w:pPr>
              <w:pStyle w:val="TableParagraph"/>
              <w:spacing w:line="477" w:lineRule="auto" w:before="3"/>
              <w:ind w:left="43" w:right="40"/>
              <w:rPr>
                <w:sz w:val="20"/>
              </w:rPr>
            </w:pPr>
            <w:r>
              <w:rPr>
                <w:sz w:val="20"/>
              </w:rPr>
              <w:t>Infección cutánea y bacteremia</w:t>
            </w:r>
          </w:p>
        </w:tc>
        <w:tc>
          <w:tcPr>
            <w:tcW w:w="1702" w:type="dxa"/>
          </w:tcPr>
          <w:p>
            <w:pPr>
              <w:pStyle w:val="TableParagraph"/>
              <w:spacing w:before="3"/>
              <w:ind w:left="2" w:right="1"/>
              <w:rPr>
                <w:sz w:val="20"/>
              </w:rPr>
            </w:pPr>
            <w:r>
              <w:rPr>
                <w:sz w:val="20"/>
              </w:rPr>
              <w:t>Alperi </w:t>
            </w:r>
            <w:r>
              <w:rPr>
                <w:i/>
                <w:sz w:val="20"/>
              </w:rPr>
              <w:t>et al</w:t>
            </w:r>
            <w:r>
              <w:rPr>
                <w:sz w:val="20"/>
              </w:rPr>
              <w:t>., 2010a.</w:t>
            </w:r>
          </w:p>
        </w:tc>
      </w:tr>
      <w:tr>
        <w:trPr>
          <w:trHeight w:val="955" w:hRule="exact"/>
        </w:trPr>
        <w:tc>
          <w:tcPr>
            <w:tcW w:w="2086" w:type="dxa"/>
          </w:tcPr>
          <w:p>
            <w:pPr>
              <w:pStyle w:val="TableParagraph"/>
              <w:spacing w:before="3"/>
              <w:ind w:left="2"/>
              <w:rPr>
                <w:i/>
                <w:sz w:val="20"/>
              </w:rPr>
            </w:pPr>
            <w:r>
              <w:rPr>
                <w:i/>
                <w:sz w:val="20"/>
              </w:rPr>
              <w:t>A. tecta</w:t>
            </w:r>
          </w:p>
        </w:tc>
        <w:tc>
          <w:tcPr>
            <w:tcW w:w="1297" w:type="dxa"/>
          </w:tcPr>
          <w:p>
            <w:pPr>
              <w:pStyle w:val="TableParagraph"/>
              <w:spacing w:line="233" w:lineRule="exact"/>
              <w:ind w:left="-1"/>
              <w:rPr>
                <w:sz w:val="13"/>
              </w:rPr>
            </w:pPr>
            <w:r>
              <w:rPr>
                <w:sz w:val="20"/>
              </w:rPr>
              <w:t>F518</w:t>
            </w:r>
            <w:r>
              <w:rPr>
                <w:position w:val="7"/>
                <w:sz w:val="13"/>
              </w:rPr>
              <w:t>T</w:t>
            </w:r>
          </w:p>
        </w:tc>
        <w:tc>
          <w:tcPr>
            <w:tcW w:w="991" w:type="dxa"/>
          </w:tcPr>
          <w:p>
            <w:pPr>
              <w:pStyle w:val="TableParagraph"/>
              <w:spacing w:before="3"/>
              <w:rPr>
                <w:sz w:val="20"/>
              </w:rPr>
            </w:pPr>
            <w:r>
              <w:rPr>
                <w:w w:val="99"/>
                <w:sz w:val="20"/>
              </w:rPr>
              <w:t>+</w:t>
            </w:r>
          </w:p>
        </w:tc>
        <w:tc>
          <w:tcPr>
            <w:tcW w:w="1364" w:type="dxa"/>
          </w:tcPr>
          <w:p>
            <w:pPr>
              <w:pStyle w:val="TableParagraph"/>
              <w:spacing w:before="3"/>
              <w:ind w:left="2" w:right="-1"/>
              <w:rPr>
                <w:sz w:val="20"/>
              </w:rPr>
            </w:pPr>
            <w:r>
              <w:rPr>
                <w:sz w:val="20"/>
              </w:rPr>
              <w:t>Medio ambiente</w:t>
            </w:r>
          </w:p>
        </w:tc>
        <w:tc>
          <w:tcPr>
            <w:tcW w:w="1188" w:type="dxa"/>
          </w:tcPr>
          <w:p>
            <w:pPr/>
          </w:p>
        </w:tc>
        <w:tc>
          <w:tcPr>
            <w:tcW w:w="1702" w:type="dxa"/>
          </w:tcPr>
          <w:p>
            <w:pPr>
              <w:pStyle w:val="TableParagraph"/>
              <w:spacing w:before="3"/>
              <w:ind w:left="43" w:right="40"/>
              <w:rPr>
                <w:sz w:val="20"/>
              </w:rPr>
            </w:pPr>
            <w:r>
              <w:rPr>
                <w:sz w:val="20"/>
              </w:rPr>
              <w:t>Diarrea</w:t>
            </w:r>
          </w:p>
        </w:tc>
        <w:tc>
          <w:tcPr>
            <w:tcW w:w="1702" w:type="dxa"/>
          </w:tcPr>
          <w:p>
            <w:pPr>
              <w:pStyle w:val="TableParagraph"/>
              <w:tabs>
                <w:tab w:pos="986" w:val="left" w:leader="none"/>
                <w:tab w:pos="1427" w:val="left" w:leader="none"/>
              </w:tabs>
              <w:spacing w:line="477" w:lineRule="auto" w:before="3"/>
              <w:ind w:left="2" w:right="-2"/>
              <w:rPr>
                <w:sz w:val="20"/>
              </w:rPr>
            </w:pPr>
            <w:r>
              <w:rPr>
                <w:sz w:val="20"/>
              </w:rPr>
              <w:t>Demarta</w:t>
              <w:tab/>
            </w:r>
            <w:r>
              <w:rPr>
                <w:i/>
                <w:sz w:val="20"/>
              </w:rPr>
              <w:t>et</w:t>
              <w:tab/>
              <w:t>al</w:t>
            </w:r>
            <w:r>
              <w:rPr>
                <w:sz w:val="20"/>
              </w:rPr>
              <w:t>.,</w:t>
            </w:r>
            <w:r>
              <w:rPr>
                <w:w w:val="99"/>
                <w:sz w:val="20"/>
              </w:rPr>
              <w:t> </w:t>
            </w:r>
            <w:r>
              <w:rPr>
                <w:sz w:val="20"/>
              </w:rPr>
              <w:t>2008.</w:t>
            </w:r>
          </w:p>
        </w:tc>
      </w:tr>
      <w:tr>
        <w:trPr>
          <w:trHeight w:val="955" w:hRule="exact"/>
        </w:trPr>
        <w:tc>
          <w:tcPr>
            <w:tcW w:w="2086" w:type="dxa"/>
          </w:tcPr>
          <w:p>
            <w:pPr>
              <w:pStyle w:val="TableParagraph"/>
              <w:spacing w:before="3"/>
              <w:ind w:left="2"/>
              <w:rPr>
                <w:i/>
                <w:sz w:val="20"/>
              </w:rPr>
            </w:pPr>
            <w:r>
              <w:rPr>
                <w:i/>
                <w:sz w:val="20"/>
              </w:rPr>
              <w:t>A. trota</w:t>
            </w:r>
          </w:p>
        </w:tc>
        <w:tc>
          <w:tcPr>
            <w:tcW w:w="1297" w:type="dxa"/>
          </w:tcPr>
          <w:p>
            <w:pPr>
              <w:pStyle w:val="TableParagraph"/>
              <w:spacing w:before="3"/>
              <w:ind w:left="-1"/>
              <w:rPr>
                <w:sz w:val="20"/>
              </w:rPr>
            </w:pPr>
            <w:r>
              <w:rPr>
                <w:sz w:val="20"/>
              </w:rPr>
              <w:t>CECT4255</w:t>
            </w:r>
          </w:p>
        </w:tc>
        <w:tc>
          <w:tcPr>
            <w:tcW w:w="991" w:type="dxa"/>
          </w:tcPr>
          <w:p>
            <w:pPr>
              <w:pStyle w:val="TableParagraph"/>
              <w:spacing w:before="3"/>
              <w:rPr>
                <w:sz w:val="20"/>
              </w:rPr>
            </w:pPr>
            <w:r>
              <w:rPr>
                <w:w w:val="99"/>
                <w:sz w:val="20"/>
              </w:rPr>
              <w:t>+</w:t>
            </w:r>
          </w:p>
        </w:tc>
        <w:tc>
          <w:tcPr>
            <w:tcW w:w="1364" w:type="dxa"/>
          </w:tcPr>
          <w:p>
            <w:pPr/>
          </w:p>
        </w:tc>
        <w:tc>
          <w:tcPr>
            <w:tcW w:w="1188" w:type="dxa"/>
          </w:tcPr>
          <w:p>
            <w:pPr>
              <w:pStyle w:val="TableParagraph"/>
              <w:spacing w:before="3"/>
              <w:ind w:left="43"/>
              <w:rPr>
                <w:sz w:val="20"/>
              </w:rPr>
            </w:pPr>
            <w:r>
              <w:rPr>
                <w:sz w:val="20"/>
              </w:rPr>
              <w:t>HG 14</w:t>
            </w:r>
          </w:p>
        </w:tc>
        <w:tc>
          <w:tcPr>
            <w:tcW w:w="1702" w:type="dxa"/>
          </w:tcPr>
          <w:p>
            <w:pPr>
              <w:pStyle w:val="TableParagraph"/>
              <w:spacing w:before="3"/>
              <w:ind w:left="43" w:right="40"/>
              <w:rPr>
                <w:i/>
                <w:sz w:val="20"/>
              </w:rPr>
            </w:pPr>
            <w:r>
              <w:rPr>
                <w:i/>
                <w:sz w:val="20"/>
              </w:rPr>
              <w:t>A. enteropelogenes</w:t>
            </w:r>
          </w:p>
        </w:tc>
        <w:tc>
          <w:tcPr>
            <w:tcW w:w="1702" w:type="dxa"/>
          </w:tcPr>
          <w:p>
            <w:pPr>
              <w:pStyle w:val="TableParagraph"/>
              <w:spacing w:before="3"/>
              <w:ind w:left="2" w:right="1"/>
              <w:rPr>
                <w:sz w:val="20"/>
              </w:rPr>
            </w:pPr>
            <w:r>
              <w:rPr>
                <w:sz w:val="20"/>
              </w:rPr>
              <w:t>Carnahan</w:t>
            </w:r>
          </w:p>
          <w:p>
            <w:pPr>
              <w:pStyle w:val="TableParagraph"/>
              <w:spacing w:before="9"/>
              <w:rPr>
                <w:i/>
                <w:sz w:val="19"/>
              </w:rPr>
            </w:pPr>
          </w:p>
          <w:p>
            <w:pPr>
              <w:pStyle w:val="TableParagraph"/>
              <w:spacing w:before="1"/>
              <w:ind w:left="52" w:right="1"/>
              <w:rPr>
                <w:sz w:val="20"/>
              </w:rPr>
            </w:pPr>
            <w:r>
              <w:rPr>
                <w:i/>
                <w:sz w:val="20"/>
              </w:rPr>
              <w:t>et al</w:t>
            </w:r>
            <w:r>
              <w:rPr>
                <w:sz w:val="20"/>
              </w:rPr>
              <w:t>., 1991.</w:t>
            </w:r>
          </w:p>
        </w:tc>
      </w:tr>
      <w:tr>
        <w:trPr>
          <w:trHeight w:val="3327" w:hRule="exact"/>
        </w:trPr>
        <w:tc>
          <w:tcPr>
            <w:tcW w:w="2086" w:type="dxa"/>
          </w:tcPr>
          <w:p>
            <w:pPr>
              <w:pStyle w:val="TableParagraph"/>
              <w:numPr>
                <w:ilvl w:val="0"/>
                <w:numId w:val="10"/>
              </w:numPr>
              <w:tabs>
                <w:tab w:pos="225" w:val="left" w:leader="none"/>
              </w:tabs>
              <w:spacing w:line="240" w:lineRule="auto" w:before="0" w:after="0"/>
              <w:ind w:left="224" w:right="0" w:hanging="222"/>
              <w:jc w:val="left"/>
              <w:rPr>
                <w:i/>
                <w:sz w:val="20"/>
              </w:rPr>
            </w:pPr>
            <w:r>
              <w:rPr>
                <w:i/>
                <w:sz w:val="20"/>
              </w:rPr>
              <w:t>salmonicida</w:t>
            </w:r>
          </w:p>
          <w:p>
            <w:pPr>
              <w:pStyle w:val="TableParagraph"/>
              <w:rPr>
                <w:i/>
                <w:sz w:val="20"/>
              </w:rPr>
            </w:pPr>
          </w:p>
          <w:p>
            <w:pPr>
              <w:pStyle w:val="TableParagraph"/>
              <w:spacing w:before="1"/>
              <w:ind w:left="2"/>
              <w:rPr>
                <w:sz w:val="20"/>
              </w:rPr>
            </w:pPr>
            <w:r>
              <w:rPr>
                <w:sz w:val="20"/>
              </w:rPr>
              <w:t>subespecies</w:t>
            </w:r>
          </w:p>
          <w:p>
            <w:pPr>
              <w:pStyle w:val="TableParagraph"/>
              <w:rPr>
                <w:i/>
                <w:sz w:val="20"/>
              </w:rPr>
            </w:pPr>
          </w:p>
          <w:p>
            <w:pPr>
              <w:pStyle w:val="TableParagraph"/>
              <w:numPr>
                <w:ilvl w:val="1"/>
                <w:numId w:val="10"/>
              </w:numPr>
              <w:tabs>
                <w:tab w:pos="710" w:val="left" w:leader="none"/>
                <w:tab w:pos="711" w:val="left" w:leader="none"/>
              </w:tabs>
              <w:spacing w:line="240" w:lineRule="auto" w:before="1" w:after="0"/>
              <w:ind w:left="710" w:right="0" w:hanging="348"/>
              <w:jc w:val="left"/>
              <w:rPr>
                <w:i/>
                <w:sz w:val="20"/>
              </w:rPr>
            </w:pPr>
            <w:r>
              <w:rPr>
                <w:i/>
                <w:sz w:val="20"/>
              </w:rPr>
              <w:t>salmonicida</w:t>
            </w:r>
          </w:p>
          <w:p>
            <w:pPr>
              <w:pStyle w:val="TableParagraph"/>
              <w:spacing w:before="9"/>
              <w:rPr>
                <w:i/>
                <w:sz w:val="19"/>
              </w:rPr>
            </w:pPr>
          </w:p>
          <w:p>
            <w:pPr>
              <w:pStyle w:val="TableParagraph"/>
              <w:numPr>
                <w:ilvl w:val="1"/>
                <w:numId w:val="10"/>
              </w:numPr>
              <w:tabs>
                <w:tab w:pos="710" w:val="left" w:leader="none"/>
                <w:tab w:pos="711" w:val="left" w:leader="none"/>
              </w:tabs>
              <w:spacing w:line="240" w:lineRule="auto" w:before="0" w:after="0"/>
              <w:ind w:left="710" w:right="0" w:hanging="348"/>
              <w:jc w:val="left"/>
              <w:rPr>
                <w:i/>
                <w:sz w:val="20"/>
              </w:rPr>
            </w:pPr>
            <w:r>
              <w:rPr>
                <w:i/>
                <w:sz w:val="20"/>
              </w:rPr>
              <w:t>achromogenes</w:t>
            </w:r>
          </w:p>
          <w:p>
            <w:pPr>
              <w:pStyle w:val="TableParagraph"/>
              <w:rPr>
                <w:i/>
                <w:sz w:val="20"/>
              </w:rPr>
            </w:pPr>
          </w:p>
          <w:p>
            <w:pPr>
              <w:pStyle w:val="TableParagraph"/>
              <w:numPr>
                <w:ilvl w:val="1"/>
                <w:numId w:val="10"/>
              </w:numPr>
              <w:tabs>
                <w:tab w:pos="710" w:val="left" w:leader="none"/>
                <w:tab w:pos="711" w:val="left" w:leader="none"/>
              </w:tabs>
              <w:spacing w:line="240" w:lineRule="auto" w:before="0" w:after="0"/>
              <w:ind w:left="710" w:right="0" w:hanging="348"/>
              <w:jc w:val="left"/>
              <w:rPr>
                <w:i/>
                <w:sz w:val="20"/>
              </w:rPr>
            </w:pPr>
            <w:r>
              <w:rPr>
                <w:i/>
                <w:sz w:val="20"/>
              </w:rPr>
              <w:t>mansoucida</w:t>
            </w:r>
          </w:p>
          <w:p>
            <w:pPr>
              <w:pStyle w:val="TableParagraph"/>
              <w:rPr>
                <w:i/>
                <w:sz w:val="20"/>
              </w:rPr>
            </w:pPr>
          </w:p>
          <w:p>
            <w:pPr>
              <w:pStyle w:val="TableParagraph"/>
              <w:numPr>
                <w:ilvl w:val="1"/>
                <w:numId w:val="10"/>
              </w:numPr>
              <w:tabs>
                <w:tab w:pos="710" w:val="left" w:leader="none"/>
                <w:tab w:pos="711" w:val="left" w:leader="none"/>
              </w:tabs>
              <w:spacing w:line="240" w:lineRule="auto" w:before="0" w:after="0"/>
              <w:ind w:left="710" w:right="0" w:hanging="348"/>
              <w:jc w:val="left"/>
              <w:rPr>
                <w:i/>
                <w:sz w:val="20"/>
              </w:rPr>
            </w:pPr>
            <w:r>
              <w:rPr>
                <w:i/>
                <w:sz w:val="20"/>
              </w:rPr>
              <w:t>smitia</w:t>
            </w:r>
          </w:p>
          <w:p>
            <w:pPr>
              <w:pStyle w:val="TableParagraph"/>
              <w:spacing w:before="9"/>
              <w:rPr>
                <w:i/>
                <w:sz w:val="19"/>
              </w:rPr>
            </w:pPr>
          </w:p>
          <w:p>
            <w:pPr>
              <w:pStyle w:val="TableParagraph"/>
              <w:numPr>
                <w:ilvl w:val="1"/>
                <w:numId w:val="10"/>
              </w:numPr>
              <w:tabs>
                <w:tab w:pos="710" w:val="left" w:leader="none"/>
                <w:tab w:pos="711" w:val="left" w:leader="none"/>
              </w:tabs>
              <w:spacing w:line="240" w:lineRule="auto" w:before="0" w:after="0"/>
              <w:ind w:left="710" w:right="0" w:hanging="348"/>
              <w:jc w:val="left"/>
              <w:rPr>
                <w:i/>
                <w:sz w:val="20"/>
              </w:rPr>
            </w:pPr>
            <w:r>
              <w:rPr>
                <w:i/>
                <w:sz w:val="20"/>
              </w:rPr>
              <w:t>pectinolytica</w:t>
            </w:r>
          </w:p>
        </w:tc>
        <w:tc>
          <w:tcPr>
            <w:tcW w:w="1297" w:type="dxa"/>
          </w:tcPr>
          <w:p>
            <w:pPr>
              <w:pStyle w:val="TableParagraph"/>
              <w:ind w:left="-1"/>
              <w:rPr>
                <w:sz w:val="20"/>
              </w:rPr>
            </w:pPr>
            <w:r>
              <w:rPr>
                <w:sz w:val="20"/>
              </w:rPr>
              <w:t>CECT894</w:t>
            </w:r>
          </w:p>
        </w:tc>
        <w:tc>
          <w:tcPr>
            <w:tcW w:w="991" w:type="dxa"/>
          </w:tcPr>
          <w:p>
            <w:pPr>
              <w:pStyle w:val="TableParagraph"/>
              <w:rPr>
                <w:sz w:val="20"/>
              </w:rPr>
            </w:pPr>
            <w:r>
              <w:rPr>
                <w:w w:val="99"/>
                <w:sz w:val="20"/>
              </w:rPr>
              <w:t>+</w:t>
            </w:r>
          </w:p>
        </w:tc>
        <w:tc>
          <w:tcPr>
            <w:tcW w:w="1364" w:type="dxa"/>
          </w:tcPr>
          <w:p>
            <w:pPr>
              <w:pStyle w:val="TableParagraph"/>
              <w:ind w:left="2" w:right="-1"/>
              <w:rPr>
                <w:sz w:val="20"/>
              </w:rPr>
            </w:pPr>
            <w:r>
              <w:rPr>
                <w:sz w:val="20"/>
              </w:rPr>
              <w:t>Peces</w:t>
            </w:r>
          </w:p>
        </w:tc>
        <w:tc>
          <w:tcPr>
            <w:tcW w:w="1188" w:type="dxa"/>
          </w:tcPr>
          <w:p>
            <w:pPr>
              <w:pStyle w:val="TableParagraph"/>
              <w:ind w:left="43"/>
              <w:rPr>
                <w:sz w:val="20"/>
              </w:rPr>
            </w:pPr>
            <w:r>
              <w:rPr>
                <w:sz w:val="20"/>
              </w:rPr>
              <w:t>HG 3</w:t>
            </w:r>
          </w:p>
        </w:tc>
        <w:tc>
          <w:tcPr>
            <w:tcW w:w="1702" w:type="dxa"/>
          </w:tcPr>
          <w:p>
            <w:pPr/>
          </w:p>
        </w:tc>
        <w:tc>
          <w:tcPr>
            <w:tcW w:w="1702" w:type="dxa"/>
          </w:tcPr>
          <w:p>
            <w:pPr>
              <w:pStyle w:val="TableParagraph"/>
              <w:tabs>
                <w:tab w:pos="719" w:val="left" w:leader="none"/>
                <w:tab w:pos="1076" w:val="left" w:leader="none"/>
              </w:tabs>
              <w:spacing w:line="480" w:lineRule="auto"/>
              <w:ind w:left="2" w:right="1"/>
              <w:rPr>
                <w:sz w:val="20"/>
              </w:rPr>
            </w:pPr>
            <w:r>
              <w:rPr>
                <w:sz w:val="20"/>
              </w:rPr>
              <w:t>Janda</w:t>
              <w:tab/>
              <w:t>y</w:t>
              <w:tab/>
            </w:r>
            <w:r>
              <w:rPr>
                <w:w w:val="95"/>
                <w:sz w:val="20"/>
              </w:rPr>
              <w:t>Abbott, </w:t>
            </w:r>
            <w:r>
              <w:rPr>
                <w:sz w:val="20"/>
              </w:rPr>
              <w:t>2010.</w:t>
            </w:r>
          </w:p>
        </w:tc>
      </w:tr>
      <w:tr>
        <w:trPr>
          <w:trHeight w:val="1904" w:hRule="exact"/>
        </w:trPr>
        <w:tc>
          <w:tcPr>
            <w:tcW w:w="2086" w:type="dxa"/>
          </w:tcPr>
          <w:p>
            <w:pPr>
              <w:pStyle w:val="TableParagraph"/>
              <w:numPr>
                <w:ilvl w:val="0"/>
                <w:numId w:val="11"/>
              </w:numPr>
              <w:tabs>
                <w:tab w:pos="225" w:val="left" w:leader="none"/>
              </w:tabs>
              <w:spacing w:line="240" w:lineRule="auto" w:before="0" w:after="0"/>
              <w:ind w:left="224" w:right="0" w:hanging="222"/>
              <w:jc w:val="left"/>
              <w:rPr>
                <w:i/>
                <w:sz w:val="20"/>
              </w:rPr>
            </w:pPr>
            <w:r>
              <w:rPr>
                <w:i/>
                <w:sz w:val="20"/>
              </w:rPr>
              <w:t>veronii</w:t>
            </w:r>
          </w:p>
          <w:p>
            <w:pPr>
              <w:pStyle w:val="TableParagraph"/>
              <w:rPr>
                <w:i/>
                <w:sz w:val="20"/>
              </w:rPr>
            </w:pPr>
          </w:p>
          <w:p>
            <w:pPr>
              <w:pStyle w:val="TableParagraph"/>
              <w:spacing w:before="1"/>
              <w:ind w:left="2"/>
              <w:rPr>
                <w:sz w:val="20"/>
              </w:rPr>
            </w:pPr>
            <w:r>
              <w:rPr>
                <w:sz w:val="20"/>
              </w:rPr>
              <w:t>biotipo</w:t>
            </w:r>
          </w:p>
          <w:p>
            <w:pPr>
              <w:pStyle w:val="TableParagraph"/>
              <w:rPr>
                <w:i/>
                <w:sz w:val="20"/>
              </w:rPr>
            </w:pPr>
          </w:p>
          <w:p>
            <w:pPr>
              <w:pStyle w:val="TableParagraph"/>
              <w:numPr>
                <w:ilvl w:val="1"/>
                <w:numId w:val="11"/>
              </w:numPr>
              <w:tabs>
                <w:tab w:pos="710" w:val="left" w:leader="none"/>
                <w:tab w:pos="711" w:val="left" w:leader="none"/>
              </w:tabs>
              <w:spacing w:line="240" w:lineRule="auto" w:before="1" w:after="0"/>
              <w:ind w:left="710" w:right="0" w:hanging="348"/>
              <w:jc w:val="left"/>
              <w:rPr>
                <w:i/>
                <w:sz w:val="20"/>
              </w:rPr>
            </w:pPr>
            <w:r>
              <w:rPr>
                <w:i/>
                <w:sz w:val="20"/>
              </w:rPr>
              <w:t>sobria</w:t>
            </w:r>
          </w:p>
          <w:p>
            <w:pPr>
              <w:pStyle w:val="TableParagraph"/>
              <w:spacing w:before="9"/>
              <w:rPr>
                <w:i/>
                <w:sz w:val="19"/>
              </w:rPr>
            </w:pPr>
          </w:p>
          <w:p>
            <w:pPr>
              <w:pStyle w:val="TableParagraph"/>
              <w:numPr>
                <w:ilvl w:val="1"/>
                <w:numId w:val="11"/>
              </w:numPr>
              <w:tabs>
                <w:tab w:pos="710" w:val="left" w:leader="none"/>
                <w:tab w:pos="711" w:val="left" w:leader="none"/>
              </w:tabs>
              <w:spacing w:line="240" w:lineRule="auto" w:before="1" w:after="0"/>
              <w:ind w:left="710" w:right="0" w:hanging="348"/>
              <w:jc w:val="left"/>
              <w:rPr>
                <w:i/>
                <w:sz w:val="20"/>
              </w:rPr>
            </w:pPr>
            <w:r>
              <w:rPr>
                <w:i/>
                <w:sz w:val="20"/>
              </w:rPr>
              <w:t>veronii</w:t>
            </w:r>
          </w:p>
        </w:tc>
        <w:tc>
          <w:tcPr>
            <w:tcW w:w="1297" w:type="dxa"/>
          </w:tcPr>
          <w:p>
            <w:pPr>
              <w:pStyle w:val="TableParagraph"/>
              <w:rPr>
                <w:i/>
                <w:sz w:val="20"/>
              </w:rPr>
            </w:pPr>
          </w:p>
          <w:p>
            <w:pPr>
              <w:pStyle w:val="TableParagraph"/>
              <w:rPr>
                <w:i/>
                <w:sz w:val="20"/>
              </w:rPr>
            </w:pPr>
          </w:p>
          <w:p>
            <w:pPr>
              <w:pStyle w:val="TableParagraph"/>
              <w:rPr>
                <w:i/>
                <w:sz w:val="20"/>
              </w:rPr>
            </w:pPr>
          </w:p>
          <w:p>
            <w:pPr>
              <w:pStyle w:val="TableParagraph"/>
              <w:spacing w:before="2"/>
              <w:rPr>
                <w:i/>
                <w:sz w:val="20"/>
              </w:rPr>
            </w:pPr>
          </w:p>
          <w:p>
            <w:pPr>
              <w:pStyle w:val="TableParagraph"/>
              <w:spacing w:line="480" w:lineRule="auto"/>
              <w:ind w:left="-1" w:right="347"/>
              <w:rPr>
                <w:sz w:val="20"/>
              </w:rPr>
            </w:pPr>
            <w:r>
              <w:rPr>
                <w:sz w:val="20"/>
              </w:rPr>
              <w:t>CECT4246 CECT4257</w:t>
            </w:r>
          </w:p>
        </w:tc>
        <w:tc>
          <w:tcPr>
            <w:tcW w:w="991" w:type="dxa"/>
          </w:tcPr>
          <w:p>
            <w:pPr>
              <w:pStyle w:val="TableParagraph"/>
              <w:rPr>
                <w:i/>
                <w:sz w:val="20"/>
              </w:rPr>
            </w:pPr>
          </w:p>
          <w:p>
            <w:pPr>
              <w:pStyle w:val="TableParagraph"/>
              <w:rPr>
                <w:i/>
                <w:sz w:val="20"/>
              </w:rPr>
            </w:pPr>
          </w:p>
          <w:p>
            <w:pPr>
              <w:pStyle w:val="TableParagraph"/>
              <w:rPr>
                <w:i/>
                <w:sz w:val="20"/>
              </w:rPr>
            </w:pPr>
          </w:p>
          <w:p>
            <w:pPr>
              <w:pStyle w:val="TableParagraph"/>
              <w:spacing w:before="2"/>
              <w:rPr>
                <w:i/>
                <w:sz w:val="20"/>
              </w:rPr>
            </w:pPr>
          </w:p>
          <w:p>
            <w:pPr>
              <w:pStyle w:val="TableParagraph"/>
              <w:rPr>
                <w:sz w:val="20"/>
              </w:rPr>
            </w:pPr>
            <w:r>
              <w:rPr>
                <w:w w:val="99"/>
                <w:sz w:val="20"/>
              </w:rPr>
              <w:t>+</w:t>
            </w:r>
          </w:p>
          <w:p>
            <w:pPr>
              <w:pStyle w:val="TableParagraph"/>
              <w:spacing w:before="10"/>
              <w:rPr>
                <w:i/>
                <w:sz w:val="19"/>
              </w:rPr>
            </w:pPr>
          </w:p>
          <w:p>
            <w:pPr>
              <w:pStyle w:val="TableParagraph"/>
              <w:rPr>
                <w:sz w:val="20"/>
              </w:rPr>
            </w:pPr>
            <w:r>
              <w:rPr>
                <w:w w:val="99"/>
                <w:sz w:val="20"/>
              </w:rPr>
              <w:t>+</w:t>
            </w:r>
          </w:p>
        </w:tc>
        <w:tc>
          <w:tcPr>
            <w:tcW w:w="1364" w:type="dxa"/>
          </w:tcPr>
          <w:p>
            <w:pPr>
              <w:pStyle w:val="TableParagraph"/>
              <w:rPr>
                <w:i/>
                <w:sz w:val="20"/>
              </w:rPr>
            </w:pPr>
          </w:p>
          <w:p>
            <w:pPr>
              <w:pStyle w:val="TableParagraph"/>
              <w:rPr>
                <w:i/>
                <w:sz w:val="20"/>
              </w:rPr>
            </w:pPr>
          </w:p>
          <w:p>
            <w:pPr>
              <w:pStyle w:val="TableParagraph"/>
              <w:rPr>
                <w:i/>
                <w:sz w:val="20"/>
              </w:rPr>
            </w:pPr>
          </w:p>
          <w:p>
            <w:pPr>
              <w:pStyle w:val="TableParagraph"/>
              <w:spacing w:before="2"/>
              <w:rPr>
                <w:i/>
                <w:sz w:val="20"/>
              </w:rPr>
            </w:pPr>
          </w:p>
          <w:p>
            <w:pPr>
              <w:pStyle w:val="TableParagraph"/>
              <w:ind w:left="2" w:right="-1"/>
              <w:rPr>
                <w:sz w:val="20"/>
              </w:rPr>
            </w:pPr>
            <w:r>
              <w:rPr>
                <w:sz w:val="20"/>
              </w:rPr>
              <w:t>Peces</w:t>
            </w:r>
          </w:p>
        </w:tc>
        <w:tc>
          <w:tcPr>
            <w:tcW w:w="1188" w:type="dxa"/>
          </w:tcPr>
          <w:p>
            <w:pPr>
              <w:pStyle w:val="TableParagraph"/>
              <w:rPr>
                <w:i/>
                <w:sz w:val="20"/>
              </w:rPr>
            </w:pPr>
          </w:p>
          <w:p>
            <w:pPr>
              <w:pStyle w:val="TableParagraph"/>
              <w:rPr>
                <w:i/>
                <w:sz w:val="20"/>
              </w:rPr>
            </w:pPr>
          </w:p>
          <w:p>
            <w:pPr>
              <w:pStyle w:val="TableParagraph"/>
              <w:rPr>
                <w:i/>
                <w:sz w:val="20"/>
              </w:rPr>
            </w:pPr>
          </w:p>
          <w:p>
            <w:pPr>
              <w:pStyle w:val="TableParagraph"/>
              <w:spacing w:before="2"/>
              <w:rPr>
                <w:i/>
                <w:sz w:val="20"/>
              </w:rPr>
            </w:pPr>
          </w:p>
          <w:p>
            <w:pPr>
              <w:pStyle w:val="TableParagraph"/>
              <w:ind w:left="43"/>
              <w:rPr>
                <w:sz w:val="20"/>
              </w:rPr>
            </w:pPr>
            <w:r>
              <w:rPr>
                <w:sz w:val="20"/>
              </w:rPr>
              <w:t>HG 8</w:t>
            </w:r>
          </w:p>
          <w:p>
            <w:pPr>
              <w:pStyle w:val="TableParagraph"/>
              <w:spacing w:before="10"/>
              <w:rPr>
                <w:i/>
                <w:sz w:val="19"/>
              </w:rPr>
            </w:pPr>
          </w:p>
          <w:p>
            <w:pPr>
              <w:pStyle w:val="TableParagraph"/>
              <w:ind w:left="43"/>
              <w:rPr>
                <w:sz w:val="20"/>
              </w:rPr>
            </w:pPr>
            <w:r>
              <w:rPr>
                <w:sz w:val="20"/>
              </w:rPr>
              <w:t>HG 10</w:t>
            </w:r>
          </w:p>
        </w:tc>
        <w:tc>
          <w:tcPr>
            <w:tcW w:w="1702" w:type="dxa"/>
          </w:tcPr>
          <w:p>
            <w:pPr>
              <w:pStyle w:val="TableParagraph"/>
              <w:rPr>
                <w:i/>
                <w:sz w:val="20"/>
              </w:rPr>
            </w:pPr>
          </w:p>
          <w:p>
            <w:pPr>
              <w:pStyle w:val="TableParagraph"/>
              <w:rPr>
                <w:i/>
                <w:sz w:val="20"/>
              </w:rPr>
            </w:pPr>
          </w:p>
          <w:p>
            <w:pPr>
              <w:pStyle w:val="TableParagraph"/>
              <w:rPr>
                <w:i/>
                <w:sz w:val="20"/>
              </w:rPr>
            </w:pPr>
          </w:p>
          <w:p>
            <w:pPr>
              <w:pStyle w:val="TableParagraph"/>
              <w:spacing w:before="2"/>
              <w:rPr>
                <w:i/>
                <w:sz w:val="20"/>
              </w:rPr>
            </w:pPr>
          </w:p>
          <w:p>
            <w:pPr>
              <w:pStyle w:val="TableParagraph"/>
              <w:ind w:left="43" w:right="40"/>
              <w:rPr>
                <w:i/>
                <w:sz w:val="20"/>
              </w:rPr>
            </w:pPr>
            <w:r>
              <w:rPr>
                <w:i/>
                <w:sz w:val="20"/>
              </w:rPr>
              <w:t>A. ichthiosmia</w:t>
            </w:r>
          </w:p>
          <w:p>
            <w:pPr>
              <w:pStyle w:val="TableParagraph"/>
              <w:spacing w:before="10"/>
              <w:rPr>
                <w:i/>
                <w:sz w:val="19"/>
              </w:rPr>
            </w:pPr>
          </w:p>
          <w:p>
            <w:pPr>
              <w:pStyle w:val="TableParagraph"/>
              <w:ind w:left="43" w:right="40"/>
              <w:rPr>
                <w:i/>
                <w:sz w:val="20"/>
              </w:rPr>
            </w:pPr>
            <w:r>
              <w:rPr>
                <w:i/>
                <w:sz w:val="20"/>
              </w:rPr>
              <w:t>A. ichthiosmia</w:t>
            </w:r>
          </w:p>
        </w:tc>
        <w:tc>
          <w:tcPr>
            <w:tcW w:w="1702" w:type="dxa"/>
          </w:tcPr>
          <w:p>
            <w:pPr>
              <w:pStyle w:val="TableParagraph"/>
              <w:rPr>
                <w:i/>
                <w:sz w:val="20"/>
              </w:rPr>
            </w:pPr>
          </w:p>
          <w:p>
            <w:pPr>
              <w:pStyle w:val="TableParagraph"/>
              <w:rPr>
                <w:i/>
                <w:sz w:val="20"/>
              </w:rPr>
            </w:pPr>
          </w:p>
          <w:p>
            <w:pPr>
              <w:pStyle w:val="TableParagraph"/>
              <w:rPr>
                <w:i/>
                <w:sz w:val="20"/>
              </w:rPr>
            </w:pPr>
          </w:p>
          <w:p>
            <w:pPr>
              <w:pStyle w:val="TableParagraph"/>
              <w:spacing w:before="2"/>
              <w:rPr>
                <w:i/>
                <w:sz w:val="20"/>
              </w:rPr>
            </w:pPr>
          </w:p>
          <w:p>
            <w:pPr>
              <w:pStyle w:val="TableParagraph"/>
              <w:tabs>
                <w:tab w:pos="719" w:val="left" w:leader="none"/>
                <w:tab w:pos="1076" w:val="left" w:leader="none"/>
              </w:tabs>
              <w:spacing w:line="480" w:lineRule="auto"/>
              <w:ind w:left="2" w:right="1"/>
              <w:rPr>
                <w:sz w:val="20"/>
              </w:rPr>
            </w:pPr>
            <w:r>
              <w:rPr>
                <w:sz w:val="20"/>
              </w:rPr>
              <w:t>Janda</w:t>
              <w:tab/>
              <w:t>y</w:t>
              <w:tab/>
            </w:r>
            <w:r>
              <w:rPr>
                <w:w w:val="95"/>
                <w:sz w:val="20"/>
              </w:rPr>
              <w:t>Abbott, </w:t>
            </w:r>
            <w:r>
              <w:rPr>
                <w:sz w:val="20"/>
              </w:rPr>
              <w:t>2010.</w:t>
            </w:r>
          </w:p>
        </w:tc>
      </w:tr>
    </w:tbl>
    <w:p>
      <w:pPr>
        <w:spacing w:after="0" w:line="480" w:lineRule="auto"/>
        <w:rPr>
          <w:sz w:val="20"/>
        </w:rPr>
        <w:sectPr>
          <w:footerReference w:type="default" r:id="rId24"/>
          <w:pgSz w:w="12240" w:h="15840"/>
          <w:pgMar w:footer="695" w:header="0" w:top="1140" w:bottom="880" w:left="840" w:right="820"/>
          <w:pgNumType w:start="101"/>
        </w:sectPr>
      </w:pPr>
    </w:p>
    <w:p>
      <w:pPr>
        <w:pStyle w:val="Heading1"/>
        <w:jc w:val="both"/>
      </w:pPr>
      <w:r>
        <w:rPr/>
        <w:t>DISCUSIÓN GENERAL</w:t>
      </w:r>
    </w:p>
    <w:p>
      <w:pPr>
        <w:pStyle w:val="BodyText"/>
        <w:rPr>
          <w:b/>
        </w:rPr>
      </w:pPr>
    </w:p>
    <w:p>
      <w:pPr>
        <w:pStyle w:val="BodyText"/>
        <w:rPr>
          <w:b/>
        </w:rPr>
      </w:pPr>
    </w:p>
    <w:p>
      <w:pPr>
        <w:pStyle w:val="BodyText"/>
        <w:spacing w:before="7"/>
        <w:rPr>
          <w:b/>
          <w:sz w:val="23"/>
        </w:rPr>
      </w:pPr>
    </w:p>
    <w:p>
      <w:pPr>
        <w:pStyle w:val="BodyText"/>
        <w:ind w:left="811" w:right="118"/>
      </w:pPr>
      <w:r>
        <w:rPr/>
        <w:t>La producción de trucha en el estado de México a finales del 2014 generó 28 millones   582,</w:t>
      </w:r>
    </w:p>
    <w:p>
      <w:pPr>
        <w:pStyle w:val="BodyText"/>
      </w:pPr>
    </w:p>
    <w:p>
      <w:pPr>
        <w:pStyle w:val="BodyText"/>
        <w:spacing w:line="480" w:lineRule="auto"/>
        <w:ind w:left="103" w:right="118"/>
        <w:jc w:val="both"/>
      </w:pPr>
      <w:r>
        <w:rPr/>
        <w:t>065.83 pesos (CONAPESCA, 2015). Actualmente el desarrollo de esta actividad se localiza principalmente en los estados de: México, Puebla, Michoacán, Hidalgo, Chihuahua y Veracruz (SAGARPA, 2011). La presencia de enfermedades dentro de las granjas trutícolas en muchos casos es inevitable, debido a diferentes factores como son: manejo de los peces (estrés, hacinamiento, alimentación, medicina preventiva, entre otros), mantenimiento de los estanques (eliminación de la mortalidad, limpieza, eliminación desechos orgánicos, etc.) y calidad del agua (temperatura, oxigenación, sistemas de filtración del agua, etc.) (Pennel y Barton, 1996).</w:t>
      </w:r>
    </w:p>
    <w:p>
      <w:pPr>
        <w:pStyle w:val="BodyText"/>
        <w:spacing w:line="480" w:lineRule="auto" w:before="10"/>
        <w:ind w:left="103" w:right="119" w:firstLine="707"/>
        <w:jc w:val="both"/>
      </w:pPr>
      <w:r>
        <w:rPr/>
        <w:t>En el presente trabajo de investigación se analizaron las características histológicas de truchas arcoíris infectadas naturalmente con 3 diferentes especies de </w:t>
      </w:r>
      <w:r>
        <w:rPr>
          <w:i/>
        </w:rPr>
        <w:t>Aeromonas </w:t>
      </w:r>
      <w:r>
        <w:rPr/>
        <w:t>spp. Un aislamiento de </w:t>
      </w:r>
      <w:r>
        <w:rPr>
          <w:i/>
        </w:rPr>
        <w:t>A</w:t>
      </w:r>
      <w:r>
        <w:rPr/>
        <w:t>. </w:t>
      </w:r>
      <w:r>
        <w:rPr>
          <w:i/>
        </w:rPr>
        <w:t>veronii </w:t>
      </w:r>
      <w:r>
        <w:rPr/>
        <w:t>fue obtenido en 2 diferentes truchas. En una trucha se observó la erosión de la dermis y exposición del hueso premaxilar; este tipo de lesión ha sido reportado previamente  en carpas que presentaron erosión en la boca y en las que se aislado </w:t>
      </w:r>
      <w:r>
        <w:rPr>
          <w:i/>
        </w:rPr>
        <w:t>A</w:t>
      </w:r>
      <w:r>
        <w:rPr/>
        <w:t>. </w:t>
      </w:r>
      <w:r>
        <w:rPr>
          <w:i/>
        </w:rPr>
        <w:t>bestiarum </w:t>
      </w:r>
      <w:r>
        <w:rPr/>
        <w:t>(Austin y Austin, 2007) - sin embargo no ha sido reportado previamente en la trucha arcoíris; y en otra trucha, se observó la erosión de la aleta dorsal. El aislamiento de </w:t>
      </w:r>
      <w:r>
        <w:rPr>
          <w:i/>
        </w:rPr>
        <w:t>Aeromonas </w:t>
      </w:r>
      <w:r>
        <w:rPr/>
        <w:t>spp. en aletas lesionadas ha sido previamente reportado por Schneider y colaboradores (1980), quienes sugieren que la participación del género </w:t>
      </w:r>
      <w:r>
        <w:rPr>
          <w:i/>
        </w:rPr>
        <w:t>Flexibacter </w:t>
      </w:r>
      <w:r>
        <w:rPr/>
        <w:t>y la especie </w:t>
      </w:r>
      <w:r>
        <w:rPr>
          <w:i/>
        </w:rPr>
        <w:t>A</w:t>
      </w:r>
      <w:r>
        <w:rPr/>
        <w:t>. </w:t>
      </w:r>
      <w:r>
        <w:rPr>
          <w:i/>
        </w:rPr>
        <w:t>salmonicida </w:t>
      </w:r>
      <w:r>
        <w:rPr/>
        <w:t>están implicados en el desarrollo de la putrefacción de la aleta en el salmón del Atlántico. Aunque la participación del género </w:t>
      </w:r>
      <w:r>
        <w:rPr>
          <w:i/>
        </w:rPr>
        <w:t>Aeromonas </w:t>
      </w:r>
      <w:r>
        <w:rPr/>
        <w:t>es menor en comparación con otros patógenos bacterianos como son los géneros </w:t>
      </w:r>
      <w:r>
        <w:rPr>
          <w:i/>
        </w:rPr>
        <w:t>Pseudomonas </w:t>
      </w:r>
      <w:r>
        <w:rPr/>
        <w:t>y </w:t>
      </w:r>
      <w:r>
        <w:rPr>
          <w:i/>
        </w:rPr>
        <w:t>Vibrio </w:t>
      </w:r>
      <w:r>
        <w:rPr/>
        <w:t>(Khan </w:t>
      </w:r>
      <w:r>
        <w:rPr>
          <w:i/>
        </w:rPr>
        <w:t>et al</w:t>
      </w:r>
      <w:r>
        <w:rPr/>
        <w:t>., 1981), se ha observado que la presencia de </w:t>
      </w:r>
      <w:r>
        <w:rPr>
          <w:i/>
        </w:rPr>
        <w:t>Aeromonas </w:t>
      </w:r>
      <w:r>
        <w:rPr/>
        <w:t>spp. puede desencadenar la producción de lesiones en aletas (Wahli </w:t>
      </w:r>
      <w:r>
        <w:rPr>
          <w:i/>
        </w:rPr>
        <w:t>et al</w:t>
      </w:r>
      <w:r>
        <w:rPr/>
        <w:t>.,</w:t>
      </w:r>
      <w:r>
        <w:rPr>
          <w:spacing w:val="-3"/>
        </w:rPr>
        <w:t> </w:t>
      </w:r>
      <w:r>
        <w:rPr/>
        <w:t>2003).</w:t>
      </w:r>
    </w:p>
    <w:p>
      <w:pPr>
        <w:spacing w:after="0" w:line="480" w:lineRule="auto"/>
        <w:jc w:val="both"/>
        <w:sectPr>
          <w:pgSz w:w="12240" w:h="15840"/>
          <w:pgMar w:header="0" w:footer="695" w:top="1080" w:bottom="880" w:left="1200" w:right="1180"/>
        </w:sectPr>
      </w:pPr>
    </w:p>
    <w:p>
      <w:pPr>
        <w:pStyle w:val="BodyText"/>
        <w:spacing w:line="480" w:lineRule="auto" w:before="44"/>
        <w:ind w:left="103" w:right="121" w:firstLine="770"/>
        <w:jc w:val="both"/>
      </w:pPr>
      <w:r>
        <w:rPr/>
        <w:t>Las lesiones observadas en los hígados de los peces infectados por </w:t>
      </w:r>
      <w:r>
        <w:rPr>
          <w:i/>
        </w:rPr>
        <w:t>A</w:t>
      </w:r>
      <w:r>
        <w:rPr/>
        <w:t>. </w:t>
      </w:r>
      <w:r>
        <w:rPr>
          <w:i/>
        </w:rPr>
        <w:t>veronii</w:t>
      </w:r>
      <w:r>
        <w:rPr/>
        <w:t>, incluyen la presencia de degeneración hepatocelular e infiltración en parénquima en las dos truchas; además de una hemorragia severa y la infiltración intersticial de centros melanomacrófagos en riñón en la trucha que presentó erosión en el premaxilar, lesiones que han sido previamente reportadas (Aydin  y Ciltas, 2004). Asimismo, en un estudio realizado en China por </w:t>
      </w:r>
      <w:r>
        <w:rPr>
          <w:spacing w:val="-3"/>
        </w:rPr>
        <w:t>Li </w:t>
      </w:r>
      <w:r>
        <w:rPr/>
        <w:t>y Cai (2011) en el cual se  obtuvo el aislamiento de </w:t>
      </w:r>
      <w:r>
        <w:rPr>
          <w:i/>
        </w:rPr>
        <w:t>A</w:t>
      </w:r>
      <w:r>
        <w:rPr/>
        <w:t>. </w:t>
      </w:r>
      <w:r>
        <w:rPr>
          <w:i/>
        </w:rPr>
        <w:t>sobria </w:t>
      </w:r>
      <w:r>
        <w:rPr/>
        <w:t>en un brote de putrefacción de aletas, se reveló a la necropsia  que los animales infectados experimentalmente presentaban hemorragias irregulares en</w:t>
      </w:r>
      <w:r>
        <w:rPr>
          <w:spacing w:val="-12"/>
        </w:rPr>
        <w:t> </w:t>
      </w:r>
      <w:r>
        <w:rPr/>
        <w:t>hígado.</w:t>
      </w:r>
    </w:p>
    <w:p>
      <w:pPr>
        <w:pStyle w:val="BodyText"/>
      </w:pPr>
    </w:p>
    <w:p>
      <w:pPr>
        <w:pStyle w:val="BodyText"/>
        <w:spacing w:before="10"/>
      </w:pPr>
    </w:p>
    <w:p>
      <w:pPr>
        <w:pStyle w:val="BodyText"/>
        <w:spacing w:line="480" w:lineRule="auto" w:before="1"/>
        <w:ind w:left="103" w:right="118" w:firstLine="707"/>
        <w:jc w:val="both"/>
      </w:pPr>
      <w:r>
        <w:rPr/>
        <w:t>En el presente trabajo se identificó un aislamiento </w:t>
      </w:r>
      <w:r>
        <w:rPr>
          <w:i/>
        </w:rPr>
        <w:t>A</w:t>
      </w:r>
      <w:r>
        <w:rPr/>
        <w:t>. </w:t>
      </w:r>
      <w:r>
        <w:rPr>
          <w:i/>
        </w:rPr>
        <w:t>salmonicida </w:t>
      </w:r>
      <w:r>
        <w:rPr/>
        <w:t>biotipo móvil obtenido de una úlcera localizada en la base de la aleta pélvica derecha de una trucha, la cual presentó un diámetro de 13 milímetros. La identificación de </w:t>
      </w:r>
      <w:r>
        <w:rPr>
          <w:i/>
        </w:rPr>
        <w:t>A</w:t>
      </w:r>
      <w:r>
        <w:rPr/>
        <w:t>. </w:t>
      </w:r>
      <w:r>
        <w:rPr>
          <w:i/>
        </w:rPr>
        <w:t>salmonicida </w:t>
      </w:r>
      <w:r>
        <w:rPr/>
        <w:t>móvil coincide con  los  aislamientos de Kozińska (2007) quien reportó por primera vez el aislamiento de </w:t>
      </w:r>
      <w:r>
        <w:rPr>
          <w:i/>
        </w:rPr>
        <w:t>Aeromonas </w:t>
      </w:r>
      <w:r>
        <w:rPr>
          <w:i/>
        </w:rPr>
        <w:t>salmonicida </w:t>
      </w:r>
      <w:r>
        <w:rPr/>
        <w:t>biotipo móvil aislado de una trucha arcoíris. Cabe destacar que esta especie ha sido previamente reportada como un microorganismo no móvil (Austin y Austin, 2007), además de ser conocido por producir una infección sistémica, desarrollar úlceras en la piel y causar el cuadro clínico conocido como furunculosis (Goldschmidt-Clermont </w:t>
      </w:r>
      <w:r>
        <w:rPr>
          <w:i/>
        </w:rPr>
        <w:t>et al</w:t>
      </w:r>
      <w:r>
        <w:rPr/>
        <w:t>., 2009), asimismo se ha reportado que úlceras ocasionadas por </w:t>
      </w:r>
      <w:r>
        <w:rPr>
          <w:i/>
        </w:rPr>
        <w:t>A</w:t>
      </w:r>
      <w:r>
        <w:rPr/>
        <w:t>. </w:t>
      </w:r>
      <w:r>
        <w:rPr>
          <w:i/>
        </w:rPr>
        <w:t>salmonicida </w:t>
      </w:r>
      <w:r>
        <w:rPr/>
        <w:t>no móvil en salmónidos pueden tener una extensión de 10 mm de diámetro (Brocklebank, 1998) similar a lo observado en el presente trabajo. </w:t>
      </w:r>
      <w:r>
        <w:rPr>
          <w:spacing w:val="-3"/>
        </w:rPr>
        <w:t>La </w:t>
      </w:r>
      <w:r>
        <w:rPr/>
        <w:t>presencia de congestión vascular, vacuolización citoplasmática en los hepatocitos y la infiltración periportal de linfocitos, observada a la histopatología, concuerdan con lo observado en truchas arcoíris infectadas experimentalmente con </w:t>
      </w:r>
      <w:r>
        <w:rPr>
          <w:i/>
        </w:rPr>
        <w:t>A. salmonicida </w:t>
      </w:r>
      <w:r>
        <w:rPr/>
        <w:t>biotipo móvil (Kozińska,</w:t>
      </w:r>
      <w:r>
        <w:rPr>
          <w:spacing w:val="-9"/>
        </w:rPr>
        <w:t> </w:t>
      </w:r>
      <w:r>
        <w:rPr/>
        <w:t>2007).</w:t>
      </w:r>
    </w:p>
    <w:p>
      <w:pPr>
        <w:pStyle w:val="BodyText"/>
        <w:spacing w:line="480" w:lineRule="auto" w:before="10"/>
        <w:ind w:left="103" w:right="125" w:firstLine="707"/>
        <w:jc w:val="both"/>
      </w:pPr>
      <w:r>
        <w:rPr/>
        <w:t>El aislamiento de </w:t>
      </w:r>
      <w:r>
        <w:rPr>
          <w:i/>
        </w:rPr>
        <w:t>A</w:t>
      </w:r>
      <w:r>
        <w:rPr/>
        <w:t>. </w:t>
      </w:r>
      <w:r>
        <w:rPr>
          <w:i/>
        </w:rPr>
        <w:t>hydrophila </w:t>
      </w:r>
      <w:r>
        <w:rPr/>
        <w:t>en una trucha arcoíris en la cual se identificó macroscópicamente una úlcera en la base de la aleta ventral izquierda con presencia de edema</w:t>
      </w:r>
    </w:p>
    <w:p>
      <w:pPr>
        <w:spacing w:after="0" w:line="480" w:lineRule="auto"/>
        <w:jc w:val="both"/>
        <w:sectPr>
          <w:pgSz w:w="12240" w:h="15840"/>
          <w:pgMar w:header="0" w:footer="695" w:top="1080" w:bottom="940" w:left="1200" w:right="1180"/>
        </w:sectPr>
      </w:pPr>
    </w:p>
    <w:p>
      <w:pPr>
        <w:pStyle w:val="BodyText"/>
        <w:spacing w:line="480" w:lineRule="auto" w:before="44"/>
        <w:ind w:left="103" w:right="122"/>
        <w:jc w:val="both"/>
      </w:pPr>
      <w:r>
        <w:rPr/>
        <w:t>fueron consistentes con los resultados de Harikrishnan y colaboradores (2010), quienes observaron que al inocular intramuscularmente un aislamiento de </w:t>
      </w:r>
      <w:r>
        <w:rPr>
          <w:i/>
        </w:rPr>
        <w:t>A</w:t>
      </w:r>
      <w:r>
        <w:rPr/>
        <w:t>. </w:t>
      </w:r>
      <w:r>
        <w:rPr>
          <w:i/>
        </w:rPr>
        <w:t>hydrophila </w:t>
      </w:r>
      <w:r>
        <w:rPr/>
        <w:t>en peces dorados, se provocó el desarrollo de protuberancias hemorrágicas en dermis-músculo, lo que derivó a una extensa dermatitis ulcerativa con presencia de edema en la zona infectada.</w:t>
      </w:r>
    </w:p>
    <w:p>
      <w:pPr>
        <w:pStyle w:val="BodyText"/>
        <w:spacing w:line="480" w:lineRule="auto" w:before="10"/>
        <w:ind w:left="103" w:right="119" w:firstLine="707"/>
        <w:jc w:val="both"/>
      </w:pPr>
      <w:r>
        <w:rPr/>
        <w:t>Los hallazgos histopatológicos observados en branquias de todos los peces estudiados, incluyeron cambios en laminillas secundarias, con hiperplasia de las células epiteliales localizadas en la región basal y apical; pérdida de la arquitectura normal, con diferentes grados de severidad de distribución multifocal; así como telangiectasia y edema. Estas lesiones identificadas no están asociadas en su totalidad al género </w:t>
      </w:r>
      <w:r>
        <w:rPr>
          <w:i/>
        </w:rPr>
        <w:t>Aeromonas</w:t>
      </w:r>
      <w:r>
        <w:rPr/>
        <w:t>, ya que se ha reportado que factores ambientales como otros agentes en el medio acuático (tóxicos y otros patógenos) pueden ocasionar lesiones similares (Dymowska </w:t>
      </w:r>
      <w:r>
        <w:rPr>
          <w:i/>
        </w:rPr>
        <w:t>et al</w:t>
      </w:r>
      <w:r>
        <w:rPr/>
        <w:t>., 2012) y respuestas inespecíficas en laminillas secundarias (Harper &amp; Wolf 2009).</w:t>
      </w:r>
    </w:p>
    <w:p>
      <w:pPr>
        <w:pStyle w:val="BodyText"/>
        <w:spacing w:line="480" w:lineRule="auto" w:before="10"/>
        <w:ind w:left="103" w:right="121" w:firstLine="707"/>
        <w:jc w:val="both"/>
      </w:pPr>
      <w:r>
        <w:rPr/>
        <w:t>De manera similar, las especies </w:t>
      </w:r>
      <w:r>
        <w:rPr>
          <w:i/>
        </w:rPr>
        <w:t>A</w:t>
      </w:r>
      <w:r>
        <w:rPr/>
        <w:t>. </w:t>
      </w:r>
      <w:r>
        <w:rPr>
          <w:i/>
        </w:rPr>
        <w:t>salmonicida, A</w:t>
      </w:r>
      <w:r>
        <w:rPr/>
        <w:t>. </w:t>
      </w:r>
      <w:r>
        <w:rPr>
          <w:i/>
        </w:rPr>
        <w:t>veronii </w:t>
      </w:r>
      <w:r>
        <w:rPr/>
        <w:t>y </w:t>
      </w:r>
      <w:r>
        <w:rPr>
          <w:i/>
        </w:rPr>
        <w:t>A</w:t>
      </w:r>
      <w:r>
        <w:rPr/>
        <w:t>. </w:t>
      </w:r>
      <w:r>
        <w:rPr>
          <w:i/>
        </w:rPr>
        <w:t>hydrophila</w:t>
      </w:r>
      <w:r>
        <w:rPr/>
        <w:t>, identificadas genéticamente (Vega-Sánchez </w:t>
      </w:r>
      <w:r>
        <w:rPr>
          <w:i/>
        </w:rPr>
        <w:t>et al</w:t>
      </w:r>
      <w:r>
        <w:rPr/>
        <w:t>., 2014a), se han asociado con brotes importantes de enfermedad en peces de ornato y de cultivo con pérdidas económicas significativas en la acuicultura (Pridgeon  </w:t>
      </w:r>
      <w:r>
        <w:rPr>
          <w:i/>
        </w:rPr>
        <w:t>et al</w:t>
      </w:r>
      <w:r>
        <w:rPr/>
        <w:t>., 2001; Sreedharan </w:t>
      </w:r>
      <w:r>
        <w:rPr>
          <w:i/>
        </w:rPr>
        <w:t>et al</w:t>
      </w:r>
      <w:r>
        <w:rPr/>
        <w:t>., 2013). Los resultados obtenidos del análisis histopatológico confirman que diversas especies de </w:t>
      </w:r>
      <w:r>
        <w:rPr>
          <w:i/>
        </w:rPr>
        <w:t>Aeromonas </w:t>
      </w:r>
      <w:r>
        <w:rPr/>
        <w:t>tienen un potencial patogénico para la trucha arcoíris, asimismo los hallazgos patológicos descritos en el presente trabajo, fueron la base para estudios de virulencia de estas</w:t>
      </w:r>
      <w:r>
        <w:rPr>
          <w:spacing w:val="-6"/>
        </w:rPr>
        <w:t> </w:t>
      </w:r>
      <w:r>
        <w:rPr/>
        <w:t>especies.</w:t>
      </w:r>
    </w:p>
    <w:p>
      <w:pPr>
        <w:pStyle w:val="BodyText"/>
      </w:pPr>
    </w:p>
    <w:p>
      <w:pPr>
        <w:pStyle w:val="BodyText"/>
        <w:spacing w:before="10"/>
      </w:pPr>
    </w:p>
    <w:p>
      <w:pPr>
        <w:pStyle w:val="BodyText"/>
        <w:spacing w:line="480" w:lineRule="auto" w:before="1"/>
        <w:ind w:left="103" w:right="121" w:firstLine="707"/>
        <w:jc w:val="both"/>
      </w:pPr>
      <w:r>
        <w:rPr/>
        <w:t>El empleo de la trucha arcoíris como modelo de infección ha servido para diferentes patógenos, así como las diferentes vías de infección han sido empleadas para estudiar la patogénesis de </w:t>
      </w:r>
      <w:r>
        <w:rPr>
          <w:i/>
        </w:rPr>
        <w:t>Aeromonas </w:t>
      </w:r>
      <w:r>
        <w:rPr/>
        <w:t>spp. Los métodos empleados con mayor frecuencia para infectar  experimentalmente</w:t>
      </w:r>
    </w:p>
    <w:p>
      <w:pPr>
        <w:spacing w:after="0" w:line="480" w:lineRule="auto"/>
        <w:jc w:val="both"/>
        <w:sectPr>
          <w:pgSz w:w="12240" w:h="15840"/>
          <w:pgMar w:header="0" w:footer="695" w:top="1080" w:bottom="940" w:left="1200" w:right="1180"/>
        </w:sectPr>
      </w:pPr>
    </w:p>
    <w:p>
      <w:pPr>
        <w:pStyle w:val="BodyText"/>
        <w:spacing w:line="480" w:lineRule="auto" w:before="44"/>
        <w:ind w:left="103" w:right="159"/>
        <w:jc w:val="both"/>
      </w:pPr>
      <w:r>
        <w:rPr/>
        <w:t>a los peces son la vía subcutánea (Carraschi </w:t>
      </w:r>
      <w:r>
        <w:rPr>
          <w:i/>
        </w:rPr>
        <w:t>et al</w:t>
      </w:r>
      <w:r>
        <w:rPr/>
        <w:t>., 2012), vía intramuscular (Han </w:t>
      </w:r>
      <w:r>
        <w:rPr>
          <w:i/>
        </w:rPr>
        <w:t>et al</w:t>
      </w:r>
      <w:r>
        <w:rPr/>
        <w:t>., 2011) y la vía intraperitoneal (Lago </w:t>
      </w:r>
      <w:r>
        <w:rPr>
          <w:i/>
        </w:rPr>
        <w:t>et al</w:t>
      </w:r>
      <w:r>
        <w:rPr/>
        <w:t>., 2012). Sin embargo, éstos no son la vía natural de entrada de </w:t>
      </w:r>
      <w:r>
        <w:rPr>
          <w:i/>
        </w:rPr>
        <w:t>Aeromonas</w:t>
      </w:r>
      <w:r>
        <w:rPr/>
        <w:t>, como los son la cohabitación y el baño de inmersión (Pridgeon y Klesius, 2011). Investigaciones previas han empleado el baño de inmersión para la determinar la virulencia de aislamientos obtenidos de brotes (Pridgeon </w:t>
      </w:r>
      <w:r>
        <w:rPr>
          <w:i/>
        </w:rPr>
        <w:t>et al</w:t>
      </w:r>
      <w:r>
        <w:rPr/>
        <w:t>., 2011) así como la elaboración de vacunas (Villumsen y Raida, 2013).</w:t>
      </w:r>
    </w:p>
    <w:p>
      <w:pPr>
        <w:pStyle w:val="BodyText"/>
        <w:spacing w:line="480" w:lineRule="auto" w:before="10"/>
        <w:ind w:left="103" w:right="101" w:firstLine="707"/>
        <w:jc w:val="both"/>
      </w:pPr>
      <w:r>
        <w:rPr/>
        <w:t>En el presente trabajo, la infección experimental con </w:t>
      </w:r>
      <w:r>
        <w:rPr>
          <w:i/>
        </w:rPr>
        <w:t>A</w:t>
      </w:r>
      <w:r>
        <w:rPr/>
        <w:t>. </w:t>
      </w:r>
      <w:r>
        <w:rPr>
          <w:i/>
        </w:rPr>
        <w:t>salmonicida </w:t>
      </w:r>
      <w:r>
        <w:rPr/>
        <w:t>biotipo móvil en una  cría de trucha arcoíris ocasionó la presencia de hemorragias petequiales en la zona ventral y en la zona caudal del opérculo, las lesiones microscópicas incluyeron la presencia  de  formas cocobacilares que atraviesan la pared intestinal en el mismo pez. Esto concuerda con lo reportado   en brotes y en infecciones experimentales (Austin y Austin, 2007); estudios previos han demostrado que </w:t>
      </w:r>
      <w:r>
        <w:rPr>
          <w:i/>
        </w:rPr>
        <w:t>A</w:t>
      </w:r>
      <w:r>
        <w:rPr/>
        <w:t>. </w:t>
      </w:r>
      <w:r>
        <w:rPr>
          <w:i/>
        </w:rPr>
        <w:t>salmonicida </w:t>
      </w:r>
      <w:r>
        <w:rPr/>
        <w:t>puede traslocarse desde el lumen intestinal hasta el sistema circulatorio empleándolo como vía de entrada (Jutfelt </w:t>
      </w:r>
      <w:r>
        <w:rPr>
          <w:i/>
        </w:rPr>
        <w:t>et al</w:t>
      </w:r>
      <w:r>
        <w:rPr/>
        <w:t>., 2006) y diseminarse en el hospedero (Coscelli </w:t>
      </w:r>
      <w:r>
        <w:rPr>
          <w:i/>
        </w:rPr>
        <w:t>et al</w:t>
      </w:r>
      <w:r>
        <w:rPr/>
        <w:t>., 2014). Entre los principales factores que permiten la traslocación bacteriana se encuentran la alteración de la microflora, la reducción del aporte sanguíneo en el tejido y la disrupción de la  barrera intestinal mucosa, ocasionada en este caso por la producción de toxinas bacterianas (García de Lorenzo </w:t>
      </w:r>
      <w:r>
        <w:rPr>
          <w:i/>
        </w:rPr>
        <w:t>et al</w:t>
      </w:r>
      <w:r>
        <w:rPr/>
        <w:t>.,</w:t>
      </w:r>
      <w:r>
        <w:rPr>
          <w:spacing w:val="-4"/>
        </w:rPr>
        <w:t> </w:t>
      </w:r>
      <w:r>
        <w:rPr/>
        <w:t>2007).</w:t>
      </w:r>
    </w:p>
    <w:p>
      <w:pPr>
        <w:pStyle w:val="BodyText"/>
        <w:spacing w:line="480" w:lineRule="auto" w:before="10"/>
        <w:ind w:left="103" w:right="163" w:firstLine="707"/>
        <w:jc w:val="both"/>
      </w:pPr>
      <w:r>
        <w:rPr/>
        <w:t>Se observaron exoftalmia unilateral y hemorragias leves en el mismo ojo en un pez  infectado con </w:t>
      </w:r>
      <w:r>
        <w:rPr>
          <w:i/>
        </w:rPr>
        <w:t>A</w:t>
      </w:r>
      <w:r>
        <w:rPr/>
        <w:t>. </w:t>
      </w:r>
      <w:r>
        <w:rPr>
          <w:i/>
        </w:rPr>
        <w:t>Hydrophila. </w:t>
      </w:r>
      <w:r>
        <w:rPr/>
        <w:t>Las lesiones oculares causadas por la infección de </w:t>
      </w:r>
      <w:r>
        <w:rPr>
          <w:i/>
        </w:rPr>
        <w:t>Aeromonas </w:t>
      </w:r>
      <w:r>
        <w:rPr/>
        <w:t>han sido previamente reportadas en la trucha arcoíris (Fuentes y Pérez, 1998) y en carpa (</w:t>
      </w:r>
      <w:r>
        <w:rPr>
          <w:i/>
        </w:rPr>
        <w:t>Cyprinus </w:t>
      </w:r>
      <w:r>
        <w:rPr>
          <w:i/>
        </w:rPr>
        <w:t>carpio</w:t>
      </w:r>
      <w:r>
        <w:rPr/>
        <w:t>) (Ha </w:t>
      </w:r>
      <w:r>
        <w:rPr>
          <w:i/>
        </w:rPr>
        <w:t>et al</w:t>
      </w:r>
      <w:r>
        <w:rPr/>
        <w:t>., 2010). Estas lesiones oculares están asociadas con la entrada de agentes patógenos que  emplean  la ruta periorbital  para infectar  y diseminarse  en  el sistema </w:t>
      </w:r>
      <w:r>
        <w:rPr>
          <w:spacing w:val="36"/>
        </w:rPr>
        <w:t> </w:t>
      </w:r>
      <w:r>
        <w:rPr/>
        <w:t>circulatorio,</w:t>
      </w:r>
    </w:p>
    <w:p>
      <w:pPr>
        <w:spacing w:after="0" w:line="480" w:lineRule="auto"/>
        <w:jc w:val="both"/>
        <w:sectPr>
          <w:pgSz w:w="12240" w:h="15840"/>
          <w:pgMar w:header="0" w:footer="695" w:top="1080" w:bottom="940" w:left="1200" w:right="1140"/>
        </w:sectPr>
      </w:pPr>
    </w:p>
    <w:p>
      <w:pPr>
        <w:spacing w:line="480" w:lineRule="auto" w:before="44"/>
        <w:ind w:left="103" w:right="118" w:firstLine="0"/>
        <w:jc w:val="left"/>
        <w:rPr>
          <w:sz w:val="24"/>
        </w:rPr>
      </w:pPr>
      <w:r>
        <w:rPr>
          <w:sz w:val="24"/>
        </w:rPr>
        <w:t>como se ha reportado en un brote de </w:t>
      </w:r>
      <w:r>
        <w:rPr>
          <w:i/>
          <w:sz w:val="24"/>
        </w:rPr>
        <w:t>A</w:t>
      </w:r>
      <w:r>
        <w:rPr>
          <w:sz w:val="24"/>
        </w:rPr>
        <w:t>. </w:t>
      </w:r>
      <w:r>
        <w:rPr>
          <w:i/>
          <w:sz w:val="24"/>
        </w:rPr>
        <w:t>hydrophila </w:t>
      </w:r>
      <w:r>
        <w:rPr>
          <w:sz w:val="24"/>
        </w:rPr>
        <w:t>en un </w:t>
      </w:r>
      <w:r>
        <w:rPr>
          <w:spacing w:val="-3"/>
          <w:sz w:val="24"/>
        </w:rPr>
        <w:t>ayu </w:t>
      </w:r>
      <w:r>
        <w:rPr>
          <w:sz w:val="24"/>
        </w:rPr>
        <w:t>(</w:t>
      </w:r>
      <w:r>
        <w:rPr>
          <w:i/>
          <w:sz w:val="24"/>
        </w:rPr>
        <w:t>Plecoglossus altivelis</w:t>
      </w:r>
      <w:r>
        <w:rPr>
          <w:sz w:val="24"/>
        </w:rPr>
        <w:t>) (Miyazaki y Jo, 1985).</w:t>
      </w:r>
    </w:p>
    <w:p>
      <w:pPr>
        <w:pStyle w:val="BodyText"/>
        <w:spacing w:line="480" w:lineRule="auto" w:before="10"/>
        <w:ind w:left="103" w:right="119" w:firstLine="707"/>
        <w:jc w:val="both"/>
      </w:pPr>
      <w:r>
        <w:rPr/>
        <w:t>Las lesiones histológicas observadas en las branquias de todos los peces infectados experimentalmente con las especies </w:t>
      </w:r>
      <w:r>
        <w:rPr>
          <w:i/>
        </w:rPr>
        <w:t>A</w:t>
      </w:r>
      <w:r>
        <w:rPr/>
        <w:t>. </w:t>
      </w:r>
      <w:r>
        <w:rPr>
          <w:i/>
        </w:rPr>
        <w:t>hydrophila</w:t>
      </w:r>
      <w:r>
        <w:rPr/>
        <w:t>, </w:t>
      </w:r>
      <w:r>
        <w:rPr>
          <w:i/>
        </w:rPr>
        <w:t>A</w:t>
      </w:r>
      <w:r>
        <w:rPr/>
        <w:t>. </w:t>
      </w:r>
      <w:r>
        <w:rPr>
          <w:i/>
        </w:rPr>
        <w:t>salmonicida</w:t>
      </w:r>
      <w:r>
        <w:rPr/>
        <w:t>, </w:t>
      </w:r>
      <w:r>
        <w:rPr>
          <w:i/>
        </w:rPr>
        <w:t>A</w:t>
      </w:r>
      <w:r>
        <w:rPr/>
        <w:t>. </w:t>
      </w:r>
      <w:r>
        <w:rPr>
          <w:i/>
        </w:rPr>
        <w:t>bestiarum </w:t>
      </w:r>
      <w:r>
        <w:rPr/>
        <w:t>y </w:t>
      </w:r>
      <w:r>
        <w:rPr>
          <w:i/>
        </w:rPr>
        <w:t>A</w:t>
      </w:r>
      <w:r>
        <w:rPr/>
        <w:t>. </w:t>
      </w:r>
      <w:r>
        <w:rPr>
          <w:i/>
        </w:rPr>
        <w:t>veronii</w:t>
      </w:r>
      <w:r>
        <w:rPr/>
        <w:t>; fueron identificadas. Se observó congestión de laminillas secundarias, hiperplasia de las células epiteliales y levantamiento del epitelio branquial, en diferentes grados de severidad. Estas lesiones microscópicas ocasionaron un incremento en la distancia entre el agua y la sangre que circula por los capilares de las laminillas, ocasionando bajos niveles de oxígeno y en consecuencia la muerte de los individuos por asfixia (Speare </w:t>
      </w:r>
      <w:r>
        <w:rPr>
          <w:i/>
        </w:rPr>
        <w:t>et al.</w:t>
      </w:r>
      <w:r>
        <w:rPr/>
        <w:t>, 1989). Asimismo el aislamiento bacteriano de los peces infectados por inmersión en branquias, sugieren que estas especies en particular poseen la  capacidad de adherirse, colonizar y diseminarse por medio de los capilares a los órganos internos del hospedero, como ocurre en el caso de </w:t>
      </w:r>
      <w:r>
        <w:rPr>
          <w:i/>
        </w:rPr>
        <w:t>Yersinia ruckeri </w:t>
      </w:r>
      <w:r>
        <w:rPr/>
        <w:t>(Tobback </w:t>
      </w:r>
      <w:r>
        <w:rPr>
          <w:i/>
        </w:rPr>
        <w:t>et al.</w:t>
      </w:r>
      <w:r>
        <w:rPr/>
        <w:t>, 2009); y evitar los mecanismos de inmunidad no específica como el sistema del complemento y la producción de lisozimas en moco de branquias y piel (Rubio-Godoy </w:t>
      </w:r>
      <w:r>
        <w:rPr>
          <w:i/>
        </w:rPr>
        <w:t>et al</w:t>
      </w:r>
      <w:r>
        <w:rPr/>
        <w:t>.,</w:t>
      </w:r>
      <w:r>
        <w:rPr>
          <w:spacing w:val="-12"/>
        </w:rPr>
        <w:t> </w:t>
      </w:r>
      <w:r>
        <w:rPr/>
        <w:t>2010).</w:t>
      </w:r>
    </w:p>
    <w:p>
      <w:pPr>
        <w:pStyle w:val="BodyText"/>
      </w:pPr>
    </w:p>
    <w:p>
      <w:pPr>
        <w:pStyle w:val="BodyText"/>
        <w:spacing w:before="10"/>
      </w:pPr>
    </w:p>
    <w:p>
      <w:pPr>
        <w:pStyle w:val="BodyText"/>
        <w:spacing w:line="480" w:lineRule="auto"/>
        <w:ind w:left="103" w:right="118" w:firstLine="707"/>
        <w:jc w:val="both"/>
      </w:pPr>
      <w:r>
        <w:rPr/>
        <w:t>A la necropsia, los peces que presentaron mortalidad mostraron una congestión generalizada en hígado, con diferentes niveles de severidad, principalmente en los peces infectados con las especies </w:t>
      </w:r>
      <w:r>
        <w:rPr>
          <w:i/>
        </w:rPr>
        <w:t>A</w:t>
      </w:r>
      <w:r>
        <w:rPr/>
        <w:t>. </w:t>
      </w:r>
      <w:r>
        <w:rPr>
          <w:i/>
        </w:rPr>
        <w:t>salmonicida</w:t>
      </w:r>
      <w:r>
        <w:rPr/>
        <w:t>, </w:t>
      </w:r>
      <w:r>
        <w:rPr>
          <w:i/>
        </w:rPr>
        <w:t>A</w:t>
      </w:r>
      <w:r>
        <w:rPr/>
        <w:t>. </w:t>
      </w:r>
      <w:r>
        <w:rPr>
          <w:i/>
        </w:rPr>
        <w:t>hydrophila</w:t>
      </w:r>
      <w:r>
        <w:rPr/>
        <w:t>, </w:t>
      </w:r>
      <w:r>
        <w:rPr>
          <w:i/>
        </w:rPr>
        <w:t>A</w:t>
      </w:r>
      <w:r>
        <w:rPr/>
        <w:t>. </w:t>
      </w:r>
      <w:r>
        <w:rPr>
          <w:i/>
        </w:rPr>
        <w:t>veronii</w:t>
      </w:r>
      <w:r>
        <w:rPr/>
        <w:t>, </w:t>
      </w:r>
      <w:r>
        <w:rPr>
          <w:i/>
        </w:rPr>
        <w:t>A</w:t>
      </w:r>
      <w:r>
        <w:rPr/>
        <w:t>. </w:t>
      </w:r>
      <w:r>
        <w:rPr>
          <w:i/>
        </w:rPr>
        <w:t>bestiarum</w:t>
      </w:r>
      <w:r>
        <w:rPr/>
        <w:t>, </w:t>
      </w:r>
      <w:r>
        <w:rPr>
          <w:i/>
        </w:rPr>
        <w:t>A</w:t>
      </w:r>
      <w:r>
        <w:rPr/>
        <w:t>. </w:t>
      </w:r>
      <w:r>
        <w:rPr>
          <w:i/>
        </w:rPr>
        <w:t>sobria </w:t>
      </w:r>
      <w:r>
        <w:rPr/>
        <w:t>y </w:t>
      </w:r>
      <w:r>
        <w:rPr>
          <w:i/>
        </w:rPr>
        <w:t>A</w:t>
      </w:r>
      <w:r>
        <w:rPr/>
        <w:t>. </w:t>
      </w:r>
      <w:r>
        <w:rPr>
          <w:i/>
        </w:rPr>
        <w:t>caviae</w:t>
      </w:r>
      <w:r>
        <w:rPr/>
        <w:t>. Este signo interno ha sido observado en brotes ocasionados por </w:t>
      </w:r>
      <w:r>
        <w:rPr>
          <w:i/>
        </w:rPr>
        <w:t>A</w:t>
      </w:r>
      <w:r>
        <w:rPr/>
        <w:t>. </w:t>
      </w:r>
      <w:r>
        <w:rPr>
          <w:i/>
        </w:rPr>
        <w:t>hydrophila </w:t>
      </w:r>
      <w:r>
        <w:rPr/>
        <w:t>(Austin y Austin, 2007). De manera similar, se ha observado en infecciones experimentales; por ejemplo, en un estudio  realizado por Kozińska (2007), en el que se obtuvo el aislamiento de </w:t>
      </w:r>
      <w:r>
        <w:rPr>
          <w:i/>
        </w:rPr>
        <w:t>A</w:t>
      </w:r>
      <w:r>
        <w:rPr/>
        <w:t>. </w:t>
      </w:r>
      <w:r>
        <w:rPr>
          <w:i/>
        </w:rPr>
        <w:t>bestiarum </w:t>
      </w:r>
      <w:r>
        <w:rPr/>
        <w:t>y </w:t>
      </w:r>
      <w:r>
        <w:rPr>
          <w:i/>
        </w:rPr>
        <w:t>A</w:t>
      </w:r>
      <w:r>
        <w:rPr/>
        <w:t>. </w:t>
      </w:r>
      <w:r>
        <w:rPr>
          <w:i/>
        </w:rPr>
        <w:t>veronii </w:t>
      </w:r>
      <w:r>
        <w:rPr/>
        <w:t>biovariedad </w:t>
      </w:r>
      <w:r>
        <w:rPr>
          <w:i/>
        </w:rPr>
        <w:t>sobria </w:t>
      </w:r>
      <w:r>
        <w:rPr/>
        <w:t>obtenidas de truchas arcoíris  clínicamente sanas  y que fueron    </w:t>
      </w:r>
      <w:r>
        <w:rPr>
          <w:spacing w:val="2"/>
        </w:rPr>
        <w:t> </w:t>
      </w:r>
      <w:r>
        <w:rPr/>
        <w:t>utilizadas  para</w:t>
      </w:r>
    </w:p>
    <w:p>
      <w:pPr>
        <w:spacing w:after="0" w:line="480" w:lineRule="auto"/>
        <w:jc w:val="both"/>
        <w:sectPr>
          <w:pgSz w:w="12240" w:h="15840"/>
          <w:pgMar w:header="0" w:footer="695" w:top="1080" w:bottom="940" w:left="1200" w:right="1180"/>
        </w:sectPr>
      </w:pPr>
    </w:p>
    <w:p>
      <w:pPr>
        <w:pStyle w:val="BodyText"/>
        <w:spacing w:line="480" w:lineRule="auto" w:before="44"/>
        <w:ind w:left="103" w:right="123"/>
        <w:jc w:val="both"/>
      </w:pPr>
      <w:r>
        <w:rPr/>
        <w:t>realizar una infección experimental; demostró que estas especies son capaces de ocasionar congestión hepática y mortalidad en truchas arcoíris sanas.</w:t>
      </w:r>
    </w:p>
    <w:p>
      <w:pPr>
        <w:pStyle w:val="BodyText"/>
        <w:spacing w:line="480" w:lineRule="auto" w:before="10"/>
        <w:ind w:left="103" w:right="119" w:firstLine="707"/>
        <w:jc w:val="both"/>
      </w:pPr>
      <w:r>
        <w:rPr/>
        <w:t>En el presente estudio no se observaron en la histopatología formas cocobacillares en los tejidos hepáticos de los cuales se obtuvo aislamiento bacteriológico; esto sugiere que la replicación bacteriana en conjunto con la producción de productos extracelulares puede inducir cambios hemodinámicos, similares a los que se observan en el desarrollo de una septicemia (Rey </w:t>
      </w:r>
      <w:r>
        <w:rPr>
          <w:i/>
        </w:rPr>
        <w:t>et al</w:t>
      </w:r>
      <w:r>
        <w:rPr/>
        <w:t>., 2009). La ausencia de bacterias en tejido hepático concuerda con lo reportado por Farto y colaboradores (2011), quienes infectaron experimentalmente róbalos (</w:t>
      </w:r>
      <w:r>
        <w:rPr>
          <w:i/>
        </w:rPr>
        <w:t>Scophthalmus maximus</w:t>
      </w:r>
      <w:r>
        <w:rPr/>
        <w:t>)   con</w:t>
      </w:r>
    </w:p>
    <w:p>
      <w:pPr>
        <w:pStyle w:val="BodyText"/>
        <w:spacing w:line="480" w:lineRule="auto" w:before="10"/>
        <w:ind w:left="103" w:right="120"/>
        <w:jc w:val="both"/>
      </w:pPr>
      <w:r>
        <w:rPr>
          <w:i/>
        </w:rPr>
        <w:t>A</w:t>
      </w:r>
      <w:r>
        <w:rPr/>
        <w:t>. </w:t>
      </w:r>
      <w:r>
        <w:rPr>
          <w:i/>
        </w:rPr>
        <w:t>salmonicida </w:t>
      </w:r>
      <w:r>
        <w:rPr/>
        <w:t>subespecie </w:t>
      </w:r>
      <w:r>
        <w:rPr>
          <w:i/>
        </w:rPr>
        <w:t>salmonicida</w:t>
      </w:r>
      <w:r>
        <w:rPr/>
        <w:t>, y reportaron que el hígado y el riñón eran raramente colonizados por especies no virulentas, mientras que los aislamientos virulentos fueron capaces de evadir la respuesta inmune a través de  diferentes mecanismos.</w:t>
      </w:r>
    </w:p>
    <w:p>
      <w:pPr>
        <w:pStyle w:val="BodyText"/>
        <w:spacing w:line="480" w:lineRule="auto" w:before="10"/>
        <w:ind w:left="103" w:right="119" w:firstLine="707"/>
        <w:jc w:val="both"/>
      </w:pPr>
      <w:r>
        <w:rPr/>
        <w:t>En el presente trabajo de investigación se procuró en todo momento mantener las condiciones óptimas para todos los grupos de trabajo con el fin de minimizar el estrés. Los aislamientos obtenidos de hígado de los peces infectados con </w:t>
      </w:r>
      <w:r>
        <w:rPr>
          <w:i/>
        </w:rPr>
        <w:t>A</w:t>
      </w:r>
      <w:r>
        <w:rPr/>
        <w:t>. </w:t>
      </w:r>
      <w:r>
        <w:rPr>
          <w:i/>
        </w:rPr>
        <w:t>allosaccharophila</w:t>
      </w:r>
      <w:r>
        <w:rPr/>
        <w:t>, </w:t>
      </w:r>
      <w:r>
        <w:rPr>
          <w:i/>
        </w:rPr>
        <w:t>A</w:t>
      </w:r>
      <w:r>
        <w:rPr/>
        <w:t>. </w:t>
      </w:r>
      <w:r>
        <w:rPr>
          <w:i/>
        </w:rPr>
        <w:t>lusitana</w:t>
      </w:r>
      <w:r>
        <w:rPr/>
        <w:t>, </w:t>
      </w:r>
      <w:r>
        <w:rPr>
          <w:i/>
        </w:rPr>
        <w:t>A</w:t>
      </w:r>
      <w:r>
        <w:rPr/>
        <w:t>. </w:t>
      </w:r>
      <w:r>
        <w:rPr>
          <w:i/>
        </w:rPr>
        <w:t>popoffii </w:t>
      </w:r>
      <w:r>
        <w:rPr/>
        <w:t>y </w:t>
      </w:r>
      <w:r>
        <w:rPr>
          <w:i/>
        </w:rPr>
        <w:t>A</w:t>
      </w:r>
      <w:r>
        <w:rPr/>
        <w:t>. </w:t>
      </w:r>
      <w:r>
        <w:rPr>
          <w:i/>
        </w:rPr>
        <w:t>media</w:t>
      </w:r>
      <w:r>
        <w:rPr/>
        <w:t>, en los que no se presentó signología clínica indican una infección asintomática, como ha sido reportado por Hiney y colaboradores (1994) que realizaron estudios en salmón del atlántico y en trucha café (</w:t>
      </w:r>
      <w:r>
        <w:rPr>
          <w:i/>
        </w:rPr>
        <w:t>Salmo trutta</w:t>
      </w:r>
      <w:r>
        <w:rPr/>
        <w:t>), para detectar </w:t>
      </w:r>
      <w:r>
        <w:rPr>
          <w:i/>
        </w:rPr>
        <w:t>A</w:t>
      </w:r>
      <w:r>
        <w:rPr/>
        <w:t>. </w:t>
      </w:r>
      <w:r>
        <w:rPr>
          <w:i/>
        </w:rPr>
        <w:t>salmonicida </w:t>
      </w:r>
      <w:r>
        <w:rPr/>
        <w:t>en riñón de peces sanos mediante la aplicación de estrés, sus resultados demostraron el estrés hace más susceptible a los peces a desarrollar un cuadro clínico.</w:t>
      </w:r>
    </w:p>
    <w:p>
      <w:pPr>
        <w:pStyle w:val="BodyText"/>
      </w:pPr>
    </w:p>
    <w:p>
      <w:pPr>
        <w:pStyle w:val="BodyText"/>
        <w:spacing w:before="10"/>
      </w:pPr>
    </w:p>
    <w:p>
      <w:pPr>
        <w:pStyle w:val="BodyText"/>
        <w:spacing w:line="480" w:lineRule="auto" w:before="1"/>
        <w:ind w:left="103" w:right="121" w:firstLine="707"/>
        <w:jc w:val="both"/>
      </w:pPr>
      <w:r>
        <w:rPr/>
        <w:t>En el presente trabajo se obtuvieron aislamientos de las 10 diferentes especies de </w:t>
      </w:r>
      <w:r>
        <w:rPr>
          <w:i/>
        </w:rPr>
        <w:t>Aeromonas </w:t>
      </w:r>
      <w:r>
        <w:rPr/>
        <w:t>en tejido hepático, lo que sugiere una preferencia de la bacteria por dicho tejido. Investigaciones realizadas en humanos han demostrado que los pacientes que presenta problemas hepáticos son</w:t>
      </w:r>
    </w:p>
    <w:p>
      <w:pPr>
        <w:spacing w:after="0" w:line="480" w:lineRule="auto"/>
        <w:jc w:val="both"/>
        <w:sectPr>
          <w:pgSz w:w="12240" w:h="15840"/>
          <w:pgMar w:header="0" w:footer="695" w:top="1080" w:bottom="940" w:left="1200" w:right="1180"/>
        </w:sectPr>
      </w:pPr>
    </w:p>
    <w:p>
      <w:pPr>
        <w:pStyle w:val="BodyText"/>
        <w:spacing w:line="480" w:lineRule="auto" w:before="44"/>
        <w:ind w:left="103" w:right="119"/>
        <w:jc w:val="both"/>
      </w:pPr>
      <w:r>
        <w:rPr/>
        <w:t>susceptibles a la infección del género </w:t>
      </w:r>
      <w:r>
        <w:rPr>
          <w:i/>
        </w:rPr>
        <w:t>Aeromonas </w:t>
      </w:r>
      <w:r>
        <w:rPr/>
        <w:t>(Clark y Chenoweth, 2003). La infección de </w:t>
      </w:r>
      <w:r>
        <w:rPr>
          <w:i/>
        </w:rPr>
        <w:t>Aeromonas </w:t>
      </w:r>
      <w:r>
        <w:rPr/>
        <w:t>es adquirida a través del contacto de una herida con suelo contaminado o por consumo de agua contaminada, y se ha sugerido que la bacteria utiliza el tracto gastrointestinal para acceder al tracto biliar y diseminarse por la vía portal hepática (Ko y Chuang, 1995). En el presente trabajo, la exposición de los peces con las diferentes especies de </w:t>
      </w:r>
      <w:r>
        <w:rPr>
          <w:i/>
        </w:rPr>
        <w:t>Aeromonas </w:t>
      </w:r>
      <w:r>
        <w:rPr/>
        <w:t>por inmersión expuso directamente el tracto gastrointestinal y las branquias, lo que sugiere que la bacterias utilizaron ambas vía para diseminarse en el hospedero. Asimismo, un estudio realizado por Garduño y colaboradores (2000) demostró que </w:t>
      </w:r>
      <w:r>
        <w:rPr>
          <w:i/>
        </w:rPr>
        <w:t>A</w:t>
      </w:r>
      <w:r>
        <w:rPr/>
        <w:t>. </w:t>
      </w:r>
      <w:r>
        <w:rPr>
          <w:i/>
        </w:rPr>
        <w:t>salmonicida </w:t>
      </w:r>
      <w:r>
        <w:rPr/>
        <w:t>emplea la capa S (S-layer) para mediar la adherencia a células no fagocíticas; sin embargo, sugirió que es necesaria la interacción de receptores de superficie celular, lipopolisacáridos (LPS) y otros factores de invasión que no han sido</w:t>
      </w:r>
      <w:r>
        <w:rPr>
          <w:spacing w:val="-5"/>
        </w:rPr>
        <w:t> </w:t>
      </w:r>
      <w:r>
        <w:rPr/>
        <w:t>descubiertos.</w:t>
      </w:r>
    </w:p>
    <w:p>
      <w:pPr>
        <w:pStyle w:val="BodyText"/>
        <w:spacing w:line="480" w:lineRule="auto" w:before="10"/>
        <w:ind w:left="103" w:right="118" w:firstLine="707"/>
        <w:jc w:val="both"/>
      </w:pPr>
      <w:r>
        <w:rPr/>
        <w:t>El utilización de diferentes factores de virulencia en diferentes especies de </w:t>
      </w:r>
      <w:r>
        <w:rPr>
          <w:i/>
        </w:rPr>
        <w:t>Aeromonas </w:t>
      </w:r>
      <w:r>
        <w:rPr/>
        <w:t>presentan una gran diversidad, algunos factores disponibles para infectar al hospedero pueden estar presentes en algunos aislamientos, mientras que en otros no lo están (Tomás, 2012), asimismo la participación productos extracelulares, proteasas y lipasas son importantes para la virulencia de este género bacteriano (Janda y Abbott, 2010). Los resultados obtenidos en el presente trabajo de investigación sugieren que los factores de virulencia están involucrados en el desarrollo del cuadro patológico observado en los animales infectados experimentalmente. Por lo que, el análisis de los aislamientos mediante pruebas moleculares es necesario para esclarecer que factores de virulencia o mecanismos de patogenicidad están presentes.</w:t>
      </w:r>
    </w:p>
    <w:p>
      <w:pPr>
        <w:spacing w:after="0" w:line="480" w:lineRule="auto"/>
        <w:jc w:val="both"/>
        <w:sectPr>
          <w:pgSz w:w="12240" w:h="15840"/>
          <w:pgMar w:header="0" w:footer="695" w:top="1080" w:bottom="940" w:left="1200" w:right="1180"/>
        </w:sectPr>
      </w:pPr>
    </w:p>
    <w:p>
      <w:pPr>
        <w:pStyle w:val="Heading1"/>
        <w:ind w:right="99"/>
      </w:pPr>
      <w:r>
        <w:rPr/>
        <w:t>CONCLUSIÓN GENERAL</w:t>
      </w:r>
    </w:p>
    <w:p>
      <w:pPr>
        <w:pStyle w:val="BodyText"/>
        <w:rPr>
          <w:b/>
        </w:rPr>
      </w:pPr>
    </w:p>
    <w:p>
      <w:pPr>
        <w:pStyle w:val="BodyText"/>
        <w:rPr>
          <w:b/>
        </w:rPr>
      </w:pPr>
    </w:p>
    <w:p>
      <w:pPr>
        <w:pStyle w:val="BodyText"/>
        <w:spacing w:before="7"/>
        <w:rPr>
          <w:b/>
          <w:sz w:val="23"/>
        </w:rPr>
      </w:pPr>
    </w:p>
    <w:p>
      <w:pPr>
        <w:pStyle w:val="BodyText"/>
        <w:spacing w:line="480" w:lineRule="auto"/>
        <w:ind w:left="103" w:right="159" w:firstLine="707"/>
        <w:jc w:val="both"/>
      </w:pPr>
      <w:r>
        <w:rPr/>
        <w:t>El propósito del presente trabajo de investigación fue determinar la patogenicidad y virulencia de diferentes especies de </w:t>
      </w:r>
      <w:r>
        <w:rPr>
          <w:i/>
        </w:rPr>
        <w:t>Aeromonas</w:t>
      </w:r>
      <w:r>
        <w:rPr/>
        <w:t>, previamente identificadas que infectan a la trucha arcoíris, por medio de baño de inmersión el cual asemeja las condiciones naturales en las que puede infectarse un pez. Con los resultados obtenidos, se concluye que las especies de </w:t>
      </w:r>
      <w:r>
        <w:rPr>
          <w:i/>
        </w:rPr>
        <w:t>Aeromonas </w:t>
      </w:r>
      <w:r>
        <w:rPr/>
        <w:t>aisladas de procesos patológicos son más patogénicas y virulentas que las especies aisladas de peces sanos.</w:t>
      </w:r>
    </w:p>
    <w:p>
      <w:pPr>
        <w:pStyle w:val="BodyText"/>
      </w:pPr>
    </w:p>
    <w:p>
      <w:pPr>
        <w:pStyle w:val="BodyText"/>
        <w:spacing w:before="10"/>
      </w:pPr>
    </w:p>
    <w:p>
      <w:pPr>
        <w:pStyle w:val="BodyText"/>
        <w:spacing w:line="480" w:lineRule="auto" w:before="1"/>
        <w:ind w:left="103" w:right="99" w:firstLine="707"/>
        <w:jc w:val="both"/>
      </w:pPr>
      <w:r>
        <w:rPr/>
        <w:t>Las especies </w:t>
      </w:r>
      <w:r>
        <w:rPr>
          <w:i/>
        </w:rPr>
        <w:t>A</w:t>
      </w:r>
      <w:r>
        <w:rPr/>
        <w:t>. </w:t>
      </w:r>
      <w:r>
        <w:rPr>
          <w:i/>
        </w:rPr>
        <w:t>salmonicida</w:t>
      </w:r>
      <w:r>
        <w:rPr/>
        <w:t>, </w:t>
      </w:r>
      <w:r>
        <w:rPr>
          <w:i/>
        </w:rPr>
        <w:t>A</w:t>
      </w:r>
      <w:r>
        <w:rPr/>
        <w:t>. </w:t>
      </w:r>
      <w:r>
        <w:rPr>
          <w:i/>
        </w:rPr>
        <w:t>hydrophila</w:t>
      </w:r>
      <w:r>
        <w:rPr/>
        <w:t>, </w:t>
      </w:r>
      <w:r>
        <w:rPr>
          <w:i/>
        </w:rPr>
        <w:t>A</w:t>
      </w:r>
      <w:r>
        <w:rPr/>
        <w:t>. </w:t>
      </w:r>
      <w:r>
        <w:rPr>
          <w:i/>
        </w:rPr>
        <w:t>veronii </w:t>
      </w:r>
      <w:r>
        <w:rPr/>
        <w:t>y </w:t>
      </w:r>
      <w:r>
        <w:rPr>
          <w:i/>
        </w:rPr>
        <w:t>A</w:t>
      </w:r>
      <w:r>
        <w:rPr/>
        <w:t>. </w:t>
      </w:r>
      <w:r>
        <w:rPr>
          <w:i/>
        </w:rPr>
        <w:t>bestiarum </w:t>
      </w:r>
      <w:r>
        <w:rPr/>
        <w:t>son las más virulentas para las crías de truchas de arcoíris infectadas por baño de inmersión, ya que ocasionaron la presencia de signología clínica externa e indujeron los porcentajes de mortalidad más elevados, en contraste con las especies </w:t>
      </w:r>
      <w:r>
        <w:rPr>
          <w:i/>
        </w:rPr>
        <w:t>A</w:t>
      </w:r>
      <w:r>
        <w:rPr/>
        <w:t>. </w:t>
      </w:r>
      <w:r>
        <w:rPr>
          <w:i/>
        </w:rPr>
        <w:t>caviae </w:t>
      </w:r>
      <w:r>
        <w:rPr/>
        <w:t>y </w:t>
      </w:r>
      <w:r>
        <w:rPr>
          <w:i/>
        </w:rPr>
        <w:t>A</w:t>
      </w:r>
      <w:r>
        <w:rPr/>
        <w:t>. </w:t>
      </w:r>
      <w:r>
        <w:rPr>
          <w:i/>
        </w:rPr>
        <w:t>sobria</w:t>
      </w:r>
      <w:r>
        <w:rPr/>
        <w:t>, que poseen baja virulencia. Las especies </w:t>
      </w:r>
      <w:r>
        <w:rPr>
          <w:i/>
        </w:rPr>
        <w:t>A</w:t>
      </w:r>
      <w:r>
        <w:rPr/>
        <w:t>. </w:t>
      </w:r>
      <w:r>
        <w:rPr>
          <w:i/>
        </w:rPr>
        <w:t>lusitana</w:t>
      </w:r>
      <w:r>
        <w:rPr/>
        <w:t>,</w:t>
      </w:r>
    </w:p>
    <w:p>
      <w:pPr>
        <w:spacing w:line="480" w:lineRule="auto" w:before="10"/>
        <w:ind w:left="103" w:right="99" w:firstLine="0"/>
        <w:jc w:val="left"/>
        <w:rPr>
          <w:sz w:val="24"/>
        </w:rPr>
      </w:pPr>
      <w:r>
        <w:rPr>
          <w:i/>
          <w:sz w:val="24"/>
        </w:rPr>
        <w:t>A</w:t>
      </w:r>
      <w:r>
        <w:rPr>
          <w:sz w:val="24"/>
        </w:rPr>
        <w:t>. </w:t>
      </w:r>
      <w:r>
        <w:rPr>
          <w:i/>
          <w:sz w:val="24"/>
        </w:rPr>
        <w:t>allosaccharophila</w:t>
      </w:r>
      <w:r>
        <w:rPr>
          <w:sz w:val="24"/>
        </w:rPr>
        <w:t>, </w:t>
      </w:r>
      <w:r>
        <w:rPr>
          <w:i/>
          <w:sz w:val="24"/>
        </w:rPr>
        <w:t>A</w:t>
      </w:r>
      <w:r>
        <w:rPr>
          <w:sz w:val="24"/>
        </w:rPr>
        <w:t>. </w:t>
      </w:r>
      <w:r>
        <w:rPr>
          <w:i/>
          <w:sz w:val="24"/>
        </w:rPr>
        <w:t>popoffii </w:t>
      </w:r>
      <w:r>
        <w:rPr>
          <w:sz w:val="24"/>
        </w:rPr>
        <w:t>y </w:t>
      </w:r>
      <w:r>
        <w:rPr>
          <w:i/>
          <w:sz w:val="24"/>
        </w:rPr>
        <w:t>A</w:t>
      </w:r>
      <w:r>
        <w:rPr>
          <w:sz w:val="24"/>
        </w:rPr>
        <w:t>. </w:t>
      </w:r>
      <w:r>
        <w:rPr>
          <w:i/>
          <w:sz w:val="24"/>
        </w:rPr>
        <w:t>media </w:t>
      </w:r>
      <w:r>
        <w:rPr>
          <w:sz w:val="24"/>
        </w:rPr>
        <w:t>son avirulentas en comparación con las especies antes mencionadas.</w:t>
      </w:r>
    </w:p>
    <w:p>
      <w:pPr>
        <w:spacing w:after="0" w:line="480" w:lineRule="auto"/>
        <w:jc w:val="left"/>
        <w:rPr>
          <w:sz w:val="24"/>
        </w:rPr>
        <w:sectPr>
          <w:pgSz w:w="12240" w:h="15840"/>
          <w:pgMar w:header="0" w:footer="695" w:top="1080" w:bottom="940" w:left="1200" w:right="1140"/>
        </w:sectPr>
      </w:pPr>
    </w:p>
    <w:p>
      <w:pPr>
        <w:pStyle w:val="Heading1"/>
        <w:ind w:right="118"/>
      </w:pPr>
      <w:r>
        <w:rPr/>
        <w:t>REFERENCIAS BIBLIOGRÁFICAS</w:t>
      </w:r>
    </w:p>
    <w:p>
      <w:pPr>
        <w:pStyle w:val="BodyText"/>
        <w:rPr>
          <w:b/>
        </w:rPr>
      </w:pPr>
    </w:p>
    <w:p>
      <w:pPr>
        <w:pStyle w:val="BodyText"/>
        <w:rPr>
          <w:b/>
        </w:rPr>
      </w:pPr>
    </w:p>
    <w:p>
      <w:pPr>
        <w:pStyle w:val="BodyText"/>
        <w:spacing w:before="7"/>
        <w:rPr>
          <w:b/>
          <w:sz w:val="23"/>
        </w:rPr>
      </w:pPr>
    </w:p>
    <w:p>
      <w:pPr>
        <w:pStyle w:val="BodyText"/>
        <w:spacing w:line="480" w:lineRule="auto"/>
        <w:ind w:left="811" w:right="125" w:hanging="708"/>
        <w:jc w:val="both"/>
      </w:pPr>
      <w:r>
        <w:rPr/>
        <w:t>Aguilera-Arreola MG, Hernández-Rodríguez CH, Castro- Escarpulli G. Molecular and phenotypic characterization of </w:t>
      </w:r>
      <w:r>
        <w:rPr>
          <w:i/>
        </w:rPr>
        <w:t>A</w:t>
      </w:r>
      <w:r>
        <w:rPr/>
        <w:t>. </w:t>
      </w:r>
      <w:r>
        <w:rPr>
          <w:i/>
        </w:rPr>
        <w:t>hydrophila</w:t>
      </w:r>
      <w:r>
        <w:rPr/>
        <w:t>-like HG3 strain isolated of an infant with diarrhea in Mexico. Bioquimia. 2009; 34: 183-189.</w:t>
      </w:r>
    </w:p>
    <w:p>
      <w:pPr>
        <w:pStyle w:val="BodyText"/>
        <w:spacing w:line="480" w:lineRule="auto" w:before="10"/>
        <w:ind w:left="811" w:right="126" w:hanging="708"/>
        <w:jc w:val="both"/>
      </w:pPr>
      <w:r>
        <w:rPr/>
        <w:t>Austin B y Austin DA. Bacterial fish pathogens, diseases of farmed and wild fish. 4ta. Chichester, UK: Praxis Publishing Ltd, 2007: 81-99.</w:t>
      </w:r>
    </w:p>
    <w:p>
      <w:pPr>
        <w:pStyle w:val="BodyText"/>
        <w:spacing w:line="480" w:lineRule="auto" w:before="11"/>
        <w:ind w:left="811" w:right="124" w:hanging="708"/>
        <w:jc w:val="both"/>
      </w:pPr>
      <w:r>
        <w:rPr/>
        <w:t>Aydin S, Ciltas A. Systemic Infections of </w:t>
      </w:r>
      <w:r>
        <w:rPr>
          <w:i/>
        </w:rPr>
        <w:t>Aeromonas hydrophila </w:t>
      </w:r>
      <w:r>
        <w:rPr/>
        <w:t>in rainbow trout (</w:t>
      </w:r>
      <w:r>
        <w:rPr>
          <w:i/>
        </w:rPr>
        <w:t>Oncorhynchus </w:t>
      </w:r>
      <w:r>
        <w:rPr>
          <w:i/>
        </w:rPr>
        <w:t>mykiss </w:t>
      </w:r>
      <w:r>
        <w:rPr/>
        <w:t>Walbaum): gross pathology, bacteriology, clinical pathology, histopathology and chemotherapy. Int J Anim Vet Adv. 2004; 12: 810-819.</w:t>
      </w:r>
    </w:p>
    <w:p>
      <w:pPr>
        <w:pStyle w:val="BodyText"/>
        <w:spacing w:line="480" w:lineRule="auto" w:before="10"/>
        <w:ind w:left="811" w:right="124" w:hanging="708"/>
        <w:jc w:val="both"/>
      </w:pPr>
      <w:r>
        <w:rPr/>
        <w:t>Beaz-Hidalgo R, Latif-Eugenín F, Hossain MJ, Berg K, Niemi RM, Rapala J, Lyra C, Liles MR, Figueras MJ. </w:t>
      </w:r>
      <w:r>
        <w:rPr>
          <w:i/>
        </w:rPr>
        <w:t>Aeromonas aquatica </w:t>
      </w:r>
      <w:r>
        <w:rPr/>
        <w:t>sp. nov., </w:t>
      </w:r>
      <w:r>
        <w:rPr>
          <w:i/>
        </w:rPr>
        <w:t>Aeromonas finlandiensis </w:t>
      </w:r>
      <w:r>
        <w:rPr/>
        <w:t>sp. nov. and </w:t>
      </w:r>
      <w:r>
        <w:rPr>
          <w:i/>
        </w:rPr>
        <w:t>Aeromonas lacus </w:t>
      </w:r>
      <w:r>
        <w:rPr/>
        <w:t>sp. nov. isolated from Finnish waters associated with cyanobacterial blooms. Syst Appl Microbiol. 2015; 38: 161-168.</w:t>
      </w:r>
    </w:p>
    <w:p>
      <w:pPr>
        <w:spacing w:line="480" w:lineRule="auto" w:before="10"/>
        <w:ind w:left="811" w:right="120" w:hanging="708"/>
        <w:jc w:val="both"/>
        <w:rPr>
          <w:sz w:val="24"/>
        </w:rPr>
      </w:pPr>
      <w:r>
        <w:rPr>
          <w:sz w:val="24"/>
        </w:rPr>
        <w:t>Beaz-Hidalgo R, Martínez-Murcia A, Figueras MJ. Reclassification of </w:t>
      </w:r>
      <w:r>
        <w:rPr>
          <w:i/>
          <w:sz w:val="24"/>
        </w:rPr>
        <w:t>Aeromonas hydrophila </w:t>
      </w:r>
      <w:r>
        <w:rPr>
          <w:sz w:val="24"/>
        </w:rPr>
        <w:t>subsp. </w:t>
      </w:r>
      <w:r>
        <w:rPr>
          <w:i/>
          <w:sz w:val="24"/>
        </w:rPr>
        <w:t>dhakensis </w:t>
      </w:r>
      <w:r>
        <w:rPr>
          <w:sz w:val="24"/>
        </w:rPr>
        <w:t>Huys et al. 2002 and </w:t>
      </w:r>
      <w:r>
        <w:rPr>
          <w:i/>
          <w:sz w:val="24"/>
        </w:rPr>
        <w:t>Aeromonas aquariorum </w:t>
      </w:r>
      <w:r>
        <w:rPr>
          <w:sz w:val="24"/>
        </w:rPr>
        <w:t>Martínez-Murcia et al. 2008 as </w:t>
      </w:r>
      <w:r>
        <w:rPr>
          <w:i/>
          <w:sz w:val="24"/>
        </w:rPr>
        <w:t>Aeromonas dhakensis </w:t>
      </w:r>
      <w:r>
        <w:rPr>
          <w:sz w:val="24"/>
        </w:rPr>
        <w:t>sp. nov. comb. nov. and emendation of the species </w:t>
      </w:r>
      <w:r>
        <w:rPr>
          <w:i/>
          <w:sz w:val="24"/>
        </w:rPr>
        <w:t>Aeromonas </w:t>
      </w:r>
      <w:r>
        <w:rPr>
          <w:i/>
          <w:sz w:val="24"/>
        </w:rPr>
        <w:t>hydrophila</w:t>
      </w:r>
      <w:r>
        <w:rPr>
          <w:sz w:val="24"/>
        </w:rPr>
        <w:t>. Syst Appl Microbiol. 2013; 36:171-176.</w:t>
      </w:r>
    </w:p>
    <w:p>
      <w:pPr>
        <w:spacing w:line="480" w:lineRule="auto" w:before="10"/>
        <w:ind w:left="811" w:right="119" w:hanging="708"/>
        <w:jc w:val="both"/>
        <w:rPr>
          <w:sz w:val="24"/>
        </w:rPr>
      </w:pPr>
      <w:r>
        <w:rPr>
          <w:sz w:val="24"/>
        </w:rPr>
        <w:t>Brocklebank JR. Ulcerative dermatitis caused by </w:t>
      </w:r>
      <w:r>
        <w:rPr>
          <w:i/>
          <w:sz w:val="24"/>
        </w:rPr>
        <w:t>Aeromonas salmonicida </w:t>
      </w:r>
      <w:r>
        <w:rPr>
          <w:sz w:val="24"/>
        </w:rPr>
        <w:t>spp. </w:t>
      </w:r>
      <w:r>
        <w:rPr>
          <w:i/>
          <w:sz w:val="24"/>
        </w:rPr>
        <w:t>salmonicida </w:t>
      </w:r>
      <w:r>
        <w:rPr>
          <w:sz w:val="24"/>
        </w:rPr>
        <w:t>in farmed Atlantic salmon in British Columbia. Can Vet J. 1998; 39: 110.</w:t>
      </w:r>
    </w:p>
    <w:p>
      <w:pPr>
        <w:pStyle w:val="BodyText"/>
        <w:spacing w:line="480" w:lineRule="auto" w:before="10"/>
        <w:ind w:left="811" w:right="119" w:hanging="708"/>
        <w:jc w:val="both"/>
      </w:pPr>
      <w:r>
        <w:rPr/>
        <w:t>Buller NB. Bacteria from fish and other aquatic animals, a practical identification manual. USA. CABI publishing, 2004: 75-77.</w:t>
      </w:r>
    </w:p>
    <w:p>
      <w:pPr>
        <w:spacing w:after="0" w:line="480" w:lineRule="auto"/>
        <w:jc w:val="both"/>
        <w:sectPr>
          <w:pgSz w:w="12240" w:h="15840"/>
          <w:pgMar w:header="0" w:footer="695" w:top="1080" w:bottom="940" w:left="1200" w:right="1180"/>
        </w:sectPr>
      </w:pPr>
    </w:p>
    <w:p>
      <w:pPr>
        <w:pStyle w:val="BodyText"/>
        <w:spacing w:line="480" w:lineRule="auto" w:before="44"/>
        <w:ind w:left="811" w:right="122" w:hanging="708"/>
        <w:jc w:val="both"/>
      </w:pPr>
      <w:r>
        <w:rPr/>
        <w:t>Carraschi SP, Da Cruz C, Gonçalves JMN, Ruas de Moraes F, Durival ORJ, Nader AN, Lucas NB. Evaluation of experimental infection with </w:t>
      </w:r>
      <w:r>
        <w:rPr>
          <w:i/>
        </w:rPr>
        <w:t>Aeromonas hydrophila </w:t>
      </w:r>
      <w:r>
        <w:rPr/>
        <w:t>in pacu (</w:t>
      </w:r>
      <w:r>
        <w:rPr>
          <w:i/>
        </w:rPr>
        <w:t>Piaractus </w:t>
      </w:r>
      <w:r>
        <w:rPr>
          <w:i/>
        </w:rPr>
        <w:t>mesopotamicus</w:t>
      </w:r>
      <w:r>
        <w:rPr/>
        <w:t>) (Holmberg, 1887)*. Int J Fish Aquaculture. 2012; 4: 81-84.</w:t>
      </w:r>
    </w:p>
    <w:p>
      <w:pPr>
        <w:pStyle w:val="BodyText"/>
        <w:spacing w:line="480" w:lineRule="auto" w:before="10"/>
        <w:ind w:left="811" w:right="122" w:hanging="708"/>
        <w:jc w:val="both"/>
      </w:pPr>
      <w:r>
        <w:rPr/>
        <w:t>Castro-Escarpulli G, Aguilera-Arreola MG, Hernández-Rodríguez CH, Arteaga-Caribay NI, Carmona-Martínez AA, Peréz-Valdespino A. La identificación genética de </w:t>
      </w:r>
      <w:r>
        <w:rPr>
          <w:i/>
        </w:rPr>
        <w:t>Aeromonas </w:t>
      </w:r>
      <w:r>
        <w:rPr/>
        <w:t>una realidad y una necesidad en la microbiología diagnóstica. Bioquimia. 2003a; 28: 11-18.</w:t>
      </w:r>
    </w:p>
    <w:p>
      <w:pPr>
        <w:pStyle w:val="BodyText"/>
        <w:spacing w:line="480" w:lineRule="auto" w:before="10"/>
        <w:ind w:left="811" w:right="129" w:hanging="708"/>
        <w:jc w:val="both"/>
      </w:pPr>
      <w:r>
        <w:rPr/>
        <w:t>Clark NM, Chenoweth CE. </w:t>
      </w:r>
      <w:r>
        <w:rPr>
          <w:i/>
        </w:rPr>
        <w:t>Aeromonas </w:t>
      </w:r>
      <w:r>
        <w:rPr/>
        <w:t>infection of the hepatobiliary system: report of 15 cases and review of the literature. Clin Infect Dis. 2003; 37: 506- 513.</w:t>
      </w:r>
    </w:p>
    <w:p>
      <w:pPr>
        <w:pStyle w:val="BodyText"/>
        <w:spacing w:line="480" w:lineRule="auto" w:before="10"/>
        <w:ind w:left="811" w:right="126" w:hanging="708"/>
        <w:jc w:val="both"/>
      </w:pPr>
      <w:r>
        <w:rPr/>
        <w:t>CONAPESCA. Registro y estadística pesquera y acuícola. Consulta específica por especie: SAGARPA. Base de datos, 08/10/ 2015 [Citado 08de octubre, 2015]. Disponible en: URL: </w:t>
      </w:r>
      <w:hyperlink r:id="rId25">
        <w:r>
          <w:rPr>
            <w:color w:val="0000FF"/>
            <w:u w:val="single" w:color="0000FF"/>
          </w:rPr>
          <w:t>http://www.conapesca.sagarpa.gob.mx</w:t>
        </w:r>
      </w:hyperlink>
    </w:p>
    <w:p>
      <w:pPr>
        <w:pStyle w:val="BodyText"/>
        <w:spacing w:line="480" w:lineRule="auto" w:before="10"/>
        <w:ind w:left="811" w:right="119" w:hanging="708"/>
        <w:jc w:val="both"/>
      </w:pPr>
      <w:r>
        <w:rPr/>
        <w:t>Coscelli GA, Bermúdez, Losada AP, Faílde LD, Saltos Y, Quiroga MI. Acute </w:t>
      </w:r>
      <w:r>
        <w:rPr>
          <w:i/>
        </w:rPr>
        <w:t>Aeromonas </w:t>
      </w:r>
      <w:r>
        <w:rPr>
          <w:i/>
        </w:rPr>
        <w:t>salmonicida </w:t>
      </w:r>
      <w:r>
        <w:rPr/>
        <w:t>infection in turbot (</w:t>
      </w:r>
      <w:r>
        <w:rPr>
          <w:i/>
        </w:rPr>
        <w:t>Scophthalmus maximus </w:t>
      </w:r>
      <w:r>
        <w:rPr/>
        <w:t>L.) histopathological and immunohistochemical studies. Aquaculture. 2014; 430: 79-85.</w:t>
      </w:r>
    </w:p>
    <w:p>
      <w:pPr>
        <w:pStyle w:val="BodyText"/>
        <w:spacing w:line="480" w:lineRule="auto" w:before="10"/>
        <w:ind w:left="811" w:right="123" w:hanging="708"/>
        <w:jc w:val="both"/>
      </w:pPr>
      <w:r>
        <w:rPr/>
        <w:t>Dror M, Sinyakov MS, Okum E, Dym M, Sredni B, Avtalion RR. Experimental handling stress as infection- facilitating factor for the goldfish ulcerative disease. Vet Immunol Immunopathol. 2006; 109: 279-287.</w:t>
      </w:r>
    </w:p>
    <w:p>
      <w:pPr>
        <w:pStyle w:val="BodyText"/>
        <w:spacing w:line="480" w:lineRule="auto" w:before="10"/>
        <w:ind w:left="811" w:right="123" w:hanging="708"/>
        <w:jc w:val="both"/>
      </w:pPr>
      <w:r>
        <w:rPr/>
        <w:t>García de Lorenzo AM, Acosta JE, Rodríguez JAM. Importancia clínica de la translocación bacteriana. Nutr Hosp. 2007; 22: 50-55.</w:t>
      </w:r>
    </w:p>
    <w:p>
      <w:pPr>
        <w:pStyle w:val="BodyText"/>
        <w:spacing w:line="480" w:lineRule="auto" w:before="11"/>
        <w:ind w:left="811" w:right="120" w:hanging="708"/>
        <w:jc w:val="both"/>
      </w:pPr>
      <w:r>
        <w:rPr/>
        <w:t>Garduño RA, Moore AR, Olivier G, Lizama AL, Garduño E, Kay WW. Host cell invasión and intracelular residence by </w:t>
      </w:r>
      <w:r>
        <w:rPr>
          <w:i/>
        </w:rPr>
        <w:t>Aeromonas salmonicida</w:t>
      </w:r>
      <w:r>
        <w:rPr/>
        <w:t>: role of the S-layer. Can J Microbiol.  2000; 46:</w:t>
      </w:r>
      <w:r>
        <w:rPr>
          <w:spacing w:val="-1"/>
        </w:rPr>
        <w:t> </w:t>
      </w:r>
      <w:r>
        <w:rPr/>
        <w:t>660-668.</w:t>
      </w:r>
    </w:p>
    <w:p>
      <w:pPr>
        <w:spacing w:after="0" w:line="480" w:lineRule="auto"/>
        <w:jc w:val="both"/>
        <w:sectPr>
          <w:pgSz w:w="12240" w:h="15840"/>
          <w:pgMar w:header="0" w:footer="695" w:top="1080" w:bottom="940" w:left="1200" w:right="1180"/>
        </w:sectPr>
      </w:pPr>
    </w:p>
    <w:p>
      <w:pPr>
        <w:spacing w:line="480" w:lineRule="auto" w:before="44"/>
        <w:ind w:left="811" w:right="125" w:hanging="708"/>
        <w:jc w:val="both"/>
        <w:rPr>
          <w:sz w:val="24"/>
        </w:rPr>
      </w:pPr>
      <w:r>
        <w:rPr>
          <w:sz w:val="24"/>
        </w:rPr>
        <w:t>Goldschmidt-Clermont E, Hochwartner O, Demarta A, Caminada AP, Frey J. Outbreaks of an ulcerative and haemorrhagic disease in arctic char </w:t>
      </w:r>
      <w:r>
        <w:rPr>
          <w:i/>
          <w:sz w:val="24"/>
        </w:rPr>
        <w:t>Salvelinus alpinus </w:t>
      </w:r>
      <w:r>
        <w:rPr>
          <w:sz w:val="24"/>
        </w:rPr>
        <w:t>caused by </w:t>
      </w:r>
      <w:r>
        <w:rPr>
          <w:i/>
          <w:sz w:val="24"/>
        </w:rPr>
        <w:t>Aeromonas </w:t>
      </w:r>
      <w:r>
        <w:rPr>
          <w:i/>
          <w:sz w:val="24"/>
        </w:rPr>
        <w:t>salmonicida </w:t>
      </w:r>
      <w:r>
        <w:rPr>
          <w:sz w:val="24"/>
        </w:rPr>
        <w:t>subsp. </w:t>
      </w:r>
      <w:r>
        <w:rPr>
          <w:i/>
          <w:sz w:val="24"/>
        </w:rPr>
        <w:t>smithia</w:t>
      </w:r>
      <w:r>
        <w:rPr>
          <w:sz w:val="24"/>
        </w:rPr>
        <w:t>. Dis Aquat Organ. 2009; 86: 81-86.</w:t>
      </w:r>
    </w:p>
    <w:p>
      <w:pPr>
        <w:pStyle w:val="BodyText"/>
        <w:spacing w:line="480" w:lineRule="auto" w:before="10"/>
        <w:ind w:left="811" w:right="120" w:hanging="708"/>
        <w:jc w:val="both"/>
      </w:pPr>
      <w:r>
        <w:rPr/>
        <w:t>Gordon L, Cloeckaert A, Benoît D, Schwarz S, Bouju-Albert A, Jean-Pierre G, Le Bris H, Le Flèche-Matéos A, Giraud E. Complete sequence of the </w:t>
      </w:r>
      <w:r>
        <w:rPr>
          <w:i/>
        </w:rPr>
        <w:t>floR</w:t>
      </w:r>
      <w:r>
        <w:rPr/>
        <w:t>-carrying multiresistance  plasmid pAB5S9 from freshwater </w:t>
      </w:r>
      <w:r>
        <w:rPr>
          <w:i/>
        </w:rPr>
        <w:t>Aeromonas bestiarum</w:t>
      </w:r>
      <w:r>
        <w:rPr/>
        <w:t>. J Antimicrob Chemother. 2008;  62:</w:t>
      </w:r>
      <w:r>
        <w:rPr>
          <w:spacing w:val="-1"/>
        </w:rPr>
        <w:t> </w:t>
      </w:r>
      <w:r>
        <w:rPr/>
        <w:t>65-71.</w:t>
      </w:r>
    </w:p>
    <w:p>
      <w:pPr>
        <w:pStyle w:val="BodyText"/>
        <w:spacing w:line="480" w:lineRule="auto" w:before="11"/>
        <w:ind w:left="811" w:right="118" w:hanging="708"/>
        <w:jc w:val="both"/>
      </w:pPr>
      <w:r>
        <w:rPr/>
        <w:t>Guevara DJM, Huamaní C, Zerpa R, Valencia E, José MM, Guevara G, Anaya M. </w:t>
      </w:r>
      <w:r>
        <w:rPr>
          <w:i/>
        </w:rPr>
        <w:t>Aeromonas </w:t>
      </w:r>
      <w:r>
        <w:rPr/>
        <w:t>en la diarrhea aguda de niños menores de 5 años. An Fac Med. 2002; 63: 41-45.</w:t>
      </w:r>
    </w:p>
    <w:p>
      <w:pPr>
        <w:spacing w:line="480" w:lineRule="auto" w:before="10"/>
        <w:ind w:left="811" w:right="122" w:hanging="708"/>
        <w:jc w:val="both"/>
        <w:rPr>
          <w:sz w:val="24"/>
        </w:rPr>
      </w:pPr>
      <w:r>
        <w:rPr>
          <w:sz w:val="24"/>
        </w:rPr>
        <w:t>Ha JY, Jo JH, Jun, HK, Gu SK, Woo SP. First report of </w:t>
      </w:r>
      <w:r>
        <w:rPr>
          <w:i/>
          <w:sz w:val="24"/>
        </w:rPr>
        <w:t>Aeromonas veronii </w:t>
      </w:r>
      <w:r>
        <w:rPr>
          <w:sz w:val="24"/>
        </w:rPr>
        <w:t>infection in farmed Israeli carp </w:t>
      </w:r>
      <w:r>
        <w:rPr>
          <w:i/>
          <w:sz w:val="24"/>
        </w:rPr>
        <w:t>Cyprinus carpio </w:t>
      </w:r>
      <w:r>
        <w:rPr>
          <w:sz w:val="24"/>
        </w:rPr>
        <w:t>in Korea. J Fish Pathol. 2010; 23: 165-176.</w:t>
      </w:r>
    </w:p>
    <w:p>
      <w:pPr>
        <w:spacing w:line="480" w:lineRule="auto" w:before="10"/>
        <w:ind w:left="1236" w:right="119" w:hanging="1133"/>
        <w:jc w:val="both"/>
        <w:rPr>
          <w:sz w:val="24"/>
        </w:rPr>
      </w:pPr>
      <w:r>
        <w:rPr>
          <w:sz w:val="24"/>
        </w:rPr>
        <w:t>Han H-J, Kim D-Y, Kim W-S, Jung S-J, Oh M-J, Kim D-H (2011) Atypical </w:t>
      </w:r>
      <w:r>
        <w:rPr>
          <w:i/>
          <w:sz w:val="24"/>
        </w:rPr>
        <w:t>Aeromonas </w:t>
      </w:r>
      <w:r>
        <w:rPr>
          <w:i/>
          <w:sz w:val="24"/>
        </w:rPr>
        <w:t>salmonicida </w:t>
      </w:r>
      <w:r>
        <w:rPr>
          <w:sz w:val="24"/>
        </w:rPr>
        <w:t>infection in the black rockfish, </w:t>
      </w:r>
      <w:r>
        <w:rPr>
          <w:i/>
          <w:sz w:val="24"/>
        </w:rPr>
        <w:t>Sebastes schlegeli Hilgendorf</w:t>
      </w:r>
      <w:r>
        <w:rPr>
          <w:sz w:val="24"/>
        </w:rPr>
        <w:t>, in Korea. J Fish Dis. 2011; 34:</w:t>
      </w:r>
      <w:r>
        <w:rPr>
          <w:spacing w:val="-4"/>
          <w:sz w:val="24"/>
        </w:rPr>
        <w:t> </w:t>
      </w:r>
      <w:r>
        <w:rPr>
          <w:sz w:val="24"/>
        </w:rPr>
        <w:t>47-55.</w:t>
      </w:r>
    </w:p>
    <w:p>
      <w:pPr>
        <w:pStyle w:val="BodyText"/>
        <w:spacing w:line="480" w:lineRule="auto" w:before="10"/>
        <w:ind w:left="811" w:right="119" w:hanging="708"/>
        <w:jc w:val="both"/>
      </w:pPr>
      <w:r>
        <w:rPr/>
        <w:t>Harikrishnan R, Balasundaram C, Moon YG, Kim MC, Kim JS, Dharaneedharan S, Heo MS. Phytotherapy of ulcerative dermatitis induced by </w:t>
      </w:r>
      <w:r>
        <w:rPr>
          <w:i/>
        </w:rPr>
        <w:t>Aeromonas hydrophila </w:t>
      </w:r>
      <w:r>
        <w:rPr/>
        <w:t>infection in  goldfish (</w:t>
      </w:r>
      <w:r>
        <w:rPr>
          <w:i/>
        </w:rPr>
        <w:t>Carassius auratus</w:t>
      </w:r>
      <w:r>
        <w:rPr/>
        <w:t>). Acta Vet Hung. 2010; 58:</w:t>
      </w:r>
      <w:r>
        <w:rPr>
          <w:spacing w:val="-9"/>
        </w:rPr>
        <w:t> </w:t>
      </w:r>
      <w:r>
        <w:rPr/>
        <w:t>29-37.</w:t>
      </w:r>
    </w:p>
    <w:p>
      <w:pPr>
        <w:pStyle w:val="BodyText"/>
        <w:spacing w:line="480" w:lineRule="auto" w:before="10"/>
        <w:ind w:left="811" w:right="118" w:hanging="708"/>
        <w:jc w:val="both"/>
      </w:pPr>
      <w:r>
        <w:rPr/>
        <w:t>Harper C, Wolf JC. Morphologic effects of the stress response in fish. Institute for Laboratory Animal Research Journal 50: 387-396. Clin Microbiol Rev 2009; 23: 35-73.</w:t>
      </w:r>
    </w:p>
    <w:p>
      <w:pPr>
        <w:pStyle w:val="BodyText"/>
        <w:spacing w:line="480" w:lineRule="auto" w:before="11"/>
        <w:ind w:left="811" w:right="120" w:hanging="708"/>
        <w:jc w:val="both"/>
      </w:pPr>
      <w:r>
        <w:rPr/>
        <w:t>Hiney MP, Kilmartin JJ, Smith PR. Detection of Aeromonas salmonicida in Atlantic salmon with asymptomatic furunculosis infections. Dis Aquat Org. 1994; 19: 161-167.</w:t>
      </w:r>
    </w:p>
    <w:p>
      <w:pPr>
        <w:pStyle w:val="BodyText"/>
        <w:spacing w:line="480" w:lineRule="auto" w:before="10"/>
        <w:ind w:left="811" w:right="120" w:hanging="708"/>
        <w:jc w:val="both"/>
      </w:pPr>
      <w:r>
        <w:rPr/>
        <w:t>Igbinosa IH, Igumbor EU, Aghdasi F, Tom M, Okoh AI. Emerging </w:t>
      </w:r>
      <w:r>
        <w:rPr>
          <w:i/>
        </w:rPr>
        <w:t>Aeromonas </w:t>
      </w:r>
      <w:r>
        <w:rPr/>
        <w:t>species infections and their significance in public health. ScientificWorldJournal. 2012: 2012; 625023.</w:t>
      </w:r>
    </w:p>
    <w:p>
      <w:pPr>
        <w:spacing w:after="0" w:line="480" w:lineRule="auto"/>
        <w:jc w:val="both"/>
        <w:sectPr>
          <w:pgSz w:w="12240" w:h="15840"/>
          <w:pgMar w:header="0" w:footer="695" w:top="1080" w:bottom="940" w:left="1200" w:right="1180"/>
        </w:sectPr>
      </w:pPr>
    </w:p>
    <w:p>
      <w:pPr>
        <w:pStyle w:val="BodyText"/>
        <w:spacing w:line="480" w:lineRule="auto" w:before="44"/>
        <w:ind w:left="811" w:right="123" w:hanging="708"/>
        <w:jc w:val="both"/>
      </w:pPr>
      <w:r>
        <w:rPr/>
        <w:t>Janda JM y Abbott SL. The Genus </w:t>
      </w:r>
      <w:r>
        <w:rPr>
          <w:i/>
        </w:rPr>
        <w:t>Aeromonas</w:t>
      </w:r>
      <w:r>
        <w:rPr/>
        <w:t>: Taxonomy, pathogenicity, and infection. Clin Microbiol Rev. 2010; 23: 35- 73.</w:t>
      </w:r>
    </w:p>
    <w:p>
      <w:pPr>
        <w:pStyle w:val="BodyText"/>
        <w:spacing w:line="480" w:lineRule="auto" w:before="10"/>
        <w:ind w:left="811" w:right="127" w:hanging="708"/>
        <w:jc w:val="both"/>
      </w:pPr>
      <w:r>
        <w:rPr/>
        <w:t>Janda JM. Recent advances in the study of the taxonomy, pathogenicity, and infectious syndromes associated with the genus </w:t>
      </w:r>
      <w:r>
        <w:rPr>
          <w:i/>
        </w:rPr>
        <w:t>Aeromonas</w:t>
      </w:r>
      <w:r>
        <w:rPr/>
        <w:t>. Clin Microbiol Rev. 1991; 4: 397-410.</w:t>
      </w:r>
    </w:p>
    <w:p>
      <w:pPr>
        <w:pStyle w:val="BodyText"/>
        <w:spacing w:line="480" w:lineRule="auto" w:before="10"/>
        <w:ind w:left="811" w:right="122" w:hanging="708"/>
        <w:jc w:val="both"/>
      </w:pPr>
      <w:r>
        <w:rPr/>
        <w:t>Khan RA, Campbell J, Lear H. Mortality in captive Atlantic cod, </w:t>
      </w:r>
      <w:r>
        <w:rPr>
          <w:i/>
        </w:rPr>
        <w:t>Gadus morhua</w:t>
      </w:r>
      <w:r>
        <w:rPr/>
        <w:t>, associated with fin rot disease. J Wildl Dis. 1981; 17:</w:t>
      </w:r>
      <w:r>
        <w:rPr>
          <w:spacing w:val="-4"/>
        </w:rPr>
        <w:t> </w:t>
      </w:r>
      <w:r>
        <w:rPr/>
        <w:t>521-527.</w:t>
      </w:r>
    </w:p>
    <w:p>
      <w:pPr>
        <w:pStyle w:val="BodyText"/>
        <w:spacing w:line="480" w:lineRule="auto" w:before="10"/>
        <w:ind w:left="811" w:right="122" w:hanging="708"/>
        <w:jc w:val="both"/>
      </w:pPr>
      <w:r>
        <w:rPr/>
        <w:t>Khan RA, Campbell J, Lear H. Mortality in captive Atlantic cod, </w:t>
      </w:r>
      <w:r>
        <w:rPr>
          <w:i/>
        </w:rPr>
        <w:t>Gadus morhua</w:t>
      </w:r>
      <w:r>
        <w:rPr/>
        <w:t>, associated with fin rot disease. J Wildl Dis. 1981; 17:</w:t>
      </w:r>
      <w:r>
        <w:rPr>
          <w:spacing w:val="-4"/>
        </w:rPr>
        <w:t> </w:t>
      </w:r>
      <w:r>
        <w:rPr/>
        <w:t>521-527.</w:t>
      </w:r>
    </w:p>
    <w:p>
      <w:pPr>
        <w:pStyle w:val="BodyText"/>
        <w:spacing w:line="480" w:lineRule="auto" w:before="10"/>
        <w:ind w:left="811" w:right="124" w:hanging="708"/>
        <w:jc w:val="both"/>
      </w:pPr>
      <w:r>
        <w:rPr/>
        <w:t>Ko WC, Chuang YC. </w:t>
      </w:r>
      <w:r>
        <w:rPr>
          <w:i/>
        </w:rPr>
        <w:t>Aeromonas </w:t>
      </w:r>
      <w:r>
        <w:rPr/>
        <w:t>bacteremia: review of 59 episodes. Clin Infect Dis. 1995; 20: 1298-1304.</w:t>
      </w:r>
    </w:p>
    <w:p>
      <w:pPr>
        <w:pStyle w:val="BodyText"/>
        <w:spacing w:line="480" w:lineRule="auto" w:before="10"/>
        <w:ind w:left="811" w:right="122" w:hanging="708"/>
        <w:jc w:val="both"/>
      </w:pPr>
      <w:r>
        <w:rPr/>
        <w:t>Kozińska A, Guz L. The effect of various </w:t>
      </w:r>
      <w:r>
        <w:rPr>
          <w:i/>
        </w:rPr>
        <w:t>Aeromonas bestiarum </w:t>
      </w:r>
      <w:r>
        <w:rPr/>
        <w:t>vaccines on non-specific immune parameters and protection of carp (</w:t>
      </w:r>
      <w:r>
        <w:rPr>
          <w:i/>
        </w:rPr>
        <w:t>Cyprinus carpio </w:t>
      </w:r>
      <w:r>
        <w:rPr/>
        <w:t>L.). Fish Shellfish Immunol. 2004; 16: 437-445.</w:t>
      </w:r>
    </w:p>
    <w:p>
      <w:pPr>
        <w:pStyle w:val="BodyText"/>
        <w:spacing w:line="480" w:lineRule="auto" w:before="10"/>
        <w:ind w:left="811" w:right="124" w:hanging="708"/>
        <w:jc w:val="both"/>
      </w:pPr>
      <w:r>
        <w:rPr/>
        <w:t>Kozińska A. Dominant pathogenic species of mesophilic aeromonads isolated from diseased and healthy fish cultured in Poland. J Fish Dis. 2007; 30: 293-301.</w:t>
      </w:r>
    </w:p>
    <w:p>
      <w:pPr>
        <w:spacing w:line="480" w:lineRule="auto" w:before="10"/>
        <w:ind w:left="811" w:right="120" w:hanging="708"/>
        <w:jc w:val="both"/>
        <w:rPr>
          <w:sz w:val="24"/>
        </w:rPr>
      </w:pPr>
      <w:r>
        <w:rPr>
          <w:sz w:val="24"/>
        </w:rPr>
        <w:t>Lago EP, Nieto TP, Farto R. virulence factors of </w:t>
      </w:r>
      <w:r>
        <w:rPr>
          <w:i/>
          <w:sz w:val="24"/>
        </w:rPr>
        <w:t>Aeromonas salmonicida </w:t>
      </w:r>
      <w:r>
        <w:rPr>
          <w:sz w:val="24"/>
        </w:rPr>
        <w:t>subsp. </w:t>
      </w:r>
      <w:r>
        <w:rPr>
          <w:i/>
          <w:sz w:val="24"/>
        </w:rPr>
        <w:t>salmonicida  </w:t>
      </w:r>
      <w:r>
        <w:rPr>
          <w:sz w:val="24"/>
        </w:rPr>
        <w:t>strains associated with infections in turbot </w:t>
      </w:r>
      <w:r>
        <w:rPr>
          <w:i/>
          <w:sz w:val="24"/>
        </w:rPr>
        <w:t>Psetta maxima</w:t>
      </w:r>
      <w:r>
        <w:rPr>
          <w:sz w:val="24"/>
        </w:rPr>
        <w:t>. Dis Aquat Org. 2012; 99: 145- 151.</w:t>
      </w:r>
    </w:p>
    <w:p>
      <w:pPr>
        <w:pStyle w:val="BodyText"/>
        <w:spacing w:line="480" w:lineRule="auto" w:before="10"/>
        <w:ind w:left="811" w:right="118" w:hanging="708"/>
        <w:jc w:val="both"/>
      </w:pPr>
      <w:r>
        <w:rPr/>
        <w:t>Lallier R, Mittal KR, Leblanc D, Lalonde G, Oliver G. Rapid methods for the differentiation of virulent and non-virulent </w:t>
      </w:r>
      <w:r>
        <w:rPr>
          <w:i/>
        </w:rPr>
        <w:t>Aeromonas hydrophila </w:t>
      </w:r>
      <w:r>
        <w:rPr/>
        <w:t>strains. Develop Biol Stand. 1981; 49: 119- 123.</w:t>
      </w:r>
    </w:p>
    <w:p>
      <w:pPr>
        <w:spacing w:line="480" w:lineRule="auto" w:before="10"/>
        <w:ind w:left="811" w:right="122" w:hanging="708"/>
        <w:jc w:val="both"/>
        <w:rPr>
          <w:sz w:val="24"/>
        </w:rPr>
      </w:pPr>
      <w:r>
        <w:rPr>
          <w:sz w:val="24"/>
        </w:rPr>
        <w:t>Li Y, Cai SH. Identification and pathogenicity of </w:t>
      </w:r>
      <w:r>
        <w:rPr>
          <w:i/>
          <w:sz w:val="24"/>
        </w:rPr>
        <w:t>Aeromonas sobria </w:t>
      </w:r>
      <w:r>
        <w:rPr>
          <w:sz w:val="24"/>
        </w:rPr>
        <w:t>on tail-rot disease in juvenile tilapia </w:t>
      </w:r>
      <w:r>
        <w:rPr>
          <w:i/>
          <w:sz w:val="24"/>
        </w:rPr>
        <w:t>Oreochromis niloticus</w:t>
      </w:r>
      <w:r>
        <w:rPr>
          <w:sz w:val="24"/>
        </w:rPr>
        <w:t>. Curr Microbiol. 201; 62: 623-627.</w:t>
      </w:r>
    </w:p>
    <w:p>
      <w:pPr>
        <w:spacing w:after="0" w:line="480" w:lineRule="auto"/>
        <w:jc w:val="both"/>
        <w:rPr>
          <w:sz w:val="24"/>
        </w:rPr>
        <w:sectPr>
          <w:pgSz w:w="12240" w:h="15840"/>
          <w:pgMar w:header="0" w:footer="695" w:top="1080" w:bottom="940" w:left="1200" w:right="1180"/>
        </w:sectPr>
      </w:pPr>
    </w:p>
    <w:p>
      <w:pPr>
        <w:pStyle w:val="BodyText"/>
        <w:spacing w:line="480" w:lineRule="auto" w:before="44"/>
        <w:ind w:left="811" w:right="121" w:hanging="708"/>
        <w:jc w:val="both"/>
      </w:pPr>
      <w:r>
        <w:rPr/>
        <w:t>Lund V, Mikkelsen H, Schrøder MB. Atypical furunculosis vaccines for Atlantic cod (</w:t>
      </w:r>
      <w:r>
        <w:rPr>
          <w:i/>
        </w:rPr>
        <w:t>Gadhus </w:t>
      </w:r>
      <w:r>
        <w:rPr>
          <w:i/>
        </w:rPr>
        <w:t>morhua</w:t>
      </w:r>
      <w:r>
        <w:rPr/>
        <w:t>); impact of reattached </w:t>
      </w:r>
      <w:r>
        <w:rPr>
          <w:i/>
        </w:rPr>
        <w:t>Aeromonas salmonicida </w:t>
      </w:r>
      <w:r>
        <w:rPr/>
        <w:t>A-layer protein on vaccine efficacy. Dis Aquat Organ. 2008; 85: 115- 122.</w:t>
      </w:r>
    </w:p>
    <w:p>
      <w:pPr>
        <w:pStyle w:val="BodyText"/>
        <w:spacing w:line="480" w:lineRule="auto" w:before="10"/>
        <w:ind w:left="811" w:right="122" w:hanging="708"/>
        <w:jc w:val="both"/>
      </w:pPr>
      <w:r>
        <w:rPr/>
        <w:t>Martínez-Murcia A1, Beaz-Hidalgo R, Svec P, Saavedra MJ, Figueras MJ, Sedlacek I. </w:t>
      </w:r>
      <w:r>
        <w:rPr>
          <w:i/>
        </w:rPr>
        <w:t>Aeromonas </w:t>
      </w:r>
      <w:r>
        <w:rPr>
          <w:i/>
        </w:rPr>
        <w:t>cavernicola </w:t>
      </w:r>
      <w:r>
        <w:rPr/>
        <w:t>sp. nov., isolated from fresh water of a brook in a cavern. Curr Microbiol. 2013; 66:197-204.</w:t>
      </w:r>
    </w:p>
    <w:p>
      <w:pPr>
        <w:pStyle w:val="BodyText"/>
        <w:spacing w:line="480" w:lineRule="auto" w:before="10"/>
        <w:ind w:left="811" w:right="122" w:hanging="708"/>
        <w:jc w:val="both"/>
      </w:pPr>
      <w:r>
        <w:rPr/>
        <w:t>Merino S, Rubires X, Knochel, Tomás JM. Emerging pathogens: </w:t>
      </w:r>
      <w:r>
        <w:rPr>
          <w:i/>
        </w:rPr>
        <w:t>Aeromonas </w:t>
      </w:r>
      <w:r>
        <w:rPr/>
        <w:t>spp. Int J Food Microbiology. 1995: 28; 157-168.</w:t>
      </w:r>
    </w:p>
    <w:p>
      <w:pPr>
        <w:pStyle w:val="BodyText"/>
        <w:spacing w:before="10"/>
        <w:ind w:left="103" w:right="118"/>
      </w:pPr>
      <w:r>
        <w:rPr/>
        <w:t>Murray PR, Jo Baron EP, Faller MA, Tenover FC, Yolken RH. Manual of clinical microbiology.</w:t>
      </w:r>
    </w:p>
    <w:p>
      <w:pPr>
        <w:pStyle w:val="BodyText"/>
      </w:pPr>
    </w:p>
    <w:p>
      <w:pPr>
        <w:pStyle w:val="BodyText"/>
        <w:ind w:left="793" w:right="947"/>
        <w:jc w:val="center"/>
      </w:pPr>
      <w:r>
        <w:rPr/>
        <w:t>7ma ed. Washington DC: American Society of Microbiology Press, 2005: 507- 516.</w:t>
      </w:r>
    </w:p>
    <w:p>
      <w:pPr>
        <w:pStyle w:val="BodyText"/>
      </w:pPr>
    </w:p>
    <w:p>
      <w:pPr>
        <w:pStyle w:val="BodyText"/>
        <w:spacing w:line="480" w:lineRule="auto"/>
        <w:ind w:left="811" w:right="119" w:hanging="708"/>
        <w:jc w:val="both"/>
      </w:pPr>
      <w:r>
        <w:rPr/>
        <w:t>Nhung PH, Hata HK, Ohkusu M, Noda M, Shah MM, Goto K, Ezaki T. Use of the novel phylogenetic marker </w:t>
      </w:r>
      <w:r>
        <w:rPr>
          <w:i/>
        </w:rPr>
        <w:t>dnaJ </w:t>
      </w:r>
      <w:r>
        <w:rPr/>
        <w:t>and DNA-DNA hybridization to clarify interrelationships within the genus </w:t>
      </w:r>
      <w:r>
        <w:rPr>
          <w:i/>
        </w:rPr>
        <w:t>Aeromonas</w:t>
      </w:r>
      <w:r>
        <w:rPr/>
        <w:t>. Int J Syst Evol Microbiol. 2007; 57:1232–1237.</w:t>
      </w:r>
    </w:p>
    <w:p>
      <w:pPr>
        <w:pStyle w:val="BodyText"/>
        <w:spacing w:line="480" w:lineRule="auto" w:before="10"/>
        <w:ind w:left="811" w:right="119" w:hanging="708"/>
        <w:jc w:val="both"/>
      </w:pPr>
      <w:r>
        <w:rPr/>
        <w:t>Nielsen ME, Hoy L, Schmidt AS, Qian D, Shimada T, Shen JY, Larsen JL. Is </w:t>
      </w:r>
      <w:r>
        <w:rPr>
          <w:i/>
        </w:rPr>
        <w:t>Aeromonas </w:t>
      </w:r>
      <w:r>
        <w:rPr>
          <w:i/>
        </w:rPr>
        <w:t>hydrophila </w:t>
      </w:r>
      <w:r>
        <w:rPr/>
        <w:t>the dominant motile </w:t>
      </w:r>
      <w:r>
        <w:rPr>
          <w:i/>
        </w:rPr>
        <w:t>Aeromonas </w:t>
      </w:r>
      <w:r>
        <w:rPr/>
        <w:t>species that causes disease outbreaks in aquaculture production in the Zhejiang province of China? Dis Aquat Organ. 2001; 46: 23- 29.</w:t>
      </w:r>
    </w:p>
    <w:p>
      <w:pPr>
        <w:pStyle w:val="BodyText"/>
        <w:spacing w:before="10"/>
        <w:ind w:left="103" w:right="118"/>
      </w:pPr>
      <w:r>
        <w:rPr/>
        <w:t>Noga EJ. Fish disease, diagnosis and treatment. 2da ed. USA: Wiley- Blackwell, 2010: 185- 190.</w:t>
      </w:r>
    </w:p>
    <w:p>
      <w:pPr>
        <w:pStyle w:val="BodyText"/>
      </w:pPr>
    </w:p>
    <w:p>
      <w:pPr>
        <w:pStyle w:val="BodyText"/>
        <w:spacing w:line="480" w:lineRule="auto"/>
        <w:ind w:left="811" w:right="122" w:hanging="708"/>
        <w:jc w:val="both"/>
      </w:pPr>
      <w:r>
        <w:rPr/>
        <w:t>Nordgreen J, Tahamtani FM, Janczak AM, Horsberg TE. Behavioural effects of the commonly used fish anaesthetic tricaine methanesulfonate (MS-222) on zebrafish (</w:t>
      </w:r>
      <w:r>
        <w:rPr>
          <w:i/>
        </w:rPr>
        <w:t>Danio rerio</w:t>
      </w:r>
      <w:r>
        <w:rPr/>
        <w:t>) and its relevance for the acetic acid pain test. PLoS One. 2014; 9:e92116.</w:t>
      </w:r>
    </w:p>
    <w:p>
      <w:pPr>
        <w:spacing w:after="0" w:line="480" w:lineRule="auto"/>
        <w:jc w:val="both"/>
        <w:sectPr>
          <w:pgSz w:w="12240" w:h="15840"/>
          <w:pgMar w:header="0" w:footer="695" w:top="1080" w:bottom="940" w:left="1200" w:right="1180"/>
        </w:sectPr>
      </w:pPr>
    </w:p>
    <w:p>
      <w:pPr>
        <w:pStyle w:val="BodyText"/>
        <w:spacing w:line="480" w:lineRule="auto" w:before="44"/>
        <w:ind w:left="811" w:right="123" w:hanging="708"/>
        <w:jc w:val="both"/>
      </w:pPr>
      <w:r>
        <w:rPr/>
        <w:t>Palumbo SA, Bencivengo MM, Del Corral F, Williams AC, Buchanan RI. Characterization of the </w:t>
      </w:r>
      <w:r>
        <w:rPr>
          <w:i/>
        </w:rPr>
        <w:t>Aeromonas hydrophila </w:t>
      </w:r>
      <w:r>
        <w:rPr/>
        <w:t>group isolated from retail foods of animal origin. J Clin Microbiol. 1989; 27: 854-859.</w:t>
      </w:r>
    </w:p>
    <w:p>
      <w:pPr>
        <w:pStyle w:val="BodyText"/>
        <w:spacing w:line="480" w:lineRule="auto" w:before="10"/>
        <w:ind w:left="811" w:right="123" w:hanging="708"/>
        <w:jc w:val="both"/>
      </w:pPr>
      <w:r>
        <w:rPr/>
        <w:t>Paniagua C, Rivero O, Anguita J, Naharro G. Pathogenicity factors and virulence for rainbow trout (</w:t>
      </w:r>
      <w:r>
        <w:rPr>
          <w:i/>
        </w:rPr>
        <w:t>Salmo gairdneri</w:t>
      </w:r>
      <w:r>
        <w:rPr/>
        <w:t>) of motile </w:t>
      </w:r>
      <w:r>
        <w:rPr>
          <w:i/>
        </w:rPr>
        <w:t>Aeromonas </w:t>
      </w:r>
      <w:r>
        <w:rPr/>
        <w:t>spp. isolated from a river. J Clin Microbiol. 1990; 28: 350-355.</w:t>
      </w:r>
    </w:p>
    <w:p>
      <w:pPr>
        <w:pStyle w:val="BodyText"/>
        <w:spacing w:before="10"/>
        <w:ind w:left="103" w:right="118"/>
      </w:pPr>
      <w:r>
        <w:rPr/>
        <w:t>Pennel W, Barton BA. Principles of salmonid culture. USA. Elsevier Science, 1996.</w:t>
      </w:r>
    </w:p>
    <w:p>
      <w:pPr>
        <w:pStyle w:val="BodyText"/>
      </w:pPr>
    </w:p>
    <w:p>
      <w:pPr>
        <w:pStyle w:val="BodyText"/>
        <w:spacing w:line="480" w:lineRule="auto"/>
        <w:ind w:left="811" w:right="125" w:hanging="708"/>
        <w:jc w:val="both"/>
      </w:pPr>
      <w:r>
        <w:rPr/>
        <w:t>Ping-chung L, Wen-hsiao C, Chih-ching T, Kuo-kau L. Purification of a toxic cysteine protease produced by pathogenic </w:t>
      </w:r>
      <w:r>
        <w:rPr>
          <w:i/>
        </w:rPr>
        <w:t>Aeromonas hydrophila </w:t>
      </w:r>
      <w:r>
        <w:rPr/>
        <w:t>isolated from rainbow trout. J Basic Microbiol. 2010; 50: 538-547.</w:t>
      </w:r>
    </w:p>
    <w:p>
      <w:pPr>
        <w:pStyle w:val="BodyText"/>
        <w:spacing w:line="480" w:lineRule="auto" w:before="10"/>
        <w:ind w:left="811" w:right="121" w:hanging="708"/>
        <w:jc w:val="both"/>
      </w:pPr>
      <w:r>
        <w:rPr/>
        <w:t>Pridgeon JW, Klesius PH. Virulence of </w:t>
      </w:r>
      <w:r>
        <w:rPr>
          <w:i/>
        </w:rPr>
        <w:t>Aeromonas hydrophila </w:t>
      </w:r>
      <w:r>
        <w:rPr/>
        <w:t>to channel catfish </w:t>
      </w:r>
      <w:r>
        <w:rPr>
          <w:i/>
        </w:rPr>
        <w:t>Ictaluras </w:t>
      </w:r>
      <w:r>
        <w:rPr>
          <w:i/>
        </w:rPr>
        <w:t>punctatus </w:t>
      </w:r>
      <w:r>
        <w:rPr/>
        <w:t>fingerlings in the presence and absence of bacterial extracellular products. Dis Aquat Org. 2011; 95: 209-215.</w:t>
      </w:r>
    </w:p>
    <w:p>
      <w:pPr>
        <w:pStyle w:val="BodyText"/>
        <w:spacing w:line="480" w:lineRule="auto" w:before="10"/>
        <w:ind w:left="1236" w:right="118" w:hanging="1133"/>
        <w:jc w:val="both"/>
      </w:pPr>
      <w:r>
        <w:rPr/>
        <w:t>Rey A, Verján N, Ferguson HW, Iregui C. Pathogenesis of Aeromonas hydrophila strain KJ99 infection and its extracellular products in two species of fish. Vet Rec. 2009; 164: 493- 499.</w:t>
      </w:r>
    </w:p>
    <w:p>
      <w:pPr>
        <w:pStyle w:val="BodyText"/>
        <w:spacing w:line="480" w:lineRule="auto" w:before="10"/>
        <w:ind w:left="811" w:right="124" w:hanging="708"/>
        <w:jc w:val="both"/>
      </w:pPr>
      <w:r>
        <w:rPr/>
        <w:t>Rubio-Godoy M, Montiel-Leyva A, Martínez-Hernández JA. Comparative susceptibility of two different genetic types of tilapia to </w:t>
      </w:r>
      <w:r>
        <w:rPr>
          <w:i/>
        </w:rPr>
        <w:t>Neobenedenia </w:t>
      </w:r>
      <w:r>
        <w:rPr/>
        <w:t>sp. (Monogenea). Dis Aquat Organ. 2011; 93: 171-177.</w:t>
      </w:r>
    </w:p>
    <w:p>
      <w:pPr>
        <w:pStyle w:val="BodyText"/>
        <w:spacing w:line="480" w:lineRule="auto" w:before="11"/>
        <w:ind w:left="103" w:right="118"/>
      </w:pPr>
      <w:r>
        <w:rPr/>
        <w:t>Rubio-Godoy M. Inmunología de los peces óseos. Revisión. Rev Mex Cienc Pecu. 2010; 1: 47-57. SAGARPA.  Aumento  de  la  producción  acuícola  32.2  por  ciento  en  2014:        CONAPESCA.</w:t>
      </w:r>
    </w:p>
    <w:p>
      <w:pPr>
        <w:pStyle w:val="BodyText"/>
        <w:spacing w:before="10"/>
        <w:ind w:left="811" w:right="118"/>
      </w:pPr>
      <w:r>
        <w:rPr/>
        <w:t>Comunicado de prensa  NUM.351/15 2015, 2015 [Citado 08de octubre,  2015].   Disponible</w:t>
      </w:r>
    </w:p>
    <w:p>
      <w:pPr>
        <w:spacing w:after="0"/>
        <w:sectPr>
          <w:pgSz w:w="12240" w:h="15840"/>
          <w:pgMar w:header="0" w:footer="695" w:top="1080" w:bottom="940" w:left="1200" w:right="1180"/>
        </w:sectPr>
      </w:pPr>
    </w:p>
    <w:p>
      <w:pPr>
        <w:pStyle w:val="BodyText"/>
        <w:tabs>
          <w:tab w:pos="9188" w:val="left" w:leader="none"/>
        </w:tabs>
        <w:spacing w:before="44"/>
        <w:ind w:left="811" w:right="99"/>
      </w:pPr>
      <w:r>
        <w:rPr/>
        <w:t>en:</w:t>
        <w:tab/>
        <w:t>URL:</w:t>
      </w:r>
    </w:p>
    <w:p>
      <w:pPr>
        <w:pStyle w:val="BodyText"/>
      </w:pPr>
    </w:p>
    <w:p>
      <w:pPr>
        <w:pStyle w:val="BodyText"/>
        <w:ind w:left="811" w:right="99"/>
      </w:pPr>
      <w:hyperlink r:id="rId26">
        <w:r>
          <w:rPr>
            <w:color w:val="0000FF"/>
            <w:u w:val="single" w:color="0000FF"/>
          </w:rPr>
          <w:t>http://www.sagarpa.gob.mx/saladeprensa/2012/2015/mayo/Documents/2015B351.PDF</w:t>
        </w:r>
      </w:hyperlink>
    </w:p>
    <w:p>
      <w:pPr>
        <w:pStyle w:val="BodyText"/>
        <w:spacing w:before="11"/>
        <w:rPr>
          <w:sz w:val="17"/>
        </w:rPr>
      </w:pPr>
    </w:p>
    <w:p>
      <w:pPr>
        <w:pStyle w:val="BodyText"/>
        <w:spacing w:line="480" w:lineRule="auto" w:before="69"/>
        <w:ind w:left="811" w:right="162" w:hanging="648"/>
        <w:jc w:val="both"/>
      </w:pPr>
      <w:r>
        <w:rPr/>
        <w:t>SAGARPA. Crece producción y consumo de trucha en el país. Comunicado de prensa NUM.378/11, 2011 [Citado 08 octubre, 2015]. Disponible en: URL: </w:t>
      </w:r>
      <w:hyperlink r:id="rId22">
        <w:r>
          <w:rPr>
            <w:color w:val="0000FF"/>
            <w:u w:val="single" w:color="0000FF"/>
          </w:rPr>
          <w:t>http://www.sagarpa.gob.mx/saladeprensa/boletines2/2011/julio/Documents/2011B379.pdf</w:t>
        </w:r>
      </w:hyperlink>
    </w:p>
    <w:p>
      <w:pPr>
        <w:pStyle w:val="BodyText"/>
        <w:spacing w:line="480" w:lineRule="auto" w:before="10"/>
        <w:ind w:left="811" w:right="160" w:hanging="708"/>
        <w:jc w:val="both"/>
      </w:pPr>
      <w:r>
        <w:rPr/>
        <w:t>Salgado-Miranda C, Palomares E, Jurado M, Marín A, Vega F, Soriano-Vargas E. Isolation and distribution of bacterial flora in farmed rainbow trout from México. J Aquat Anim Health. 2010; 22:244-247.</w:t>
      </w:r>
    </w:p>
    <w:p>
      <w:pPr>
        <w:pStyle w:val="BodyText"/>
        <w:spacing w:line="480" w:lineRule="auto" w:before="10"/>
        <w:ind w:left="811" w:right="159" w:hanging="708"/>
        <w:jc w:val="both"/>
      </w:pPr>
      <w:r>
        <w:rPr/>
        <w:t>Schneider R, Nicholson BL. Bacteria associated with fin rot disease in hatchery-reares Atlantic salmon (</w:t>
      </w:r>
      <w:r>
        <w:rPr>
          <w:i/>
        </w:rPr>
        <w:t>Salmo salar</w:t>
      </w:r>
      <w:r>
        <w:rPr/>
        <w:t>). Can J Fisheries Aquat. 1980; 37: 1505-1513.</w:t>
      </w:r>
    </w:p>
    <w:p>
      <w:pPr>
        <w:pStyle w:val="BodyText"/>
        <w:spacing w:line="480" w:lineRule="auto" w:before="10"/>
        <w:ind w:left="811" w:right="159" w:hanging="708"/>
        <w:jc w:val="both"/>
      </w:pPr>
      <w:r>
        <w:rPr/>
        <w:t>Schneider R, Nicholson BL. Bacteria associated with fin rot disease in hatchery-reares Atlantic salmon (</w:t>
      </w:r>
      <w:r>
        <w:rPr>
          <w:i/>
        </w:rPr>
        <w:t>Salmo salar</w:t>
      </w:r>
      <w:r>
        <w:rPr/>
        <w:t>). Can J Fish Aquatic Sci. 1980; 37: 1505-1513.</w:t>
      </w:r>
    </w:p>
    <w:p>
      <w:pPr>
        <w:pStyle w:val="BodyText"/>
        <w:spacing w:line="480" w:lineRule="auto" w:before="10"/>
        <w:ind w:left="811" w:right="167" w:hanging="708"/>
        <w:jc w:val="both"/>
      </w:pPr>
      <w:r>
        <w:rPr/>
        <w:t>Speare DJ, Brackett J, Ferguson HW. Sequential pathology of the gill of Coho salmon whit a combined diatom and microsporidian gill infection. Can Vet J. 1989; 30; 571-575.</w:t>
      </w:r>
    </w:p>
    <w:p>
      <w:pPr>
        <w:pStyle w:val="BodyText"/>
        <w:spacing w:line="480" w:lineRule="auto" w:before="10"/>
        <w:ind w:left="811" w:right="159" w:hanging="708"/>
        <w:jc w:val="both"/>
      </w:pPr>
      <w:r>
        <w:rPr/>
        <w:t>Szczuka E, Kaznowski A. Typing of clinical and environmental </w:t>
      </w:r>
      <w:r>
        <w:rPr>
          <w:i/>
        </w:rPr>
        <w:t>Aeromonas </w:t>
      </w:r>
      <w:r>
        <w:rPr/>
        <w:t>sp. strains by random amplified polymorphic DNA PCR, repetitive extragenic palindromic PCR, and Enterobacterial repetitive intergenic consensus sequence PCR. J Clin Microbiol. 2004; 42: 220-228.</w:t>
      </w:r>
    </w:p>
    <w:p>
      <w:pPr>
        <w:pStyle w:val="BodyText"/>
        <w:spacing w:line="480" w:lineRule="auto" w:before="10"/>
        <w:ind w:left="811" w:right="101" w:hanging="708"/>
        <w:jc w:val="both"/>
      </w:pPr>
      <w:r>
        <w:rPr/>
        <w:t>Tequianes- Bravo L, Pérez- Gonzáles DA, Gonzáles- Malváez MM, Flores- Pimentel M,  Marroquín- Segura R. Aislamiento de </w:t>
      </w:r>
      <w:r>
        <w:rPr>
          <w:i/>
        </w:rPr>
        <w:t>Aeromonas </w:t>
      </w:r>
      <w:r>
        <w:rPr/>
        <w:t>productoras de aerolisina y enterotoxina, en muestras de agua potable en la Facultad de Estudios Superiores Zaragoza y otras dependencias de la Universidad Nacional Autónoma de México. Bioquimia. 2005; 30:</w:t>
      </w:r>
      <w:r>
        <w:rPr>
          <w:spacing w:val="4"/>
        </w:rPr>
        <w:t> </w:t>
      </w:r>
      <w:r>
        <w:rPr/>
        <w:t>23-29.</w:t>
      </w:r>
    </w:p>
    <w:p>
      <w:pPr>
        <w:spacing w:after="0" w:line="480" w:lineRule="auto"/>
        <w:jc w:val="both"/>
        <w:sectPr>
          <w:pgSz w:w="12240" w:h="15840"/>
          <w:pgMar w:header="0" w:footer="695" w:top="1080" w:bottom="940" w:left="1200" w:right="1140"/>
        </w:sectPr>
      </w:pPr>
    </w:p>
    <w:p>
      <w:pPr>
        <w:pStyle w:val="BodyText"/>
        <w:spacing w:line="480" w:lineRule="auto" w:before="44"/>
        <w:ind w:left="811" w:right="121" w:hanging="708"/>
        <w:jc w:val="both"/>
      </w:pPr>
      <w:r>
        <w:rPr/>
        <w:t>Tobback E, Hermans K, Decostere A, Vanden Broeck W, Haesebrouck F, Chiers K. Interaccions of virulent and avirulent </w:t>
      </w:r>
      <w:r>
        <w:rPr>
          <w:i/>
        </w:rPr>
        <w:t>Yersinia ruckeri </w:t>
      </w:r>
      <w:r>
        <w:rPr/>
        <w:t>strains with isolated gill arches and intestinal explants of rainbow trout </w:t>
      </w:r>
      <w:r>
        <w:rPr>
          <w:i/>
        </w:rPr>
        <w:t>Oncorhynchus mykiss</w:t>
      </w:r>
      <w:r>
        <w:rPr/>
        <w:t>. Dis Aquat Org. 2010; 90: 175-179.</w:t>
      </w:r>
    </w:p>
    <w:p>
      <w:pPr>
        <w:pStyle w:val="BodyText"/>
        <w:spacing w:line="480" w:lineRule="auto" w:before="10"/>
        <w:ind w:left="811" w:right="127" w:hanging="708"/>
        <w:jc w:val="both"/>
      </w:pPr>
      <w:r>
        <w:rPr/>
        <w:t>Villumsen KR, Raida MK. Long-lasting protection induced by bath vaccination against Aeromonas salmonicida subsp. salmonicida in rainbow trout. Fish &amp; Shellfish Immunology. 2013; 35: 1649-1653.</w:t>
      </w:r>
    </w:p>
    <w:p>
      <w:pPr>
        <w:spacing w:line="480" w:lineRule="auto" w:before="10"/>
        <w:ind w:left="811" w:right="123" w:hanging="708"/>
        <w:jc w:val="both"/>
        <w:rPr>
          <w:sz w:val="24"/>
        </w:rPr>
      </w:pPr>
      <w:r>
        <w:rPr>
          <w:sz w:val="24"/>
        </w:rPr>
        <w:t>Wahli T, Burr SE, Pugovkin D, Mueller O, Frey J. </w:t>
      </w:r>
      <w:r>
        <w:rPr>
          <w:i/>
          <w:sz w:val="24"/>
        </w:rPr>
        <w:t>Aeromonas sobria</w:t>
      </w:r>
      <w:r>
        <w:rPr>
          <w:sz w:val="24"/>
        </w:rPr>
        <w:t>, a causative agent of disease in farmed perch, </w:t>
      </w:r>
      <w:r>
        <w:rPr>
          <w:i/>
          <w:sz w:val="24"/>
        </w:rPr>
        <w:t>Perca fluviatilis </w:t>
      </w:r>
      <w:r>
        <w:rPr>
          <w:sz w:val="24"/>
        </w:rPr>
        <w:t>L. J Fish Dis. 2003; 28: 141-150.</w:t>
      </w:r>
    </w:p>
    <w:p>
      <w:pPr>
        <w:pStyle w:val="BodyText"/>
        <w:spacing w:line="480" w:lineRule="auto" w:before="10"/>
        <w:ind w:left="811" w:right="119" w:hanging="708"/>
        <w:jc w:val="both"/>
      </w:pPr>
      <w:r>
        <w:rPr/>
        <w:t>Winandy L, Denoël M. Introduced goldfish affect amphibians through inhibition of sexual behavior in risky habitats: an experimental approach. PLoS One. 2013; 8: e82736.</w:t>
      </w:r>
    </w:p>
    <w:p>
      <w:pPr>
        <w:spacing w:line="480" w:lineRule="auto" w:before="10"/>
        <w:ind w:left="811" w:right="122" w:hanging="708"/>
        <w:jc w:val="both"/>
        <w:rPr>
          <w:sz w:val="24"/>
        </w:rPr>
      </w:pPr>
      <w:r>
        <w:rPr>
          <w:sz w:val="24"/>
        </w:rPr>
        <w:t>Ya Li, Cai Shuang-Hu. Identification and pathogenicity of </w:t>
      </w:r>
      <w:r>
        <w:rPr>
          <w:i/>
          <w:sz w:val="24"/>
        </w:rPr>
        <w:t>Aeromonas sobria </w:t>
      </w:r>
      <w:r>
        <w:rPr>
          <w:sz w:val="24"/>
        </w:rPr>
        <w:t>on tail-rot disease in juvenile tilapia (</w:t>
      </w:r>
      <w:r>
        <w:rPr>
          <w:i/>
          <w:sz w:val="24"/>
        </w:rPr>
        <w:t>Oreochromis niloticus</w:t>
      </w:r>
      <w:r>
        <w:rPr>
          <w:sz w:val="24"/>
        </w:rPr>
        <w:t>). Curr Microbiol. 2011; 62: 623-627.</w:t>
      </w:r>
    </w:p>
    <w:p>
      <w:pPr>
        <w:spacing w:before="10"/>
        <w:ind w:left="103" w:right="0" w:firstLine="0"/>
        <w:jc w:val="left"/>
        <w:rPr>
          <w:i/>
          <w:sz w:val="24"/>
        </w:rPr>
      </w:pPr>
      <w:r>
        <w:rPr>
          <w:sz w:val="24"/>
        </w:rPr>
        <w:t>Yang X, Yang QQ, Guo QY, Yi CY, Mao HP, Lin JX, Jiang ZP, Yu XQ.    </w:t>
      </w:r>
      <w:r>
        <w:rPr>
          <w:i/>
          <w:sz w:val="24"/>
        </w:rPr>
        <w:t>Aeromonas salmonicida</w:t>
      </w:r>
    </w:p>
    <w:p>
      <w:pPr>
        <w:pStyle w:val="BodyText"/>
        <w:rPr>
          <w:i/>
        </w:rPr>
      </w:pPr>
    </w:p>
    <w:p>
      <w:pPr>
        <w:pStyle w:val="BodyText"/>
        <w:spacing w:line="480" w:lineRule="auto"/>
        <w:ind w:left="103" w:right="118" w:firstLine="707"/>
      </w:pPr>
      <w:r>
        <w:rPr/>
        <w:t>peritonitis after eating fish in a patient undergoing CAPD. Perit Dial Int. 2008; 28: 316-317. Yogananth N,  Bhakyaraj R, Chanthuru A, Anbalagan T, Nila KM. Detection of Virulence gene   in</w:t>
      </w:r>
    </w:p>
    <w:p>
      <w:pPr>
        <w:pStyle w:val="BodyText"/>
        <w:spacing w:line="480" w:lineRule="auto" w:before="10"/>
        <w:ind w:left="811" w:right="118"/>
      </w:pPr>
      <w:r>
        <w:rPr>
          <w:i/>
        </w:rPr>
        <w:t>Aeromonas hydrophila </w:t>
      </w:r>
      <w:r>
        <w:rPr/>
        <w:t>isolated from fish samples using PCR technique. Global J Biotech &amp; Biochem. 2009; 4: 51-53.</w:t>
      </w:r>
    </w:p>
    <w:p>
      <w:pPr>
        <w:pStyle w:val="BodyText"/>
        <w:spacing w:line="480" w:lineRule="auto" w:before="10"/>
        <w:ind w:left="811" w:right="122" w:hanging="708"/>
        <w:jc w:val="both"/>
      </w:pPr>
      <w:r>
        <w:rPr/>
        <w:t>Zepeda VA, Calderón-Apodaca NL, Paasch ML, Martín PG, Paredes DA, Ramírez-Apolinar S, Soriano-Vargas E. Histopathologic findings in chickens experimentally infected with </w:t>
      </w:r>
      <w:r>
        <w:rPr>
          <w:i/>
        </w:rPr>
        <w:t>Gallibacterium anatis </w:t>
      </w:r>
      <w:r>
        <w:rPr/>
        <w:t>by nasal instillation. Avian Dis. 2010; 54: 1306-1309.</w:t>
      </w:r>
    </w:p>
    <w:sectPr>
      <w:pgSz w:w="12240" w:h="15840"/>
      <w:pgMar w:header="0" w:footer="695" w:top="1080" w:bottom="940" w:left="1200" w:right="11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type id="_x0000_t202" o:spt="202" coordsize="21600,21600" path="m,l,21600r21600,l21600,xe">
          <v:stroke joinstyle="miter"/>
          <v:path gradientshapeok="t" o:connecttype="rect"/>
        </v:shapetype>
        <v:shape style="position:absolute;margin-left:531.5pt;margin-top:743.236206pt;width:17.45pt;height:14pt;mso-position-horizontal-relative:page;mso-position-vertical-relative:page;z-index:-73888" type="#_x0000_t202" filled="false" stroked="false">
          <v:textbox inset="0,0,0,0">
            <w:txbxContent>
              <w:p>
                <w:pPr>
                  <w:pStyle w:val="BodyText"/>
                  <w:spacing w:line="265" w:lineRule="exact"/>
                  <w:ind w:left="40"/>
                  <w:rPr>
                    <w:rFonts w:ascii="Arial"/>
                  </w:rPr>
                </w:pPr>
                <w:r>
                  <w:rPr/>
                  <w:fldChar w:fldCharType="begin"/>
                </w:r>
                <w:r>
                  <w:rPr>
                    <w:rFonts w:ascii="Arial"/>
                  </w:rPr>
                  <w:instrText> PAGE </w:instrText>
                </w:r>
                <w:r>
                  <w:rPr/>
                  <w:fldChar w:fldCharType="separate"/>
                </w:r>
                <w:r>
                  <w:rPr/>
                  <w:t>10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900024pt;margin-top:743.236206pt;width:22.2pt;height:14pt;mso-position-horizontal-relative:page;mso-position-vertical-relative:page;z-index:-73864" type="#_x0000_t202" filled="false" stroked="false">
          <v:textbox inset="0,0,0,0">
            <w:txbxContent>
              <w:p>
                <w:pPr>
                  <w:pStyle w:val="BodyText"/>
                  <w:spacing w:line="265" w:lineRule="exact"/>
                  <w:ind w:left="20"/>
                  <w:rPr>
                    <w:rFonts w:ascii="Arial"/>
                  </w:rPr>
                </w:pPr>
                <w:r>
                  <w:rPr>
                    <w:rFonts w:ascii="Arial"/>
                  </w:rPr>
                  <w:t>100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900024pt;margin-top:743.236206pt;width:24.2pt;height:14pt;mso-position-horizontal-relative:page;mso-position-vertical-relative:page;z-index:-73840" type="#_x0000_t202" filled="false" stroked="false">
          <v:textbox inset="0,0,0,0">
            <w:txbxContent>
              <w:p>
                <w:pPr>
                  <w:pStyle w:val="BodyText"/>
                  <w:spacing w:line="265" w:lineRule="exact"/>
                  <w:ind w:left="40"/>
                  <w:rPr>
                    <w:rFonts w:ascii="Arial"/>
                  </w:rPr>
                </w:pPr>
                <w:r>
                  <w:rPr/>
                  <w:fldChar w:fldCharType="begin"/>
                </w:r>
                <w:r>
                  <w:rPr>
                    <w:rFonts w:ascii="Arial"/>
                  </w:rPr>
                  <w:instrText> PAGE </w:instrText>
                </w:r>
                <w:r>
                  <w:rPr/>
                  <w:fldChar w:fldCharType="separate"/>
                </w:r>
                <w:r>
                  <w:rPr/>
                  <w:t>101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0">
    <w:multiLevelType w:val="hybridMultilevel"/>
    <w:lvl w:ilvl="0">
      <w:start w:val="1"/>
      <w:numFmt w:val="upperLetter"/>
      <w:lvlText w:val="%1."/>
      <w:lvlJc w:val="left"/>
      <w:pPr>
        <w:ind w:left="224" w:hanging="223"/>
        <w:jc w:val="left"/>
      </w:pPr>
      <w:rPr>
        <w:rFonts w:hint="default" w:ascii="Times New Roman" w:hAnsi="Times New Roman" w:eastAsia="Times New Roman" w:cs="Times New Roman"/>
        <w:i/>
        <w:w w:val="99"/>
        <w:sz w:val="20"/>
        <w:szCs w:val="20"/>
      </w:rPr>
    </w:lvl>
    <w:lvl w:ilvl="1">
      <w:start w:val="1"/>
      <w:numFmt w:val="bullet"/>
      <w:lvlText w:val=""/>
      <w:lvlJc w:val="left"/>
      <w:pPr>
        <w:ind w:left="710" w:hanging="348"/>
      </w:pPr>
      <w:rPr>
        <w:rFonts w:hint="default" w:ascii="Symbol" w:hAnsi="Symbol" w:eastAsia="Symbol" w:cs="Symbol"/>
        <w:w w:val="99"/>
        <w:sz w:val="20"/>
        <w:szCs w:val="20"/>
      </w:rPr>
    </w:lvl>
    <w:lvl w:ilvl="2">
      <w:start w:val="1"/>
      <w:numFmt w:val="bullet"/>
      <w:lvlText w:val="•"/>
      <w:lvlJc w:val="left"/>
      <w:pPr>
        <w:ind w:left="869" w:hanging="348"/>
      </w:pPr>
      <w:rPr>
        <w:rFonts w:hint="default"/>
      </w:rPr>
    </w:lvl>
    <w:lvl w:ilvl="3">
      <w:start w:val="1"/>
      <w:numFmt w:val="bullet"/>
      <w:lvlText w:val="•"/>
      <w:lvlJc w:val="left"/>
      <w:pPr>
        <w:ind w:left="1019" w:hanging="348"/>
      </w:pPr>
      <w:rPr>
        <w:rFonts w:hint="default"/>
      </w:rPr>
    </w:lvl>
    <w:lvl w:ilvl="4">
      <w:start w:val="1"/>
      <w:numFmt w:val="bullet"/>
      <w:lvlText w:val="•"/>
      <w:lvlJc w:val="left"/>
      <w:pPr>
        <w:ind w:left="1168" w:hanging="348"/>
      </w:pPr>
      <w:rPr>
        <w:rFonts w:hint="default"/>
      </w:rPr>
    </w:lvl>
    <w:lvl w:ilvl="5">
      <w:start w:val="1"/>
      <w:numFmt w:val="bullet"/>
      <w:lvlText w:val="•"/>
      <w:lvlJc w:val="left"/>
      <w:pPr>
        <w:ind w:left="1318" w:hanging="348"/>
      </w:pPr>
      <w:rPr>
        <w:rFonts w:hint="default"/>
      </w:rPr>
    </w:lvl>
    <w:lvl w:ilvl="6">
      <w:start w:val="1"/>
      <w:numFmt w:val="bullet"/>
      <w:lvlText w:val="•"/>
      <w:lvlJc w:val="left"/>
      <w:pPr>
        <w:ind w:left="1468" w:hanging="348"/>
      </w:pPr>
      <w:rPr>
        <w:rFonts w:hint="default"/>
      </w:rPr>
    </w:lvl>
    <w:lvl w:ilvl="7">
      <w:start w:val="1"/>
      <w:numFmt w:val="bullet"/>
      <w:lvlText w:val="•"/>
      <w:lvlJc w:val="left"/>
      <w:pPr>
        <w:ind w:left="1617" w:hanging="348"/>
      </w:pPr>
      <w:rPr>
        <w:rFonts w:hint="default"/>
      </w:rPr>
    </w:lvl>
    <w:lvl w:ilvl="8">
      <w:start w:val="1"/>
      <w:numFmt w:val="bullet"/>
      <w:lvlText w:val="•"/>
      <w:lvlJc w:val="left"/>
      <w:pPr>
        <w:ind w:left="1767" w:hanging="348"/>
      </w:pPr>
      <w:rPr>
        <w:rFonts w:hint="default"/>
      </w:rPr>
    </w:lvl>
  </w:abstractNum>
  <w:abstractNum w:abstractNumId="9">
    <w:multiLevelType w:val="hybridMultilevel"/>
    <w:lvl w:ilvl="0">
      <w:start w:val="1"/>
      <w:numFmt w:val="upperLetter"/>
      <w:lvlText w:val="%1."/>
      <w:lvlJc w:val="left"/>
      <w:pPr>
        <w:ind w:left="224" w:hanging="223"/>
        <w:jc w:val="left"/>
      </w:pPr>
      <w:rPr>
        <w:rFonts w:hint="default" w:ascii="Times New Roman" w:hAnsi="Times New Roman" w:eastAsia="Times New Roman" w:cs="Times New Roman"/>
        <w:i/>
        <w:w w:val="99"/>
        <w:sz w:val="20"/>
        <w:szCs w:val="20"/>
      </w:rPr>
    </w:lvl>
    <w:lvl w:ilvl="1">
      <w:start w:val="1"/>
      <w:numFmt w:val="bullet"/>
      <w:lvlText w:val=""/>
      <w:lvlJc w:val="left"/>
      <w:pPr>
        <w:ind w:left="710" w:hanging="348"/>
      </w:pPr>
      <w:rPr>
        <w:rFonts w:hint="default" w:ascii="Symbol" w:hAnsi="Symbol" w:eastAsia="Symbol" w:cs="Symbol"/>
        <w:w w:val="99"/>
        <w:sz w:val="20"/>
        <w:szCs w:val="20"/>
      </w:rPr>
    </w:lvl>
    <w:lvl w:ilvl="2">
      <w:start w:val="1"/>
      <w:numFmt w:val="bullet"/>
      <w:lvlText w:val="•"/>
      <w:lvlJc w:val="left"/>
      <w:pPr>
        <w:ind w:left="869" w:hanging="348"/>
      </w:pPr>
      <w:rPr>
        <w:rFonts w:hint="default"/>
      </w:rPr>
    </w:lvl>
    <w:lvl w:ilvl="3">
      <w:start w:val="1"/>
      <w:numFmt w:val="bullet"/>
      <w:lvlText w:val="•"/>
      <w:lvlJc w:val="left"/>
      <w:pPr>
        <w:ind w:left="1019" w:hanging="348"/>
      </w:pPr>
      <w:rPr>
        <w:rFonts w:hint="default"/>
      </w:rPr>
    </w:lvl>
    <w:lvl w:ilvl="4">
      <w:start w:val="1"/>
      <w:numFmt w:val="bullet"/>
      <w:lvlText w:val="•"/>
      <w:lvlJc w:val="left"/>
      <w:pPr>
        <w:ind w:left="1168" w:hanging="348"/>
      </w:pPr>
      <w:rPr>
        <w:rFonts w:hint="default"/>
      </w:rPr>
    </w:lvl>
    <w:lvl w:ilvl="5">
      <w:start w:val="1"/>
      <w:numFmt w:val="bullet"/>
      <w:lvlText w:val="•"/>
      <w:lvlJc w:val="left"/>
      <w:pPr>
        <w:ind w:left="1318" w:hanging="348"/>
      </w:pPr>
      <w:rPr>
        <w:rFonts w:hint="default"/>
      </w:rPr>
    </w:lvl>
    <w:lvl w:ilvl="6">
      <w:start w:val="1"/>
      <w:numFmt w:val="bullet"/>
      <w:lvlText w:val="•"/>
      <w:lvlJc w:val="left"/>
      <w:pPr>
        <w:ind w:left="1468" w:hanging="348"/>
      </w:pPr>
      <w:rPr>
        <w:rFonts w:hint="default"/>
      </w:rPr>
    </w:lvl>
    <w:lvl w:ilvl="7">
      <w:start w:val="1"/>
      <w:numFmt w:val="bullet"/>
      <w:lvlText w:val="•"/>
      <w:lvlJc w:val="left"/>
      <w:pPr>
        <w:ind w:left="1617" w:hanging="348"/>
      </w:pPr>
      <w:rPr>
        <w:rFonts w:hint="default"/>
      </w:rPr>
    </w:lvl>
    <w:lvl w:ilvl="8">
      <w:start w:val="1"/>
      <w:numFmt w:val="bullet"/>
      <w:lvlText w:val="•"/>
      <w:lvlJc w:val="left"/>
      <w:pPr>
        <w:ind w:left="1767" w:hanging="348"/>
      </w:pPr>
      <w:rPr>
        <w:rFonts w:hint="default"/>
      </w:rPr>
    </w:lvl>
  </w:abstractNum>
  <w:abstractNum w:abstractNumId="8">
    <w:multiLevelType w:val="hybridMultilevel"/>
    <w:lvl w:ilvl="0">
      <w:start w:val="1"/>
      <w:numFmt w:val="upperLetter"/>
      <w:lvlText w:val="%1."/>
      <w:lvlJc w:val="left"/>
      <w:pPr>
        <w:ind w:left="289" w:hanging="223"/>
        <w:jc w:val="left"/>
      </w:pPr>
      <w:rPr>
        <w:rFonts w:hint="default" w:ascii="Times New Roman" w:hAnsi="Times New Roman" w:eastAsia="Times New Roman" w:cs="Times New Roman"/>
        <w:i/>
        <w:w w:val="99"/>
        <w:sz w:val="20"/>
        <w:szCs w:val="20"/>
      </w:rPr>
    </w:lvl>
    <w:lvl w:ilvl="1">
      <w:start w:val="1"/>
      <w:numFmt w:val="bullet"/>
      <w:lvlText w:val=""/>
      <w:lvlJc w:val="left"/>
      <w:pPr>
        <w:ind w:left="775" w:hanging="348"/>
      </w:pPr>
      <w:rPr>
        <w:rFonts w:hint="default" w:ascii="Symbol" w:hAnsi="Symbol" w:eastAsia="Symbol" w:cs="Symbol"/>
        <w:w w:val="99"/>
        <w:sz w:val="20"/>
        <w:szCs w:val="20"/>
      </w:rPr>
    </w:lvl>
    <w:lvl w:ilvl="2">
      <w:start w:val="1"/>
      <w:numFmt w:val="bullet"/>
      <w:lvlText w:val="•"/>
      <w:lvlJc w:val="left"/>
      <w:pPr>
        <w:ind w:left="924" w:hanging="348"/>
      </w:pPr>
      <w:rPr>
        <w:rFonts w:hint="default"/>
      </w:rPr>
    </w:lvl>
    <w:lvl w:ilvl="3">
      <w:start w:val="1"/>
      <w:numFmt w:val="bullet"/>
      <w:lvlText w:val="•"/>
      <w:lvlJc w:val="left"/>
      <w:pPr>
        <w:ind w:left="1068" w:hanging="348"/>
      </w:pPr>
      <w:rPr>
        <w:rFonts w:hint="default"/>
      </w:rPr>
    </w:lvl>
    <w:lvl w:ilvl="4">
      <w:start w:val="1"/>
      <w:numFmt w:val="bullet"/>
      <w:lvlText w:val="•"/>
      <w:lvlJc w:val="left"/>
      <w:pPr>
        <w:ind w:left="1212" w:hanging="348"/>
      </w:pPr>
      <w:rPr>
        <w:rFonts w:hint="default"/>
      </w:rPr>
    </w:lvl>
    <w:lvl w:ilvl="5">
      <w:start w:val="1"/>
      <w:numFmt w:val="bullet"/>
      <w:lvlText w:val="•"/>
      <w:lvlJc w:val="left"/>
      <w:pPr>
        <w:ind w:left="1356" w:hanging="348"/>
      </w:pPr>
      <w:rPr>
        <w:rFonts w:hint="default"/>
      </w:rPr>
    </w:lvl>
    <w:lvl w:ilvl="6">
      <w:start w:val="1"/>
      <w:numFmt w:val="bullet"/>
      <w:lvlText w:val="•"/>
      <w:lvlJc w:val="left"/>
      <w:pPr>
        <w:ind w:left="1500" w:hanging="348"/>
      </w:pPr>
      <w:rPr>
        <w:rFonts w:hint="default"/>
      </w:rPr>
    </w:lvl>
    <w:lvl w:ilvl="7">
      <w:start w:val="1"/>
      <w:numFmt w:val="bullet"/>
      <w:lvlText w:val="•"/>
      <w:lvlJc w:val="left"/>
      <w:pPr>
        <w:ind w:left="1644" w:hanging="348"/>
      </w:pPr>
      <w:rPr>
        <w:rFonts w:hint="default"/>
      </w:rPr>
    </w:lvl>
    <w:lvl w:ilvl="8">
      <w:start w:val="1"/>
      <w:numFmt w:val="bullet"/>
      <w:lvlText w:val="•"/>
      <w:lvlJc w:val="left"/>
      <w:pPr>
        <w:ind w:left="1788" w:hanging="348"/>
      </w:pPr>
      <w:rPr>
        <w:rFonts w:hint="default"/>
      </w:rPr>
    </w:lvl>
  </w:abstractNum>
  <w:abstractNum w:abstractNumId="7">
    <w:multiLevelType w:val="hybridMultilevel"/>
    <w:lvl w:ilvl="0">
      <w:start w:val="1"/>
      <w:numFmt w:val="decimal"/>
      <w:lvlText w:val="%1."/>
      <w:lvlJc w:val="left"/>
      <w:pPr>
        <w:ind w:left="823" w:hanging="348"/>
        <w:jc w:val="right"/>
      </w:pPr>
      <w:rPr>
        <w:rFonts w:hint="default" w:ascii="Times New Roman" w:hAnsi="Times New Roman" w:eastAsia="Times New Roman" w:cs="Times New Roman"/>
        <w:spacing w:val="-28"/>
        <w:w w:val="99"/>
        <w:sz w:val="24"/>
        <w:szCs w:val="24"/>
      </w:rPr>
    </w:lvl>
    <w:lvl w:ilvl="1">
      <w:start w:val="1"/>
      <w:numFmt w:val="upperLetter"/>
      <w:lvlText w:val="%2."/>
      <w:lvlJc w:val="left"/>
      <w:pPr>
        <w:ind w:left="463" w:hanging="334"/>
        <w:jc w:val="left"/>
      </w:pPr>
      <w:rPr>
        <w:rFonts w:hint="default" w:ascii="Times New Roman" w:hAnsi="Times New Roman" w:eastAsia="Times New Roman" w:cs="Times New Roman"/>
        <w:w w:val="99"/>
        <w:sz w:val="24"/>
        <w:szCs w:val="24"/>
      </w:rPr>
    </w:lvl>
    <w:lvl w:ilvl="2">
      <w:start w:val="1"/>
      <w:numFmt w:val="bullet"/>
      <w:lvlText w:val="•"/>
      <w:lvlJc w:val="left"/>
      <w:pPr>
        <w:ind w:left="1782" w:hanging="334"/>
      </w:pPr>
      <w:rPr>
        <w:rFonts w:hint="default"/>
      </w:rPr>
    </w:lvl>
    <w:lvl w:ilvl="3">
      <w:start w:val="1"/>
      <w:numFmt w:val="bullet"/>
      <w:lvlText w:val="•"/>
      <w:lvlJc w:val="left"/>
      <w:pPr>
        <w:ind w:left="2744" w:hanging="334"/>
      </w:pPr>
      <w:rPr>
        <w:rFonts w:hint="default"/>
      </w:rPr>
    </w:lvl>
    <w:lvl w:ilvl="4">
      <w:start w:val="1"/>
      <w:numFmt w:val="bullet"/>
      <w:lvlText w:val="•"/>
      <w:lvlJc w:val="left"/>
      <w:pPr>
        <w:ind w:left="3706" w:hanging="334"/>
      </w:pPr>
      <w:rPr>
        <w:rFonts w:hint="default"/>
      </w:rPr>
    </w:lvl>
    <w:lvl w:ilvl="5">
      <w:start w:val="1"/>
      <w:numFmt w:val="bullet"/>
      <w:lvlText w:val="•"/>
      <w:lvlJc w:val="left"/>
      <w:pPr>
        <w:ind w:left="4668" w:hanging="334"/>
      </w:pPr>
      <w:rPr>
        <w:rFonts w:hint="default"/>
      </w:rPr>
    </w:lvl>
    <w:lvl w:ilvl="6">
      <w:start w:val="1"/>
      <w:numFmt w:val="bullet"/>
      <w:lvlText w:val="•"/>
      <w:lvlJc w:val="left"/>
      <w:pPr>
        <w:ind w:left="5631" w:hanging="334"/>
      </w:pPr>
      <w:rPr>
        <w:rFonts w:hint="default"/>
      </w:rPr>
    </w:lvl>
    <w:lvl w:ilvl="7">
      <w:start w:val="1"/>
      <w:numFmt w:val="bullet"/>
      <w:lvlText w:val="•"/>
      <w:lvlJc w:val="left"/>
      <w:pPr>
        <w:ind w:left="6593" w:hanging="334"/>
      </w:pPr>
      <w:rPr>
        <w:rFonts w:hint="default"/>
      </w:rPr>
    </w:lvl>
    <w:lvl w:ilvl="8">
      <w:start w:val="1"/>
      <w:numFmt w:val="bullet"/>
      <w:lvlText w:val="•"/>
      <w:lvlJc w:val="left"/>
      <w:pPr>
        <w:ind w:left="7555" w:hanging="334"/>
      </w:pPr>
      <w:rPr>
        <w:rFonts w:hint="default"/>
      </w:rPr>
    </w:lvl>
  </w:abstractNum>
  <w:abstractNum w:abstractNumId="6">
    <w:multiLevelType w:val="hybridMultilevel"/>
    <w:lvl w:ilvl="0">
      <w:start w:val="1"/>
      <w:numFmt w:val="lowerLetter"/>
      <w:lvlText w:val="%1)"/>
      <w:lvlJc w:val="left"/>
      <w:pPr>
        <w:ind w:left="811" w:hanging="348"/>
        <w:jc w:val="left"/>
      </w:pPr>
      <w:rPr>
        <w:rFonts w:hint="default" w:ascii="Times New Roman" w:hAnsi="Times New Roman" w:eastAsia="Times New Roman" w:cs="Times New Roman"/>
        <w:b/>
        <w:bCs/>
        <w:spacing w:val="-3"/>
        <w:w w:val="99"/>
        <w:sz w:val="24"/>
        <w:szCs w:val="24"/>
      </w:rPr>
    </w:lvl>
    <w:lvl w:ilvl="1">
      <w:start w:val="1"/>
      <w:numFmt w:val="bullet"/>
      <w:lvlText w:val="•"/>
      <w:lvlJc w:val="left"/>
      <w:pPr>
        <w:ind w:left="1722" w:hanging="348"/>
      </w:pPr>
      <w:rPr>
        <w:rFonts w:hint="default"/>
      </w:rPr>
    </w:lvl>
    <w:lvl w:ilvl="2">
      <w:start w:val="1"/>
      <w:numFmt w:val="bullet"/>
      <w:lvlText w:val="•"/>
      <w:lvlJc w:val="left"/>
      <w:pPr>
        <w:ind w:left="2624" w:hanging="348"/>
      </w:pPr>
      <w:rPr>
        <w:rFonts w:hint="default"/>
      </w:rPr>
    </w:lvl>
    <w:lvl w:ilvl="3">
      <w:start w:val="1"/>
      <w:numFmt w:val="bullet"/>
      <w:lvlText w:val="•"/>
      <w:lvlJc w:val="left"/>
      <w:pPr>
        <w:ind w:left="3526" w:hanging="348"/>
      </w:pPr>
      <w:rPr>
        <w:rFonts w:hint="default"/>
      </w:rPr>
    </w:lvl>
    <w:lvl w:ilvl="4">
      <w:start w:val="1"/>
      <w:numFmt w:val="bullet"/>
      <w:lvlText w:val="•"/>
      <w:lvlJc w:val="left"/>
      <w:pPr>
        <w:ind w:left="4428" w:hanging="348"/>
      </w:pPr>
      <w:rPr>
        <w:rFonts w:hint="default"/>
      </w:rPr>
    </w:lvl>
    <w:lvl w:ilvl="5">
      <w:start w:val="1"/>
      <w:numFmt w:val="bullet"/>
      <w:lvlText w:val="•"/>
      <w:lvlJc w:val="left"/>
      <w:pPr>
        <w:ind w:left="5330" w:hanging="348"/>
      </w:pPr>
      <w:rPr>
        <w:rFonts w:hint="default"/>
      </w:rPr>
    </w:lvl>
    <w:lvl w:ilvl="6">
      <w:start w:val="1"/>
      <w:numFmt w:val="bullet"/>
      <w:lvlText w:val="•"/>
      <w:lvlJc w:val="left"/>
      <w:pPr>
        <w:ind w:left="6232" w:hanging="348"/>
      </w:pPr>
      <w:rPr>
        <w:rFonts w:hint="default"/>
      </w:rPr>
    </w:lvl>
    <w:lvl w:ilvl="7">
      <w:start w:val="1"/>
      <w:numFmt w:val="bullet"/>
      <w:lvlText w:val="•"/>
      <w:lvlJc w:val="left"/>
      <w:pPr>
        <w:ind w:left="7134" w:hanging="348"/>
      </w:pPr>
      <w:rPr>
        <w:rFonts w:hint="default"/>
      </w:rPr>
    </w:lvl>
    <w:lvl w:ilvl="8">
      <w:start w:val="1"/>
      <w:numFmt w:val="bullet"/>
      <w:lvlText w:val="•"/>
      <w:lvlJc w:val="left"/>
      <w:pPr>
        <w:ind w:left="8036" w:hanging="348"/>
      </w:pPr>
      <w:rPr>
        <w:rFonts w:hint="default"/>
      </w:rPr>
    </w:lvl>
  </w:abstractNum>
  <w:abstractNum w:abstractNumId="5">
    <w:multiLevelType w:val="hybridMultilevel"/>
    <w:lvl w:ilvl="0">
      <w:start w:val="1"/>
      <w:numFmt w:val="upperRoman"/>
      <w:lvlText w:val="%1."/>
      <w:lvlJc w:val="left"/>
      <w:pPr>
        <w:ind w:left="811" w:hanging="348"/>
        <w:jc w:val="left"/>
      </w:pPr>
      <w:rPr>
        <w:rFonts w:hint="default" w:ascii="Times New Roman" w:hAnsi="Times New Roman" w:eastAsia="Times New Roman" w:cs="Times New Roman"/>
        <w:b/>
        <w:bCs/>
        <w:w w:val="99"/>
        <w:sz w:val="24"/>
        <w:szCs w:val="24"/>
      </w:rPr>
    </w:lvl>
    <w:lvl w:ilvl="1">
      <w:start w:val="1"/>
      <w:numFmt w:val="lowerLetter"/>
      <w:lvlText w:val="%2)"/>
      <w:lvlJc w:val="left"/>
      <w:pPr>
        <w:ind w:left="1183" w:hanging="360"/>
        <w:jc w:val="left"/>
      </w:pPr>
      <w:rPr>
        <w:rFonts w:hint="default" w:ascii="Times New Roman" w:hAnsi="Times New Roman" w:eastAsia="Times New Roman" w:cs="Times New Roman"/>
        <w:b/>
        <w:bCs/>
        <w:spacing w:val="-20"/>
        <w:w w:val="99"/>
        <w:sz w:val="24"/>
        <w:szCs w:val="24"/>
      </w:rPr>
    </w:lvl>
    <w:lvl w:ilvl="2">
      <w:start w:val="1"/>
      <w:numFmt w:val="bullet"/>
      <w:lvlText w:val="•"/>
      <w:lvlJc w:val="left"/>
      <w:pPr>
        <w:ind w:left="2142" w:hanging="360"/>
      </w:pPr>
      <w:rPr>
        <w:rFonts w:hint="default"/>
      </w:rPr>
    </w:lvl>
    <w:lvl w:ilvl="3">
      <w:start w:val="1"/>
      <w:numFmt w:val="bullet"/>
      <w:lvlText w:val="•"/>
      <w:lvlJc w:val="left"/>
      <w:pPr>
        <w:ind w:left="3104" w:hanging="360"/>
      </w:pPr>
      <w:rPr>
        <w:rFonts w:hint="default"/>
      </w:rPr>
    </w:lvl>
    <w:lvl w:ilvl="4">
      <w:start w:val="1"/>
      <w:numFmt w:val="bullet"/>
      <w:lvlText w:val="•"/>
      <w:lvlJc w:val="left"/>
      <w:pPr>
        <w:ind w:left="4066" w:hanging="360"/>
      </w:pPr>
      <w:rPr>
        <w:rFonts w:hint="default"/>
      </w:rPr>
    </w:lvl>
    <w:lvl w:ilvl="5">
      <w:start w:val="1"/>
      <w:numFmt w:val="bullet"/>
      <w:lvlText w:val="•"/>
      <w:lvlJc w:val="left"/>
      <w:pPr>
        <w:ind w:left="5028" w:hanging="360"/>
      </w:pPr>
      <w:rPr>
        <w:rFonts w:hint="default"/>
      </w:rPr>
    </w:lvl>
    <w:lvl w:ilvl="6">
      <w:start w:val="1"/>
      <w:numFmt w:val="bullet"/>
      <w:lvlText w:val="•"/>
      <w:lvlJc w:val="left"/>
      <w:pPr>
        <w:ind w:left="5991" w:hanging="360"/>
      </w:pPr>
      <w:rPr>
        <w:rFonts w:hint="default"/>
      </w:rPr>
    </w:lvl>
    <w:lvl w:ilvl="7">
      <w:start w:val="1"/>
      <w:numFmt w:val="bullet"/>
      <w:lvlText w:val="•"/>
      <w:lvlJc w:val="left"/>
      <w:pPr>
        <w:ind w:left="6953" w:hanging="360"/>
      </w:pPr>
      <w:rPr>
        <w:rFonts w:hint="default"/>
      </w:rPr>
    </w:lvl>
    <w:lvl w:ilvl="8">
      <w:start w:val="1"/>
      <w:numFmt w:val="bullet"/>
      <w:lvlText w:val="•"/>
      <w:lvlJc w:val="left"/>
      <w:pPr>
        <w:ind w:left="7915" w:hanging="360"/>
      </w:pPr>
      <w:rPr>
        <w:rFonts w:hint="default"/>
      </w:rPr>
    </w:lvl>
  </w:abstractNum>
  <w:abstractNum w:abstractNumId="4">
    <w:multiLevelType w:val="hybridMultilevel"/>
    <w:lvl w:ilvl="0">
      <w:start w:val="1"/>
      <w:numFmt w:val="lowerLetter"/>
      <w:lvlText w:val="%1)"/>
      <w:lvlJc w:val="left"/>
      <w:pPr>
        <w:ind w:left="103" w:hanging="274"/>
        <w:jc w:val="right"/>
      </w:pPr>
      <w:rPr>
        <w:rFonts w:hint="default"/>
        <w:spacing w:val="-1"/>
        <w:w w:val="100"/>
      </w:rPr>
    </w:lvl>
    <w:lvl w:ilvl="1">
      <w:start w:val="1"/>
      <w:numFmt w:val="bullet"/>
      <w:lvlText w:val=""/>
      <w:lvlJc w:val="left"/>
      <w:pPr>
        <w:ind w:left="1596" w:hanging="284"/>
      </w:pPr>
      <w:rPr>
        <w:rFonts w:hint="default" w:ascii="Symbol" w:hAnsi="Symbol" w:eastAsia="Symbol" w:cs="Symbol"/>
        <w:w w:val="100"/>
        <w:sz w:val="24"/>
        <w:szCs w:val="24"/>
      </w:rPr>
    </w:lvl>
    <w:lvl w:ilvl="2">
      <w:start w:val="1"/>
      <w:numFmt w:val="bullet"/>
      <w:lvlText w:val="•"/>
      <w:lvlJc w:val="left"/>
      <w:pPr>
        <w:ind w:left="2515" w:hanging="284"/>
      </w:pPr>
      <w:rPr>
        <w:rFonts w:hint="default"/>
      </w:rPr>
    </w:lvl>
    <w:lvl w:ilvl="3">
      <w:start w:val="1"/>
      <w:numFmt w:val="bullet"/>
      <w:lvlText w:val="•"/>
      <w:lvlJc w:val="left"/>
      <w:pPr>
        <w:ind w:left="3431" w:hanging="284"/>
      </w:pPr>
      <w:rPr>
        <w:rFonts w:hint="default"/>
      </w:rPr>
    </w:lvl>
    <w:lvl w:ilvl="4">
      <w:start w:val="1"/>
      <w:numFmt w:val="bullet"/>
      <w:lvlText w:val="•"/>
      <w:lvlJc w:val="left"/>
      <w:pPr>
        <w:ind w:left="4346" w:hanging="284"/>
      </w:pPr>
      <w:rPr>
        <w:rFonts w:hint="default"/>
      </w:rPr>
    </w:lvl>
    <w:lvl w:ilvl="5">
      <w:start w:val="1"/>
      <w:numFmt w:val="bullet"/>
      <w:lvlText w:val="•"/>
      <w:lvlJc w:val="left"/>
      <w:pPr>
        <w:ind w:left="5262" w:hanging="284"/>
      </w:pPr>
      <w:rPr>
        <w:rFonts w:hint="default"/>
      </w:rPr>
    </w:lvl>
    <w:lvl w:ilvl="6">
      <w:start w:val="1"/>
      <w:numFmt w:val="bullet"/>
      <w:lvlText w:val="•"/>
      <w:lvlJc w:val="left"/>
      <w:pPr>
        <w:ind w:left="6177" w:hanging="284"/>
      </w:pPr>
      <w:rPr>
        <w:rFonts w:hint="default"/>
      </w:rPr>
    </w:lvl>
    <w:lvl w:ilvl="7">
      <w:start w:val="1"/>
      <w:numFmt w:val="bullet"/>
      <w:lvlText w:val="•"/>
      <w:lvlJc w:val="left"/>
      <w:pPr>
        <w:ind w:left="7093" w:hanging="284"/>
      </w:pPr>
      <w:rPr>
        <w:rFonts w:hint="default"/>
      </w:rPr>
    </w:lvl>
    <w:lvl w:ilvl="8">
      <w:start w:val="1"/>
      <w:numFmt w:val="bullet"/>
      <w:lvlText w:val="•"/>
      <w:lvlJc w:val="left"/>
      <w:pPr>
        <w:ind w:left="8008" w:hanging="284"/>
      </w:pPr>
      <w:rPr>
        <w:rFonts w:hint="default"/>
      </w:rPr>
    </w:lvl>
  </w:abstractNum>
  <w:abstractNum w:abstractNumId="3">
    <w:multiLevelType w:val="hybridMultilevel"/>
    <w:lvl w:ilvl="0">
      <w:start w:val="1"/>
      <w:numFmt w:val="decimal"/>
      <w:lvlText w:val="%1."/>
      <w:lvlJc w:val="left"/>
      <w:pPr>
        <w:ind w:left="463" w:hanging="360"/>
        <w:jc w:val="left"/>
      </w:pPr>
      <w:rPr>
        <w:rFonts w:hint="default" w:ascii="Times New Roman" w:hAnsi="Times New Roman" w:eastAsia="Times New Roman" w:cs="Times New Roman"/>
        <w:spacing w:val="-14"/>
        <w:w w:val="99"/>
        <w:sz w:val="24"/>
        <w:szCs w:val="24"/>
      </w:rPr>
    </w:lvl>
    <w:lvl w:ilvl="1">
      <w:start w:val="1"/>
      <w:numFmt w:val="bullet"/>
      <w:lvlText w:val="•"/>
      <w:lvlJc w:val="left"/>
      <w:pPr>
        <w:ind w:left="1398" w:hanging="360"/>
      </w:pPr>
      <w:rPr>
        <w:rFonts w:hint="default"/>
      </w:rPr>
    </w:lvl>
    <w:lvl w:ilvl="2">
      <w:start w:val="1"/>
      <w:numFmt w:val="bullet"/>
      <w:lvlText w:val="•"/>
      <w:lvlJc w:val="left"/>
      <w:pPr>
        <w:ind w:left="2336" w:hanging="360"/>
      </w:pPr>
      <w:rPr>
        <w:rFonts w:hint="default"/>
      </w:rPr>
    </w:lvl>
    <w:lvl w:ilvl="3">
      <w:start w:val="1"/>
      <w:numFmt w:val="bullet"/>
      <w:lvlText w:val="•"/>
      <w:lvlJc w:val="left"/>
      <w:pPr>
        <w:ind w:left="3274" w:hanging="360"/>
      </w:pPr>
      <w:rPr>
        <w:rFonts w:hint="default"/>
      </w:rPr>
    </w:lvl>
    <w:lvl w:ilvl="4">
      <w:start w:val="1"/>
      <w:numFmt w:val="bullet"/>
      <w:lvlText w:val="•"/>
      <w:lvlJc w:val="left"/>
      <w:pPr>
        <w:ind w:left="4212" w:hanging="360"/>
      </w:pPr>
      <w:rPr>
        <w:rFonts w:hint="default"/>
      </w:rPr>
    </w:lvl>
    <w:lvl w:ilvl="5">
      <w:start w:val="1"/>
      <w:numFmt w:val="bullet"/>
      <w:lvlText w:val="•"/>
      <w:lvlJc w:val="left"/>
      <w:pPr>
        <w:ind w:left="5150" w:hanging="360"/>
      </w:pPr>
      <w:rPr>
        <w:rFonts w:hint="default"/>
      </w:rPr>
    </w:lvl>
    <w:lvl w:ilvl="6">
      <w:start w:val="1"/>
      <w:numFmt w:val="bullet"/>
      <w:lvlText w:val="•"/>
      <w:lvlJc w:val="left"/>
      <w:pPr>
        <w:ind w:left="6088" w:hanging="360"/>
      </w:pPr>
      <w:rPr>
        <w:rFonts w:hint="default"/>
      </w:rPr>
    </w:lvl>
    <w:lvl w:ilvl="7">
      <w:start w:val="1"/>
      <w:numFmt w:val="bullet"/>
      <w:lvlText w:val="•"/>
      <w:lvlJc w:val="left"/>
      <w:pPr>
        <w:ind w:left="7026" w:hanging="360"/>
      </w:pPr>
      <w:rPr>
        <w:rFonts w:hint="default"/>
      </w:rPr>
    </w:lvl>
    <w:lvl w:ilvl="8">
      <w:start w:val="1"/>
      <w:numFmt w:val="bullet"/>
      <w:lvlText w:val="•"/>
      <w:lvlJc w:val="left"/>
      <w:pPr>
        <w:ind w:left="7964" w:hanging="360"/>
      </w:pPr>
      <w:rPr>
        <w:rFonts w:hint="default"/>
      </w:rPr>
    </w:lvl>
  </w:abstractNum>
  <w:abstractNum w:abstractNumId="2">
    <w:multiLevelType w:val="hybridMultilevel"/>
    <w:lvl w:ilvl="0">
      <w:start w:val="1"/>
      <w:numFmt w:val="bullet"/>
      <w:lvlText w:val=""/>
      <w:lvlJc w:val="left"/>
      <w:pPr>
        <w:ind w:left="1183" w:hanging="360"/>
      </w:pPr>
      <w:rPr>
        <w:rFonts w:hint="default" w:ascii="Symbol" w:hAnsi="Symbol" w:eastAsia="Symbol" w:cs="Symbol"/>
        <w:w w:val="100"/>
        <w:sz w:val="24"/>
        <w:szCs w:val="24"/>
      </w:rPr>
    </w:lvl>
    <w:lvl w:ilvl="1">
      <w:start w:val="1"/>
      <w:numFmt w:val="bullet"/>
      <w:lvlText w:val="•"/>
      <w:lvlJc w:val="left"/>
      <w:pPr>
        <w:ind w:left="2046" w:hanging="360"/>
      </w:pPr>
      <w:rPr>
        <w:rFonts w:hint="default"/>
      </w:rPr>
    </w:lvl>
    <w:lvl w:ilvl="2">
      <w:start w:val="1"/>
      <w:numFmt w:val="bullet"/>
      <w:lvlText w:val="•"/>
      <w:lvlJc w:val="left"/>
      <w:pPr>
        <w:ind w:left="2912" w:hanging="360"/>
      </w:pPr>
      <w:rPr>
        <w:rFonts w:hint="default"/>
      </w:rPr>
    </w:lvl>
    <w:lvl w:ilvl="3">
      <w:start w:val="1"/>
      <w:numFmt w:val="bullet"/>
      <w:lvlText w:val="•"/>
      <w:lvlJc w:val="left"/>
      <w:pPr>
        <w:ind w:left="3778" w:hanging="360"/>
      </w:pPr>
      <w:rPr>
        <w:rFonts w:hint="default"/>
      </w:rPr>
    </w:lvl>
    <w:lvl w:ilvl="4">
      <w:start w:val="1"/>
      <w:numFmt w:val="bullet"/>
      <w:lvlText w:val="•"/>
      <w:lvlJc w:val="left"/>
      <w:pPr>
        <w:ind w:left="4644" w:hanging="360"/>
      </w:pPr>
      <w:rPr>
        <w:rFonts w:hint="default"/>
      </w:rPr>
    </w:lvl>
    <w:lvl w:ilvl="5">
      <w:start w:val="1"/>
      <w:numFmt w:val="bullet"/>
      <w:lvlText w:val="•"/>
      <w:lvlJc w:val="left"/>
      <w:pPr>
        <w:ind w:left="5510" w:hanging="360"/>
      </w:pPr>
      <w:rPr>
        <w:rFonts w:hint="default"/>
      </w:rPr>
    </w:lvl>
    <w:lvl w:ilvl="6">
      <w:start w:val="1"/>
      <w:numFmt w:val="bullet"/>
      <w:lvlText w:val="•"/>
      <w:lvlJc w:val="left"/>
      <w:pPr>
        <w:ind w:left="6376" w:hanging="360"/>
      </w:pPr>
      <w:rPr>
        <w:rFonts w:hint="default"/>
      </w:rPr>
    </w:lvl>
    <w:lvl w:ilvl="7">
      <w:start w:val="1"/>
      <w:numFmt w:val="bullet"/>
      <w:lvlText w:val="•"/>
      <w:lvlJc w:val="left"/>
      <w:pPr>
        <w:ind w:left="7242" w:hanging="360"/>
      </w:pPr>
      <w:rPr>
        <w:rFonts w:hint="default"/>
      </w:rPr>
    </w:lvl>
    <w:lvl w:ilvl="8">
      <w:start w:val="1"/>
      <w:numFmt w:val="bullet"/>
      <w:lvlText w:val="•"/>
      <w:lvlJc w:val="left"/>
      <w:pPr>
        <w:ind w:left="8108" w:hanging="360"/>
      </w:pPr>
      <w:rPr>
        <w:rFonts w:hint="default"/>
      </w:rPr>
    </w:lvl>
  </w:abstractNum>
  <w:abstractNum w:abstractNumId="1">
    <w:multiLevelType w:val="hybridMultilevel"/>
    <w:lvl w:ilvl="0">
      <w:start w:val="1"/>
      <w:numFmt w:val="upperLetter"/>
      <w:lvlText w:val="%1."/>
      <w:lvlJc w:val="left"/>
      <w:pPr>
        <w:ind w:left="103" w:hanging="300"/>
        <w:jc w:val="left"/>
      </w:pPr>
      <w:rPr>
        <w:rFonts w:hint="default" w:ascii="Times New Roman" w:hAnsi="Times New Roman" w:eastAsia="Times New Roman" w:cs="Times New Roman"/>
        <w:i/>
        <w:spacing w:val="-30"/>
        <w:w w:val="99"/>
        <w:sz w:val="24"/>
        <w:szCs w:val="24"/>
      </w:rPr>
    </w:lvl>
    <w:lvl w:ilvl="1">
      <w:start w:val="1"/>
      <w:numFmt w:val="upperLetter"/>
      <w:lvlText w:val="%2."/>
      <w:lvlJc w:val="left"/>
      <w:pPr>
        <w:ind w:left="103" w:hanging="336"/>
        <w:jc w:val="left"/>
      </w:pPr>
      <w:rPr>
        <w:rFonts w:hint="default" w:ascii="Times New Roman" w:hAnsi="Times New Roman" w:eastAsia="Times New Roman" w:cs="Times New Roman"/>
        <w:i/>
        <w:spacing w:val="-30"/>
        <w:w w:val="99"/>
        <w:sz w:val="24"/>
        <w:szCs w:val="24"/>
      </w:rPr>
    </w:lvl>
    <w:lvl w:ilvl="2">
      <w:start w:val="1"/>
      <w:numFmt w:val="bullet"/>
      <w:lvlText w:val="•"/>
      <w:lvlJc w:val="left"/>
      <w:pPr>
        <w:ind w:left="2048" w:hanging="336"/>
      </w:pPr>
      <w:rPr>
        <w:rFonts w:hint="default"/>
      </w:rPr>
    </w:lvl>
    <w:lvl w:ilvl="3">
      <w:start w:val="1"/>
      <w:numFmt w:val="bullet"/>
      <w:lvlText w:val="•"/>
      <w:lvlJc w:val="left"/>
      <w:pPr>
        <w:ind w:left="3022" w:hanging="336"/>
      </w:pPr>
      <w:rPr>
        <w:rFonts w:hint="default"/>
      </w:rPr>
    </w:lvl>
    <w:lvl w:ilvl="4">
      <w:start w:val="1"/>
      <w:numFmt w:val="bullet"/>
      <w:lvlText w:val="•"/>
      <w:lvlJc w:val="left"/>
      <w:pPr>
        <w:ind w:left="3996" w:hanging="336"/>
      </w:pPr>
      <w:rPr>
        <w:rFonts w:hint="default"/>
      </w:rPr>
    </w:lvl>
    <w:lvl w:ilvl="5">
      <w:start w:val="1"/>
      <w:numFmt w:val="bullet"/>
      <w:lvlText w:val="•"/>
      <w:lvlJc w:val="left"/>
      <w:pPr>
        <w:ind w:left="4970" w:hanging="336"/>
      </w:pPr>
      <w:rPr>
        <w:rFonts w:hint="default"/>
      </w:rPr>
    </w:lvl>
    <w:lvl w:ilvl="6">
      <w:start w:val="1"/>
      <w:numFmt w:val="bullet"/>
      <w:lvlText w:val="•"/>
      <w:lvlJc w:val="left"/>
      <w:pPr>
        <w:ind w:left="5944" w:hanging="336"/>
      </w:pPr>
      <w:rPr>
        <w:rFonts w:hint="default"/>
      </w:rPr>
    </w:lvl>
    <w:lvl w:ilvl="7">
      <w:start w:val="1"/>
      <w:numFmt w:val="bullet"/>
      <w:lvlText w:val="•"/>
      <w:lvlJc w:val="left"/>
      <w:pPr>
        <w:ind w:left="6918" w:hanging="336"/>
      </w:pPr>
      <w:rPr>
        <w:rFonts w:hint="default"/>
      </w:rPr>
    </w:lvl>
    <w:lvl w:ilvl="8">
      <w:start w:val="1"/>
      <w:numFmt w:val="bullet"/>
      <w:lvlText w:val="•"/>
      <w:lvlJc w:val="left"/>
      <w:pPr>
        <w:ind w:left="7892" w:hanging="336"/>
      </w:pPr>
      <w:rPr>
        <w:rFonts w:hint="default"/>
      </w:rPr>
    </w:lvl>
  </w:abstractNum>
  <w:abstractNum w:abstractNumId="0">
    <w:multiLevelType w:val="hybridMultilevel"/>
    <w:lvl w:ilvl="0">
      <w:start w:val="1"/>
      <w:numFmt w:val="upperLetter"/>
      <w:lvlText w:val="%1."/>
      <w:lvlJc w:val="left"/>
      <w:pPr>
        <w:ind w:left="103" w:hanging="327"/>
        <w:jc w:val="left"/>
      </w:pPr>
      <w:rPr>
        <w:rFonts w:hint="default" w:ascii="Times New Roman" w:hAnsi="Times New Roman" w:eastAsia="Times New Roman" w:cs="Times New Roman"/>
        <w:i/>
        <w:spacing w:val="-30"/>
        <w:w w:val="99"/>
        <w:sz w:val="24"/>
        <w:szCs w:val="24"/>
      </w:rPr>
    </w:lvl>
    <w:lvl w:ilvl="1">
      <w:start w:val="1"/>
      <w:numFmt w:val="upperRoman"/>
      <w:lvlText w:val="%2."/>
      <w:lvlJc w:val="left"/>
      <w:pPr>
        <w:ind w:left="811" w:hanging="348"/>
        <w:jc w:val="left"/>
      </w:pPr>
      <w:rPr>
        <w:rFonts w:hint="default"/>
        <w:b/>
        <w:bCs/>
        <w:w w:val="99"/>
      </w:rPr>
    </w:lvl>
    <w:lvl w:ilvl="2">
      <w:start w:val="1"/>
      <w:numFmt w:val="lowerLetter"/>
      <w:lvlText w:val="%3."/>
      <w:lvlJc w:val="left"/>
      <w:pPr>
        <w:ind w:left="1174" w:hanging="360"/>
        <w:jc w:val="left"/>
      </w:pPr>
      <w:rPr>
        <w:rFonts w:hint="default" w:ascii="Times New Roman" w:hAnsi="Times New Roman" w:eastAsia="Times New Roman" w:cs="Times New Roman"/>
        <w:b/>
        <w:bCs/>
        <w:spacing w:val="-4"/>
        <w:w w:val="100"/>
        <w:sz w:val="24"/>
        <w:szCs w:val="24"/>
      </w:rPr>
    </w:lvl>
    <w:lvl w:ilvl="3">
      <w:start w:val="1"/>
      <w:numFmt w:val="bullet"/>
      <w:lvlText w:val="•"/>
      <w:lvlJc w:val="left"/>
      <w:pPr>
        <w:ind w:left="2262" w:hanging="360"/>
      </w:pPr>
      <w:rPr>
        <w:rFonts w:hint="default"/>
      </w:rPr>
    </w:lvl>
    <w:lvl w:ilvl="4">
      <w:start w:val="1"/>
      <w:numFmt w:val="bullet"/>
      <w:lvlText w:val="•"/>
      <w:lvlJc w:val="left"/>
      <w:pPr>
        <w:ind w:left="3345" w:hanging="360"/>
      </w:pPr>
      <w:rPr>
        <w:rFonts w:hint="default"/>
      </w:rPr>
    </w:lvl>
    <w:lvl w:ilvl="5">
      <w:start w:val="1"/>
      <w:numFmt w:val="bullet"/>
      <w:lvlText w:val="•"/>
      <w:lvlJc w:val="left"/>
      <w:pPr>
        <w:ind w:left="4427" w:hanging="360"/>
      </w:pPr>
      <w:rPr>
        <w:rFonts w:hint="default"/>
      </w:rPr>
    </w:lvl>
    <w:lvl w:ilvl="6">
      <w:start w:val="1"/>
      <w:numFmt w:val="bullet"/>
      <w:lvlText w:val="•"/>
      <w:lvlJc w:val="left"/>
      <w:pPr>
        <w:ind w:left="5510" w:hanging="360"/>
      </w:pPr>
      <w:rPr>
        <w:rFonts w:hint="default"/>
      </w:rPr>
    </w:lvl>
    <w:lvl w:ilvl="7">
      <w:start w:val="1"/>
      <w:numFmt w:val="bullet"/>
      <w:lvlText w:val="•"/>
      <w:lvlJc w:val="left"/>
      <w:pPr>
        <w:ind w:left="6592" w:hanging="360"/>
      </w:pPr>
      <w:rPr>
        <w:rFonts w:hint="default"/>
      </w:rPr>
    </w:lvl>
    <w:lvl w:ilvl="8">
      <w:start w:val="1"/>
      <w:numFmt w:val="bullet"/>
      <w:lvlText w:val="•"/>
      <w:lvlJc w:val="left"/>
      <w:pPr>
        <w:ind w:left="7675" w:hanging="360"/>
      </w:pPr>
      <w:rPr>
        <w:rFonts w:hint="default"/>
      </w:rPr>
    </w:lvl>
  </w:abstract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49"/>
      <w:ind w:left="103"/>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10"/>
      <w:ind w:left="463" w:hanging="360"/>
      <w:jc w:val="both"/>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jpeg"/><Relationship Id="rId8" Type="http://schemas.openxmlformats.org/officeDocument/2006/relationships/image" Target="media/image3.jpeg"/><Relationship Id="rId9" Type="http://schemas.openxmlformats.org/officeDocument/2006/relationships/image" Target="media/image4.png"/><Relationship Id="rId10" Type="http://schemas.openxmlformats.org/officeDocument/2006/relationships/hyperlink" Target="mailto:soriano@uaemex.mx" TargetMode="External"/><Relationship Id="rId11" Type="http://schemas.openxmlformats.org/officeDocument/2006/relationships/image" Target="media/image5.jpeg"/><Relationship Id="rId12" Type="http://schemas.openxmlformats.org/officeDocument/2006/relationships/image" Target="media/image6.jpeg"/><Relationship Id="rId13" Type="http://schemas.openxmlformats.org/officeDocument/2006/relationships/image" Target="media/image7.jpeg"/><Relationship Id="rId14" Type="http://schemas.openxmlformats.org/officeDocument/2006/relationships/image" Target="media/image8.jpeg"/><Relationship Id="rId15" Type="http://schemas.openxmlformats.org/officeDocument/2006/relationships/image" Target="media/image9.jpeg"/><Relationship Id="rId16" Type="http://schemas.openxmlformats.org/officeDocument/2006/relationships/image" Target="media/image10.jpeg"/><Relationship Id="rId17" Type="http://schemas.openxmlformats.org/officeDocument/2006/relationships/image" Target="media/image11.jpeg"/><Relationship Id="rId18" Type="http://schemas.openxmlformats.org/officeDocument/2006/relationships/image" Target="media/image12.jpeg"/><Relationship Id="rId19" Type="http://schemas.openxmlformats.org/officeDocument/2006/relationships/image" Target="media/image13.jpeg"/><Relationship Id="rId20" Type="http://schemas.openxmlformats.org/officeDocument/2006/relationships/image" Target="media/image14.png"/><Relationship Id="rId21" Type="http://schemas.openxmlformats.org/officeDocument/2006/relationships/hyperlink" Target="mailto:mvz.andreaz@gmail.com" TargetMode="External"/><Relationship Id="rId22" Type="http://schemas.openxmlformats.org/officeDocument/2006/relationships/hyperlink" Target="http://www.sagarpa.gob.mx/saladeprensa/boletines2/2011/julio/Documents/2011B379.pdf" TargetMode="External"/><Relationship Id="rId23" Type="http://schemas.openxmlformats.org/officeDocument/2006/relationships/footer" Target="footer2.xml"/><Relationship Id="rId24" Type="http://schemas.openxmlformats.org/officeDocument/2006/relationships/footer" Target="footer3.xml"/><Relationship Id="rId25" Type="http://schemas.openxmlformats.org/officeDocument/2006/relationships/hyperlink" Target="http://www.conapesca.sagarpa.gob.mx/" TargetMode="External"/><Relationship Id="rId26" Type="http://schemas.openxmlformats.org/officeDocument/2006/relationships/hyperlink" Target="http://www.sagarpa.gob.mx/saladeprensa/2012/2015/mayo/Documents/2015B351.PDF" TargetMode="External"/><Relationship Id="rId2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ciesa</dc:creator>
  <dc:title>Universidad Autónoma del Estado de México</dc:title>
  <dcterms:created xsi:type="dcterms:W3CDTF">2017-05-23T02:53:04Z</dcterms:created>
  <dcterms:modified xsi:type="dcterms:W3CDTF">2017-05-23T02:53:04Z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2015-10-23T00:00:00Z</vt:filetime>
  </property>
  <property fmtid="{D5CDD505-2E9C-101B-9397-08002B2CF9AE}" pid="3" name="Creator">
    <vt:lpwstr>Microsoft® Word 2013</vt:lpwstr>
  </property>
  <property fmtid="{D5CDD505-2E9C-101B-9397-08002B2CF9AE}" pid="4" name="LastSaved">
    <vt:filetime>2017-05-23T00:00:00Z</vt:filetime>
  </property>
</Properties>
</file>